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76736">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52"/>
          <w:szCs w:val="52"/>
          <w:highlight w:val="none"/>
          <w:lang w:val="zh-CN"/>
          <w14:textFill>
            <w14:solidFill>
              <w14:schemeClr w14:val="tx1"/>
            </w14:solidFill>
          </w14:textFill>
        </w:rPr>
      </w:pPr>
    </w:p>
    <w:p w14:paraId="569F37E4">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60"/>
          <w:szCs w:val="60"/>
          <w:highlight w:val="none"/>
          <w:lang w:val="zh-CN"/>
          <w14:textFill>
            <w14:solidFill>
              <w14:schemeClr w14:val="tx1"/>
            </w14:solidFill>
          </w14:textFill>
        </w:rPr>
      </w:pPr>
      <w:r>
        <w:rPr>
          <w:rFonts w:hint="eastAsia" w:ascii="宋体" w:hAnsi="宋体" w:eastAsia="宋体" w:cs="宋体"/>
          <w:b/>
          <w:bCs/>
          <w:color w:val="000000" w:themeColor="text1"/>
          <w:kern w:val="0"/>
          <w:sz w:val="60"/>
          <w:szCs w:val="60"/>
          <w:highlight w:val="none"/>
          <w:lang w:val="zh-CN"/>
          <w14:textFill>
            <w14:solidFill>
              <w14:schemeClr w14:val="tx1"/>
            </w14:solidFill>
          </w14:textFill>
        </w:rPr>
        <w:t>东莞市水务集团科技发展有限公司屋顶分布式光伏发电（一期）采购项目</w:t>
      </w:r>
    </w:p>
    <w:p w14:paraId="3530054A">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44"/>
          <w:szCs w:val="44"/>
          <w:highlight w:val="none"/>
          <w:lang w:val="zh-CN"/>
          <w14:textFill>
            <w14:solidFill>
              <w14:schemeClr w14:val="tx1"/>
            </w14:solidFill>
          </w14:textFill>
        </w:rPr>
      </w:pPr>
    </w:p>
    <w:p w14:paraId="0E47AB19">
      <w:pPr>
        <w:autoSpaceDE w:val="0"/>
        <w:autoSpaceDN w:val="0"/>
        <w:adjustRightInd w:val="0"/>
        <w:ind w:right="-23" w:rightChars="-11"/>
        <w:jc w:val="left"/>
        <w:rPr>
          <w:rFonts w:ascii="宋体" w:hAnsi="宋体" w:eastAsia="宋体" w:cs="宋体"/>
          <w:b/>
          <w:bCs/>
          <w:color w:val="000000" w:themeColor="text1"/>
          <w:sz w:val="44"/>
          <w:szCs w:val="44"/>
          <w:highlight w:val="none"/>
          <w:lang w:val="zh-CN"/>
          <w14:textFill>
            <w14:solidFill>
              <w14:schemeClr w14:val="tx1"/>
            </w14:solidFill>
          </w14:textFill>
        </w:rPr>
      </w:pPr>
    </w:p>
    <w:p w14:paraId="6E7B8EEF">
      <w:pPr>
        <w:autoSpaceDE w:val="0"/>
        <w:autoSpaceDN w:val="0"/>
        <w:adjustRightInd w:val="0"/>
        <w:ind w:right="-23" w:rightChars="-11"/>
        <w:jc w:val="center"/>
        <w:rPr>
          <w:rFonts w:ascii="宋体" w:hAnsi="宋体" w:eastAsia="宋体" w:cs="Times New Roman"/>
          <w:b/>
          <w:bCs/>
          <w:color w:val="000000" w:themeColor="text1"/>
          <w:sz w:val="72"/>
          <w:szCs w:val="72"/>
          <w:highlight w:val="none"/>
          <w14:textFill>
            <w14:solidFill>
              <w14:schemeClr w14:val="tx1"/>
            </w14:solidFill>
          </w14:textFill>
        </w:rPr>
      </w:pPr>
    </w:p>
    <w:p w14:paraId="15275127">
      <w:pPr>
        <w:autoSpaceDE w:val="0"/>
        <w:autoSpaceDN w:val="0"/>
        <w:adjustRightInd w:val="0"/>
        <w:ind w:right="-23" w:rightChars="-11"/>
        <w:jc w:val="center"/>
        <w:rPr>
          <w:rFonts w:ascii="宋体" w:hAnsi="宋体" w:eastAsia="宋体" w:cs="Times New Roman"/>
          <w:b/>
          <w:bCs/>
          <w:color w:val="000000" w:themeColor="text1"/>
          <w:sz w:val="72"/>
          <w:szCs w:val="72"/>
          <w:highlight w:val="none"/>
          <w:lang w:val="zh-CN"/>
          <w14:textFill>
            <w14:solidFill>
              <w14:schemeClr w14:val="tx1"/>
            </w14:solidFill>
          </w14:textFill>
        </w:rPr>
      </w:pPr>
      <w:r>
        <w:rPr>
          <w:rFonts w:hint="eastAsia" w:ascii="宋体" w:hAnsi="宋体" w:eastAsia="宋体" w:cs="Times New Roman"/>
          <w:b/>
          <w:bCs/>
          <w:color w:val="000000" w:themeColor="text1"/>
          <w:sz w:val="72"/>
          <w:szCs w:val="72"/>
          <w:highlight w:val="none"/>
          <w:lang w:val="zh-CN"/>
          <w14:textFill>
            <w14:solidFill>
              <w14:schemeClr w14:val="tx1"/>
            </w14:solidFill>
          </w14:textFill>
        </w:rPr>
        <w:t>招</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件</w:t>
      </w:r>
    </w:p>
    <w:p w14:paraId="2060EF0E">
      <w:pPr>
        <w:autoSpaceDE w:val="0"/>
        <w:autoSpaceDN w:val="0"/>
        <w:adjustRightInd w:val="0"/>
        <w:ind w:right="-23" w:rightChars="-11"/>
        <w:jc w:val="center"/>
        <w:rPr>
          <w:rFonts w:ascii="宋体" w:hAnsi="宋体" w:eastAsia="宋体" w:cs="宋体"/>
          <w:b/>
          <w:bCs/>
          <w:color w:val="000000" w:themeColor="text1"/>
          <w:sz w:val="32"/>
          <w:szCs w:val="32"/>
          <w:highlight w:val="none"/>
          <w:lang w:val="zh-CN"/>
          <w14:textFill>
            <w14:solidFill>
              <w14:schemeClr w14:val="tx1"/>
            </w14:solidFill>
          </w14:textFill>
        </w:rPr>
      </w:pPr>
    </w:p>
    <w:p w14:paraId="41BFB42B">
      <w:pPr>
        <w:autoSpaceDE w:val="0"/>
        <w:autoSpaceDN w:val="0"/>
        <w:adjustRightInd w:val="0"/>
        <w:ind w:right="-23" w:rightChars="-11"/>
        <w:jc w:val="center"/>
        <w:rPr>
          <w:rFonts w:ascii="宋体" w:hAnsi="宋体" w:eastAsia="宋体" w:cs="宋体"/>
          <w:b/>
          <w:bCs/>
          <w:color w:val="000000" w:themeColor="text1"/>
          <w:sz w:val="44"/>
          <w:szCs w:val="44"/>
          <w:highlight w:val="none"/>
          <w:lang w:val="zh-CN"/>
          <w14:textFill>
            <w14:solidFill>
              <w14:schemeClr w14:val="tx1"/>
            </w14:solidFill>
          </w14:textFill>
        </w:rPr>
      </w:pPr>
    </w:p>
    <w:p w14:paraId="726FA56B">
      <w:pPr>
        <w:autoSpaceDE w:val="0"/>
        <w:autoSpaceDN w:val="0"/>
        <w:adjustRightInd w:val="0"/>
        <w:ind w:right="-23" w:rightChars="-11"/>
        <w:jc w:val="left"/>
        <w:rPr>
          <w:rFonts w:ascii="宋体" w:hAnsi="宋体" w:eastAsia="宋体" w:cs="宋体"/>
          <w:b/>
          <w:bCs/>
          <w:color w:val="000000" w:themeColor="text1"/>
          <w:sz w:val="32"/>
          <w:szCs w:val="32"/>
          <w:highlight w:val="none"/>
          <w:u w:val="single"/>
          <w:lang w:val="zh-CN"/>
          <w14:textFill>
            <w14:solidFill>
              <w14:schemeClr w14:val="tx1"/>
            </w14:solidFill>
          </w14:textFill>
        </w:rPr>
      </w:pPr>
    </w:p>
    <w:p w14:paraId="4029E4DE">
      <w:pPr>
        <w:tabs>
          <w:tab w:val="left" w:pos="9240"/>
        </w:tabs>
        <w:autoSpaceDE w:val="0"/>
        <w:autoSpaceDN w:val="0"/>
        <w:adjustRightInd w:val="0"/>
        <w:spacing w:line="700" w:lineRule="exact"/>
        <w:ind w:right="-23" w:rightChars="-11"/>
        <w:jc w:val="left"/>
        <w:rPr>
          <w:rFonts w:ascii="宋体" w:hAnsi="宋体" w:eastAsia="宋体" w:cs="宋体"/>
          <w:b/>
          <w:bCs/>
          <w:color w:val="000000" w:themeColor="text1"/>
          <w:sz w:val="32"/>
          <w:szCs w:val="32"/>
          <w:highlight w:val="none"/>
          <w:lang w:val="zh-CN"/>
          <w14:textFill>
            <w14:solidFill>
              <w14:schemeClr w14:val="tx1"/>
            </w14:solidFill>
          </w14:textFill>
        </w:rPr>
      </w:pPr>
    </w:p>
    <w:p w14:paraId="223E012D">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编</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号：广建咨询（东招）2024-0133号</w:t>
      </w:r>
    </w:p>
    <w:p w14:paraId="3FBFDDBC">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人：东莞市水务集团科技发展有限公司</w:t>
      </w:r>
    </w:p>
    <w:p w14:paraId="3EAA4C97">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招标代理机构：建成工程咨询股份有限公司</w:t>
      </w:r>
    </w:p>
    <w:p w14:paraId="264907C9">
      <w:pPr>
        <w:autoSpaceDE w:val="0"/>
        <w:autoSpaceDN w:val="0"/>
        <w:adjustRightInd w:val="0"/>
        <w:ind w:right="-23" w:rightChars="-11"/>
        <w:jc w:val="left"/>
        <w:rPr>
          <w:rFonts w:ascii="宋体" w:hAnsi="宋体" w:eastAsia="宋体" w:cs="Times New Roman"/>
          <w:b/>
          <w:bCs/>
          <w:color w:val="000000" w:themeColor="text1"/>
          <w:kern w:val="0"/>
          <w:sz w:val="32"/>
          <w:szCs w:val="32"/>
          <w:highlight w:val="none"/>
          <w:lang w:val="zh-CN"/>
          <w14:textFill>
            <w14:solidFill>
              <w14:schemeClr w14:val="tx1"/>
            </w14:solidFill>
          </w14:textFill>
        </w:rPr>
      </w:pPr>
      <w:bookmarkStart w:id="0" w:name="OLE_LINK406"/>
    </w:p>
    <w:bookmarkEnd w:id="0"/>
    <w:p w14:paraId="5ABC7612">
      <w:pPr>
        <w:autoSpaceDE w:val="0"/>
        <w:autoSpaceDN w:val="0"/>
        <w:adjustRightInd w:val="0"/>
        <w:ind w:right="-23" w:rightChars="-11"/>
        <w:jc w:val="center"/>
        <w:rPr>
          <w:rFonts w:ascii="宋体" w:hAnsi="宋体" w:eastAsia="宋体" w:cs="Times New Roman"/>
          <w:b/>
          <w:bCs/>
          <w:color w:val="000000" w:themeColor="text1"/>
          <w:kern w:val="0"/>
          <w:sz w:val="84"/>
          <w:szCs w:val="84"/>
          <w:highlight w:val="none"/>
          <w:lang w:val="zh-CN"/>
          <w14:textFill>
            <w14:solidFill>
              <w14:schemeClr w14:val="tx1"/>
            </w14:solidFill>
          </w14:textFill>
        </w:rPr>
      </w:pPr>
    </w:p>
    <w:p w14:paraId="0B0A7865">
      <w:pPr>
        <w:autoSpaceDE w:val="0"/>
        <w:autoSpaceDN w:val="0"/>
        <w:adjustRightInd w:val="0"/>
        <w:ind w:right="-23" w:rightChars="-11"/>
        <w:jc w:val="center"/>
        <w:rPr>
          <w:rFonts w:ascii="宋体" w:hAnsi="宋体" w:eastAsia="宋体" w:cs="Times New Roman"/>
          <w:b/>
          <w:bCs/>
          <w:color w:val="000000" w:themeColor="text1"/>
          <w:kern w:val="0"/>
          <w:sz w:val="84"/>
          <w:szCs w:val="84"/>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2024</w:t>
      </w:r>
      <w:r>
        <w:rPr>
          <w:rFonts w:hint="eastAsia" w:ascii="宋体" w:hAnsi="宋体" w:eastAsia="宋体" w:cs="宋体"/>
          <w:b/>
          <w:bCs/>
          <w:color w:val="000000" w:themeColor="text1"/>
          <w:sz w:val="32"/>
          <w:szCs w:val="32"/>
          <w:highlight w:val="none"/>
          <w:lang w:val="zh-CN"/>
          <w14:textFill>
            <w14:solidFill>
              <w14:schemeClr w14:val="tx1"/>
            </w14:solidFill>
          </w14:textFill>
        </w:rPr>
        <w:t>年</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9</w:t>
      </w:r>
      <w:r>
        <w:rPr>
          <w:rFonts w:hint="eastAsia" w:ascii="宋体" w:hAnsi="宋体" w:eastAsia="宋体" w:cs="宋体"/>
          <w:b/>
          <w:bCs/>
          <w:color w:val="000000" w:themeColor="text1"/>
          <w:sz w:val="32"/>
          <w:szCs w:val="32"/>
          <w:highlight w:val="none"/>
          <w:lang w:val="zh-CN"/>
          <w14:textFill>
            <w14:solidFill>
              <w14:schemeClr w14:val="tx1"/>
            </w14:solidFill>
          </w14:textFill>
        </w:rPr>
        <w:t>月</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26</w:t>
      </w:r>
      <w:bookmarkStart w:id="1171" w:name="_GoBack"/>
      <w:bookmarkEnd w:id="1171"/>
      <w:r>
        <w:rPr>
          <w:rFonts w:hint="eastAsia" w:ascii="宋体" w:hAnsi="宋体" w:eastAsia="宋体" w:cs="宋体"/>
          <w:b/>
          <w:bCs/>
          <w:color w:val="000000" w:themeColor="text1"/>
          <w:sz w:val="32"/>
          <w:szCs w:val="32"/>
          <w:highlight w:val="none"/>
          <w:lang w:val="zh-CN"/>
          <w14:textFill>
            <w14:solidFill>
              <w14:schemeClr w14:val="tx1"/>
            </w14:solidFill>
          </w14:textFill>
        </w:rPr>
        <w:t>日</w:t>
      </w:r>
    </w:p>
    <w:p w14:paraId="2BB964BA">
      <w:pPr>
        <w:rPr>
          <w:rFonts w:ascii="宋体" w:hAnsi="宋体" w:eastAsia="宋体" w:cs="宋体"/>
          <w:b/>
          <w:bCs/>
          <w:color w:val="000000" w:themeColor="text1"/>
          <w:kern w:val="0"/>
          <w:sz w:val="52"/>
          <w:szCs w:val="52"/>
          <w:highlight w:val="none"/>
          <w14:textFill>
            <w14:solidFill>
              <w14:schemeClr w14:val="tx1"/>
            </w14:solidFill>
          </w14:textFill>
        </w:rPr>
      </w:pPr>
      <w:r>
        <w:rPr>
          <w:rFonts w:ascii="宋体" w:hAnsi="宋体" w:eastAsia="宋体" w:cs="宋体"/>
          <w:b/>
          <w:bCs/>
          <w:color w:val="000000" w:themeColor="text1"/>
          <w:kern w:val="0"/>
          <w:sz w:val="52"/>
          <w:szCs w:val="52"/>
          <w:highlight w:val="none"/>
          <w14:textFill>
            <w14:solidFill>
              <w14:schemeClr w14:val="tx1"/>
            </w14:solidFill>
          </w14:textFill>
        </w:rPr>
        <w:br w:type="page"/>
      </w:r>
    </w:p>
    <w:p w14:paraId="025A0998">
      <w:pPr>
        <w:pStyle w:val="3"/>
        <w:rPr>
          <w:color w:val="000000" w:themeColor="text1"/>
          <w:highlight w:val="none"/>
          <w14:textFill>
            <w14:solidFill>
              <w14:schemeClr w14:val="tx1"/>
            </w14:solidFill>
          </w14:textFill>
        </w:rPr>
      </w:pPr>
    </w:p>
    <w:sdt>
      <w:sdtPr>
        <w:rPr>
          <w:rFonts w:ascii="宋体" w:hAnsi="宋体" w:eastAsia="宋体"/>
          <w:b/>
          <w:bCs/>
          <w:color w:val="000000" w:themeColor="text1"/>
          <w:sz w:val="28"/>
          <w:szCs w:val="32"/>
          <w:highlight w:val="none"/>
          <w14:textFill>
            <w14:solidFill>
              <w14:schemeClr w14:val="tx1"/>
            </w14:solidFill>
          </w14:textFill>
        </w:rPr>
        <w:id w:val="147455330"/>
        <w15:color w:val="DBDBDB"/>
        <w:docPartObj>
          <w:docPartGallery w:val="Table of Contents"/>
          <w:docPartUnique/>
        </w:docPartObj>
      </w:sdtPr>
      <w:sdtEndPr>
        <w:rPr>
          <w:rFonts w:ascii="宋体" w:hAnsi="宋体" w:eastAsia="宋体"/>
          <w:b/>
          <w:bCs/>
          <w:color w:val="000000" w:themeColor="text1"/>
          <w:sz w:val="28"/>
          <w:szCs w:val="32"/>
          <w:highlight w:val="none"/>
          <w14:textFill>
            <w14:solidFill>
              <w14:schemeClr w14:val="tx1"/>
            </w14:solidFill>
          </w14:textFill>
        </w:rPr>
      </w:sdtEndPr>
      <w:sdtContent>
        <w:p w14:paraId="532EAD69">
          <w:pPr>
            <w:jc w:val="center"/>
            <w:rPr>
              <w:b/>
              <w:bCs/>
              <w:color w:val="000000" w:themeColor="text1"/>
              <w:sz w:val="28"/>
              <w:szCs w:val="32"/>
              <w:highlight w:val="none"/>
              <w14:textFill>
                <w14:solidFill>
                  <w14:schemeClr w14:val="tx1"/>
                </w14:solidFill>
              </w14:textFill>
            </w:rPr>
          </w:pPr>
          <w:bookmarkStart w:id="1" w:name="OLE_LINK407"/>
          <w:bookmarkStart w:id="2" w:name="_Toc450662846"/>
          <w:bookmarkStart w:id="3" w:name="_Toc486167660"/>
          <w:bookmarkStart w:id="4" w:name="_Toc142508310"/>
          <w:bookmarkStart w:id="5" w:name="_Toc2723_WPSOffice_Level1"/>
          <w:bookmarkStart w:id="6" w:name="_Toc11638"/>
          <w:r>
            <w:rPr>
              <w:rFonts w:ascii="宋体" w:hAnsi="宋体" w:eastAsia="宋体"/>
              <w:b/>
              <w:bCs/>
              <w:color w:val="000000" w:themeColor="text1"/>
              <w:sz w:val="28"/>
              <w:szCs w:val="32"/>
              <w:highlight w:val="none"/>
              <w14:textFill>
                <w14:solidFill>
                  <w14:schemeClr w14:val="tx1"/>
                </w14:solidFill>
              </w14:textFill>
            </w:rPr>
            <w:t>目</w:t>
          </w:r>
          <w:r>
            <w:rPr>
              <w:rFonts w:hint="eastAsia" w:ascii="宋体" w:hAnsi="宋体" w:eastAsia="宋体"/>
              <w:b/>
              <w:bCs/>
              <w:color w:val="000000" w:themeColor="text1"/>
              <w:sz w:val="28"/>
              <w:szCs w:val="32"/>
              <w:highlight w:val="none"/>
              <w14:textFill>
                <w14:solidFill>
                  <w14:schemeClr w14:val="tx1"/>
                </w14:solidFill>
              </w14:textFill>
            </w:rPr>
            <w:t xml:space="preserve"> </w:t>
          </w:r>
          <w:r>
            <w:rPr>
              <w:rFonts w:ascii="宋体" w:hAnsi="宋体" w:eastAsia="宋体"/>
              <w:b/>
              <w:bCs/>
              <w:color w:val="000000" w:themeColor="text1"/>
              <w:sz w:val="28"/>
              <w:szCs w:val="32"/>
              <w:highlight w:val="none"/>
              <w14:textFill>
                <w14:solidFill>
                  <w14:schemeClr w14:val="tx1"/>
                </w14:solidFill>
              </w14:textFill>
            </w:rPr>
            <w:t>录</w:t>
          </w:r>
        </w:p>
        <w:bookmarkEnd w:id="1"/>
        <w:p w14:paraId="40BF80E5">
          <w:pPr>
            <w:pStyle w:val="28"/>
            <w:tabs>
              <w:tab w:val="right" w:leader="dot" w:pos="10154"/>
            </w:tabs>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TOC \o "1-3" \h \u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"_Toc15756"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第一篇 招标公告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_Toc15756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DC0A351">
          <w:pPr>
            <w:pStyle w:val="28"/>
            <w:tabs>
              <w:tab w:val="right" w:leader="dot" w:pos="1015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"_Toc18902"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第二篇</w:t>
          </w:r>
          <w:r>
            <w:rPr>
              <w:rFonts w:hint="eastAsia" w:ascii="宋体" w:hAnsi="宋体" w:eastAsia="宋体" w:cs="宋体"/>
              <w:bCs/>
              <w:color w:val="000000" w:themeColor="text1"/>
              <w:kern w:val="44"/>
              <w:szCs w:val="32"/>
              <w:highlight w:val="none"/>
              <w14:textFill>
                <w14:solidFill>
                  <w14:schemeClr w14:val="tx1"/>
                </w14:solidFill>
              </w14:textFill>
            </w:rPr>
            <w:t xml:space="preserve"> </w:t>
          </w:r>
          <w:r>
            <w:rPr>
              <w:rFonts w:hint="eastAsia" w:ascii="宋体" w:hAnsi="宋体" w:eastAsia="宋体" w:cs="宋体"/>
              <w:bCs/>
              <w:color w:val="000000" w:themeColor="text1"/>
              <w:kern w:val="44"/>
              <w:szCs w:val="32"/>
              <w:highlight w:val="none"/>
              <w:lang w:val="zh-CN"/>
              <w14:textFill>
                <w14:solidFill>
                  <w14:schemeClr w14:val="tx1"/>
                </w14:solidFill>
              </w14:textFill>
            </w:rPr>
            <w:t>投标人须知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_Toc18902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324610E6">
          <w:pPr>
            <w:pStyle w:val="28"/>
            <w:tabs>
              <w:tab w:val="right" w:leader="dot" w:pos="1015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"_Toc10618"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一、总则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_Toc10618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503236B">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"_Toc10676"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 资金来源：企业自筹资金。</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_Toc10676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24728DE0">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"_Toc1411"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 合格的投标人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_Toc1411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9B98139">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"_Toc28362"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3 合格的货物</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_Toc28362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3C9F400C">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"_Toc17995"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4 其它说明</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_Toc17995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468EC1E">
          <w:pPr>
            <w:pStyle w:val="28"/>
            <w:tabs>
              <w:tab w:val="right" w:leader="dot" w:pos="1015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"_Toc10616"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二、招标文件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_Toc10616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83719FC">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"_Toc6097"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5 招标文件的构成</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_Toc6097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4EC9F47">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"_Toc18010"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6 招标文件的异议</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_Toc18010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4A7529D">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"_Toc19059"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7 招标文件的澄清及修改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_Toc19059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6219397C">
          <w:pPr>
            <w:pStyle w:val="28"/>
            <w:tabs>
              <w:tab w:val="right" w:leader="dot" w:pos="1015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"_Toc22975"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三、投标文件的编制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_Toc22975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CBF2BD3">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"_Toc14598"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8 投标使用的文字及度量衡单位</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_Toc14598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D013F6D">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"_Toc5090"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9</w:t>
          </w:r>
          <w:r>
            <w:rPr>
              <w:rFonts w:hint="eastAsia" w:ascii="宋体" w:hAnsi="宋体" w:eastAsia="宋体" w:cs="宋体"/>
              <w:color w:val="000000" w:themeColor="text1"/>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_Toc5090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3EB2984">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"_Toc30889"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10 投标函</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_Toc30889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2FA47C87">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"_Toc3053"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11 投标报价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_Toc3053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44A1D22">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"_Toc26691"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12 投标报价货币</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_Toc26691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3A4C963E">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"_Toc16396"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13 证明投标人的合格性和资格的声明文件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_Toc16396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272C89CA">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"_Toc9411"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14 证明货物的合格性并符合招标文件规定的声明文件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_Toc9411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2AEC5E0">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"_Toc23319"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15 投标保证金</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_Toc23319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35EA04C2">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"_Toc20641"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16 投标有效期</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_Toc20641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6DC54CFB">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"_Toc5282"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17 投标文件的式样和签署</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_Toc5282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5273677">
          <w:pPr>
            <w:pStyle w:val="28"/>
            <w:tabs>
              <w:tab w:val="right" w:leader="dot" w:pos="1015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"_Toc20532"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四、投标文件的递交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_Toc20532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C6141AF">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"_Toc26225"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18 投标文件的密封和标记</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_Toc26225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A2190DF">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"_Toc27088"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19 递交投标文件的截止日期</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_Toc27088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4BF7AA0">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"_Toc27296"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20 迟交的投标文件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_Toc27296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0D02E23">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"_Toc28627"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21 投标文件的修改和撤回</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_Toc28627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D86984E">
          <w:pPr>
            <w:pStyle w:val="28"/>
            <w:tabs>
              <w:tab w:val="right" w:leader="dot" w:pos="1015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"_Toc4101"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五、开标与评标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_Toc4101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3F8DCCE4">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"_Toc3071"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22 开标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_Toc3071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3DFA22FE">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"_Toc32398"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 xml:space="preserve">23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_Toc32398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01D2DC9">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"_Toc16094"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24 评标委员会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_Toc16094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3A7244BF">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"_Toc5035"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25 投标文件的初审</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_Toc5035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CC42D3A">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"_Toc31484"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26 投标文件的澄清</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_Toc31484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1D07DBBF">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"_Toc24332"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27 对投标文件的比较和评价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_Toc24332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185E16A">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"_Toc17214"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28 评标原则及方法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_Toc17214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18256DBC">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"_Toc2613"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9 </w:t>
          </w:r>
          <w:r>
            <w:rPr>
              <w:rFonts w:hint="eastAsia" w:ascii="宋体" w:hAnsi="宋体" w:eastAsia="宋体" w:cs="宋体"/>
              <w:color w:val="000000" w:themeColor="text1"/>
              <w:szCs w:val="21"/>
              <w:highlight w:val="none"/>
              <w:lang w:val="zh-CN"/>
              <w14:textFill>
                <w14:solidFill>
                  <w14:schemeClr w14:val="tx1"/>
                </w14:solidFill>
              </w14:textFill>
            </w:rPr>
            <w:t>评标结果公示及异议、投诉</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_Toc2613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6EEF910C">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"_Toc11421"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30</w:t>
          </w:r>
          <w:r>
            <w:rPr>
              <w:rFonts w:hint="eastAsia" w:ascii="宋体" w:hAnsi="宋体" w:eastAsia="宋体" w:cs="宋体"/>
              <w:color w:val="000000" w:themeColor="text1"/>
              <w:szCs w:val="21"/>
              <w:highlight w:val="none"/>
              <w:lang w:val="zh-CN"/>
              <w14:textFill>
                <w14:solidFill>
                  <w14:schemeClr w14:val="tx1"/>
                </w14:solidFill>
              </w14:textFill>
            </w:rPr>
            <w:t xml:space="preserve"> 真实性审查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_Toc11421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79C6BB2">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"_Toc10671"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_Toc10671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6DC930F">
          <w:pPr>
            <w:pStyle w:val="28"/>
            <w:tabs>
              <w:tab w:val="right" w:leader="dot" w:pos="1015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"_Toc26380"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六、授予合同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_Toc26380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170288FC">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"_Toc11498"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 xml:space="preserve"> 授予合同的准则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_Toc11498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74DD98D">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"_Toc20062"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33 中标通知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_Toc20062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609FE44A">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"_Toc2571"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 xml:space="preserve"> 签署合同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_Toc2571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105E490">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"_Toc19285"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 xml:space="preserve">35 </w:t>
          </w:r>
          <w:r>
            <w:rPr>
              <w:rFonts w:hint="eastAsia" w:ascii="宋体" w:hAnsi="宋体" w:eastAsia="宋体" w:cs="宋体"/>
              <w:color w:val="000000" w:themeColor="text1"/>
              <w:szCs w:val="21"/>
              <w:highlight w:val="none"/>
              <w:lang w:val="zh-CN"/>
              <w14:textFill>
                <w14:solidFill>
                  <w14:schemeClr w14:val="tx1"/>
                </w14:solidFill>
              </w14:textFill>
            </w:rPr>
            <w:t>履约担保</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_Toc19285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A1E67EB">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"_Toc27958"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_Toc27958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B8562BC">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"_Toc20043"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37</w:t>
          </w:r>
          <w:r>
            <w:rPr>
              <w:rFonts w:hint="eastAsia" w:ascii="宋体" w:hAnsi="宋体" w:eastAsia="宋体" w:cs="宋体"/>
              <w:color w:val="000000" w:themeColor="text1"/>
              <w:szCs w:val="21"/>
              <w:highlight w:val="none"/>
              <w:lang w:val="zh-CN"/>
              <w14:textFill>
                <w14:solidFill>
                  <w14:schemeClr w14:val="tx1"/>
                </w14:solidFill>
              </w14:textFill>
            </w:rPr>
            <w:t xml:space="preserve"> 中标服务费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_Toc20043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729A142">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"_Toc12049"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_Toc12049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31C4E72">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"_Toc14362"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39 招标相关补充约定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_Toc14362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1FFA53B7">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"_Toc13471"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40 以联合体形式投标的，应符合以下规定：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_Toc13471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616A6753">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"_Toc27425"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41 以联合体形式投标的企业说明</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_Toc27425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A0ABECF">
          <w:pPr>
            <w:pStyle w:val="21"/>
            <w:tabs>
              <w:tab w:val="right" w:leader="dot" w:pos="10154"/>
              <w:tab w:val="clear" w:pos="1014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"_Toc10908"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42 本次招标活动的最终解释权归招标代理机构及招标人所有。</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_Toc10908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1946D502">
          <w:pPr>
            <w:pStyle w:val="28"/>
            <w:tabs>
              <w:tab w:val="right" w:leader="dot" w:pos="1015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"_Toc19867"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第三篇 用户需求书</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_Toc19867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D665DFB">
          <w:pPr>
            <w:pStyle w:val="28"/>
            <w:tabs>
              <w:tab w:val="right" w:leader="dot" w:pos="1015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"_Toc24827"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第四篇 合同条款格式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_Toc24827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6B303F1F">
          <w:pPr>
            <w:pStyle w:val="28"/>
            <w:tabs>
              <w:tab w:val="right" w:leader="dot" w:pos="1015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"_Toc4016"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lang w:val="zh-CN"/>
              <w14:textFill>
                <w14:solidFill>
                  <w14:schemeClr w14:val="tx1"/>
                </w14:solidFill>
              </w14:textFill>
            </w:rPr>
            <w:t>第五篇 相关保函格式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_Toc4016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34F27968">
          <w:pPr>
            <w:pStyle w:val="28"/>
            <w:tabs>
              <w:tab w:val="right" w:leader="dot" w:pos="1015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"_Toc28486"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第六篇 投标文件格式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_Toc28486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528490C">
          <w:pPr>
            <w:pStyle w:val="28"/>
            <w:tabs>
              <w:tab w:val="right" w:leader="dot" w:pos="10154"/>
            </w:tabs>
            <w:spacing w:line="36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"_Toc23484" </w:instrText>
          </w:r>
          <w:r>
            <w:rPr>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附件一：评标工作大纲</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_Toc23484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5872908">
          <w:pPr>
            <w:spacing w:line="360" w:lineRule="auto"/>
            <w:rPr>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end"/>
          </w:r>
        </w:p>
      </w:sdtContent>
    </w:sdt>
    <w:p w14:paraId="2D3DB8F3">
      <w:pPr>
        <w:rPr>
          <w:color w:val="000000" w:themeColor="text1"/>
          <w:highlight w:val="none"/>
          <w14:textFill>
            <w14:solidFill>
              <w14:schemeClr w14:val="tx1"/>
            </w14:solidFill>
          </w14:textFill>
        </w:rPr>
      </w:pPr>
    </w:p>
    <w:p w14:paraId="33ED2017">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000000" w:themeColor="text1"/>
          <w:kern w:val="44"/>
          <w:sz w:val="44"/>
          <w:szCs w:val="44"/>
          <w:highlight w:val="none"/>
          <w:lang w:val="zh-CN"/>
          <w14:textFill>
            <w14:solidFill>
              <w14:schemeClr w14:val="tx1"/>
            </w14:solidFill>
          </w14:textFill>
        </w:rPr>
      </w:pPr>
      <w:bookmarkStart w:id="7" w:name="_Toc15756"/>
      <w:r>
        <w:rPr>
          <w:rFonts w:ascii="宋体" w:hAnsi="宋体" w:eastAsia="宋体" w:cs="Times New Roman"/>
          <w:b/>
          <w:bCs/>
          <w:color w:val="000000" w:themeColor="text1"/>
          <w:kern w:val="44"/>
          <w:sz w:val="32"/>
          <w:szCs w:val="32"/>
          <w:highlight w:val="none"/>
          <w:lang w:val="zh-CN"/>
          <w14:textFill>
            <w14:solidFill>
              <w14:schemeClr w14:val="tx1"/>
            </w14:solidFill>
          </w14:textFill>
        </w:rPr>
        <w:t>第一篇 招标公告</w:t>
      </w:r>
      <w:bookmarkEnd w:id="2"/>
      <w:bookmarkEnd w:id="3"/>
      <w:bookmarkEnd w:id="4"/>
      <w:bookmarkEnd w:id="5"/>
      <w:bookmarkEnd w:id="6"/>
      <w:bookmarkEnd w:id="7"/>
    </w:p>
    <w:p w14:paraId="2AF4D5B8">
      <w:pPr>
        <w:autoSpaceDE w:val="0"/>
        <w:autoSpaceDN w:val="0"/>
        <w:adjustRightInd w:val="0"/>
        <w:snapToGrid w:val="0"/>
        <w:spacing w:line="360" w:lineRule="auto"/>
        <w:ind w:right="-34" w:firstLine="420" w:firstLineChars="200"/>
        <w:rPr>
          <w:rFonts w:ascii="宋体" w:hAnsi="宋体" w:eastAsia="宋体" w:cs="Times New Roman"/>
          <w:color w:val="000000" w:themeColor="text1"/>
          <w:szCs w:val="21"/>
          <w:highlight w:val="none"/>
          <w:lang w:val="zh-CN"/>
          <w14:textFill>
            <w14:solidFill>
              <w14:schemeClr w14:val="tx1"/>
            </w14:solidFill>
          </w14:textFill>
        </w:rPr>
      </w:pPr>
      <w:bookmarkStart w:id="8" w:name="OLE_LINK394"/>
      <w:r>
        <w:rPr>
          <w:rFonts w:hint="eastAsia" w:ascii="宋体" w:hAnsi="宋体" w:eastAsia="宋体" w:cs="Times New Roman"/>
          <w:color w:val="000000" w:themeColor="text1"/>
          <w:kern w:val="0"/>
          <w:szCs w:val="21"/>
          <w:highlight w:val="none"/>
          <w14:textFill>
            <w14:solidFill>
              <w14:schemeClr w14:val="tx1"/>
            </w14:solidFill>
          </w14:textFill>
        </w:rPr>
        <w:t>建成工程咨询股份有限公司</w:t>
      </w:r>
      <w:r>
        <w:rPr>
          <w:rFonts w:ascii="宋体" w:hAnsi="宋体" w:eastAsia="宋体" w:cs="Times New Roman"/>
          <w:color w:val="000000" w:themeColor="text1"/>
          <w:szCs w:val="21"/>
          <w:highlight w:val="none"/>
          <w:lang w:val="zh-CN"/>
          <w14:textFill>
            <w14:solidFill>
              <w14:schemeClr w14:val="tx1"/>
            </w14:solidFill>
          </w14:textFill>
        </w:rPr>
        <w:t>（以下简称“招标代理机构”）受</w:t>
      </w:r>
      <w:r>
        <w:rPr>
          <w:rFonts w:hint="eastAsia" w:ascii="宋体" w:hAnsi="宋体" w:eastAsia="宋体" w:cs="Times New Roman"/>
          <w:color w:val="000000" w:themeColor="text1"/>
          <w:kern w:val="0"/>
          <w:szCs w:val="21"/>
          <w:highlight w:val="none"/>
          <w14:textFill>
            <w14:solidFill>
              <w14:schemeClr w14:val="tx1"/>
            </w14:solidFill>
          </w14:textFill>
        </w:rPr>
        <w:t>东莞市水务集团科技发展有限公司</w:t>
      </w:r>
      <w:r>
        <w:rPr>
          <w:rFonts w:ascii="宋体" w:hAnsi="宋体" w:eastAsia="宋体" w:cs="Times New Roman"/>
          <w:color w:val="000000" w:themeColor="text1"/>
          <w:szCs w:val="21"/>
          <w:highlight w:val="none"/>
          <w:lang w:val="zh-CN"/>
          <w14:textFill>
            <w14:solidFill>
              <w14:schemeClr w14:val="tx1"/>
            </w14:solidFill>
          </w14:textFill>
        </w:rPr>
        <w:t>（以下简称“招标人”）的委托，对</w:t>
      </w:r>
      <w:bookmarkStart w:id="9" w:name="OLE_LINK16"/>
      <w:bookmarkStart w:id="10" w:name="_Hlk41903390"/>
      <w:r>
        <w:rPr>
          <w:rFonts w:hint="eastAsia" w:ascii="宋体" w:hAnsi="宋体" w:eastAsia="宋体" w:cs="Times New Roman"/>
          <w:color w:val="000000" w:themeColor="text1"/>
          <w:kern w:val="0"/>
          <w:szCs w:val="21"/>
          <w:highlight w:val="none"/>
          <w14:textFill>
            <w14:solidFill>
              <w14:schemeClr w14:val="tx1"/>
            </w14:solidFill>
          </w14:textFill>
        </w:rPr>
        <w:t>东莞市水务集团科技发展有限公司屋顶分布式光伏发电（一期）采购项目</w:t>
      </w:r>
      <w:bookmarkEnd w:id="9"/>
      <w:r>
        <w:rPr>
          <w:rFonts w:ascii="宋体" w:hAnsi="宋体" w:eastAsia="宋体" w:cs="Times New Roman"/>
          <w:color w:val="000000" w:themeColor="text1"/>
          <w:szCs w:val="21"/>
          <w:highlight w:val="none"/>
          <w:lang w:val="zh-CN"/>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广建咨询（东招）2024-0133号</w:t>
      </w:r>
      <w:r>
        <w:rPr>
          <w:rFonts w:ascii="宋体" w:hAnsi="宋体" w:eastAsia="宋体" w:cs="Times New Roman"/>
          <w:color w:val="000000" w:themeColor="text1"/>
          <w:szCs w:val="21"/>
          <w:highlight w:val="none"/>
          <w:lang w:val="zh-CN"/>
          <w14:textFill>
            <w14:solidFill>
              <w14:schemeClr w14:val="tx1"/>
            </w14:solidFill>
          </w14:textFill>
        </w:rPr>
        <w:t>)</w:t>
      </w:r>
      <w:bookmarkEnd w:id="10"/>
      <w:r>
        <w:rPr>
          <w:rFonts w:ascii="宋体" w:hAnsi="宋体" w:eastAsia="宋体" w:cs="Times New Roman"/>
          <w:color w:val="000000" w:themeColor="text1"/>
          <w:szCs w:val="21"/>
          <w:highlight w:val="none"/>
          <w:lang w:val="zh-CN"/>
          <w14:textFill>
            <w14:solidFill>
              <w14:schemeClr w14:val="tx1"/>
            </w14:solidFill>
          </w14:textFill>
        </w:rPr>
        <w:t>进行国内公开招标，</w:t>
      </w:r>
      <w:r>
        <w:rPr>
          <w:rFonts w:hint="eastAsia" w:ascii="宋体" w:hAnsi="宋体" w:eastAsia="宋体" w:cs="Times New Roman"/>
          <w:bCs/>
          <w:color w:val="000000" w:themeColor="text1"/>
          <w:kern w:val="0"/>
          <w:szCs w:val="21"/>
          <w:highlight w:val="none"/>
          <w14:textFill>
            <w14:solidFill>
              <w14:schemeClr w14:val="tx1"/>
            </w14:solidFill>
          </w14:textFill>
        </w:rPr>
        <w:t>详情请参见本招标文件</w:t>
      </w:r>
      <w:r>
        <w:rPr>
          <w:rFonts w:ascii="宋体" w:hAnsi="宋体" w:eastAsia="宋体" w:cs="Times New Roman"/>
          <w:bCs/>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欢迎符合条件的合格投标人参加投标，</w:t>
      </w:r>
      <w:r>
        <w:rPr>
          <w:rFonts w:hint="eastAsia" w:ascii="宋体" w:hAnsi="宋体" w:eastAsia="宋体" w:cs="Times New Roman"/>
          <w:bCs/>
          <w:color w:val="000000" w:themeColor="text1"/>
          <w:kern w:val="0"/>
          <w:szCs w:val="21"/>
          <w:highlight w:val="none"/>
          <w14:textFill>
            <w14:solidFill>
              <w14:schemeClr w14:val="tx1"/>
            </w14:solidFill>
          </w14:textFill>
        </w:rPr>
        <w:t>有关事项如下：</w:t>
      </w:r>
    </w:p>
    <w:bookmarkEnd w:id="8"/>
    <w:p w14:paraId="0DB7B2A3">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14:paraId="5B4CD2EE">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招标范围：</w:t>
      </w:r>
      <w:bookmarkStart w:id="11" w:name="OLE_LINK23"/>
      <w:r>
        <w:rPr>
          <w:rFonts w:hint="eastAsia" w:ascii="宋体" w:hAnsi="宋体" w:eastAsia="宋体" w:cs="Times New Roman"/>
          <w:color w:val="000000" w:themeColor="text1"/>
          <w:szCs w:val="21"/>
          <w:highlight w:val="none"/>
          <w:lang w:val="zh-CN"/>
          <w14:textFill>
            <w14:solidFill>
              <w14:schemeClr w14:val="tx1"/>
            </w14:solidFill>
          </w14:textFill>
        </w:rPr>
        <w:t>东莞市水务集团科技发展有限公司屋顶分布式光伏发电（一期）采购项目，包括分布式光伏产品采购和配套的设计，接入并网点相应改造（含二期变压器增容），并网、验收手续的办理和1年运维等。</w:t>
      </w:r>
      <w:bookmarkEnd w:id="11"/>
      <w:r>
        <w:rPr>
          <w:rFonts w:hint="eastAsia" w:ascii="宋体" w:hAnsi="宋体" w:eastAsia="宋体" w:cs="Times New Roman"/>
          <w:color w:val="000000" w:themeColor="text1"/>
          <w:szCs w:val="21"/>
          <w:highlight w:val="none"/>
          <w:lang w:val="zh-CN"/>
          <w14:textFill>
            <w14:solidFill>
              <w14:schemeClr w14:val="tx1"/>
            </w14:solidFill>
          </w14:textFill>
        </w:rPr>
        <w:t>（具体内容详见：第三篇用户需求书）。</w:t>
      </w:r>
    </w:p>
    <w:p w14:paraId="2D44EBC0">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p>
    <w:p w14:paraId="4814DED2">
      <w:pPr>
        <w:numPr>
          <w:ilvl w:val="0"/>
          <w:numId w:val="1"/>
        </w:numPr>
        <w:autoSpaceDE w:val="0"/>
        <w:autoSpaceDN w:val="0"/>
        <w:adjustRightInd w:val="0"/>
        <w:snapToGrid w:val="0"/>
        <w:spacing w:line="360" w:lineRule="auto"/>
        <w:ind w:right="-34"/>
        <w:jc w:val="left"/>
        <w:rPr>
          <w:rFonts w:ascii="宋体" w:hAnsi="宋体" w:eastAsia="宋体" w:cs="Times New Roman"/>
          <w:b/>
          <w:color w:val="000000" w:themeColor="text1"/>
          <w:szCs w:val="21"/>
          <w:highlight w:val="none"/>
          <w:lang w:val="zh-CN"/>
          <w14:textFill>
            <w14:solidFill>
              <w14:schemeClr w14:val="tx1"/>
            </w14:solidFill>
          </w14:textFill>
        </w:rPr>
      </w:pPr>
      <w:r>
        <w:rPr>
          <w:rFonts w:ascii="宋体" w:hAnsi="宋体" w:eastAsia="宋体" w:cs="Times New Roman"/>
          <w:b/>
          <w:color w:val="000000" w:themeColor="text1"/>
          <w:szCs w:val="21"/>
          <w:highlight w:val="none"/>
          <w:lang w:val="zh-CN"/>
          <w14:textFill>
            <w14:solidFill>
              <w14:schemeClr w14:val="tx1"/>
            </w14:solidFill>
          </w14:textFill>
        </w:rPr>
        <w:t>合格投标人</w:t>
      </w:r>
      <w:r>
        <w:rPr>
          <w:rFonts w:hint="eastAsia" w:ascii="宋体" w:hAnsi="宋体" w:eastAsia="宋体" w:cs="Times New Roman"/>
          <w:b/>
          <w:color w:val="000000" w:themeColor="text1"/>
          <w:szCs w:val="21"/>
          <w:highlight w:val="none"/>
          <w:lang w:val="zh-CN"/>
          <w14:textFill>
            <w14:solidFill>
              <w14:schemeClr w14:val="tx1"/>
            </w14:solidFill>
          </w14:textFill>
        </w:rPr>
        <w:t>资格要求</w:t>
      </w:r>
      <w:r>
        <w:rPr>
          <w:rFonts w:ascii="宋体" w:hAnsi="宋体" w:eastAsia="宋体" w:cs="Times New Roman"/>
          <w:b/>
          <w:color w:val="000000" w:themeColor="text1"/>
          <w:szCs w:val="21"/>
          <w:highlight w:val="none"/>
          <w:lang w:val="zh-CN"/>
          <w14:textFill>
            <w14:solidFill>
              <w14:schemeClr w14:val="tx1"/>
            </w14:solidFill>
          </w14:textFill>
        </w:rPr>
        <w:t>：</w:t>
      </w:r>
    </w:p>
    <w:p w14:paraId="63B4EF5C">
      <w:pPr>
        <w:pStyle w:val="158"/>
        <w:spacing w:line="360" w:lineRule="auto"/>
        <w:ind w:right="-29" w:rightChars="-14" w:firstLine="0" w:firstLineChars="0"/>
        <w:jc w:val="both"/>
        <w:rPr>
          <w:rFonts w:hAnsi="宋体" w:eastAsia="宋体"/>
          <w:b/>
          <w:color w:val="000000" w:themeColor="text1"/>
          <w:sz w:val="21"/>
          <w:szCs w:val="21"/>
          <w:highlight w:val="none"/>
          <w:lang w:val="zh-CN"/>
          <w14:textFill>
            <w14:solidFill>
              <w14:schemeClr w14:val="tx1"/>
            </w14:solidFill>
          </w14:textFill>
        </w:rPr>
      </w:pPr>
      <w:bookmarkStart w:id="12" w:name="OLE_LINK396"/>
      <w:r>
        <w:rPr>
          <w:rFonts w:hint="eastAsia" w:hAnsi="宋体" w:eastAsia="宋体"/>
          <w:b/>
          <w:color w:val="000000" w:themeColor="text1"/>
          <w:sz w:val="21"/>
          <w:szCs w:val="21"/>
          <w:highlight w:val="none"/>
          <w:lang w:val="zh-CN"/>
          <w14:textFill>
            <w14:solidFill>
              <w14:schemeClr w14:val="tx1"/>
            </w14:solidFill>
          </w14:textFill>
        </w:rPr>
        <w:t>2</w:t>
      </w:r>
      <w:r>
        <w:rPr>
          <w:rFonts w:hAnsi="宋体" w:eastAsia="宋体"/>
          <w:b/>
          <w:color w:val="000000" w:themeColor="text1"/>
          <w:sz w:val="21"/>
          <w:szCs w:val="21"/>
          <w:highlight w:val="none"/>
          <w:lang w:val="zh-CN"/>
          <w14:textFill>
            <w14:solidFill>
              <w14:schemeClr w14:val="tx1"/>
            </w14:solidFill>
          </w14:textFill>
        </w:rPr>
        <w:t xml:space="preserve">.1 </w:t>
      </w:r>
      <w:r>
        <w:rPr>
          <w:rFonts w:hint="eastAsia" w:hAnsi="宋体" w:eastAsia="宋体"/>
          <w:b/>
          <w:color w:val="000000" w:themeColor="text1"/>
          <w:sz w:val="21"/>
          <w:szCs w:val="21"/>
          <w:highlight w:val="none"/>
          <w:lang w:val="zh-CN"/>
          <w14:textFill>
            <w14:solidFill>
              <w14:schemeClr w14:val="tx1"/>
            </w14:solidFill>
          </w14:textFill>
        </w:rPr>
        <w:t>在中华人民共和国境内登记注册、合法存续、正常经营且具有独立承担民事责任能力的法人或其他组织。</w:t>
      </w:r>
    </w:p>
    <w:bookmarkEnd w:id="12"/>
    <w:p w14:paraId="2F4F8ACB">
      <w:pPr>
        <w:pStyle w:val="158"/>
        <w:spacing w:line="360" w:lineRule="auto"/>
        <w:ind w:right="-29" w:rightChars="-14" w:firstLine="0" w:firstLineChars="0"/>
        <w:jc w:val="both"/>
        <w:rPr>
          <w:rFonts w:hAnsi="宋体" w:eastAsia="宋体"/>
          <w:b/>
          <w:color w:val="000000" w:themeColor="text1"/>
          <w:sz w:val="21"/>
          <w:szCs w:val="21"/>
          <w:highlight w:val="none"/>
          <w:lang w:val="zh-CN"/>
          <w14:textFill>
            <w14:solidFill>
              <w14:schemeClr w14:val="tx1"/>
            </w14:solidFill>
          </w14:textFill>
        </w:rPr>
      </w:pPr>
      <w:bookmarkStart w:id="13" w:name="OLE_LINK397"/>
      <w:bookmarkStart w:id="14" w:name="_Toc25819"/>
      <w:bookmarkStart w:id="15" w:name="OLE_LINK398"/>
      <w:r>
        <w:rPr>
          <w:rFonts w:hint="eastAsia" w:hAnsi="宋体" w:eastAsia="宋体"/>
          <w:b/>
          <w:color w:val="000000" w:themeColor="text1"/>
          <w:sz w:val="21"/>
          <w:szCs w:val="21"/>
          <w:highlight w:val="none"/>
          <w14:textFill>
            <w14:solidFill>
              <w14:schemeClr w14:val="tx1"/>
            </w14:solidFill>
          </w14:textFill>
        </w:rPr>
        <w:t xml:space="preserve">2.2 </w:t>
      </w:r>
      <w:bookmarkStart w:id="16" w:name="OLE_LINK399"/>
      <w:r>
        <w:rPr>
          <w:rFonts w:hint="eastAsia" w:hAnsi="宋体" w:eastAsia="宋体"/>
          <w:b/>
          <w:color w:val="000000" w:themeColor="text1"/>
          <w:sz w:val="21"/>
          <w:szCs w:val="21"/>
          <w:highlight w:val="none"/>
          <w14:textFill>
            <w14:solidFill>
              <w14:schemeClr w14:val="tx1"/>
            </w14:solidFill>
          </w14:textFill>
        </w:rPr>
        <w:t>本项目的特定资格要求：</w:t>
      </w:r>
      <w:bookmarkStart w:id="17" w:name="OLE_LINK91"/>
      <w:bookmarkStart w:id="18" w:name="OLE_LINK395"/>
      <w:r>
        <w:rPr>
          <w:rFonts w:hint="eastAsia" w:hAnsi="宋体" w:eastAsia="宋体"/>
          <w:b/>
          <w:color w:val="000000" w:themeColor="text1"/>
          <w:sz w:val="21"/>
          <w:szCs w:val="21"/>
          <w:highlight w:val="none"/>
          <w:lang w:val="zh-CN"/>
          <w14:textFill>
            <w14:solidFill>
              <w14:schemeClr w14:val="tx1"/>
            </w14:solidFill>
          </w14:textFill>
        </w:rPr>
        <w:t>（</w:t>
      </w:r>
      <w:r>
        <w:rPr>
          <w:rFonts w:hint="eastAsia" w:hAnsi="宋体" w:eastAsia="宋体"/>
          <w:b/>
          <w:color w:val="000000" w:themeColor="text1"/>
          <w:sz w:val="21"/>
          <w:szCs w:val="21"/>
          <w:highlight w:val="none"/>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w:t>
      </w:r>
      <w:r>
        <w:rPr>
          <w:rFonts w:hint="eastAsia" w:hAnsi="宋体" w:eastAsia="宋体"/>
          <w:b/>
          <w:color w:val="000000" w:themeColor="text1"/>
          <w:sz w:val="21"/>
          <w:szCs w:val="21"/>
          <w:highlight w:val="none"/>
          <w14:textFill>
            <w14:solidFill>
              <w14:schemeClr w14:val="tx1"/>
            </w14:solidFill>
          </w14:textFill>
        </w:rPr>
        <w:t>供货安装</w:t>
      </w:r>
      <w:r>
        <w:rPr>
          <w:rFonts w:hint="eastAsia" w:hAnsi="宋体" w:eastAsia="宋体"/>
          <w:b/>
          <w:color w:val="000000" w:themeColor="text1"/>
          <w:sz w:val="21"/>
          <w:szCs w:val="21"/>
          <w:highlight w:val="none"/>
          <w:lang w:val="zh-CN"/>
          <w14:textFill>
            <w14:solidFill>
              <w14:schemeClr w14:val="tx1"/>
            </w14:solidFill>
          </w14:textFill>
        </w:rPr>
        <w:t>资质：①具有以下其中一种资质：a）电力工程施工总承包</w:t>
      </w:r>
      <w:r>
        <w:rPr>
          <w:rFonts w:hint="eastAsia" w:hAnsi="宋体" w:eastAsia="宋体"/>
          <w:b/>
          <w:color w:val="000000" w:themeColor="text1"/>
          <w:sz w:val="21"/>
          <w:szCs w:val="21"/>
          <w:highlight w:val="none"/>
          <w14:textFill>
            <w14:solidFill>
              <w14:schemeClr w14:val="tx1"/>
            </w14:solidFill>
          </w14:textFill>
        </w:rPr>
        <w:t>乙级</w:t>
      </w:r>
      <w:r>
        <w:rPr>
          <w:rFonts w:hint="eastAsia" w:hAnsi="宋体" w:eastAsia="宋体"/>
          <w:b/>
          <w:color w:val="000000" w:themeColor="text1"/>
          <w:sz w:val="21"/>
          <w:szCs w:val="21"/>
          <w:highlight w:val="none"/>
          <w:lang w:val="zh-CN"/>
          <w14:textFill>
            <w14:solidFill>
              <w14:schemeClr w14:val="tx1"/>
            </w14:solidFill>
          </w14:textFill>
        </w:rPr>
        <w:t>（或以上）企业资质；</w:t>
      </w:r>
      <w:r>
        <w:rPr>
          <w:rFonts w:hint="eastAsia" w:hAnsi="宋体" w:eastAsia="宋体"/>
          <w:b/>
          <w:color w:val="000000" w:themeColor="text1"/>
          <w:sz w:val="21"/>
          <w:szCs w:val="21"/>
          <w:highlight w:val="none"/>
          <w14:textFill>
            <w14:solidFill>
              <w14:schemeClr w14:val="tx1"/>
            </w14:solidFill>
          </w14:textFill>
        </w:rPr>
        <w:t>b</w:t>
      </w:r>
      <w:r>
        <w:rPr>
          <w:rFonts w:hint="eastAsia" w:hAnsi="宋体" w:eastAsia="宋体"/>
          <w:b/>
          <w:color w:val="000000" w:themeColor="text1"/>
          <w:sz w:val="21"/>
          <w:szCs w:val="21"/>
          <w:highlight w:val="none"/>
          <w:lang w:val="zh-CN"/>
          <w14:textFill>
            <w14:solidFill>
              <w14:schemeClr w14:val="tx1"/>
            </w14:solidFill>
          </w14:textFill>
        </w:rPr>
        <w:t>）输变电工程专业承包</w:t>
      </w:r>
      <w:r>
        <w:rPr>
          <w:rFonts w:hint="eastAsia" w:hAnsi="宋体" w:eastAsia="宋体"/>
          <w:b/>
          <w:color w:val="000000" w:themeColor="text1"/>
          <w:sz w:val="21"/>
          <w:szCs w:val="21"/>
          <w:highlight w:val="none"/>
          <w14:textFill>
            <w14:solidFill>
              <w14:schemeClr w14:val="tx1"/>
            </w14:solidFill>
          </w14:textFill>
        </w:rPr>
        <w:t>乙级</w:t>
      </w:r>
      <w:r>
        <w:rPr>
          <w:rFonts w:hint="eastAsia" w:hAnsi="宋体" w:eastAsia="宋体"/>
          <w:b/>
          <w:color w:val="000000" w:themeColor="text1"/>
          <w:sz w:val="21"/>
          <w:szCs w:val="21"/>
          <w:highlight w:val="none"/>
          <w:lang w:val="zh-CN"/>
          <w14:textFill>
            <w14:solidFill>
              <w14:schemeClr w14:val="tx1"/>
            </w14:solidFill>
          </w14:textFill>
        </w:rPr>
        <w:t>（或以上）企业资质；【</w:t>
      </w:r>
      <w:r>
        <w:rPr>
          <w:rFonts w:hint="eastAsia" w:hAnsi="宋体" w:eastAsia="宋体"/>
          <w:b/>
          <w:color w:val="000000" w:themeColor="text1"/>
          <w:sz w:val="21"/>
          <w:szCs w:val="21"/>
          <w:highlight w:val="none"/>
          <w14:textFill>
            <w14:solidFill>
              <w14:schemeClr w14:val="tx1"/>
            </w14:solidFill>
          </w14:textFill>
        </w:rPr>
        <w:t>或更换资质证书前有效期内：</w:t>
      </w:r>
      <w:bookmarkStart w:id="19" w:name="OLE_LINK129"/>
      <w:r>
        <w:rPr>
          <w:rFonts w:hint="eastAsia" w:hAnsi="宋体" w:eastAsia="宋体"/>
          <w:b/>
          <w:color w:val="000000" w:themeColor="text1"/>
          <w:sz w:val="21"/>
          <w:szCs w:val="21"/>
          <w:highlight w:val="none"/>
          <w:lang w:val="zh-CN"/>
          <w14:textFill>
            <w14:solidFill>
              <w14:schemeClr w14:val="tx1"/>
            </w14:solidFill>
          </w14:textFill>
        </w:rPr>
        <w:t>电力工程施工总承包三级（或以上）企业资质；</w:t>
      </w:r>
      <w:r>
        <w:rPr>
          <w:rFonts w:hint="eastAsia" w:hAnsi="宋体" w:eastAsia="宋体"/>
          <w:b/>
          <w:color w:val="000000" w:themeColor="text1"/>
          <w:sz w:val="21"/>
          <w:szCs w:val="21"/>
          <w:highlight w:val="none"/>
          <w14:textFill>
            <w14:solidFill>
              <w14:schemeClr w14:val="tx1"/>
            </w14:solidFill>
          </w14:textFill>
        </w:rPr>
        <w:t>或</w:t>
      </w:r>
      <w:r>
        <w:rPr>
          <w:rFonts w:hint="eastAsia" w:hAnsi="宋体" w:eastAsia="宋体"/>
          <w:b/>
          <w:color w:val="000000" w:themeColor="text1"/>
          <w:sz w:val="21"/>
          <w:szCs w:val="21"/>
          <w:highlight w:val="none"/>
          <w:lang w:val="zh-CN"/>
          <w14:textFill>
            <w14:solidFill>
              <w14:schemeClr w14:val="tx1"/>
            </w14:solidFill>
          </w14:textFill>
        </w:rPr>
        <w:t>输变电工程专业承包三级（或以上）企业资质</w:t>
      </w:r>
      <w:bookmarkEnd w:id="19"/>
      <w:r>
        <w:rPr>
          <w:rFonts w:hint="eastAsia" w:hAnsi="宋体" w:eastAsia="宋体"/>
          <w:b/>
          <w:color w:val="000000" w:themeColor="text1"/>
          <w:sz w:val="21"/>
          <w:szCs w:val="21"/>
          <w:highlight w:val="none"/>
          <w:lang w:val="zh-CN"/>
          <w14:textFill>
            <w14:solidFill>
              <w14:schemeClr w14:val="tx1"/>
            </w14:solidFill>
          </w14:textFill>
        </w:rPr>
        <w:t>】；②具有《承装（修、试）电力设施许可证》承装类别五级或以上资质；③具有在效期内的《安全生产许可证》。（</w:t>
      </w:r>
      <w:r>
        <w:rPr>
          <w:rFonts w:hint="eastAsia" w:hAnsi="宋体" w:eastAsia="宋体"/>
          <w:b/>
          <w:color w:val="000000" w:themeColor="text1"/>
          <w:sz w:val="21"/>
          <w:szCs w:val="21"/>
          <w:highlight w:val="none"/>
          <w14:textFill>
            <w14:solidFill>
              <w14:schemeClr w14:val="tx1"/>
            </w14:solidFill>
          </w14:textFill>
        </w:rPr>
        <w:t>2</w:t>
      </w:r>
      <w:r>
        <w:rPr>
          <w:rFonts w:hint="eastAsia" w:hAnsi="宋体" w:eastAsia="宋体"/>
          <w:b/>
          <w:color w:val="000000" w:themeColor="text1"/>
          <w:sz w:val="21"/>
          <w:szCs w:val="21"/>
          <w:highlight w:val="none"/>
          <w:lang w:val="zh-CN"/>
          <w14:textFill>
            <w14:solidFill>
              <w14:schemeClr w14:val="tx1"/>
            </w14:solidFill>
          </w14:textFill>
        </w:rPr>
        <w:t>）设</w:t>
      </w:r>
      <w:bookmarkStart w:id="20" w:name="OLE_LINK25"/>
      <w:r>
        <w:rPr>
          <w:rFonts w:hint="eastAsia" w:hAnsi="宋体" w:eastAsia="宋体"/>
          <w:b/>
          <w:color w:val="000000" w:themeColor="text1"/>
          <w:sz w:val="21"/>
          <w:szCs w:val="21"/>
          <w:highlight w:val="none"/>
          <w:lang w:val="zh-CN"/>
          <w14:textFill>
            <w14:solidFill>
              <w14:schemeClr w14:val="tx1"/>
            </w14:solidFill>
          </w14:textFill>
        </w:rPr>
        <w:t>计</w:t>
      </w:r>
      <w:bookmarkEnd w:id="20"/>
      <w:r>
        <w:rPr>
          <w:rFonts w:hint="eastAsia" w:hAnsi="宋体" w:eastAsia="宋体"/>
          <w:b/>
          <w:color w:val="000000" w:themeColor="text1"/>
          <w:sz w:val="21"/>
          <w:szCs w:val="21"/>
          <w:highlight w:val="none"/>
          <w:lang w:val="zh-CN"/>
          <w14:textFill>
            <w14:solidFill>
              <w14:schemeClr w14:val="tx1"/>
            </w14:solidFill>
          </w14:textFill>
        </w:rPr>
        <w:t>资质：</w:t>
      </w:r>
      <w:bookmarkStart w:id="21" w:name="OLE_LINK50"/>
      <w:bookmarkStart w:id="22" w:name="OLE_LINK14"/>
      <w:r>
        <w:rPr>
          <w:rFonts w:hint="eastAsia" w:hAnsi="宋体" w:eastAsia="宋体"/>
          <w:b/>
          <w:color w:val="000000" w:themeColor="text1"/>
          <w:sz w:val="21"/>
          <w:szCs w:val="21"/>
          <w:highlight w:val="none"/>
          <w:lang w:val="zh-CN"/>
          <w14:textFill>
            <w14:solidFill>
              <w14:schemeClr w14:val="tx1"/>
            </w14:solidFill>
          </w14:textFill>
        </w:rPr>
        <w:t>具有有效期内工程设计综合资质，或工程设计电力行业乙级（或以上）资质，或工程设计电力行业（送</w:t>
      </w:r>
      <w:r>
        <w:rPr>
          <w:rFonts w:hint="eastAsia" w:hAnsi="宋体" w:eastAsia="宋体"/>
          <w:b/>
          <w:color w:val="000000" w:themeColor="text1"/>
          <w:sz w:val="21"/>
          <w:szCs w:val="21"/>
          <w:highlight w:val="none"/>
          <w14:textFill>
            <w14:solidFill>
              <w14:schemeClr w14:val="tx1"/>
            </w14:solidFill>
          </w14:textFill>
        </w:rPr>
        <w:t>变</w:t>
      </w:r>
      <w:r>
        <w:rPr>
          <w:rFonts w:hint="eastAsia" w:hAnsi="宋体" w:eastAsia="宋体"/>
          <w:b/>
          <w:color w:val="000000" w:themeColor="text1"/>
          <w:sz w:val="21"/>
          <w:szCs w:val="21"/>
          <w:highlight w:val="none"/>
          <w:lang w:val="zh-CN"/>
          <w14:textFill>
            <w14:solidFill>
              <w14:schemeClr w14:val="tx1"/>
            </w14:solidFill>
          </w14:textFill>
        </w:rPr>
        <w:t>电工程）专业乙级（或以上）资质，或工程设计电力行业（新能源发电</w:t>
      </w:r>
      <w:r>
        <w:rPr>
          <w:rFonts w:hint="eastAsia" w:hAnsi="宋体" w:eastAsia="宋体"/>
          <w:b/>
          <w:color w:val="000000" w:themeColor="text1"/>
          <w:sz w:val="21"/>
          <w:szCs w:val="21"/>
          <w:highlight w:val="none"/>
          <w14:textFill>
            <w14:solidFill>
              <w14:schemeClr w14:val="tx1"/>
            </w14:solidFill>
          </w14:textFill>
        </w:rPr>
        <w:t>工程</w:t>
      </w:r>
      <w:r>
        <w:rPr>
          <w:rFonts w:hint="eastAsia" w:hAnsi="宋体" w:eastAsia="宋体"/>
          <w:b/>
          <w:color w:val="000000" w:themeColor="text1"/>
          <w:sz w:val="21"/>
          <w:szCs w:val="21"/>
          <w:highlight w:val="none"/>
          <w:lang w:val="zh-CN"/>
          <w14:textFill>
            <w14:solidFill>
              <w14:schemeClr w14:val="tx1"/>
            </w14:solidFill>
          </w14:textFill>
        </w:rPr>
        <w:t>）专业乙级（或以上）资质【</w:t>
      </w:r>
      <w:r>
        <w:rPr>
          <w:rFonts w:hint="eastAsia" w:hAnsi="宋体" w:eastAsia="宋体"/>
          <w:b/>
          <w:color w:val="000000" w:themeColor="text1"/>
          <w:sz w:val="21"/>
          <w:szCs w:val="21"/>
          <w:highlight w:val="none"/>
          <w14:textFill>
            <w14:solidFill>
              <w14:schemeClr w14:val="tx1"/>
            </w14:solidFill>
          </w14:textFill>
        </w:rPr>
        <w:t>或更换资质证书前有效期内</w:t>
      </w:r>
      <w:r>
        <w:rPr>
          <w:rFonts w:hint="eastAsia" w:hAnsi="宋体" w:eastAsia="宋体"/>
          <w:b/>
          <w:color w:val="000000" w:themeColor="text1"/>
          <w:sz w:val="21"/>
          <w:szCs w:val="21"/>
          <w:highlight w:val="none"/>
          <w:lang w:val="zh-CN"/>
          <w14:textFill>
            <w14:solidFill>
              <w14:schemeClr w14:val="tx1"/>
            </w14:solidFill>
          </w14:textFill>
        </w:rPr>
        <w:t>：工程设计综合</w:t>
      </w:r>
      <w:r>
        <w:rPr>
          <w:rFonts w:hint="eastAsia" w:hAnsi="宋体" w:eastAsia="宋体"/>
          <w:b/>
          <w:color w:val="000000" w:themeColor="text1"/>
          <w:sz w:val="21"/>
          <w:szCs w:val="21"/>
          <w:highlight w:val="none"/>
          <w14:textFill>
            <w14:solidFill>
              <w14:schemeClr w14:val="tx1"/>
            </w14:solidFill>
          </w14:textFill>
        </w:rPr>
        <w:t>甲级</w:t>
      </w:r>
      <w:r>
        <w:rPr>
          <w:rFonts w:hint="eastAsia" w:hAnsi="宋体" w:eastAsia="宋体"/>
          <w:b/>
          <w:color w:val="000000" w:themeColor="text1"/>
          <w:sz w:val="21"/>
          <w:szCs w:val="21"/>
          <w:highlight w:val="none"/>
          <w:lang w:val="zh-CN"/>
          <w14:textFill>
            <w14:solidFill>
              <w14:schemeClr w14:val="tx1"/>
            </w14:solidFill>
          </w14:textFill>
        </w:rPr>
        <w:t>资质，或</w:t>
      </w:r>
      <w:bookmarkStart w:id="23" w:name="OLE_LINK156"/>
      <w:r>
        <w:rPr>
          <w:rFonts w:hint="eastAsia" w:hAnsi="宋体" w:eastAsia="宋体"/>
          <w:b/>
          <w:color w:val="000000" w:themeColor="text1"/>
          <w:sz w:val="21"/>
          <w:szCs w:val="21"/>
          <w:highlight w:val="none"/>
          <w:lang w:val="zh-CN"/>
          <w14:textFill>
            <w14:solidFill>
              <w14:schemeClr w14:val="tx1"/>
            </w14:solidFill>
          </w14:textFill>
        </w:rPr>
        <w:t>工程设计电力行业</w:t>
      </w:r>
      <w:bookmarkEnd w:id="23"/>
      <w:r>
        <w:rPr>
          <w:rFonts w:hint="eastAsia" w:hAnsi="宋体" w:eastAsia="宋体"/>
          <w:b/>
          <w:color w:val="000000" w:themeColor="text1"/>
          <w:sz w:val="21"/>
          <w:szCs w:val="21"/>
          <w:highlight w:val="none"/>
          <w:lang w:val="zh-CN"/>
          <w14:textFill>
            <w14:solidFill>
              <w14:schemeClr w14:val="tx1"/>
            </w14:solidFill>
          </w14:textFill>
        </w:rPr>
        <w:t>乙级（或以上）资质，或</w:t>
      </w:r>
      <w:bookmarkStart w:id="24" w:name="OLE_LINK157"/>
      <w:r>
        <w:rPr>
          <w:rFonts w:hint="eastAsia" w:hAnsi="宋体" w:eastAsia="宋体"/>
          <w:b/>
          <w:color w:val="000000" w:themeColor="text1"/>
          <w:sz w:val="21"/>
          <w:szCs w:val="21"/>
          <w:highlight w:val="none"/>
          <w:lang w:val="zh-CN"/>
          <w14:textFill>
            <w14:solidFill>
              <w14:schemeClr w14:val="tx1"/>
            </w14:solidFill>
          </w14:textFill>
        </w:rPr>
        <w:t>工程设计电力行业（送电工程或变电工程）专业</w:t>
      </w:r>
      <w:bookmarkEnd w:id="24"/>
      <w:r>
        <w:rPr>
          <w:rFonts w:hint="eastAsia" w:hAnsi="宋体" w:eastAsia="宋体"/>
          <w:b/>
          <w:color w:val="000000" w:themeColor="text1"/>
          <w:sz w:val="21"/>
          <w:szCs w:val="21"/>
          <w:highlight w:val="none"/>
          <w:lang w:val="zh-CN"/>
          <w14:textFill>
            <w14:solidFill>
              <w14:schemeClr w14:val="tx1"/>
            </w14:solidFill>
          </w14:textFill>
        </w:rPr>
        <w:t>丙级（或以上）资质，或</w:t>
      </w:r>
      <w:bookmarkStart w:id="25" w:name="OLE_LINK158"/>
      <w:r>
        <w:rPr>
          <w:rFonts w:hint="eastAsia" w:hAnsi="宋体" w:eastAsia="宋体"/>
          <w:b/>
          <w:color w:val="000000" w:themeColor="text1"/>
          <w:sz w:val="21"/>
          <w:szCs w:val="21"/>
          <w:highlight w:val="none"/>
          <w:lang w:val="zh-CN"/>
          <w14:textFill>
            <w14:solidFill>
              <w14:schemeClr w14:val="tx1"/>
            </w14:solidFill>
          </w14:textFill>
        </w:rPr>
        <w:t>工程设计电力行业（新能源发电）专业</w:t>
      </w:r>
      <w:bookmarkEnd w:id="25"/>
      <w:r>
        <w:rPr>
          <w:rFonts w:hint="eastAsia" w:hAnsi="宋体" w:eastAsia="宋体"/>
          <w:b/>
          <w:color w:val="000000" w:themeColor="text1"/>
          <w:sz w:val="21"/>
          <w:szCs w:val="21"/>
          <w:highlight w:val="none"/>
          <w:lang w:val="zh-CN"/>
          <w14:textFill>
            <w14:solidFill>
              <w14:schemeClr w14:val="tx1"/>
            </w14:solidFill>
          </w14:textFill>
        </w:rPr>
        <w:t>乙级资质】。</w:t>
      </w:r>
      <w:bookmarkEnd w:id="16"/>
      <w:bookmarkEnd w:id="17"/>
      <w:bookmarkEnd w:id="21"/>
      <w:bookmarkEnd w:id="22"/>
    </w:p>
    <w:bookmarkEnd w:id="13"/>
    <w:bookmarkEnd w:id="18"/>
    <w:p w14:paraId="198C5694">
      <w:pPr>
        <w:pStyle w:val="158"/>
        <w:spacing w:line="360" w:lineRule="auto"/>
        <w:ind w:right="-29" w:rightChars="-14" w:firstLine="0" w:firstLineChars="0"/>
        <w:jc w:val="both"/>
        <w:rPr>
          <w:rFonts w:hAnsi="宋体" w:eastAsia="宋体"/>
          <w:b/>
          <w:color w:val="000000" w:themeColor="text1"/>
          <w:sz w:val="21"/>
          <w:szCs w:val="21"/>
          <w:highlight w:val="none"/>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2.</w:t>
      </w:r>
      <w:r>
        <w:rPr>
          <w:rFonts w:hint="eastAsia" w:hAnsi="宋体" w:eastAsia="宋体"/>
          <w:b/>
          <w:color w:val="000000" w:themeColor="text1"/>
          <w:sz w:val="21"/>
          <w:szCs w:val="21"/>
          <w:highlight w:val="none"/>
          <w14:textFill>
            <w14:solidFill>
              <w14:schemeClr w14:val="tx1"/>
            </w14:solidFill>
          </w14:textFill>
        </w:rPr>
        <w:t>3</w:t>
      </w:r>
      <w:r>
        <w:rPr>
          <w:rFonts w:hint="eastAsia" w:hAnsi="宋体" w:eastAsia="宋体"/>
          <w:b/>
          <w:color w:val="000000" w:themeColor="text1"/>
          <w:sz w:val="21"/>
          <w:szCs w:val="21"/>
          <w:highlight w:val="none"/>
          <w:lang w:val="zh-CN"/>
          <w14:textFill>
            <w14:solidFill>
              <w14:schemeClr w14:val="tx1"/>
            </w14:solidFill>
          </w14:textFill>
        </w:rPr>
        <w:t xml:space="preserve"> </w:t>
      </w:r>
      <w:bookmarkStart w:id="26" w:name="OLE_LINK30"/>
      <w:r>
        <w:rPr>
          <w:rFonts w:hint="eastAsia" w:hAnsi="宋体" w:eastAsia="宋体"/>
          <w:b/>
          <w:color w:val="000000" w:themeColor="text1"/>
          <w:sz w:val="21"/>
          <w:szCs w:val="21"/>
          <w:highlight w:val="none"/>
          <w:lang w:val="zh-CN"/>
          <w14:textFill>
            <w14:solidFill>
              <w14:schemeClr w14:val="tx1"/>
            </w14:solidFill>
          </w14:textFill>
        </w:rPr>
        <w:t>投标人</w:t>
      </w:r>
      <w:r>
        <w:rPr>
          <w:rFonts w:hint="eastAsia" w:hAnsi="宋体" w:eastAsia="宋体"/>
          <w:b/>
          <w:color w:val="000000" w:themeColor="text1"/>
          <w:sz w:val="21"/>
          <w:szCs w:val="21"/>
          <w:highlight w:val="none"/>
          <w14:textFill>
            <w14:solidFill>
              <w14:schemeClr w14:val="tx1"/>
            </w14:solidFill>
          </w14:textFill>
        </w:rPr>
        <w:t>2019</w:t>
      </w:r>
      <w:r>
        <w:rPr>
          <w:rFonts w:hint="eastAsia" w:hAnsi="宋体" w:eastAsia="宋体"/>
          <w:b/>
          <w:color w:val="000000" w:themeColor="text1"/>
          <w:sz w:val="21"/>
          <w:szCs w:val="21"/>
          <w:highlight w:val="none"/>
          <w:lang w:val="zh-CN"/>
          <w14:textFill>
            <w14:solidFill>
              <w14:schemeClr w14:val="tx1"/>
            </w14:solidFill>
          </w14:textFill>
        </w:rPr>
        <w:t>年</w:t>
      </w:r>
      <w:r>
        <w:rPr>
          <w:rFonts w:hint="eastAsia" w:hAnsi="宋体" w:eastAsia="宋体"/>
          <w:b/>
          <w:color w:val="000000" w:themeColor="text1"/>
          <w:sz w:val="21"/>
          <w:szCs w:val="21"/>
          <w:highlight w:val="none"/>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月</w:t>
      </w:r>
      <w:r>
        <w:rPr>
          <w:rFonts w:hint="eastAsia" w:hAnsi="宋体" w:eastAsia="宋体"/>
          <w:b/>
          <w:color w:val="000000" w:themeColor="text1"/>
          <w:sz w:val="21"/>
          <w:szCs w:val="21"/>
          <w:highlight w:val="none"/>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日以来具有一份</w:t>
      </w:r>
      <w:bookmarkStart w:id="27" w:name="OLE_LINK46"/>
      <w:r>
        <w:rPr>
          <w:rFonts w:hint="eastAsia" w:hAnsi="宋体" w:eastAsia="宋体"/>
          <w:b/>
          <w:color w:val="000000" w:themeColor="text1"/>
          <w:sz w:val="21"/>
          <w:szCs w:val="21"/>
          <w:highlight w:val="none"/>
          <w:lang w:val="zh-CN"/>
          <w14:textFill>
            <w14:solidFill>
              <w14:schemeClr w14:val="tx1"/>
            </w14:solidFill>
          </w14:textFill>
        </w:rPr>
        <w:t>屋顶分布式光伏发电的</w:t>
      </w:r>
      <w:bookmarkEnd w:id="27"/>
      <w:r>
        <w:rPr>
          <w:rFonts w:hint="eastAsia" w:hAnsi="宋体" w:eastAsia="宋体"/>
          <w:b/>
          <w:color w:val="000000" w:themeColor="text1"/>
          <w:sz w:val="21"/>
          <w:szCs w:val="21"/>
          <w:highlight w:val="none"/>
          <w:lang w:val="zh-CN"/>
          <w14:textFill>
            <w14:solidFill>
              <w14:schemeClr w14:val="tx1"/>
            </w14:solidFill>
          </w14:textFill>
        </w:rPr>
        <w:t>业绩（合同签订日期为</w:t>
      </w:r>
      <w:r>
        <w:rPr>
          <w:rFonts w:hint="eastAsia" w:hAnsi="宋体" w:eastAsia="宋体"/>
          <w:b/>
          <w:color w:val="000000" w:themeColor="text1"/>
          <w:sz w:val="21"/>
          <w:szCs w:val="21"/>
          <w:highlight w:val="none"/>
          <w14:textFill>
            <w14:solidFill>
              <w14:schemeClr w14:val="tx1"/>
            </w14:solidFill>
          </w14:textFill>
        </w:rPr>
        <w:t>2019</w:t>
      </w:r>
      <w:r>
        <w:rPr>
          <w:rFonts w:hint="eastAsia" w:hAnsi="宋体" w:eastAsia="宋体"/>
          <w:b/>
          <w:color w:val="000000" w:themeColor="text1"/>
          <w:sz w:val="21"/>
          <w:szCs w:val="21"/>
          <w:highlight w:val="none"/>
          <w:lang w:val="zh-CN"/>
          <w14:textFill>
            <w14:solidFill>
              <w14:schemeClr w14:val="tx1"/>
            </w14:solidFill>
          </w14:textFill>
        </w:rPr>
        <w:t>年</w:t>
      </w:r>
      <w:r>
        <w:rPr>
          <w:rFonts w:hint="eastAsia" w:hAnsi="宋体" w:eastAsia="宋体"/>
          <w:b/>
          <w:color w:val="000000" w:themeColor="text1"/>
          <w:sz w:val="21"/>
          <w:szCs w:val="21"/>
          <w:highlight w:val="none"/>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月</w:t>
      </w:r>
      <w:r>
        <w:rPr>
          <w:rFonts w:hint="eastAsia" w:hAnsi="宋体" w:eastAsia="宋体"/>
          <w:b/>
          <w:color w:val="000000" w:themeColor="text1"/>
          <w:sz w:val="21"/>
          <w:szCs w:val="21"/>
          <w:highlight w:val="none"/>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日或以后）</w:t>
      </w:r>
      <w:bookmarkEnd w:id="26"/>
      <w:r>
        <w:rPr>
          <w:rFonts w:hint="eastAsia" w:hAnsi="宋体" w:eastAsia="宋体"/>
          <w:b/>
          <w:color w:val="000000" w:themeColor="text1"/>
          <w:sz w:val="21"/>
          <w:szCs w:val="21"/>
          <w:highlight w:val="none"/>
          <w:lang w:val="zh-CN"/>
          <w14:textFill>
            <w14:solidFill>
              <w14:schemeClr w14:val="tx1"/>
            </w14:solidFill>
          </w14:textFill>
        </w:rPr>
        <w:t>。</w:t>
      </w:r>
    </w:p>
    <w:p w14:paraId="37E23486">
      <w:pPr>
        <w:pStyle w:val="158"/>
        <w:spacing w:line="360" w:lineRule="auto"/>
        <w:ind w:right="-29" w:rightChars="-14" w:firstLine="0" w:firstLineChars="0"/>
        <w:jc w:val="both"/>
        <w:rPr>
          <w:rFonts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14:textFill>
            <w14:solidFill>
              <w14:schemeClr w14:val="tx1"/>
            </w14:solidFill>
          </w14:textFill>
        </w:rPr>
        <w:t xml:space="preserve">2.4 </w:t>
      </w:r>
      <w:bookmarkStart w:id="28" w:name="OLE_LINK32"/>
      <w:r>
        <w:rPr>
          <w:rFonts w:hint="eastAsia" w:hAnsi="宋体" w:eastAsia="宋体"/>
          <w:b/>
          <w:color w:val="000000" w:themeColor="text1"/>
          <w:sz w:val="21"/>
          <w:szCs w:val="21"/>
          <w:highlight w:val="none"/>
          <w:lang w:val="zh-CN"/>
          <w14:textFill>
            <w14:solidFill>
              <w14:schemeClr w14:val="tx1"/>
            </w14:solidFill>
          </w14:textFill>
        </w:rPr>
        <w:t>本项目接受联合体投标</w:t>
      </w:r>
      <w:bookmarkEnd w:id="28"/>
      <w:r>
        <w:rPr>
          <w:rFonts w:hint="eastAsia" w:hAnsi="宋体" w:eastAsia="宋体"/>
          <w:b/>
          <w:color w:val="000000" w:themeColor="text1"/>
          <w:sz w:val="21"/>
          <w:szCs w:val="21"/>
          <w:highlight w:val="none"/>
          <w:lang w:val="zh-CN"/>
          <w14:textFill>
            <w14:solidFill>
              <w14:schemeClr w14:val="tx1"/>
            </w14:solidFill>
          </w14:textFill>
        </w:rPr>
        <w:t>，联合体组成成员不得多于2家（含联合体牵头人）。</w:t>
      </w:r>
      <w:bookmarkEnd w:id="14"/>
    </w:p>
    <w:bookmarkEnd w:id="15"/>
    <w:p w14:paraId="7C05BA77">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14:paraId="02CF5382">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获取招标文件的方式：本项目采用“不记名网上下载”的方式发布招标文件，</w:t>
      </w:r>
      <w:r>
        <w:rPr>
          <w:rFonts w:hint="eastAsia" w:ascii="宋体" w:hAnsi="宋体" w:eastAsia="宋体" w:cs="Times New Roman"/>
          <w:color w:val="000000" w:themeColor="text1"/>
          <w:szCs w:val="21"/>
          <w:highlight w:val="none"/>
          <w:lang w:val="zh-CN"/>
          <w14:textFill>
            <w14:solidFill>
              <w14:schemeClr w14:val="tx1"/>
            </w14:solidFill>
          </w14:textFill>
        </w:rPr>
        <w:t>有意向的投标人可于本项目投标截止时间前，在本项目招标信息发布媒介</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详见本招标公告第7点（除中国招标投标公共服务平台外）</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下载招标文件。</w:t>
      </w:r>
    </w:p>
    <w:p w14:paraId="66C34178">
      <w:pPr>
        <w:pStyle w:val="176"/>
        <w:ind w:left="420" w:right="-34" w:hanging="420" w:firstLineChars="0"/>
        <w:rPr>
          <w:rFonts w:ascii="宋体" w:hAnsi="宋体"/>
          <w:color w:val="000000" w:themeColor="text1"/>
          <w:szCs w:val="21"/>
          <w:highlight w:val="none"/>
          <w:lang w:val="zh-CN"/>
          <w14:textFill>
            <w14:solidFill>
              <w14:schemeClr w14:val="tx1"/>
            </w14:solidFill>
          </w14:textFill>
        </w:rPr>
      </w:pPr>
    </w:p>
    <w:p w14:paraId="6BB38EFB">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000000" w:themeColor="text1"/>
          <w:szCs w:val="21"/>
          <w:highlight w:val="none"/>
          <w14:textFill>
            <w14:solidFill>
              <w14:schemeClr w14:val="tx1"/>
            </w14:solidFill>
          </w14:textFill>
        </w:rPr>
        <w:t>政府采购</w:t>
      </w:r>
      <w:r>
        <w:rPr>
          <w:rFonts w:hint="eastAsia" w:ascii="宋体" w:hAnsi="宋体" w:eastAsia="宋体" w:cs="Times New Roman"/>
          <w:color w:val="000000" w:themeColor="text1"/>
          <w:szCs w:val="21"/>
          <w:highlight w:val="none"/>
          <w:lang w:val="zh-CN"/>
          <w14:textFill>
            <w14:solidFill>
              <w14:schemeClr w14:val="tx1"/>
            </w14:solidFill>
          </w14:textFill>
        </w:rPr>
        <w:t>严重违法失信行为记录名单的投标人，做好相关记录（处罚期限届满的除外）</w:t>
      </w:r>
      <w:r>
        <w:rPr>
          <w:rFonts w:ascii="宋体" w:hAnsi="宋体" w:eastAsia="宋体" w:cs="Times New Roman"/>
          <w:color w:val="000000" w:themeColor="text1"/>
          <w:szCs w:val="21"/>
          <w:highlight w:val="none"/>
          <w:lang w:val="zh-CN"/>
          <w14:textFill>
            <w14:solidFill>
              <w14:schemeClr w14:val="tx1"/>
            </w14:solidFill>
          </w14:textFill>
        </w:rPr>
        <w:t>。</w:t>
      </w:r>
    </w:p>
    <w:p w14:paraId="628123B9">
      <w:pPr>
        <w:autoSpaceDE w:val="0"/>
        <w:autoSpaceDN w:val="0"/>
        <w:adjustRightInd w:val="0"/>
        <w:spacing w:line="360" w:lineRule="auto"/>
        <w:ind w:right="-29" w:rightChars="-14" w:firstLine="420"/>
        <w:rPr>
          <w:rFonts w:ascii="宋体" w:hAnsi="宋体" w:eastAsia="宋体" w:cs="Times New Roman"/>
          <w:color w:val="000000" w:themeColor="text1"/>
          <w:szCs w:val="21"/>
          <w:highlight w:val="none"/>
          <w:lang w:val="zh-CN"/>
          <w14:textFill>
            <w14:solidFill>
              <w14:schemeClr w14:val="tx1"/>
            </w14:solidFill>
          </w14:textFill>
        </w:rPr>
      </w:pPr>
    </w:p>
    <w:p w14:paraId="0F4469D2">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投标、开标时间及地点：</w:t>
      </w:r>
    </w:p>
    <w:p w14:paraId="4E9C4932">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5.1 </w:t>
      </w:r>
      <w:r>
        <w:rPr>
          <w:rFonts w:ascii="宋体" w:hAnsi="宋体" w:eastAsia="宋体" w:cs="Times New Roman"/>
          <w:color w:val="000000" w:themeColor="text1"/>
          <w:szCs w:val="21"/>
          <w:highlight w:val="none"/>
          <w:lang w:val="zh-CN"/>
          <w14:textFill>
            <w14:solidFill>
              <w14:schemeClr w14:val="tx1"/>
            </w14:solidFill>
          </w14:textFill>
        </w:rPr>
        <w:t>投标文件递交时间：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2024</w:t>
      </w:r>
      <w:r>
        <w:rPr>
          <w:rFonts w:hint="eastAsia" w:ascii="宋体" w:hAnsi="宋体" w:eastAsia="宋体" w:cs="Times New Roman"/>
          <w:bCs/>
          <w:color w:val="000000" w:themeColor="text1"/>
          <w:kern w:val="0"/>
          <w:szCs w:val="21"/>
          <w:highlight w:val="none"/>
          <w14:textFill>
            <w14:solidFill>
              <w14:schemeClr w14:val="tx1"/>
            </w14:solidFill>
          </w14:textFill>
        </w:rPr>
        <w:t>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10</w:t>
      </w:r>
      <w:r>
        <w:rPr>
          <w:rFonts w:hint="eastAsia" w:ascii="宋体" w:hAnsi="宋体" w:eastAsia="宋体" w:cs="Times New Roman"/>
          <w:bCs/>
          <w:color w:val="000000" w:themeColor="text1"/>
          <w:kern w:val="0"/>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18</w:t>
      </w:r>
      <w:r>
        <w:rPr>
          <w:rFonts w:hint="eastAsia" w:ascii="宋体" w:hAnsi="宋体" w:eastAsia="宋体" w:cs="Times New Roman"/>
          <w:bCs/>
          <w:color w:val="000000" w:themeColor="text1"/>
          <w:kern w:val="0"/>
          <w:szCs w:val="21"/>
          <w:highlight w:val="none"/>
          <w14:textFill>
            <w14:solidFill>
              <w14:schemeClr w14:val="tx1"/>
            </w14:solidFill>
          </w14:textFill>
        </w:rPr>
        <w:t>日</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10</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00</w:t>
      </w:r>
      <w:r>
        <w:rPr>
          <w:rFonts w:hint="eastAsia" w:ascii="宋体" w:hAnsi="宋体" w:eastAsia="宋体" w:cs="Times New Roman"/>
          <w:bCs/>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10</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30</w:t>
      </w:r>
      <w:r>
        <w:rPr>
          <w:rFonts w:hint="eastAsia" w:ascii="宋体" w:hAnsi="宋体" w:eastAsia="宋体" w:cs="Times New Roman"/>
          <w:bCs/>
          <w:color w:val="000000" w:themeColor="text1"/>
          <w:kern w:val="0"/>
          <w:szCs w:val="21"/>
          <w:highlight w:val="none"/>
          <w14:textFill>
            <w14:solidFill>
              <w14:schemeClr w14:val="tx1"/>
            </w14:solidFill>
          </w14:textFill>
        </w:rPr>
        <w:t>；</w:t>
      </w:r>
    </w:p>
    <w:p w14:paraId="5CB0EDEF">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5.2 </w:t>
      </w:r>
      <w:r>
        <w:rPr>
          <w:rFonts w:ascii="宋体" w:hAnsi="宋体" w:eastAsia="宋体" w:cs="Times New Roman"/>
          <w:color w:val="000000" w:themeColor="text1"/>
          <w:szCs w:val="21"/>
          <w:highlight w:val="none"/>
          <w:lang w:val="zh-CN"/>
          <w14:textFill>
            <w14:solidFill>
              <w14:schemeClr w14:val="tx1"/>
            </w14:solidFill>
          </w14:textFill>
        </w:rPr>
        <w:t>投标截止及开标时间：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2024</w:t>
      </w:r>
      <w:r>
        <w:rPr>
          <w:rFonts w:hint="eastAsia" w:ascii="宋体" w:hAnsi="宋体" w:eastAsia="宋体" w:cs="Times New Roman"/>
          <w:bCs/>
          <w:color w:val="000000" w:themeColor="text1"/>
          <w:kern w:val="0"/>
          <w:szCs w:val="21"/>
          <w:highlight w:val="none"/>
          <w14:textFill>
            <w14:solidFill>
              <w14:schemeClr w14:val="tx1"/>
            </w14:solidFill>
          </w14:textFill>
        </w:rPr>
        <w:t>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10</w:t>
      </w:r>
      <w:r>
        <w:rPr>
          <w:rFonts w:hint="eastAsia" w:ascii="宋体" w:hAnsi="宋体" w:eastAsia="宋体" w:cs="Times New Roman"/>
          <w:bCs/>
          <w:color w:val="000000" w:themeColor="text1"/>
          <w:kern w:val="0"/>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18</w:t>
      </w:r>
      <w:r>
        <w:rPr>
          <w:rFonts w:hint="eastAsia" w:ascii="宋体" w:hAnsi="宋体" w:eastAsia="宋体" w:cs="Times New Roman"/>
          <w:bCs/>
          <w:color w:val="000000" w:themeColor="text1"/>
          <w:kern w:val="0"/>
          <w:szCs w:val="21"/>
          <w:highlight w:val="none"/>
          <w14:textFill>
            <w14:solidFill>
              <w14:schemeClr w14:val="tx1"/>
            </w14:solidFill>
          </w14:textFill>
        </w:rPr>
        <w:t>日</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10</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30</w:t>
      </w:r>
      <w:r>
        <w:rPr>
          <w:rFonts w:hint="eastAsia" w:ascii="宋体" w:hAnsi="宋体" w:eastAsia="宋体" w:cs="Times New Roman"/>
          <w:bCs/>
          <w:color w:val="000000" w:themeColor="text1"/>
          <w:kern w:val="0"/>
          <w:szCs w:val="21"/>
          <w:highlight w:val="none"/>
          <w14:textFill>
            <w14:solidFill>
              <w14:schemeClr w14:val="tx1"/>
            </w14:solidFill>
          </w14:textFill>
        </w:rPr>
        <w:t>；</w:t>
      </w:r>
    </w:p>
    <w:p w14:paraId="0AA4E3D0">
      <w:pPr>
        <w:autoSpaceDE w:val="0"/>
        <w:autoSpaceDN w:val="0"/>
        <w:adjustRightInd w:val="0"/>
        <w:spacing w:line="360" w:lineRule="auto"/>
        <w:ind w:right="-29" w:rightChars="-14"/>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5.3 投标及开标地点：</w:t>
      </w:r>
      <w:bookmarkStart w:id="29" w:name="OLE_LINK1"/>
      <w:r>
        <w:rPr>
          <w:rFonts w:hint="eastAsia" w:ascii="宋体" w:hAnsi="宋体" w:eastAsia="宋体" w:cs="Times New Roman"/>
          <w:color w:val="000000" w:themeColor="text1"/>
          <w:kern w:val="0"/>
          <w:szCs w:val="21"/>
          <w:highlight w:val="none"/>
          <w:u w:val="single"/>
          <w14:textFill>
            <w14:solidFill>
              <w14:schemeClr w14:val="tx1"/>
            </w14:solidFill>
          </w14:textFill>
        </w:rPr>
        <w:t>东莞市南城街道西平社区宏伟三路45号东莞市公共资源交易中心开标室（</w:t>
      </w:r>
      <w:r>
        <w:rPr>
          <w:rFonts w:hint="eastAsia" w:ascii="宋体" w:hAnsi="宋体" w:eastAsia="宋体" w:cs="Times New Roman"/>
          <w:color w:val="000000" w:themeColor="text1"/>
          <w:kern w:val="0"/>
          <w:szCs w:val="21"/>
          <w:highlight w:val="none"/>
          <w:u w:val="single"/>
          <w:lang w:val="en-US" w:eastAsia="zh-CN"/>
          <w14:textFill>
            <w14:solidFill>
              <w14:schemeClr w14:val="tx1"/>
            </w14:solidFill>
          </w14:textFill>
        </w:rPr>
        <w:t>5</w:t>
      </w:r>
      <w:r>
        <w:rPr>
          <w:rFonts w:hint="eastAsia" w:ascii="宋体" w:hAnsi="宋体" w:eastAsia="宋体" w:cs="Times New Roman"/>
          <w:color w:val="000000" w:themeColor="text1"/>
          <w:kern w:val="0"/>
          <w:szCs w:val="21"/>
          <w:highlight w:val="none"/>
          <w:u w:val="single"/>
          <w14:textFill>
            <w14:solidFill>
              <w14:schemeClr w14:val="tx1"/>
            </w14:solidFill>
          </w14:textFill>
        </w:rPr>
        <w:t>）</w:t>
      </w:r>
      <w:bookmarkEnd w:id="29"/>
      <w:r>
        <w:rPr>
          <w:rFonts w:hint="eastAsia" w:ascii="宋体" w:hAnsi="宋体" w:eastAsia="宋体" w:cs="Times New Roman"/>
          <w:color w:val="000000" w:themeColor="text1"/>
          <w:kern w:val="0"/>
          <w:szCs w:val="21"/>
          <w:highlight w:val="none"/>
          <w14:textFill>
            <w14:solidFill>
              <w14:schemeClr w14:val="tx1"/>
            </w14:solidFill>
          </w14:textFill>
        </w:rPr>
        <w:t>。</w:t>
      </w:r>
    </w:p>
    <w:p w14:paraId="72C44AF2">
      <w:pPr>
        <w:autoSpaceDE w:val="0"/>
        <w:autoSpaceDN w:val="0"/>
        <w:adjustRightInd w:val="0"/>
        <w:spacing w:line="360" w:lineRule="auto"/>
        <w:ind w:right="-29" w:rightChars="-14" w:firstLine="210" w:firstLineChars="100"/>
        <w:rPr>
          <w:rFonts w:ascii="宋体" w:hAnsi="宋体" w:eastAsia="宋体" w:cs="Times New Roman"/>
          <w:color w:val="000000" w:themeColor="text1"/>
          <w:kern w:val="0"/>
          <w:szCs w:val="21"/>
          <w:highlight w:val="none"/>
          <w14:textFill>
            <w14:solidFill>
              <w14:schemeClr w14:val="tx1"/>
            </w14:solidFill>
          </w14:textFill>
        </w:rPr>
      </w:pPr>
    </w:p>
    <w:p w14:paraId="6F7C2271">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000000" w:themeColor="text1"/>
          <w:szCs w:val="21"/>
          <w:highlight w:val="none"/>
          <w:lang w:val="zh-CN"/>
          <w14:textFill>
            <w14:solidFill>
              <w14:schemeClr w14:val="tx1"/>
            </w14:solidFill>
          </w14:textFill>
        </w:rPr>
        <w:t>。电报、传真形式的投标概不接受。</w:t>
      </w:r>
    </w:p>
    <w:p w14:paraId="08424510">
      <w:pPr>
        <w:autoSpaceDE w:val="0"/>
        <w:autoSpaceDN w:val="0"/>
        <w:adjustRightInd w:val="0"/>
        <w:spacing w:line="360" w:lineRule="auto"/>
        <w:ind w:left="210" w:leftChars="100" w:right="-29" w:rightChars="-14"/>
        <w:rPr>
          <w:rFonts w:ascii="宋体" w:hAnsi="宋体" w:eastAsia="宋体" w:cs="Times New Roman"/>
          <w:color w:val="000000" w:themeColor="text1"/>
          <w:szCs w:val="21"/>
          <w:highlight w:val="none"/>
          <w:lang w:val="zh-CN"/>
          <w14:textFill>
            <w14:solidFill>
              <w14:schemeClr w14:val="tx1"/>
            </w14:solidFill>
          </w14:textFill>
        </w:rPr>
      </w:pPr>
    </w:p>
    <w:p w14:paraId="71601B99">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本项目相关公告在以下媒介发布：广东省公共资源交易平台（ygp.gdzwfw.gov.cn）、中国招标投标公共服务平台（www.cebpubservice.com）、东莞市水务集团有限公司网（www.dgswjt.cn）、招标</w:t>
      </w:r>
      <w:r>
        <w:rPr>
          <w:rFonts w:hint="eastAsia" w:ascii="宋体" w:hAnsi="宋体" w:eastAsia="宋体" w:cs="Times New Roman"/>
          <w:color w:val="000000" w:themeColor="text1"/>
          <w:szCs w:val="21"/>
          <w:highlight w:val="none"/>
          <w:lang w:val="zh-CN"/>
          <w14:textFill>
            <w14:solidFill>
              <w14:schemeClr w14:val="tx1"/>
            </w14:solidFill>
          </w14:textFill>
        </w:rPr>
        <w:t>代理</w:t>
      </w:r>
      <w:r>
        <w:rPr>
          <w:rFonts w:hint="eastAsia" w:ascii="宋体" w:hAnsi="宋体" w:eastAsia="宋体" w:cs="Times New Roman"/>
          <w:color w:val="000000" w:themeColor="text1"/>
          <w:szCs w:val="21"/>
          <w:highlight w:val="none"/>
          <w14:textFill>
            <w14:solidFill>
              <w14:schemeClr w14:val="tx1"/>
            </w14:solidFill>
          </w14:textFill>
        </w:rPr>
        <w:t>机构</w:t>
      </w:r>
      <w:r>
        <w:rPr>
          <w:rFonts w:hint="eastAsia" w:ascii="宋体" w:hAnsi="宋体" w:eastAsia="宋体" w:cs="Times New Roman"/>
          <w:color w:val="000000" w:themeColor="text1"/>
          <w:szCs w:val="21"/>
          <w:highlight w:val="none"/>
          <w:lang w:val="zh-CN"/>
          <w14:textFill>
            <w14:solidFill>
              <w14:schemeClr w14:val="tx1"/>
            </w14:solidFill>
          </w14:textFill>
        </w:rPr>
        <w:t>网站（</w:t>
      </w:r>
      <w:r>
        <w:rPr>
          <w:rFonts w:hint="eastAsia" w:ascii="宋体" w:hAnsi="宋体" w:eastAsia="宋体" w:cs="Times New Roman"/>
          <w:bCs/>
          <w:color w:val="000000" w:themeColor="text1"/>
          <w:szCs w:val="21"/>
          <w:highlight w:val="none"/>
          <w14:textFill>
            <w14:solidFill>
              <w14:schemeClr w14:val="tx1"/>
            </w14:solidFill>
          </w14:textFill>
        </w:rPr>
        <w:t>www.gzjc.com.cn</w:t>
      </w:r>
      <w:r>
        <w:rPr>
          <w:rFonts w:ascii="宋体" w:hAnsi="宋体" w:eastAsia="宋体" w:cs="Times New Roman"/>
          <w:color w:val="000000" w:themeColor="text1"/>
          <w:szCs w:val="21"/>
          <w:highlight w:val="none"/>
          <w:lang w:val="zh-CN"/>
          <w14:textFill>
            <w14:solidFill>
              <w14:schemeClr w14:val="tx1"/>
            </w14:solidFill>
          </w14:textFill>
        </w:rPr>
        <w:t>）。</w:t>
      </w:r>
    </w:p>
    <w:p w14:paraId="0F0FC3E8">
      <w:pPr>
        <w:autoSpaceDE w:val="0"/>
        <w:autoSpaceDN w:val="0"/>
        <w:adjustRightInd w:val="0"/>
        <w:spacing w:line="360" w:lineRule="auto"/>
        <w:ind w:right="-29" w:rightChars="-14" w:firstLine="420"/>
        <w:rPr>
          <w:rFonts w:ascii="宋体" w:hAnsi="宋体" w:eastAsia="宋体" w:cs="Times New Roman"/>
          <w:bCs/>
          <w:color w:val="000000" w:themeColor="text1"/>
          <w:szCs w:val="21"/>
          <w:highlight w:val="none"/>
          <w14:textFill>
            <w14:solidFill>
              <w14:schemeClr w14:val="tx1"/>
            </w14:solidFill>
          </w14:textFill>
        </w:rPr>
      </w:pPr>
    </w:p>
    <w:p w14:paraId="6ADB508E">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bCs/>
          <w:color w:val="000000" w:themeColor="text1"/>
          <w:szCs w:val="21"/>
          <w:highlight w:val="none"/>
          <w:lang w:val="zh-CN"/>
          <w14:textFill>
            <w14:solidFill>
              <w14:schemeClr w14:val="tx1"/>
            </w14:solidFill>
          </w14:textFill>
        </w:rPr>
        <w:t>招标人联系方式</w:t>
      </w:r>
    </w:p>
    <w:p w14:paraId="7AAE370B">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招标人：</w:t>
      </w:r>
      <w:bookmarkStart w:id="30" w:name="OLE_LINK2"/>
      <w:r>
        <w:rPr>
          <w:rFonts w:hint="eastAsia" w:ascii="宋体" w:hAnsi="宋体" w:eastAsia="宋体" w:cs="Times New Roman"/>
          <w:color w:val="000000" w:themeColor="text1"/>
          <w:kern w:val="0"/>
          <w:szCs w:val="21"/>
          <w:highlight w:val="none"/>
          <w14:textFill>
            <w14:solidFill>
              <w14:schemeClr w14:val="tx1"/>
            </w14:solidFill>
          </w14:textFill>
        </w:rPr>
        <w:t>东莞市水务集团科技发展有限公司</w:t>
      </w:r>
      <w:bookmarkEnd w:id="30"/>
    </w:p>
    <w:p w14:paraId="08828AB9">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w:t>
      </w:r>
      <w:r>
        <w:rPr>
          <w:rFonts w:hint="eastAsia" w:ascii="宋体" w:hAnsi="宋体" w:eastAsia="宋体" w:cs="Times New Roman"/>
          <w:color w:val="000000" w:themeColor="text1"/>
          <w:kern w:val="0"/>
          <w:szCs w:val="21"/>
          <w:highlight w:val="none"/>
          <w14:textFill>
            <w14:solidFill>
              <w14:schemeClr w14:val="tx1"/>
            </w14:solidFill>
          </w14:textFill>
        </w:rPr>
        <w:t xml:space="preserve"> </w:t>
      </w:r>
      <w:r>
        <w:rPr>
          <w:rFonts w:ascii="宋体" w:hAnsi="宋体" w:eastAsia="宋体" w:cs="Times New Roman"/>
          <w:color w:val="000000" w:themeColor="text1"/>
          <w:kern w:val="0"/>
          <w:szCs w:val="21"/>
          <w:highlight w:val="none"/>
          <w14:textFill>
            <w14:solidFill>
              <w14:schemeClr w14:val="tx1"/>
            </w14:solidFill>
          </w14:textFill>
        </w:rPr>
        <w:t xml:space="preserve"> 址：</w:t>
      </w:r>
      <w:r>
        <w:rPr>
          <w:rFonts w:hint="eastAsia" w:ascii="宋体" w:hAnsi="宋体" w:eastAsia="宋体" w:cs="Times New Roman"/>
          <w:color w:val="000000" w:themeColor="text1"/>
          <w:kern w:val="0"/>
          <w:szCs w:val="21"/>
          <w:highlight w:val="none"/>
          <w14:textFill>
            <w14:solidFill>
              <w14:schemeClr w14:val="tx1"/>
            </w14:solidFill>
          </w14:textFill>
        </w:rPr>
        <w:t>广东省东莞市南城街道滨河路100号二期3号楼4楼</w:t>
      </w:r>
    </w:p>
    <w:p w14:paraId="13109A1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14:textFill>
            <w14:solidFill>
              <w14:schemeClr w14:val="tx1"/>
            </w14:solidFill>
          </w14:textFill>
        </w:rPr>
        <w:t>：</w:t>
      </w:r>
      <w:bookmarkStart w:id="31" w:name="OLE_LINK3"/>
      <w:r>
        <w:rPr>
          <w:rFonts w:hint="eastAsia" w:ascii="宋体" w:hAnsi="宋体" w:eastAsia="宋体" w:cs="Times New Roman"/>
          <w:color w:val="000000" w:themeColor="text1"/>
          <w:kern w:val="0"/>
          <w:szCs w:val="21"/>
          <w:highlight w:val="none"/>
          <w14:textFill>
            <w14:solidFill>
              <w14:schemeClr w14:val="tx1"/>
            </w14:solidFill>
          </w14:textFill>
        </w:rPr>
        <w:t>王俊</w:t>
      </w:r>
      <w:bookmarkEnd w:id="31"/>
    </w:p>
    <w:p w14:paraId="7EF38D9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电  话：</w:t>
      </w:r>
      <w:bookmarkStart w:id="32" w:name="OLE_LINK4"/>
      <w:r>
        <w:rPr>
          <w:rFonts w:hint="eastAsia" w:ascii="宋体" w:hAnsi="宋体" w:eastAsia="宋体" w:cs="Times New Roman"/>
          <w:color w:val="000000" w:themeColor="text1"/>
          <w:kern w:val="0"/>
          <w:szCs w:val="21"/>
          <w:highlight w:val="none"/>
          <w14:textFill>
            <w14:solidFill>
              <w14:schemeClr w14:val="tx1"/>
            </w14:solidFill>
          </w14:textFill>
        </w:rPr>
        <w:t>0769-22867952</w:t>
      </w:r>
      <w:bookmarkEnd w:id="32"/>
    </w:p>
    <w:p w14:paraId="608BA6A8">
      <w:pPr>
        <w:autoSpaceDE w:val="0"/>
        <w:autoSpaceDN w:val="0"/>
        <w:adjustRightInd w:val="0"/>
        <w:spacing w:line="360" w:lineRule="auto"/>
        <w:ind w:right="-29" w:rightChars="-14" w:firstLine="420"/>
        <w:rPr>
          <w:rFonts w:ascii="宋体" w:hAnsi="宋体" w:eastAsia="宋体" w:cs="Times New Roman"/>
          <w:color w:val="000000" w:themeColor="text1"/>
          <w:kern w:val="0"/>
          <w:szCs w:val="21"/>
          <w:highlight w:val="none"/>
          <w14:textFill>
            <w14:solidFill>
              <w14:schemeClr w14:val="tx1"/>
            </w14:solidFill>
          </w14:textFill>
        </w:rPr>
      </w:pPr>
    </w:p>
    <w:p w14:paraId="68855BE9">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招标代理机构</w:t>
      </w:r>
      <w:r>
        <w:rPr>
          <w:rFonts w:hint="eastAsia" w:ascii="宋体" w:hAnsi="宋体" w:eastAsia="宋体" w:cs="Times New Roman"/>
          <w:color w:val="000000" w:themeColor="text1"/>
          <w:szCs w:val="21"/>
          <w:highlight w:val="none"/>
          <w14:textFill>
            <w14:solidFill>
              <w14:schemeClr w14:val="tx1"/>
            </w14:solidFill>
          </w14:textFill>
        </w:rPr>
        <w:t>及异议受理</w:t>
      </w:r>
      <w:r>
        <w:rPr>
          <w:rFonts w:ascii="宋体" w:hAnsi="宋体" w:eastAsia="宋体" w:cs="Times New Roman"/>
          <w:color w:val="000000" w:themeColor="text1"/>
          <w:szCs w:val="21"/>
          <w:highlight w:val="none"/>
          <w14:textFill>
            <w14:solidFill>
              <w14:schemeClr w14:val="tx1"/>
            </w14:solidFill>
          </w14:textFill>
        </w:rPr>
        <w:t>联系方式</w:t>
      </w:r>
    </w:p>
    <w:p w14:paraId="5F23F48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bookmarkStart w:id="33" w:name="_Toc31764_WPSOffice_Level1"/>
      <w:bookmarkStart w:id="34" w:name="_Toc486167661"/>
      <w:bookmarkStart w:id="35" w:name="_Toc450662847"/>
      <w:r>
        <w:rPr>
          <w:rFonts w:ascii="宋体" w:hAnsi="宋体" w:eastAsia="宋体" w:cs="Times New Roman"/>
          <w:color w:val="000000" w:themeColor="text1"/>
          <w:kern w:val="0"/>
          <w:szCs w:val="21"/>
          <w:highlight w:val="none"/>
          <w14:textFill>
            <w14:solidFill>
              <w14:schemeClr w14:val="tx1"/>
            </w14:solidFill>
          </w14:textFill>
        </w:rPr>
        <w:t>招标代理机构：</w:t>
      </w:r>
      <w:r>
        <w:rPr>
          <w:rFonts w:hint="eastAsia" w:ascii="宋体" w:hAnsi="宋体" w:eastAsia="宋体" w:cs="Times New Roman"/>
          <w:color w:val="000000" w:themeColor="text1"/>
          <w:kern w:val="0"/>
          <w:szCs w:val="21"/>
          <w:highlight w:val="none"/>
          <w14:textFill>
            <w14:solidFill>
              <w14:schemeClr w14:val="tx1"/>
            </w14:solidFill>
          </w14:textFill>
        </w:rPr>
        <w:t>建成工程咨询股份有限公司</w:t>
      </w:r>
    </w:p>
    <w:p w14:paraId="0168B4B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  址：</w:t>
      </w:r>
      <w:bookmarkStart w:id="36" w:name="OLE_LINK5"/>
      <w:r>
        <w:rPr>
          <w:rFonts w:hint="eastAsia" w:ascii="宋体" w:hAnsi="宋体" w:eastAsia="宋体" w:cs="Times New Roman"/>
          <w:color w:val="000000" w:themeColor="text1"/>
          <w:kern w:val="0"/>
          <w:szCs w:val="21"/>
          <w:highlight w:val="none"/>
          <w14:textFill>
            <w14:solidFill>
              <w14:schemeClr w14:val="tx1"/>
            </w14:solidFill>
          </w14:textFill>
        </w:rPr>
        <w:t>广东省东莞市南城街道西平宏伟三路39号联景商业大厦16层</w:t>
      </w:r>
      <w:bookmarkEnd w:id="36"/>
    </w:p>
    <w:p w14:paraId="28E88F0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bookmarkStart w:id="37" w:name="OLE_LINK6"/>
      <w:r>
        <w:rPr>
          <w:rFonts w:hint="eastAsia" w:ascii="宋体" w:hAnsi="宋体" w:eastAsia="宋体" w:cs="Times New Roman"/>
          <w:color w:val="000000" w:themeColor="text1"/>
          <w:kern w:val="0"/>
          <w:szCs w:val="21"/>
          <w:highlight w:val="none"/>
          <w14:textFill>
            <w14:solidFill>
              <w14:schemeClr w14:val="tx1"/>
            </w14:solidFill>
          </w14:textFill>
        </w:rPr>
        <w:t>叶沛琳</w:t>
      </w:r>
      <w:bookmarkEnd w:id="37"/>
    </w:p>
    <w:p w14:paraId="7CC3667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电 </w:t>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话</w:t>
      </w:r>
      <w:r>
        <w:rPr>
          <w:rFonts w:ascii="宋体" w:hAnsi="宋体" w:eastAsia="宋体" w:cs="Times New Roman"/>
          <w:color w:val="000000" w:themeColor="text1"/>
          <w:kern w:val="0"/>
          <w:szCs w:val="21"/>
          <w:highlight w:val="none"/>
          <w14:textFill>
            <w14:solidFill>
              <w14:schemeClr w14:val="tx1"/>
            </w14:solidFill>
          </w14:textFill>
        </w:rPr>
        <w:t>：</w:t>
      </w:r>
      <w:bookmarkStart w:id="38" w:name="OLE_LINK7"/>
      <w:r>
        <w:rPr>
          <w:rFonts w:hint="eastAsia" w:ascii="宋体" w:hAnsi="宋体" w:eastAsia="宋体" w:cs="Times New Roman"/>
          <w:color w:val="000000" w:themeColor="text1"/>
          <w:kern w:val="0"/>
          <w:szCs w:val="21"/>
          <w:highlight w:val="none"/>
          <w14:textFill>
            <w14:solidFill>
              <w14:schemeClr w14:val="tx1"/>
            </w14:solidFill>
          </w14:textFill>
        </w:rPr>
        <w:t>0769-22801999</w:t>
      </w:r>
      <w:bookmarkEnd w:id="38"/>
    </w:p>
    <w:p w14:paraId="6F3DE829">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39" w:name="_Toc12475"/>
      <w:bookmarkStart w:id="40" w:name="_Toc18902"/>
      <w:bookmarkStart w:id="41" w:name="_Toc142508311"/>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第二篇</w:t>
      </w:r>
      <w:r>
        <w:rPr>
          <w:rFonts w:ascii="宋体" w:hAnsi="宋体" w:eastAsia="宋体" w:cs="宋体"/>
          <w:b/>
          <w:bCs/>
          <w:color w:val="000000" w:themeColor="text1"/>
          <w:kern w:val="44"/>
          <w:sz w:val="32"/>
          <w:szCs w:val="32"/>
          <w:highlight w:val="none"/>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投标人须知</w:t>
      </w:r>
      <w:bookmarkEnd w:id="33"/>
      <w:bookmarkEnd w:id="34"/>
      <w:bookmarkEnd w:id="35"/>
      <w:bookmarkEnd w:id="39"/>
      <w:bookmarkEnd w:id="40"/>
      <w:bookmarkEnd w:id="41"/>
    </w:p>
    <w:p w14:paraId="35004CBB">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42" w:name="_Toc486167662"/>
      <w:bookmarkStart w:id="43" w:name="_Toc140596871"/>
      <w:bookmarkStart w:id="44" w:name="_Toc450662848"/>
      <w:bookmarkStart w:id="45" w:name="_Toc10618"/>
      <w:bookmarkStart w:id="46" w:name="_Toc15366_WPSOffice_Level2"/>
      <w:bookmarkStart w:id="47" w:name="_Toc142508312"/>
      <w:bookmarkStart w:id="48" w:name="_Toc16098"/>
      <w:r>
        <w:rPr>
          <w:rFonts w:hint="eastAsia" w:ascii="宋体" w:hAnsi="宋体" w:eastAsia="宋体" w:cs="宋体"/>
          <w:b/>
          <w:bCs/>
          <w:color w:val="000000" w:themeColor="text1"/>
          <w:kern w:val="44"/>
          <w:szCs w:val="21"/>
          <w:highlight w:val="none"/>
          <w:lang w:val="zh-CN"/>
          <w14:textFill>
            <w14:solidFill>
              <w14:schemeClr w14:val="tx1"/>
            </w14:solidFill>
          </w14:textFill>
        </w:rPr>
        <w:t>一、总则</w:t>
      </w:r>
      <w:bookmarkEnd w:id="42"/>
      <w:bookmarkEnd w:id="43"/>
      <w:bookmarkEnd w:id="44"/>
      <w:bookmarkEnd w:id="45"/>
      <w:bookmarkEnd w:id="46"/>
      <w:bookmarkEnd w:id="47"/>
      <w:bookmarkEnd w:id="48"/>
    </w:p>
    <w:p w14:paraId="678C61B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9" w:name="_Toc486167663"/>
      <w:bookmarkStart w:id="50" w:name="_Toc16700"/>
      <w:bookmarkStart w:id="51" w:name="_Toc450662849"/>
      <w:bookmarkStart w:id="52" w:name="_Toc10676"/>
      <w:bookmarkStart w:id="53" w:name="_Toc21710_WPSOffice_Level3"/>
      <w:bookmarkStart w:id="54" w:name="_Toc142508313"/>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资金来源：企业自筹资金。</w:t>
      </w:r>
      <w:bookmarkEnd w:id="49"/>
      <w:bookmarkEnd w:id="50"/>
      <w:bookmarkEnd w:id="51"/>
      <w:bookmarkEnd w:id="52"/>
      <w:bookmarkEnd w:id="53"/>
      <w:bookmarkEnd w:id="54"/>
    </w:p>
    <w:p w14:paraId="0F8CD99C">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2984F763">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55" w:name="_Toc450662850"/>
      <w:bookmarkStart w:id="56" w:name="_Toc1411"/>
      <w:bookmarkStart w:id="57" w:name="_Toc486167664"/>
      <w:bookmarkStart w:id="58" w:name="_Toc5550"/>
      <w:bookmarkStart w:id="59" w:name="_Toc80_WPSOffice_Level3"/>
      <w:bookmarkStart w:id="60" w:name="_Toc142508314"/>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合格的投标人</w:t>
      </w:r>
      <w:bookmarkEnd w:id="55"/>
      <w:bookmarkEnd w:id="56"/>
      <w:bookmarkEnd w:id="57"/>
      <w:bookmarkEnd w:id="58"/>
      <w:bookmarkEnd w:id="59"/>
      <w:bookmarkEnd w:id="60"/>
    </w:p>
    <w:p w14:paraId="6D134FE7">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2.1  合格的投标人条件见第一篇《招标公告》中第</w:t>
      </w:r>
      <w:r>
        <w:rPr>
          <w:rFonts w:ascii="宋体" w:hAnsi="宋体" w:eastAsia="宋体" w:cs="宋体"/>
          <w:b/>
          <w:color w:val="000000" w:themeColor="text1"/>
          <w:szCs w:val="21"/>
          <w:highlight w:val="none"/>
          <w:lang w:val="zh-CN"/>
          <w14:textFill>
            <w14:solidFill>
              <w14:schemeClr w14:val="tx1"/>
            </w14:solidFill>
          </w14:textFill>
        </w:rPr>
        <w:t>2</w:t>
      </w:r>
      <w:r>
        <w:rPr>
          <w:rFonts w:hint="eastAsia" w:ascii="宋体" w:hAnsi="宋体" w:eastAsia="宋体" w:cs="宋体"/>
          <w:b/>
          <w:color w:val="000000" w:themeColor="text1"/>
          <w:szCs w:val="21"/>
          <w:highlight w:val="none"/>
          <w:lang w:val="zh-CN"/>
          <w14:textFill>
            <w14:solidFill>
              <w14:schemeClr w14:val="tx1"/>
            </w14:solidFill>
          </w14:textFill>
        </w:rPr>
        <w:t>条的“合格投标人资格要求”及本条以下2.2款至</w:t>
      </w:r>
      <w:r>
        <w:rPr>
          <w:rFonts w:hint="eastAsia" w:ascii="宋体" w:hAnsi="宋体" w:eastAsia="宋体" w:cs="宋体"/>
          <w:b/>
          <w:color w:val="000000" w:themeColor="text1"/>
          <w:szCs w:val="21"/>
          <w:highlight w:val="none"/>
          <w14:textFill>
            <w14:solidFill>
              <w14:schemeClr w14:val="tx1"/>
            </w14:solidFill>
          </w14:textFill>
        </w:rPr>
        <w:t>2.5</w:t>
      </w:r>
      <w:r>
        <w:rPr>
          <w:rFonts w:hint="eastAsia" w:ascii="宋体" w:hAnsi="宋体" w:eastAsia="宋体" w:cs="宋体"/>
          <w:b/>
          <w:color w:val="000000" w:themeColor="text1"/>
          <w:szCs w:val="21"/>
          <w:highlight w:val="none"/>
          <w:lang w:val="zh-CN"/>
          <w14:textFill>
            <w14:solidFill>
              <w14:schemeClr w14:val="tx1"/>
            </w14:solidFill>
          </w14:textFill>
        </w:rPr>
        <w:t>款的通用要求。</w:t>
      </w:r>
    </w:p>
    <w:p w14:paraId="18ED40F0">
      <w:pPr>
        <w:autoSpaceDE w:val="0"/>
        <w:autoSpaceDN w:val="0"/>
        <w:adjustRightInd w:val="0"/>
        <w:spacing w:line="360" w:lineRule="auto"/>
        <w:ind w:left="359" w:leftChars="-100" w:hanging="569" w:hangingChars="27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2.2  </w:t>
      </w:r>
      <w:r>
        <w:rPr>
          <w:rFonts w:hint="eastAsia" w:ascii="宋体" w:hAnsi="宋体" w:eastAsia="宋体" w:cs="宋体"/>
          <w:b/>
          <w:color w:val="000000" w:themeColor="text1"/>
          <w:kern w:val="0"/>
          <w:szCs w:val="21"/>
          <w:highlight w:val="none"/>
          <w14:textFill>
            <w14:solidFill>
              <w14:schemeClr w14:val="tx1"/>
            </w14:solidFill>
          </w14:textFill>
        </w:rPr>
        <w:t>投标人</w:t>
      </w:r>
      <w:r>
        <w:rPr>
          <w:rFonts w:hint="eastAsia" w:ascii="宋体" w:hAnsi="宋体" w:eastAsia="宋体" w:cs="Times New Roman"/>
          <w:b/>
          <w:color w:val="000000" w:themeColor="text1"/>
          <w:kern w:val="0"/>
          <w:szCs w:val="21"/>
          <w:highlight w:val="none"/>
          <w14:textFill>
            <w14:solidFill>
              <w14:schemeClr w14:val="tx1"/>
            </w14:solidFill>
          </w14:textFill>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000000" w:themeColor="text1"/>
          <w:kern w:val="0"/>
          <w:szCs w:val="21"/>
          <w:highlight w:val="none"/>
          <w:lang w:val="zh-CN"/>
          <w14:textFill>
            <w14:solidFill>
              <w14:schemeClr w14:val="tx1"/>
            </w14:solidFill>
          </w14:textFill>
        </w:rPr>
        <w:t>处罚说明</w:t>
      </w:r>
      <w:r>
        <w:rPr>
          <w:rFonts w:hint="eastAsia" w:ascii="宋体" w:hAnsi="宋体" w:eastAsia="宋体" w:cs="Times New Roman"/>
          <w:b/>
          <w:color w:val="000000" w:themeColor="text1"/>
          <w:kern w:val="0"/>
          <w:szCs w:val="21"/>
          <w:highlight w:val="none"/>
          <w14:textFill>
            <w14:solidFill>
              <w14:schemeClr w14:val="tx1"/>
            </w14:solidFill>
          </w14:textFill>
        </w:rPr>
        <w:t>”，如果不主动填报而被事后发现的，将取消其投标（中标）资格，并按有关规定从重处理</w:t>
      </w:r>
      <w:r>
        <w:rPr>
          <w:rFonts w:hint="eastAsia" w:ascii="宋体" w:hAnsi="宋体" w:eastAsia="宋体" w:cs="宋体"/>
          <w:b/>
          <w:color w:val="000000" w:themeColor="text1"/>
          <w:kern w:val="0"/>
          <w:szCs w:val="21"/>
          <w:highlight w:val="none"/>
          <w14:textFill>
            <w14:solidFill>
              <w14:schemeClr w14:val="tx1"/>
            </w14:solidFill>
          </w14:textFill>
        </w:rPr>
        <w:t>。</w:t>
      </w:r>
    </w:p>
    <w:p w14:paraId="60E0FFF1">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2.</w:t>
      </w:r>
      <w:r>
        <w:rPr>
          <w:rFonts w:ascii="宋体" w:hAnsi="宋体" w:eastAsia="宋体" w:cs="宋体"/>
          <w:b/>
          <w:color w:val="000000" w:themeColor="text1"/>
          <w:kern w:val="0"/>
          <w:szCs w:val="21"/>
          <w:highlight w:val="none"/>
          <w:lang w:val="zh-CN"/>
          <w14:textFill>
            <w14:solidFill>
              <w14:schemeClr w14:val="tx1"/>
            </w14:solidFill>
          </w14:textFill>
        </w:rPr>
        <w:t>3</w:t>
      </w:r>
      <w:r>
        <w:rPr>
          <w:rFonts w:hint="eastAsia" w:ascii="宋体" w:hAnsi="宋体" w:eastAsia="宋体" w:cs="宋体"/>
          <w:b/>
          <w:color w:val="000000" w:themeColor="text1"/>
          <w:kern w:val="0"/>
          <w:szCs w:val="21"/>
          <w:highlight w:val="none"/>
          <w:lang w:val="zh-CN"/>
          <w14:textFill>
            <w14:solidFill>
              <w14:schemeClr w14:val="tx1"/>
            </w14:solidFill>
          </w14:textFill>
        </w:rPr>
        <w:t xml:space="preserve">  投标人</w:t>
      </w:r>
      <w:r>
        <w:rPr>
          <w:rFonts w:hint="eastAsia" w:ascii="宋体" w:hAnsi="宋体" w:eastAsia="宋体" w:cs="宋体"/>
          <w:b/>
          <w:color w:val="000000" w:themeColor="text1"/>
          <w:szCs w:val="21"/>
          <w:highlight w:val="none"/>
          <w:lang w:val="zh-CN"/>
          <w14:textFill>
            <w14:solidFill>
              <w14:schemeClr w14:val="tx1"/>
            </w14:solidFill>
          </w14:textFill>
        </w:rPr>
        <w:t>符合《中华人民共和国招标投标法》第二十六条规定。</w:t>
      </w:r>
    </w:p>
    <w:p w14:paraId="32C7A8B4">
      <w:pPr>
        <w:autoSpaceDE w:val="0"/>
        <w:autoSpaceDN w:val="0"/>
        <w:adjustRightInd w:val="0"/>
        <w:spacing w:line="360" w:lineRule="auto"/>
        <w:ind w:left="359" w:leftChars="-99" w:hanging="567" w:hangingChars="269"/>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w:t>
      </w:r>
      <w:r>
        <w:rPr>
          <w:rFonts w:ascii="宋体" w:hAnsi="宋体" w:eastAsia="宋体" w:cs="宋体"/>
          <w:b/>
          <w:color w:val="000000" w:themeColor="text1"/>
          <w:kern w:val="0"/>
          <w:szCs w:val="21"/>
          <w:highlight w:val="none"/>
          <w14:textFill>
            <w14:solidFill>
              <w14:schemeClr w14:val="tx1"/>
            </w14:solidFill>
          </w14:textFill>
        </w:rPr>
        <w:t>4</w:t>
      </w:r>
      <w:r>
        <w:rPr>
          <w:rFonts w:hint="eastAsia" w:ascii="宋体" w:hAnsi="宋体" w:eastAsia="宋体" w:cs="宋体"/>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000000" w:themeColor="text1"/>
          <w:kern w:val="0"/>
          <w:szCs w:val="21"/>
          <w:highlight w:val="none"/>
          <w14:textFill>
            <w14:solidFill>
              <w14:schemeClr w14:val="tx1"/>
            </w14:solidFill>
          </w14:textFill>
        </w:rPr>
        <w:t>。</w:t>
      </w:r>
    </w:p>
    <w:p w14:paraId="309FC74D">
      <w:pPr>
        <w:autoSpaceDE w:val="0"/>
        <w:autoSpaceDN w:val="0"/>
        <w:adjustRightInd w:val="0"/>
        <w:spacing w:line="360" w:lineRule="auto"/>
        <w:ind w:left="317" w:leftChars="-100" w:hanging="527" w:hangingChars="25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5</w:t>
      </w:r>
      <w:r>
        <w:rPr>
          <w:rFonts w:hint="eastAsia"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根据《中华人民共和国招标投标法实施条例》第三十四条规定，与招标人存在利害关系可能影响招标公正性的法人、其他组织或者个人，不得参加投标；</w:t>
      </w:r>
      <w:bookmarkStart w:id="61" w:name="OLE_LINK501"/>
      <w:r>
        <w:rPr>
          <w:rFonts w:hint="eastAsia" w:ascii="宋体" w:hAnsi="宋体" w:eastAsia="宋体" w:cs="Times New Roman"/>
          <w:b/>
          <w:color w:val="000000" w:themeColor="text1"/>
          <w:kern w:val="0"/>
          <w:szCs w:val="21"/>
          <w:highlight w:val="none"/>
          <w14:textFill>
            <w14:solidFill>
              <w14:schemeClr w14:val="tx1"/>
            </w14:solidFill>
          </w14:textFill>
        </w:rPr>
        <w:t>投标人负责人为同一人或者存在控股、管理关系的不同投标人，不得参加同一项目投标。上述情况一经发现，相关投标均无效</w:t>
      </w:r>
      <w:bookmarkEnd w:id="61"/>
      <w:r>
        <w:rPr>
          <w:rFonts w:hint="eastAsia" w:ascii="宋体" w:hAnsi="宋体" w:eastAsia="宋体" w:cs="宋体"/>
          <w:b/>
          <w:color w:val="000000" w:themeColor="text1"/>
          <w:szCs w:val="21"/>
          <w:highlight w:val="none"/>
          <w:lang w:val="zh-CN"/>
          <w14:textFill>
            <w14:solidFill>
              <w14:schemeClr w14:val="tx1"/>
            </w14:solidFill>
          </w14:textFill>
        </w:rPr>
        <w:t>。</w:t>
      </w:r>
    </w:p>
    <w:p w14:paraId="7CAD9A81">
      <w:pPr>
        <w:tabs>
          <w:tab w:val="left" w:pos="426"/>
        </w:tabs>
        <w:autoSpaceDE w:val="0"/>
        <w:autoSpaceDN w:val="0"/>
        <w:adjustRightInd w:val="0"/>
        <w:spacing w:line="360" w:lineRule="auto"/>
        <w:ind w:left="319" w:leftChars="-100" w:hanging="529" w:hangingChars="252"/>
        <w:rPr>
          <w:rFonts w:ascii="宋体" w:hAnsi="宋体" w:eastAsia="宋体" w:cs="宋体"/>
          <w:color w:val="000000" w:themeColor="text1"/>
          <w:kern w:val="0"/>
          <w:szCs w:val="24"/>
          <w:highlight w:val="none"/>
          <w14:textFill>
            <w14:solidFill>
              <w14:schemeClr w14:val="tx1"/>
            </w14:solidFill>
          </w14:textFill>
        </w:rPr>
      </w:pPr>
    </w:p>
    <w:p w14:paraId="2B0D3649">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62" w:name="_Toc8199"/>
      <w:bookmarkStart w:id="63" w:name="_Toc23847_WPSOffice_Level3"/>
      <w:bookmarkStart w:id="64" w:name="_Toc142508315"/>
      <w:bookmarkStart w:id="65" w:name="_Toc28362"/>
      <w:bookmarkStart w:id="66" w:name="_Toc450662851"/>
      <w:bookmarkStart w:id="67" w:name="_Toc486167665"/>
      <w:r>
        <w:rPr>
          <w:rFonts w:hint="eastAsia" w:ascii="宋体" w:hAnsi="宋体" w:eastAsia="宋体" w:cs="宋体"/>
          <w:b/>
          <w:color w:val="000000" w:themeColor="text1"/>
          <w:szCs w:val="21"/>
          <w:highlight w:val="none"/>
          <w:lang w:val="zh-CN"/>
          <w14:textFill>
            <w14:solidFill>
              <w14:schemeClr w14:val="tx1"/>
            </w14:solidFill>
          </w14:textFill>
        </w:rPr>
        <w:t>3</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合格的货物</w:t>
      </w:r>
      <w:bookmarkEnd w:id="62"/>
      <w:bookmarkEnd w:id="63"/>
      <w:bookmarkEnd w:id="64"/>
      <w:bookmarkEnd w:id="65"/>
    </w:p>
    <w:p w14:paraId="34E845E4">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3.</w:t>
      </w:r>
      <w:r>
        <w:rPr>
          <w:rFonts w:hint="eastAsia" w:ascii="宋体" w:hAnsi="宋体" w:eastAsia="宋体" w:cs="Times New Roman"/>
          <w:color w:val="000000" w:themeColor="text1"/>
          <w:szCs w:val="21"/>
          <w:highlight w:val="none"/>
          <w:lang w:val="zh-CN"/>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4DCE1E95">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68" w:name="_Toc533708063"/>
      <w:bookmarkStart w:id="69" w:name="_Toc1977663"/>
      <w:r>
        <w:rPr>
          <w:rFonts w:hint="eastAsia" w:ascii="宋体" w:hAnsi="宋体" w:eastAsia="宋体" w:cs="宋体"/>
          <w:color w:val="000000" w:themeColor="text1"/>
          <w:szCs w:val="21"/>
          <w:highlight w:val="none"/>
          <w:lang w:val="zh-CN"/>
          <w14:textFill>
            <w14:solidFill>
              <w14:schemeClr w14:val="tx1"/>
            </w14:solidFill>
          </w14:textFill>
        </w:rPr>
        <w:t>3.2  投标人</w:t>
      </w:r>
      <w:r>
        <w:rPr>
          <w:rFonts w:hint="eastAsia" w:ascii="宋体" w:hAnsi="宋体" w:eastAsia="宋体" w:cs="Times New Roman"/>
          <w:color w:val="000000" w:themeColor="text1"/>
          <w:szCs w:val="21"/>
          <w:highlight w:val="none"/>
          <w:lang w:val="zh-CN"/>
          <w14:textFill>
            <w14:solidFill>
              <w14:schemeClr w14:val="tx1"/>
            </w14:solidFill>
          </w14:textFill>
        </w:rPr>
        <w:t>中标后提供的货物</w:t>
      </w:r>
      <w:r>
        <w:rPr>
          <w:rFonts w:hint="eastAsia" w:ascii="宋体" w:hAnsi="宋体" w:eastAsia="宋体" w:cs="Times New Roman"/>
          <w:color w:val="000000" w:themeColor="text1"/>
          <w:kern w:val="0"/>
          <w:szCs w:val="21"/>
          <w:highlight w:val="none"/>
          <w14:textFill>
            <w14:solidFill>
              <w14:schemeClr w14:val="tx1"/>
            </w14:solidFill>
          </w14:textFill>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000000" w:themeColor="text1"/>
          <w:kern w:val="0"/>
          <w:szCs w:val="21"/>
          <w:highlight w:val="none"/>
          <w14:textFill>
            <w14:solidFill>
              <w14:schemeClr w14:val="tx1"/>
            </w14:solidFill>
          </w14:textFill>
        </w:rPr>
        <w:t>负责办理所有货物的进口及商检手续</w:t>
      </w:r>
      <w:r>
        <w:rPr>
          <w:rFonts w:hint="eastAsia" w:ascii="宋体" w:hAnsi="宋体" w:eastAsia="宋体" w:cs="Times New Roman"/>
          <w:color w:val="000000" w:themeColor="text1"/>
          <w:kern w:val="0"/>
          <w:szCs w:val="21"/>
          <w:highlight w:val="none"/>
          <w14:textFill>
            <w14:solidFill>
              <w14:schemeClr w14:val="tx1"/>
            </w14:solidFill>
          </w14:textFill>
        </w:rPr>
        <w:t>，并承担相关费用</w:t>
      </w:r>
      <w:r>
        <w:rPr>
          <w:rFonts w:hint="eastAsia" w:ascii="宋体" w:hAnsi="宋体" w:eastAsia="宋体" w:cs="宋体"/>
          <w:color w:val="000000" w:themeColor="text1"/>
          <w:szCs w:val="21"/>
          <w:highlight w:val="none"/>
          <w:lang w:val="zh-CN"/>
          <w14:textFill>
            <w14:solidFill>
              <w14:schemeClr w14:val="tx1"/>
            </w14:solidFill>
          </w14:textFill>
        </w:rPr>
        <w:t>。</w:t>
      </w:r>
    </w:p>
    <w:bookmarkEnd w:id="68"/>
    <w:bookmarkEnd w:id="69"/>
    <w:p w14:paraId="77782366">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70" w:name="_Toc533708064"/>
      <w:bookmarkStart w:id="71" w:name="_Toc1977664"/>
      <w:r>
        <w:rPr>
          <w:rFonts w:hint="eastAsia" w:ascii="宋体" w:hAnsi="宋体" w:eastAsia="宋体" w:cs="宋体"/>
          <w:color w:val="000000" w:themeColor="text1"/>
          <w:szCs w:val="21"/>
          <w:highlight w:val="none"/>
          <w:lang w:val="zh-CN"/>
          <w14:textFill>
            <w14:solidFill>
              <w14:schemeClr w14:val="tx1"/>
            </w14:solidFill>
          </w14:textFill>
        </w:rPr>
        <w:t xml:space="preserve">3.3  </w:t>
      </w:r>
      <w:bookmarkEnd w:id="70"/>
      <w:bookmarkEnd w:id="71"/>
      <w:bookmarkStart w:id="72" w:name="_Toc1977665"/>
      <w:bookmarkStart w:id="73" w:name="_Toc533708065"/>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必须保证提供的所有货物或货物的任何部分均为最新正式版本</w:t>
      </w:r>
      <w:r>
        <w:rPr>
          <w:rFonts w:hint="eastAsia" w:ascii="宋体" w:hAnsi="宋体" w:eastAsia="宋体" w:cs="宋体"/>
          <w:color w:val="000000" w:themeColor="text1"/>
          <w:szCs w:val="21"/>
          <w:highlight w:val="none"/>
          <w:lang w:val="zh-CN"/>
          <w14:textFill>
            <w14:solidFill>
              <w14:schemeClr w14:val="tx1"/>
            </w14:solidFill>
          </w14:textFill>
        </w:rPr>
        <w:t>。</w:t>
      </w:r>
      <w:bookmarkEnd w:id="72"/>
      <w:bookmarkEnd w:id="73"/>
    </w:p>
    <w:p w14:paraId="56F30820">
      <w:pPr>
        <w:autoSpaceDE w:val="0"/>
        <w:autoSpaceDN w:val="0"/>
        <w:adjustRightInd w:val="0"/>
        <w:spacing w:line="360" w:lineRule="auto"/>
        <w:ind w:left="315" w:leftChars="-100" w:hanging="525" w:hangingChars="250"/>
        <w:rPr>
          <w:rFonts w:ascii="宋体" w:hAnsi="宋体" w:eastAsia="宋体" w:cs="Times New Roman"/>
          <w:color w:val="000000" w:themeColor="text1"/>
          <w:kern w:val="0"/>
          <w:szCs w:val="21"/>
          <w:highlight w:val="none"/>
          <w14:textFill>
            <w14:solidFill>
              <w14:schemeClr w14:val="tx1"/>
            </w14:solidFill>
          </w14:textFill>
        </w:rPr>
      </w:pPr>
      <w:bookmarkStart w:id="74" w:name="_Toc533708066"/>
      <w:bookmarkStart w:id="75" w:name="_Toc1977666"/>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74"/>
    <w:bookmarkEnd w:id="75"/>
    <w:p w14:paraId="448B8812">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76" w:name="_Toc533708067"/>
      <w:bookmarkStart w:id="77" w:name="_Toc1977667"/>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 xml:space="preserve">  投标人</w:t>
      </w:r>
      <w:r>
        <w:rPr>
          <w:rFonts w:hint="eastAsia" w:ascii="宋体" w:hAnsi="宋体" w:eastAsia="宋体" w:cs="Times New Roman"/>
          <w:color w:val="000000" w:themeColor="text1"/>
          <w:kern w:val="0"/>
          <w:szCs w:val="21"/>
          <w:highlight w:val="none"/>
          <w14:textFill>
            <w14:solidFill>
              <w14:schemeClr w14:val="tx1"/>
            </w14:solidFill>
          </w14:textFill>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bookmarkEnd w:id="76"/>
      <w:bookmarkEnd w:id="77"/>
    </w:p>
    <w:p w14:paraId="37EFE937">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78" w:name="_Toc1977668"/>
      <w:bookmarkStart w:id="79" w:name="_Toc533708068"/>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 xml:space="preserve">  无论投标人</w:t>
      </w:r>
      <w:r>
        <w:rPr>
          <w:rFonts w:hint="eastAsia" w:ascii="宋体" w:hAnsi="宋体" w:eastAsia="宋体" w:cs="Times New Roman"/>
          <w:color w:val="000000" w:themeColor="text1"/>
          <w:kern w:val="0"/>
          <w:szCs w:val="21"/>
          <w:highlight w:val="none"/>
          <w14:textFill>
            <w14:solidFill>
              <w14:schemeClr w14:val="tx1"/>
            </w14:solidFill>
          </w14:textFill>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bookmarkEnd w:id="78"/>
      <w:bookmarkEnd w:id="79"/>
    </w:p>
    <w:p w14:paraId="09D2B22F">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p>
    <w:p w14:paraId="730A6853">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80" w:name="_Toc142508316"/>
      <w:bookmarkStart w:id="81" w:name="_Toc23394"/>
      <w:bookmarkStart w:id="82" w:name="_Toc9658_WPSOffice_Level3"/>
      <w:bookmarkStart w:id="83" w:name="_Toc17995"/>
      <w:r>
        <w:rPr>
          <w:rFonts w:hint="eastAsia" w:ascii="宋体" w:hAnsi="宋体" w:eastAsia="宋体" w:cs="宋体"/>
          <w:color w:val="000000" w:themeColor="text1"/>
          <w:szCs w:val="21"/>
          <w:highlight w:val="none"/>
          <w:lang w:val="zh-CN"/>
          <w14:textFill>
            <w14:solidFill>
              <w14:schemeClr w14:val="tx1"/>
            </w14:solidFill>
          </w14:textFill>
        </w:rPr>
        <w:t>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其它说明</w:t>
      </w:r>
      <w:bookmarkEnd w:id="80"/>
      <w:bookmarkEnd w:id="81"/>
      <w:bookmarkEnd w:id="82"/>
      <w:bookmarkEnd w:id="83"/>
    </w:p>
    <w:p w14:paraId="71511B48">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84" w:name="_Toc1977670"/>
      <w:bookmarkStart w:id="85" w:name="_Toc533708070"/>
      <w:r>
        <w:rPr>
          <w:rFonts w:hint="eastAsia" w:ascii="宋体" w:hAnsi="宋体" w:eastAsia="宋体" w:cs="宋体"/>
          <w:color w:val="000000" w:themeColor="text1"/>
          <w:szCs w:val="21"/>
          <w:highlight w:val="none"/>
          <w:lang w:val="zh-CN"/>
          <w14:textFill>
            <w14:solidFill>
              <w14:schemeClr w14:val="tx1"/>
            </w14:solidFill>
          </w14:textFill>
        </w:rPr>
        <w:t>4.1  投标费用</w:t>
      </w:r>
      <w:bookmarkEnd w:id="84"/>
      <w:bookmarkEnd w:id="85"/>
    </w:p>
    <w:p w14:paraId="4F907EFC">
      <w:pPr>
        <w:autoSpaceDE w:val="0"/>
        <w:autoSpaceDN w:val="0"/>
        <w:adjustRightInd w:val="0"/>
        <w:spacing w:line="360" w:lineRule="auto"/>
        <w:ind w:left="210" w:leftChars="100" w:firstLine="420" w:firstLineChars="200"/>
        <w:rPr>
          <w:rFonts w:ascii="宋体" w:hAnsi="宋体" w:eastAsia="宋体" w:cs="宋体"/>
          <w:color w:val="000000" w:themeColor="text1"/>
          <w:szCs w:val="21"/>
          <w:highlight w:val="none"/>
          <w:lang w:val="zh-CN"/>
          <w14:textFill>
            <w14:solidFill>
              <w14:schemeClr w14:val="tx1"/>
            </w14:solidFill>
          </w14:textFill>
        </w:rPr>
      </w:pPr>
      <w:bookmarkStart w:id="86" w:name="_Toc533708072"/>
      <w:bookmarkStart w:id="87" w:name="_Toc1977672"/>
      <w:r>
        <w:rPr>
          <w:rFonts w:hint="eastAsia" w:ascii="宋体" w:hAnsi="宋体" w:eastAsia="宋体" w:cs="Times New Roman"/>
          <w:color w:val="000000" w:themeColor="text1"/>
          <w:szCs w:val="21"/>
          <w:highlight w:val="none"/>
          <w:lang w:val="zh-CN"/>
          <w14:textFill>
            <w14:solidFill>
              <w14:schemeClr w14:val="tx1"/>
            </w14:solidFill>
          </w14:textFill>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000000" w:themeColor="text1"/>
          <w:szCs w:val="21"/>
          <w:highlight w:val="none"/>
          <w:lang w:val="zh-CN"/>
          <w14:textFill>
            <w14:solidFill>
              <w14:schemeClr w14:val="tx1"/>
            </w14:solidFill>
          </w14:textFill>
        </w:rPr>
        <w:t>。</w:t>
      </w:r>
      <w:bookmarkEnd w:id="86"/>
      <w:bookmarkEnd w:id="87"/>
    </w:p>
    <w:p w14:paraId="75645DB0">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88" w:name="_Toc533708073"/>
      <w:bookmarkStart w:id="89" w:name="_Toc1977673"/>
      <w:r>
        <w:rPr>
          <w:rFonts w:hint="eastAsia" w:ascii="宋体" w:hAnsi="宋体" w:eastAsia="宋体" w:cs="宋体"/>
          <w:color w:val="000000" w:themeColor="text1"/>
          <w:szCs w:val="21"/>
          <w:highlight w:val="none"/>
          <w:lang w:val="zh-CN"/>
          <w14:textFill>
            <w14:solidFill>
              <w14:schemeClr w14:val="tx1"/>
            </w14:solidFill>
          </w14:textFill>
        </w:rPr>
        <w:t>4.2  踏勘现场</w:t>
      </w:r>
      <w:bookmarkEnd w:id="88"/>
      <w:bookmarkEnd w:id="89"/>
    </w:p>
    <w:p w14:paraId="266B2878">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bookmarkStart w:id="90" w:name="_Toc1977676"/>
      <w:bookmarkStart w:id="91" w:name="_Toc533708076"/>
      <w:r>
        <w:rPr>
          <w:rFonts w:hint="eastAsia" w:ascii="宋体" w:hAnsi="宋体" w:eastAsia="宋体" w:cs="Times New Roman"/>
          <w:color w:val="000000" w:themeColor="text1"/>
          <w:kern w:val="0"/>
          <w:szCs w:val="21"/>
          <w:highlight w:val="none"/>
          <w14:textFill>
            <w14:solidFill>
              <w14:schemeClr w14:val="tx1"/>
            </w14:solidFill>
          </w14:textFill>
        </w:rPr>
        <w:t>（1）</w:t>
      </w:r>
      <w:bookmarkStart w:id="92" w:name="OLE_LINK408"/>
      <w:r>
        <w:rPr>
          <w:rFonts w:hint="eastAsia" w:ascii="宋体" w:hAnsi="宋体" w:eastAsia="宋体" w:cs="Times New Roman"/>
          <w:color w:val="000000" w:themeColor="text1"/>
          <w:kern w:val="0"/>
          <w:szCs w:val="21"/>
          <w:highlight w:val="none"/>
          <w14:textFill>
            <w14:solidFill>
              <w14:schemeClr w14:val="tx1"/>
            </w14:solidFill>
          </w14:textFill>
        </w:rPr>
        <w:t>本项目不组织踏勘现场和答疑。</w:t>
      </w:r>
      <w:bookmarkEnd w:id="92"/>
    </w:p>
    <w:p w14:paraId="77FC3D10">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（2）潜在投标人应承担踏勘现场自身所发生的费用。</w:t>
      </w:r>
    </w:p>
    <w:p w14:paraId="22BF74DE">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（3）招标人和招标代理机构在踏勘现场中介绍的有关现场和相关的周边环境情况，供投标人在编制投标文件时参考，招标人不对投标人据此作出的判断和决策负责。</w:t>
      </w:r>
    </w:p>
    <w:p w14:paraId="25F32B69">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（4）潜在投标人可为踏勘需要而进入招标人的项目现场，但潜在投标人不得因此使招标人承担有关的责任和蒙受损失。潜在投标人应承担踏勘现场的责任和风险。</w:t>
      </w:r>
    </w:p>
    <w:p w14:paraId="7CD52EE9">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4.3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纪律与保密事项</w:t>
      </w:r>
      <w:bookmarkEnd w:id="66"/>
      <w:bookmarkEnd w:id="67"/>
      <w:bookmarkEnd w:id="90"/>
      <w:bookmarkEnd w:id="91"/>
    </w:p>
    <w:p w14:paraId="1975A3B2">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（1）获得本招标文件的投标人，不得用作本次投标以外的任何用途。</w:t>
      </w:r>
    </w:p>
    <w:p w14:paraId="5115B1AA">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）凡参与招标工作的有关人员均应自觉接受有关主管部门的监督，不得向他人透露可能影响公平竞争的情况。</w:t>
      </w:r>
    </w:p>
    <w:p w14:paraId="484DA3F8">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（3）开标后，直至向中标人授予合同期间，凡与审查、澄清、评价和比较报价的有关资料以及授标意见等，参与评标工作的有关人员均不得向投标人及与评标无关的其他人透露。</w:t>
      </w:r>
    </w:p>
    <w:p w14:paraId="6598396F">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（4）除投标人被要求对投标文件进行澄清外，从递交投标文件截止之时起至授予合同期间，投标人不得就与其投标文件有关的事项主动与评标委员会、招标代理机构以及招标人联系。</w:t>
      </w:r>
    </w:p>
    <w:p w14:paraId="1BE03716">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03ADFFB8">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（6）投标人不得串通作弊，以不正当的手段妨碍、排挤其他投标人，扰乱采购市场，破坏公平竞争原则。</w:t>
      </w:r>
    </w:p>
    <w:p w14:paraId="4537D636">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14:textFill>
            <w14:solidFill>
              <w14:schemeClr w14:val="tx1"/>
            </w14:solidFill>
          </w14:textFill>
        </w:rPr>
      </w:pPr>
    </w:p>
    <w:p w14:paraId="0A21C171">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93" w:name="_Toc486167667"/>
      <w:bookmarkStart w:id="94" w:name="_Toc1482"/>
      <w:bookmarkStart w:id="95" w:name="_Toc30507_WPSOffice_Level2"/>
      <w:bookmarkStart w:id="96" w:name="_Toc450662853"/>
      <w:bookmarkStart w:id="97" w:name="_Toc10616"/>
      <w:bookmarkStart w:id="98" w:name="_Toc140596876"/>
      <w:bookmarkStart w:id="99" w:name="_Toc142508317"/>
      <w:r>
        <w:rPr>
          <w:rFonts w:hint="eastAsia" w:ascii="宋体" w:hAnsi="宋体" w:eastAsia="宋体" w:cs="宋体"/>
          <w:b/>
          <w:bCs/>
          <w:color w:val="000000" w:themeColor="text1"/>
          <w:kern w:val="44"/>
          <w:szCs w:val="21"/>
          <w:highlight w:val="none"/>
          <w:lang w:val="zh-CN"/>
          <w14:textFill>
            <w14:solidFill>
              <w14:schemeClr w14:val="tx1"/>
            </w14:solidFill>
          </w14:textFill>
        </w:rPr>
        <w:t>二、招标文件</w:t>
      </w:r>
      <w:bookmarkEnd w:id="93"/>
      <w:bookmarkEnd w:id="94"/>
      <w:bookmarkEnd w:id="95"/>
      <w:bookmarkEnd w:id="96"/>
      <w:bookmarkEnd w:id="97"/>
      <w:bookmarkEnd w:id="98"/>
      <w:bookmarkEnd w:id="99"/>
    </w:p>
    <w:p w14:paraId="4C06CE2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00" w:name="_Toc142508318"/>
      <w:bookmarkStart w:id="101" w:name="_Toc486167668"/>
      <w:bookmarkStart w:id="102" w:name="_Toc26635_WPSOffice_Level3"/>
      <w:bookmarkStart w:id="103" w:name="_Toc450662854"/>
      <w:bookmarkStart w:id="104" w:name="_Toc28179"/>
      <w:bookmarkStart w:id="105" w:name="_Toc6097"/>
      <w:r>
        <w:rPr>
          <w:rFonts w:hint="eastAsia" w:ascii="宋体" w:hAnsi="宋体" w:eastAsia="宋体" w:cs="宋体"/>
          <w:color w:val="000000" w:themeColor="text1"/>
          <w:szCs w:val="21"/>
          <w:highlight w:val="none"/>
          <w:lang w:val="zh-CN"/>
          <w14:textFill>
            <w14:solidFill>
              <w14:schemeClr w14:val="tx1"/>
            </w14:solidFill>
          </w14:textFill>
        </w:rPr>
        <w:t>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招标文件的构成</w:t>
      </w:r>
      <w:bookmarkEnd w:id="100"/>
      <w:bookmarkEnd w:id="101"/>
      <w:bookmarkEnd w:id="102"/>
      <w:bookmarkEnd w:id="103"/>
      <w:bookmarkEnd w:id="104"/>
      <w:bookmarkEnd w:id="105"/>
    </w:p>
    <w:p w14:paraId="3C1EF67F">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招标文件包括：</w:t>
      </w:r>
    </w:p>
    <w:p w14:paraId="0AE3418E">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第一篇 招标公告</w:t>
      </w:r>
    </w:p>
    <w:p w14:paraId="4B5688C7">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第二篇 投标人须知</w:t>
      </w:r>
    </w:p>
    <w:p w14:paraId="51CA09DE">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第三篇 用户需求书</w:t>
      </w:r>
    </w:p>
    <w:p w14:paraId="4EE95FBE">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第四篇 合同条款</w:t>
      </w:r>
    </w:p>
    <w:p w14:paraId="6A0ACA8C">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第五篇 相关保函格式</w:t>
      </w:r>
    </w:p>
    <w:p w14:paraId="3B09447C">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第六篇 投标文件格式</w:t>
      </w:r>
    </w:p>
    <w:p w14:paraId="6D952AE7">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附件一</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评标工作大纲</w:t>
      </w:r>
    </w:p>
    <w:p w14:paraId="0E9BC24D">
      <w:pPr>
        <w:autoSpaceDE w:val="0"/>
        <w:autoSpaceDN w:val="0"/>
        <w:adjustRightInd w:val="0"/>
        <w:spacing w:line="360" w:lineRule="auto"/>
        <w:ind w:left="356" w:leftChars="-99" w:hanging="564" w:hangingChars="269"/>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5.2</w:t>
      </w:r>
      <w:r>
        <w:rPr>
          <w:rFonts w:hint="eastAsia" w:ascii="宋体" w:hAnsi="宋体" w:eastAsia="宋体" w:cs="宋体"/>
          <w:b/>
          <w:bCs/>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投标人</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标志的部分为投标人、投标拟供货物必备的条件或重要指示），那么投标人的投标文件将有可能被拒绝接收或评审为无效投标文件</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0879CA7C">
      <w:pPr>
        <w:autoSpaceDE w:val="0"/>
        <w:autoSpaceDN w:val="0"/>
        <w:adjustRightInd w:val="0"/>
        <w:spacing w:line="360" w:lineRule="auto"/>
        <w:ind w:left="356" w:leftChars="-99" w:hanging="564" w:hangingChars="269"/>
        <w:rPr>
          <w:rFonts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5.3  本招标文件使用的词语有如下定义：</w:t>
      </w:r>
    </w:p>
    <w:p w14:paraId="4359A79A">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（1）“招标人”指东莞市水务集团科技发展有限公司；</w:t>
      </w:r>
    </w:p>
    <w:p w14:paraId="617F8D65">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）“招标代理机构”指建成工程咨询股份有限公司；</w:t>
      </w:r>
    </w:p>
    <w:p w14:paraId="75603C59">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）“投标人”指参加东莞市水务集团科技发展有限公司屋顶分布式光伏发电（一期）采购项目所需的货物及有关服务的投标，并向招标代理机构提交投标文件的当事人；</w:t>
      </w:r>
    </w:p>
    <w:p w14:paraId="07F80850">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）“评标委员会”是依照《中华人民共和国招标投标法》等法规组建的专门负责本次评标工作的临时性机构；</w:t>
      </w:r>
    </w:p>
    <w:p w14:paraId="5163A0C8">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）“中标人”指其投标被招标人接受，并与招标人签订合同的当事人；</w:t>
      </w:r>
    </w:p>
    <w:p w14:paraId="761BE993">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w:t>
      </w:r>
      <w:r>
        <w:rPr>
          <w:rFonts w:hint="eastAsia" w:ascii="宋体" w:hAnsi="宋体" w:eastAsia="宋体" w:cs="Times New Roman"/>
          <w:color w:val="000000" w:themeColor="text1"/>
          <w:kern w:val="0"/>
          <w:szCs w:val="21"/>
          <w:highlight w:val="none"/>
          <w14:textFill>
            <w14:solidFill>
              <w14:schemeClr w14:val="tx1"/>
            </w14:solidFill>
          </w14:textFill>
        </w:rPr>
        <w:t>）“甲方”指在合同条款中指明的购买货物及有关服务的单位，即东莞市水务集团科技发展有限公司；</w:t>
      </w:r>
    </w:p>
    <w:p w14:paraId="27DCB333">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7</w:t>
      </w:r>
      <w:r>
        <w:rPr>
          <w:rFonts w:hint="eastAsia" w:ascii="宋体" w:hAnsi="宋体" w:eastAsia="宋体" w:cs="Times New Roman"/>
          <w:color w:val="000000" w:themeColor="text1"/>
          <w:kern w:val="0"/>
          <w:szCs w:val="21"/>
          <w:highlight w:val="none"/>
          <w14:textFill>
            <w14:solidFill>
              <w14:schemeClr w14:val="tx1"/>
            </w14:solidFill>
          </w14:textFill>
        </w:rPr>
        <w:t>）“乙方”指在合同条款中指明的本合同项下提供货物及有关服务的公司或实体；</w:t>
      </w:r>
    </w:p>
    <w:p w14:paraId="58D37CAC">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8</w:t>
      </w:r>
      <w:r>
        <w:rPr>
          <w:rFonts w:hint="eastAsia" w:ascii="宋体" w:hAnsi="宋体" w:eastAsia="宋体" w:cs="Times New Roman"/>
          <w:color w:val="000000" w:themeColor="text1"/>
          <w:kern w:val="0"/>
          <w:szCs w:val="21"/>
          <w:highlight w:val="none"/>
          <w14:textFill>
            <w14:solidFill>
              <w14:schemeClr w14:val="tx1"/>
            </w14:solidFill>
          </w14:textFill>
        </w:rPr>
        <w:t>）“招标文件”指包括招标公告和招标文件及其补充、变更和澄清等一系列文件；</w:t>
      </w:r>
    </w:p>
    <w:p w14:paraId="4462C7D2">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9</w:t>
      </w:r>
      <w:r>
        <w:rPr>
          <w:rFonts w:hint="eastAsia" w:ascii="宋体" w:hAnsi="宋体" w:eastAsia="宋体" w:cs="Times New Roman"/>
          <w:color w:val="000000" w:themeColor="text1"/>
          <w:kern w:val="0"/>
          <w:szCs w:val="21"/>
          <w:highlight w:val="none"/>
          <w14:textFill>
            <w14:solidFill>
              <w14:schemeClr w14:val="tx1"/>
            </w14:solidFill>
          </w14:textFill>
        </w:rPr>
        <w:t>）“投标文件”指投标人根据本招标文件向招标代理机构提交的全部文件；</w:t>
      </w:r>
    </w:p>
    <w:p w14:paraId="1C98AE5D">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10</w:t>
      </w:r>
      <w:r>
        <w:rPr>
          <w:rFonts w:hint="eastAsia" w:ascii="宋体" w:hAnsi="宋体" w:eastAsia="宋体" w:cs="Times New Roman"/>
          <w:color w:val="000000" w:themeColor="text1"/>
          <w:kern w:val="0"/>
          <w:szCs w:val="21"/>
          <w:highlight w:val="none"/>
          <w14:textFill>
            <w14:solidFill>
              <w14:schemeClr w14:val="tx1"/>
            </w14:solidFill>
          </w14:textFill>
        </w:rPr>
        <w:t>）“书面函件”指手写、打字或印刷的函件，包括电传、电报和传真；</w:t>
      </w:r>
    </w:p>
    <w:p w14:paraId="2865EEEB">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11</w:t>
      </w:r>
      <w:r>
        <w:rPr>
          <w:rFonts w:hint="eastAsia" w:ascii="宋体" w:hAnsi="宋体" w:eastAsia="宋体" w:cs="Times New Roman"/>
          <w:color w:val="000000" w:themeColor="text1"/>
          <w:kern w:val="0"/>
          <w:szCs w:val="21"/>
          <w:highlight w:val="none"/>
          <w14:textFill>
            <w14:solidFill>
              <w14:schemeClr w14:val="tx1"/>
            </w14:solidFill>
          </w14:textFill>
        </w:rPr>
        <w:t>）“合同”指由本次招标所产生的合同或合约文件；</w:t>
      </w:r>
    </w:p>
    <w:p w14:paraId="698B6BA2">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12</w:t>
      </w:r>
      <w:r>
        <w:rPr>
          <w:rFonts w:hint="eastAsia" w:ascii="宋体" w:hAnsi="宋体" w:eastAsia="宋体" w:cs="Times New Roman"/>
          <w:color w:val="000000" w:themeColor="text1"/>
          <w:kern w:val="0"/>
          <w:szCs w:val="21"/>
          <w:highlight w:val="none"/>
          <w14:textFill>
            <w14:solidFill>
              <w14:schemeClr w14:val="tx1"/>
            </w14:solidFill>
          </w14:textFill>
        </w:rPr>
        <w:t>）“日期”指公历日，“时间”指北京时间；</w:t>
      </w:r>
    </w:p>
    <w:p w14:paraId="24AD23E2">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13</w:t>
      </w:r>
      <w:r>
        <w:rPr>
          <w:rFonts w:hint="eastAsia" w:ascii="宋体" w:hAnsi="宋体" w:eastAsia="宋体" w:cs="Times New Roman"/>
          <w:color w:val="000000" w:themeColor="text1"/>
          <w:kern w:val="0"/>
          <w:szCs w:val="21"/>
          <w:highlight w:val="none"/>
          <w14:textFill>
            <w14:solidFill>
              <w14:schemeClr w14:val="tx1"/>
            </w14:solidFill>
          </w14:textFill>
        </w:rPr>
        <w:t>）本招标文件中的“境内”特指中华人民共和国海关关境以内，“境外”特指中华人民共和国海关关境以外；</w:t>
      </w:r>
    </w:p>
    <w:p w14:paraId="21465C83">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14</w:t>
      </w:r>
      <w:r>
        <w:rPr>
          <w:rFonts w:hint="eastAsia" w:ascii="宋体" w:hAnsi="宋体" w:eastAsia="宋体" w:cs="Times New Roman"/>
          <w:color w:val="000000" w:themeColor="text1"/>
          <w:kern w:val="0"/>
          <w:szCs w:val="21"/>
          <w:highlight w:val="none"/>
          <w14:textFill>
            <w14:solidFill>
              <w14:schemeClr w14:val="tx1"/>
            </w14:solidFill>
          </w14:textFill>
        </w:rPr>
        <w:t>）不含税价，即为《中华人民共和国增值税暂行条例》（国务院令第6</w:t>
      </w:r>
      <w:r>
        <w:rPr>
          <w:rFonts w:ascii="宋体" w:hAnsi="宋体" w:eastAsia="宋体" w:cs="Times New Roman"/>
          <w:color w:val="000000" w:themeColor="text1"/>
          <w:kern w:val="0"/>
          <w:szCs w:val="21"/>
          <w:highlight w:val="none"/>
          <w14:textFill>
            <w14:solidFill>
              <w14:schemeClr w14:val="tx1"/>
            </w14:solidFill>
          </w14:textFill>
        </w:rPr>
        <w:t>91</w:t>
      </w:r>
      <w:r>
        <w:rPr>
          <w:rFonts w:hint="eastAsia" w:ascii="宋体" w:hAnsi="宋体" w:eastAsia="宋体" w:cs="Times New Roman"/>
          <w:color w:val="000000" w:themeColor="text1"/>
          <w:kern w:val="0"/>
          <w:szCs w:val="21"/>
          <w:highlight w:val="none"/>
          <w14:textFill>
            <w14:solidFill>
              <w14:schemeClr w14:val="tx1"/>
            </w14:solidFill>
          </w14:textFill>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2357C50A">
      <w:pPr>
        <w:autoSpaceDE w:val="0"/>
        <w:autoSpaceDN w:val="0"/>
        <w:adjustRightInd w:val="0"/>
        <w:spacing w:line="360" w:lineRule="auto"/>
        <w:ind w:left="951" w:leftChars="78" w:hanging="787" w:hangingChars="375"/>
        <w:rPr>
          <w:rFonts w:ascii="宋体" w:hAnsi="宋体" w:eastAsia="宋体" w:cs="宋体"/>
          <w:color w:val="000000" w:themeColor="text1"/>
          <w:szCs w:val="21"/>
          <w:highlight w:val="none"/>
          <w:lang w:val="zh-CN"/>
          <w14:textFill>
            <w14:solidFill>
              <w14:schemeClr w14:val="tx1"/>
            </w14:solidFill>
          </w14:textFill>
        </w:rPr>
      </w:pPr>
    </w:p>
    <w:p w14:paraId="792ED3F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06" w:name="_Toc142508319"/>
      <w:bookmarkStart w:id="107" w:name="_Toc450662855"/>
      <w:bookmarkStart w:id="108" w:name="_Toc486167669"/>
      <w:bookmarkStart w:id="109" w:name="_Toc18010"/>
      <w:bookmarkStart w:id="110" w:name="_Toc18407"/>
      <w:bookmarkStart w:id="111" w:name="_Toc29125_WPSOffice_Level3"/>
      <w:r>
        <w:rPr>
          <w:rFonts w:hint="eastAsia" w:ascii="宋体" w:hAnsi="宋体" w:eastAsia="宋体" w:cs="宋体"/>
          <w:color w:val="000000" w:themeColor="text1"/>
          <w:szCs w:val="21"/>
          <w:highlight w:val="none"/>
          <w:lang w:val="zh-CN"/>
          <w14:textFill>
            <w14:solidFill>
              <w14:schemeClr w14:val="tx1"/>
            </w14:solidFill>
          </w14:textFill>
        </w:rPr>
        <w:t>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招标文件的异议</w:t>
      </w:r>
      <w:bookmarkEnd w:id="106"/>
      <w:bookmarkEnd w:id="107"/>
      <w:bookmarkEnd w:id="108"/>
      <w:bookmarkEnd w:id="109"/>
      <w:bookmarkEnd w:id="110"/>
      <w:bookmarkEnd w:id="111"/>
    </w:p>
    <w:p w14:paraId="14879C6E">
      <w:pPr>
        <w:autoSpaceDE w:val="0"/>
        <w:autoSpaceDN w:val="0"/>
        <w:adjustRightInd w:val="0"/>
        <w:spacing w:line="360" w:lineRule="auto"/>
        <w:ind w:left="288" w:leftChars="137" w:firstLine="420" w:firstLineChars="200"/>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Times New Roman"/>
          <w:bCs/>
          <w:color w:val="000000" w:themeColor="text1"/>
          <w:szCs w:val="21"/>
          <w:highlight w:val="none"/>
          <w:lang w:val="zh-CN"/>
          <w14:textFill>
            <w14:solidFill>
              <w14:schemeClr w14:val="tx1"/>
            </w14:solidFill>
          </w14:textFill>
        </w:rPr>
        <w:t>投标人或者其他利害关系人对招标文件有异议的，应当在投标截止时间10日前</w:t>
      </w:r>
      <w:r>
        <w:rPr>
          <w:rFonts w:ascii="宋体" w:hAnsi="宋体" w:eastAsia="宋体" w:cs="Times New Roman"/>
          <w:color w:val="000000" w:themeColor="text1"/>
          <w:szCs w:val="21"/>
          <w:highlight w:val="none"/>
          <w:lang w:val="zh-CN"/>
          <w14:textFill>
            <w14:solidFill>
              <w14:schemeClr w14:val="tx1"/>
            </w14:solidFill>
          </w14:textFill>
        </w:rPr>
        <w:t>以书面形式向</w:t>
      </w:r>
      <w:r>
        <w:rPr>
          <w:rFonts w:hint="eastAsia" w:ascii="宋体" w:hAnsi="宋体" w:eastAsia="宋体" w:cs="Times New Roman"/>
          <w:color w:val="000000" w:themeColor="text1"/>
          <w:szCs w:val="21"/>
          <w:highlight w:val="none"/>
          <w:lang w:val="zh-CN"/>
          <w14:textFill>
            <w14:solidFill>
              <w14:schemeClr w14:val="tx1"/>
            </w14:solidFill>
          </w14:textFill>
        </w:rPr>
        <w:t>招标代理机构</w:t>
      </w:r>
      <w:r>
        <w:rPr>
          <w:rFonts w:ascii="宋体" w:hAnsi="宋体" w:eastAsia="宋体" w:cs="Times New Roman"/>
          <w:color w:val="000000" w:themeColor="text1"/>
          <w:szCs w:val="21"/>
          <w:highlight w:val="none"/>
          <w:lang w:val="zh-CN"/>
          <w14:textFill>
            <w14:solidFill>
              <w14:schemeClr w14:val="tx1"/>
            </w14:solidFill>
          </w14:textFill>
        </w:rPr>
        <w:t>提出</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w:t>
      </w:r>
      <w:r>
        <w:rPr>
          <w:rFonts w:ascii="宋体" w:hAnsi="宋体" w:eastAsia="宋体" w:cs="Times New Roman"/>
          <w:color w:val="000000" w:themeColor="text1"/>
          <w:szCs w:val="21"/>
          <w:highlight w:val="none"/>
          <w:lang w:val="zh-CN"/>
          <w14:textFill>
            <w14:solidFill>
              <w14:schemeClr w14:val="tx1"/>
            </w14:solidFill>
          </w14:textFill>
        </w:rPr>
        <w:t>招标文件所有内容</w:t>
      </w:r>
      <w:r>
        <w:rPr>
          <w:rFonts w:hint="eastAsia" w:ascii="宋体" w:hAnsi="宋体" w:eastAsia="宋体" w:cs="Times New Roman"/>
          <w:color w:val="000000" w:themeColor="text1"/>
          <w:szCs w:val="21"/>
          <w:highlight w:val="none"/>
          <w:lang w:val="zh-CN"/>
          <w14:textFill>
            <w14:solidFill>
              <w14:schemeClr w14:val="tx1"/>
            </w14:solidFill>
          </w14:textFill>
        </w:rPr>
        <w:t>无异议</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异议</w:t>
      </w:r>
      <w:r>
        <w:rPr>
          <w:rFonts w:hint="eastAsia" w:ascii="宋体" w:hAnsi="宋体" w:eastAsia="宋体" w:cs="Times New Roman"/>
          <w:color w:val="000000" w:themeColor="text1"/>
          <w:szCs w:val="21"/>
          <w:highlight w:val="none"/>
          <w:lang w:val="zh-CN"/>
          <w14:textFill>
            <w14:solidFill>
              <w14:schemeClr w14:val="tx1"/>
            </w14:solidFill>
          </w14:textFill>
        </w:rPr>
        <w:t>书面材料必须</w:t>
      </w:r>
      <w:r>
        <w:rPr>
          <w:rFonts w:ascii="宋体" w:hAnsi="宋体" w:eastAsia="宋体" w:cs="Times New Roman"/>
          <w:color w:val="000000" w:themeColor="text1"/>
          <w:szCs w:val="21"/>
          <w:highlight w:val="none"/>
          <w:lang w:val="zh-CN"/>
          <w14:textFill>
            <w14:solidFill>
              <w14:schemeClr w14:val="tx1"/>
            </w14:solidFill>
          </w14:textFill>
        </w:rPr>
        <w:t>加盖投标人</w:t>
      </w:r>
      <w:r>
        <w:rPr>
          <w:rFonts w:hint="eastAsia" w:ascii="宋体" w:hAnsi="宋体" w:eastAsia="宋体" w:cs="Times New Roman"/>
          <w:color w:val="000000" w:themeColor="text1"/>
          <w:szCs w:val="21"/>
          <w:highlight w:val="none"/>
          <w:lang w:val="zh-CN"/>
          <w14:textFill>
            <w14:solidFill>
              <w14:schemeClr w14:val="tx1"/>
            </w14:solidFill>
          </w14:textFill>
        </w:rPr>
        <w:t>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w:t>
      </w:r>
      <w:r>
        <w:rPr>
          <w:rFonts w:hint="eastAsia" w:ascii="宋体" w:hAnsi="宋体" w:eastAsia="宋体" w:cs="Times New Roman"/>
          <w:bCs/>
          <w:color w:val="000000" w:themeColor="text1"/>
          <w:szCs w:val="21"/>
          <w:highlight w:val="none"/>
          <w:lang w:val="zh-CN"/>
          <w14:textFill>
            <w14:solidFill>
              <w14:schemeClr w14:val="tx1"/>
            </w14:solidFill>
          </w14:textFill>
        </w:rPr>
        <w:t>超出</w:t>
      </w:r>
      <w:r>
        <w:rPr>
          <w:rFonts w:hint="eastAsia" w:ascii="宋体" w:hAnsi="宋体" w:eastAsia="宋体" w:cs="Times New Roman"/>
          <w:color w:val="000000" w:themeColor="text1"/>
          <w:szCs w:val="21"/>
          <w:highlight w:val="none"/>
          <w:lang w:val="zh-CN"/>
          <w14:textFill>
            <w14:solidFill>
              <w14:schemeClr w14:val="tx1"/>
            </w14:solidFill>
          </w14:textFill>
        </w:rPr>
        <w:t>提交接收异议截止时间而</w:t>
      </w:r>
      <w:r>
        <w:rPr>
          <w:rFonts w:hint="eastAsia" w:ascii="宋体" w:hAnsi="宋体" w:eastAsia="宋体" w:cs="Times New Roman"/>
          <w:bCs/>
          <w:color w:val="000000" w:themeColor="text1"/>
          <w:szCs w:val="21"/>
          <w:highlight w:val="none"/>
          <w:lang w:val="zh-CN"/>
          <w14:textFill>
            <w14:solidFill>
              <w14:schemeClr w14:val="tx1"/>
            </w14:solidFill>
          </w14:textFill>
        </w:rPr>
        <w:t>提出的任何疑问，招标代理机构可不予答复。</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投标人必须在投标文件中提供投标承诺书（格式详见第六篇投标文件格式）</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3188E3D4">
      <w:pPr>
        <w:autoSpaceDE w:val="0"/>
        <w:autoSpaceDN w:val="0"/>
        <w:adjustRightInd w:val="0"/>
        <w:spacing w:line="360" w:lineRule="auto"/>
        <w:ind w:left="290" w:leftChars="137" w:hanging="2" w:hangingChars="1"/>
        <w:rPr>
          <w:rFonts w:ascii="宋体" w:hAnsi="宋体" w:eastAsia="宋体" w:cs="宋体"/>
          <w:b/>
          <w:bCs/>
          <w:color w:val="000000" w:themeColor="text1"/>
          <w:szCs w:val="21"/>
          <w:highlight w:val="none"/>
          <w:lang w:val="zh-CN"/>
          <w14:textFill>
            <w14:solidFill>
              <w14:schemeClr w14:val="tx1"/>
            </w14:solidFill>
          </w14:textFill>
        </w:rPr>
      </w:pPr>
    </w:p>
    <w:p w14:paraId="6B991AD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12" w:name="_Toc26320"/>
      <w:bookmarkStart w:id="113" w:name="_Toc450662856"/>
      <w:bookmarkStart w:id="114" w:name="_Toc486167670"/>
      <w:bookmarkStart w:id="115" w:name="_Toc142508320"/>
      <w:bookmarkStart w:id="116" w:name="_Toc23483_WPSOffice_Level3"/>
      <w:bookmarkStart w:id="117" w:name="_Toc19059"/>
      <w:r>
        <w:rPr>
          <w:rFonts w:hint="eastAsia" w:ascii="宋体" w:hAnsi="宋体" w:eastAsia="宋体" w:cs="宋体"/>
          <w:color w:val="000000" w:themeColor="text1"/>
          <w:szCs w:val="21"/>
          <w:highlight w:val="none"/>
          <w:lang w:val="zh-CN"/>
          <w14:textFill>
            <w14:solidFill>
              <w14:schemeClr w14:val="tx1"/>
            </w14:solidFill>
          </w14:textFill>
        </w:rPr>
        <w:t>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招标文件的澄清及修改</w:t>
      </w:r>
      <w:bookmarkEnd w:id="112"/>
      <w:bookmarkEnd w:id="113"/>
      <w:bookmarkEnd w:id="114"/>
      <w:bookmarkEnd w:id="115"/>
      <w:bookmarkEnd w:id="116"/>
      <w:bookmarkEnd w:id="117"/>
      <w:bookmarkStart w:id="118" w:name="OLE_LINK8"/>
    </w:p>
    <w:p w14:paraId="6BA8DB90">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7.1  招标代理机构对已发出的招标文件进行必要澄清或者修改的，将在招标文件要求提交投标文件截止时间1</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日前，在招标信息发布媒介上发布更正公告，请各投标人密切留意。该澄清或者修改的内容为招标文件的组成部分。</w:t>
      </w:r>
    </w:p>
    <w:p w14:paraId="47FC1B92">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项目特定情况下，招标代理机构必须延长投标截止时间和开标时间时，将在招标文件要求提交投标文件的截止时间前，在招标信息发布媒介上发布变更公告。</w:t>
      </w:r>
    </w:p>
    <w:p w14:paraId="2DBA9E69">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7.3  招标文件的修改、补充通知在</w:t>
      </w:r>
      <w:r>
        <w:rPr>
          <w:rFonts w:hint="eastAsia" w:ascii="宋体" w:hAnsi="宋体" w:eastAsia="宋体" w:cs="Times New Roman"/>
          <w:bCs/>
          <w:color w:val="000000" w:themeColor="text1"/>
          <w:szCs w:val="21"/>
          <w:highlight w:val="none"/>
          <w14:textFill>
            <w14:solidFill>
              <w14:schemeClr w14:val="tx1"/>
            </w14:solidFill>
          </w14:textFill>
        </w:rPr>
        <w:t>广东省公共资源交易平台（ygp.gdzwfw.gov.cn）、</w:t>
      </w:r>
      <w:r>
        <w:rPr>
          <w:rFonts w:ascii="宋体" w:hAnsi="宋体" w:eastAsia="宋体" w:cs="Times New Roman"/>
          <w:color w:val="000000" w:themeColor="text1"/>
          <w:szCs w:val="21"/>
          <w:highlight w:val="none"/>
          <w:lang w:val="zh-CN"/>
          <w14:textFill>
            <w14:solidFill>
              <w14:schemeClr w14:val="tx1"/>
            </w14:solidFill>
          </w14:textFill>
        </w:rPr>
        <w:t>中国招标投标公共服务平台</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"http://www.cebpubservice.com）、广东省招标投标监管" </w:instrText>
      </w:r>
      <w:r>
        <w:rPr>
          <w:color w:val="000000" w:themeColor="text1"/>
          <w:highlight w:val="none"/>
          <w14:textFill>
            <w14:solidFill>
              <w14:schemeClr w14:val="tx1"/>
            </w14:solidFill>
          </w14:textFill>
        </w:rPr>
        <w:fldChar w:fldCharType="separate"/>
      </w:r>
      <w:r>
        <w:rPr>
          <w:rFonts w:ascii="宋体" w:hAnsi="宋体" w:eastAsia="宋体" w:cs="Times New Roman"/>
          <w:color w:val="000000" w:themeColor="text1"/>
          <w:szCs w:val="21"/>
          <w:highlight w:val="none"/>
          <w14:textFill>
            <w14:solidFill>
              <w14:schemeClr w14:val="tx1"/>
            </w14:solidFill>
          </w14:textFill>
        </w:rPr>
        <w:t>www.cebpubservice.com）</w:t>
      </w:r>
      <w:r>
        <w:rPr>
          <w:rFonts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fldChar w:fldCharType="end"/>
      </w:r>
      <w:r>
        <w:rPr>
          <w:rFonts w:ascii="宋体" w:hAnsi="宋体" w:eastAsia="宋体" w:cs="Times New Roman"/>
          <w:color w:val="000000" w:themeColor="text1"/>
          <w:szCs w:val="21"/>
          <w:highlight w:val="none"/>
          <w:lang w:val="zh-CN"/>
          <w14:textFill>
            <w14:solidFill>
              <w14:schemeClr w14:val="tx1"/>
            </w14:solidFill>
          </w14:textFill>
        </w:rPr>
        <w:t>东莞市水务集团有限公司网</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"file:///D:\\微信文档\\WeChat%20Files\\wangjun8283\\FileStorage\\File\\2024-09\\www.dgswjt.cn）、招标代理公司网站（http:\\%20%20%20%20%20%20%20%20%20%20%20%20%20%20）" </w:instrText>
      </w:r>
      <w:r>
        <w:rPr>
          <w:color w:val="000000" w:themeColor="text1"/>
          <w:highlight w:val="none"/>
          <w14:textFill>
            <w14:solidFill>
              <w14:schemeClr w14:val="tx1"/>
            </w14:solidFill>
          </w14:textFill>
        </w:rPr>
        <w:fldChar w:fldCharType="separate"/>
      </w:r>
      <w:r>
        <w:rPr>
          <w:rStyle w:val="43"/>
          <w:rFonts w:ascii="宋体" w:hAnsi="宋体" w:eastAsia="宋体" w:cs="Times New Roman"/>
          <w:color w:val="000000" w:themeColor="text1"/>
          <w:sz w:val="21"/>
          <w:szCs w:val="21"/>
          <w:highlight w:val="none"/>
          <w14:textFill>
            <w14:solidFill>
              <w14:schemeClr w14:val="tx1"/>
            </w14:solidFill>
          </w14:textFill>
        </w:rPr>
        <w:t>www.dgswjt.cn）</w:t>
      </w:r>
      <w:r>
        <w:rPr>
          <w:rStyle w:val="43"/>
          <w:rFonts w:ascii="宋体" w:hAnsi="宋体" w:eastAsia="宋体" w:cs="Times New Roman"/>
          <w:color w:val="000000" w:themeColor="text1"/>
          <w:sz w:val="21"/>
          <w:szCs w:val="21"/>
          <w:highlight w:val="none"/>
          <w:lang w:val="zh-CN"/>
          <w14:textFill>
            <w14:solidFill>
              <w14:schemeClr w14:val="tx1"/>
            </w14:solidFill>
          </w14:textFill>
        </w:rPr>
        <w:t>、</w:t>
      </w:r>
      <w:r>
        <w:rPr>
          <w:rStyle w:val="43"/>
          <w:rFonts w:hint="eastAsia" w:ascii="宋体" w:hAnsi="宋体" w:eastAsia="宋体" w:cs="Times New Roman"/>
          <w:bCs/>
          <w:color w:val="000000" w:themeColor="text1"/>
          <w:kern w:val="0"/>
          <w:sz w:val="21"/>
          <w:szCs w:val="21"/>
          <w:highlight w:val="none"/>
          <w14:textFill>
            <w14:solidFill>
              <w14:schemeClr w14:val="tx1"/>
            </w14:solidFill>
          </w14:textFill>
        </w:rPr>
        <w:t>招标代理机构网站（www.gzjc.com.cn</w:t>
      </w:r>
      <w:r>
        <w:rPr>
          <w:rStyle w:val="43"/>
          <w:rFonts w:ascii="宋体" w:hAnsi="宋体" w:eastAsia="宋体" w:cs="Times New Roman"/>
          <w:bCs/>
          <w:color w:val="000000" w:themeColor="text1"/>
          <w:kern w:val="0"/>
          <w:sz w:val="21"/>
          <w:szCs w:val="21"/>
          <w:highlight w:val="none"/>
          <w14:textFill>
            <w14:solidFill>
              <w14:schemeClr w14:val="tx1"/>
            </w14:solidFill>
          </w14:textFill>
        </w:rPr>
        <w:t>）</w:t>
      </w:r>
      <w:r>
        <w:rPr>
          <w:rStyle w:val="43"/>
          <w:rFonts w:ascii="宋体" w:hAnsi="宋体" w:eastAsia="宋体" w:cs="Times New Roman"/>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lang w:val="zh-CN"/>
          <w14:textFill>
            <w14:solidFill>
              <w14:schemeClr w14:val="tx1"/>
            </w14:solidFill>
          </w14:textFill>
        </w:rPr>
        <w:t>公布，请各投标人密切留意。</w:t>
      </w:r>
    </w:p>
    <w:bookmarkEnd w:id="118"/>
    <w:p w14:paraId="6B5BEAF9">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p>
    <w:p w14:paraId="40524193">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119" w:name="_Toc142508321"/>
      <w:bookmarkStart w:id="120" w:name="_Toc29659_WPSOffice_Level2"/>
      <w:bookmarkStart w:id="121" w:name="_Toc22975"/>
      <w:bookmarkStart w:id="122" w:name="_Toc450662857"/>
      <w:bookmarkStart w:id="123" w:name="_Toc140596880"/>
      <w:bookmarkStart w:id="124" w:name="_Toc486167671"/>
      <w:bookmarkStart w:id="125" w:name="_Toc6039"/>
      <w:r>
        <w:rPr>
          <w:rFonts w:hint="eastAsia" w:ascii="宋体" w:hAnsi="宋体" w:eastAsia="宋体" w:cs="宋体"/>
          <w:b/>
          <w:bCs/>
          <w:color w:val="000000" w:themeColor="text1"/>
          <w:kern w:val="44"/>
          <w:szCs w:val="21"/>
          <w:highlight w:val="none"/>
          <w:lang w:val="zh-CN"/>
          <w14:textFill>
            <w14:solidFill>
              <w14:schemeClr w14:val="tx1"/>
            </w14:solidFill>
          </w14:textFill>
        </w:rPr>
        <w:t>三、投标文件的编制</w:t>
      </w:r>
      <w:bookmarkEnd w:id="119"/>
      <w:bookmarkEnd w:id="120"/>
      <w:bookmarkEnd w:id="121"/>
      <w:bookmarkEnd w:id="122"/>
      <w:bookmarkEnd w:id="123"/>
      <w:bookmarkEnd w:id="124"/>
      <w:bookmarkEnd w:id="125"/>
    </w:p>
    <w:p w14:paraId="2EAA8CA1">
      <w:pPr>
        <w:tabs>
          <w:tab w:val="left" w:pos="67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26" w:name="_Toc14598"/>
      <w:bookmarkStart w:id="127" w:name="_Toc450662858"/>
      <w:bookmarkStart w:id="128" w:name="_Toc142508322"/>
      <w:bookmarkStart w:id="129" w:name="_Toc25773"/>
      <w:bookmarkStart w:id="130" w:name="_Toc10015_WPSOffice_Level3"/>
      <w:bookmarkStart w:id="131" w:name="_Toc486167672"/>
      <w:r>
        <w:rPr>
          <w:rFonts w:hint="eastAsia" w:ascii="宋体" w:hAnsi="宋体" w:eastAsia="宋体" w:cs="宋体"/>
          <w:color w:val="000000" w:themeColor="text1"/>
          <w:szCs w:val="21"/>
          <w:highlight w:val="none"/>
          <w:lang w:val="zh-CN"/>
          <w14:textFill>
            <w14:solidFill>
              <w14:schemeClr w14:val="tx1"/>
            </w14:solidFill>
          </w14:textFill>
        </w:rPr>
        <w:t>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投标使用的文字及度量衡单位</w:t>
      </w:r>
      <w:bookmarkEnd w:id="126"/>
      <w:bookmarkEnd w:id="127"/>
      <w:bookmarkEnd w:id="128"/>
      <w:bookmarkEnd w:id="129"/>
      <w:bookmarkEnd w:id="130"/>
      <w:bookmarkEnd w:id="131"/>
    </w:p>
    <w:p w14:paraId="5FE1C95D">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8.1  投标人的投标文件以及投标人与招标代理机构就有关投标的所有往来函电均应使用简体中文。</w:t>
      </w:r>
    </w:p>
    <w:p w14:paraId="73F6DC8F">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8.2  投标文件使用的度量衡单位采用中华人民共和国法定计量单位。</w:t>
      </w:r>
    </w:p>
    <w:p w14:paraId="607849BE">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14:paraId="01B1D82B">
      <w:pPr>
        <w:tabs>
          <w:tab w:val="left" w:pos="540"/>
        </w:tabs>
        <w:autoSpaceDE w:val="0"/>
        <w:autoSpaceDN w:val="0"/>
        <w:adjustRightInd w:val="0"/>
        <w:spacing w:line="360" w:lineRule="auto"/>
        <w:ind w:left="357" w:leftChars="-100" w:hanging="567"/>
        <w:jc w:val="left"/>
        <w:outlineLvl w:val="2"/>
        <w:rPr>
          <w:rFonts w:ascii="宋体" w:hAnsi="宋体" w:eastAsia="宋体" w:cs="宋体"/>
          <w:color w:val="000000" w:themeColor="text1"/>
          <w:sz w:val="24"/>
          <w:szCs w:val="24"/>
          <w:highlight w:val="none"/>
          <w:lang w:val="zh-CN"/>
          <w14:textFill>
            <w14:solidFill>
              <w14:schemeClr w14:val="tx1"/>
            </w14:solidFill>
          </w14:textFill>
        </w:rPr>
      </w:pPr>
      <w:bookmarkStart w:id="132" w:name="_Toc142508323"/>
      <w:bookmarkStart w:id="133" w:name="_Toc24916_WPSOffice_Level3"/>
      <w:bookmarkStart w:id="134" w:name="_Toc450662859"/>
      <w:bookmarkStart w:id="135" w:name="_Toc486167673"/>
      <w:bookmarkStart w:id="136" w:name="_Toc1879"/>
      <w:bookmarkStart w:id="137" w:name="_Toc5090"/>
      <w:r>
        <w:rPr>
          <w:rFonts w:hint="eastAsia" w:ascii="宋体" w:hAnsi="宋体" w:eastAsia="宋体" w:cs="宋体"/>
          <w:color w:val="000000" w:themeColor="text1"/>
          <w:szCs w:val="21"/>
          <w:highlight w:val="none"/>
          <w:lang w:val="zh-CN"/>
          <w14:textFill>
            <w14:solidFill>
              <w14:schemeClr w14:val="tx1"/>
            </w14:solidFill>
          </w14:textFill>
        </w:rPr>
        <w:t>9</w:t>
      </w:r>
      <w:r>
        <w:rPr>
          <w:rFonts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bookmarkEnd w:id="132"/>
      <w:bookmarkEnd w:id="133"/>
      <w:bookmarkEnd w:id="134"/>
      <w:bookmarkEnd w:id="135"/>
      <w:bookmarkEnd w:id="136"/>
      <w:bookmarkEnd w:id="137"/>
    </w:p>
    <w:p w14:paraId="1EBE8A71">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9.1  </w:t>
      </w:r>
      <w:r>
        <w:rPr>
          <w:rFonts w:hint="eastAsia" w:ascii="宋体" w:hAnsi="宋体" w:eastAsia="宋体" w:cs="宋体"/>
          <w:color w:val="000000" w:themeColor="text1"/>
          <w:kern w:val="0"/>
          <w:szCs w:val="24"/>
          <w:highlight w:val="none"/>
          <w14:textFill>
            <w14:solidFill>
              <w14:schemeClr w14:val="tx1"/>
            </w14:solidFill>
          </w14:textFill>
        </w:rPr>
        <w:t>投标文件的组成：</w:t>
      </w:r>
      <w:r>
        <w:rPr>
          <w:rFonts w:hint="eastAsia" w:ascii="宋体" w:hAnsi="宋体" w:eastAsia="宋体" w:cs="Times New Roman"/>
          <w:b/>
          <w:color w:val="000000" w:themeColor="text1"/>
          <w:kern w:val="0"/>
          <w:szCs w:val="21"/>
          <w:highlight w:val="none"/>
          <w:u w:val="single"/>
          <w14:textFill>
            <w14:solidFill>
              <w14:schemeClr w14:val="tx1"/>
            </w14:solidFill>
          </w14:textFill>
        </w:rPr>
        <w:t>商务文件、技术文件由投标人根据各自文件的实际情况决定是否分册装订，招标文件不做限制</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0ED1D9F6">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9.1.1 商务文件：</w:t>
      </w:r>
    </w:p>
    <w:p w14:paraId="23A372BC">
      <w:pPr>
        <w:autoSpaceDE w:val="0"/>
        <w:autoSpaceDN w:val="0"/>
        <w:adjustRightInd w:val="0"/>
        <w:spacing w:line="360" w:lineRule="auto"/>
        <w:jc w:val="left"/>
        <w:rPr>
          <w:rFonts w:ascii="宋体" w:hAnsi="宋体" w:eastAsia="宋体" w:cs="Times New Roman"/>
          <w:b/>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lang w:val="zh-CN"/>
          <w14:textFill>
            <w14:solidFill>
              <w14:schemeClr w14:val="tx1"/>
            </w14:solidFill>
          </w14:textFill>
        </w:rPr>
        <w:t>目录：</w:t>
      </w:r>
    </w:p>
    <w:p w14:paraId="50754AE5">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（1）投标函；</w:t>
      </w:r>
    </w:p>
    <w:p w14:paraId="3EC720A9">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（2）投标承诺书；</w:t>
      </w:r>
    </w:p>
    <w:p w14:paraId="783CDBB1">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）供货及/或提供服务过程承诺函；</w:t>
      </w:r>
    </w:p>
    <w:p w14:paraId="51C50F82">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）投标报价表(含投标报价表</w:t>
      </w:r>
      <w:r>
        <w:rPr>
          <w:rFonts w:ascii="宋体" w:hAnsi="宋体" w:eastAsia="宋体" w:cs="宋体"/>
          <w:color w:val="000000" w:themeColor="text1"/>
          <w:szCs w:val="21"/>
          <w:highlight w:val="none"/>
          <w:lang w:val="zh-CN"/>
          <w14:textFill>
            <w14:solidFill>
              <w14:schemeClr w14:val="tx1"/>
            </w14:solidFill>
          </w14:textFill>
        </w:rPr>
        <w:t>和分项</w:t>
      </w:r>
      <w:r>
        <w:rPr>
          <w:rFonts w:hint="eastAsia" w:ascii="宋体" w:hAnsi="宋体" w:eastAsia="宋体" w:cs="宋体"/>
          <w:color w:val="000000" w:themeColor="text1"/>
          <w:szCs w:val="21"/>
          <w:highlight w:val="none"/>
          <w:lang w:val="zh-CN"/>
          <w14:textFill>
            <w14:solidFill>
              <w14:schemeClr w14:val="tx1"/>
            </w14:solidFill>
          </w14:textFill>
        </w:rPr>
        <w:t>报价</w:t>
      </w:r>
      <w:r>
        <w:rPr>
          <w:rFonts w:ascii="宋体" w:hAnsi="宋体" w:eastAsia="宋体" w:cs="宋体"/>
          <w:color w:val="000000" w:themeColor="text1"/>
          <w:szCs w:val="21"/>
          <w:highlight w:val="none"/>
          <w:lang w:val="zh-CN"/>
          <w14:textFill>
            <w14:solidFill>
              <w14:schemeClr w14:val="tx1"/>
            </w14:solidFill>
          </w14:textFill>
        </w:rPr>
        <w:t>表</w:t>
      </w:r>
      <w:r>
        <w:rPr>
          <w:rFonts w:hint="eastAsia" w:ascii="宋体" w:hAnsi="宋体" w:eastAsia="宋体" w:cs="宋体"/>
          <w:color w:val="000000" w:themeColor="text1"/>
          <w:szCs w:val="21"/>
          <w:highlight w:val="none"/>
          <w:lang w:val="zh-CN"/>
          <w14:textFill>
            <w14:solidFill>
              <w14:schemeClr w14:val="tx1"/>
            </w14:solidFill>
          </w14:textFill>
        </w:rPr>
        <w:t>)；</w:t>
      </w:r>
    </w:p>
    <w:p w14:paraId="0FF0D1F6">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）投标人资格证明文件：</w:t>
      </w:r>
    </w:p>
    <w:p w14:paraId="24B374C7">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1）多证合一营业执照</w:t>
      </w:r>
      <w:r>
        <w:rPr>
          <w:rFonts w:hint="eastAsia" w:ascii="宋体" w:hAnsi="宋体" w:eastAsia="宋体" w:cs="Times New Roman"/>
          <w:color w:val="000000" w:themeColor="text1"/>
          <w:kern w:val="0"/>
          <w:szCs w:val="21"/>
          <w:highlight w:val="none"/>
          <w14:textFill>
            <w14:solidFill>
              <w14:schemeClr w14:val="tx1"/>
            </w14:solidFill>
          </w14:textFill>
        </w:rPr>
        <w:t>（或事业单位法人证书）</w:t>
      </w:r>
      <w:r>
        <w:rPr>
          <w:rFonts w:ascii="宋体" w:hAnsi="宋体" w:eastAsia="宋体" w:cs="Times New Roman"/>
          <w:color w:val="000000" w:themeColor="text1"/>
          <w:szCs w:val="21"/>
          <w:highlight w:val="none"/>
          <w:lang w:val="zh-CN"/>
          <w14:textFill>
            <w14:solidFill>
              <w14:schemeClr w14:val="tx1"/>
            </w14:solidFill>
          </w14:textFill>
        </w:rPr>
        <w:t>复印件；</w:t>
      </w:r>
    </w:p>
    <w:p w14:paraId="1393C8CB">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开户许可证（基本存款账户）复印件</w:t>
      </w:r>
      <w:r>
        <w:rPr>
          <w:rFonts w:hint="eastAsia" w:ascii="宋体" w:hAnsi="宋体" w:eastAsia="宋体" w:cs="Times New Roman"/>
          <w:color w:val="000000" w:themeColor="text1"/>
          <w:szCs w:val="21"/>
          <w:highlight w:val="none"/>
          <w:lang w:val="zh-CN"/>
          <w14:textFill>
            <w14:solidFill>
              <w14:schemeClr w14:val="tx1"/>
            </w14:solidFill>
          </w14:textFill>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000000" w:themeColor="text1"/>
          <w:szCs w:val="21"/>
          <w:highlight w:val="none"/>
          <w:lang w:val="zh-CN"/>
          <w14:textFill>
            <w14:solidFill>
              <w14:schemeClr w14:val="tx1"/>
            </w14:solidFill>
          </w14:textFill>
        </w:rPr>
        <w:t>；</w:t>
      </w:r>
    </w:p>
    <w:p w14:paraId="278AC6B3">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ascii="宋体" w:hAnsi="宋体" w:eastAsia="宋体" w:cs="Times New Roman"/>
          <w:color w:val="000000" w:themeColor="text1"/>
          <w:szCs w:val="21"/>
          <w:highlight w:val="none"/>
          <w:lang w:val="zh-CN"/>
          <w14:textFill>
            <w14:solidFill>
              <w14:schemeClr w14:val="tx1"/>
            </w14:solidFill>
          </w14:textFill>
        </w:rPr>
        <w:t>）法定代表人身份证明书和法定代表人授权书原件（法定代表人投标时只提供法定代表人身份证明书，委托</w:t>
      </w:r>
      <w:r>
        <w:rPr>
          <w:rFonts w:ascii="宋体" w:hAnsi="宋体" w:eastAsia="宋体" w:cs="Times New Roman"/>
          <w:color w:val="000000" w:themeColor="text1"/>
          <w:szCs w:val="21"/>
          <w:highlight w:val="none"/>
          <w14:textFill>
            <w14:solidFill>
              <w14:schemeClr w14:val="tx1"/>
            </w14:solidFill>
          </w14:textFill>
        </w:rPr>
        <w:t>他人</w:t>
      </w:r>
      <w:r>
        <w:rPr>
          <w:rFonts w:ascii="宋体" w:hAnsi="宋体" w:eastAsia="宋体" w:cs="Times New Roman"/>
          <w:color w:val="000000" w:themeColor="text1"/>
          <w:szCs w:val="21"/>
          <w:highlight w:val="none"/>
          <w:lang w:val="zh-CN"/>
          <w14:textFill>
            <w14:solidFill>
              <w14:schemeClr w14:val="tx1"/>
            </w14:solidFill>
          </w14:textFill>
        </w:rPr>
        <w:t>为投标代表时同时提供法定代表人授权书）；</w:t>
      </w:r>
    </w:p>
    <w:p w14:paraId="11F5884A">
      <w:pPr>
        <w:tabs>
          <w:tab w:val="left" w:pos="1276"/>
        </w:tabs>
        <w:spacing w:line="360" w:lineRule="auto"/>
        <w:ind w:left="283" w:hanging="283" w:hangingChars="135"/>
        <w:rPr>
          <w:rFonts w:ascii="宋体" w:hAnsi="宋体" w:eastAsia="宋体" w:cs="Times New Roman"/>
          <w:color w:val="000000" w:themeColor="text1"/>
          <w:szCs w:val="21"/>
          <w:highlight w:val="none"/>
          <w14:textFill>
            <w14:solidFill>
              <w14:schemeClr w14:val="tx1"/>
            </w14:solidFill>
          </w14:textFill>
        </w:rPr>
      </w:pPr>
      <w:bookmarkStart w:id="138" w:name="OLE_LINK400"/>
      <w:r>
        <w:rPr>
          <w:rFonts w:hint="eastAsia" w:ascii="宋体" w:hAnsi="宋体" w:eastAsia="宋体" w:cs="Times New Roman"/>
          <w:color w:val="000000" w:themeColor="text1"/>
          <w:szCs w:val="21"/>
          <w:highlight w:val="none"/>
          <w14:textFill>
            <w14:solidFill>
              <w14:schemeClr w14:val="tx1"/>
            </w14:solidFill>
          </w14:textFill>
        </w:rPr>
        <w:t>4）</w:t>
      </w:r>
      <w:bookmarkStart w:id="139" w:name="OLE_LINK401"/>
      <w:r>
        <w:rPr>
          <w:rFonts w:hint="eastAsia" w:ascii="宋体" w:hAnsi="宋体" w:eastAsia="宋体" w:cs="Times New Roman"/>
          <w:color w:val="000000" w:themeColor="text1"/>
          <w:szCs w:val="21"/>
          <w:highlight w:val="none"/>
          <w14:textFill>
            <w14:solidFill>
              <w14:schemeClr w14:val="tx1"/>
            </w14:solidFill>
          </w14:textFill>
        </w:rPr>
        <w:t>本项目的特定</w:t>
      </w:r>
      <w:bookmarkStart w:id="140" w:name="OLE_LINK159"/>
      <w:r>
        <w:rPr>
          <w:rFonts w:hint="eastAsia" w:ascii="宋体" w:hAnsi="宋体" w:eastAsia="宋体" w:cs="Times New Roman"/>
          <w:color w:val="000000" w:themeColor="text1"/>
          <w:szCs w:val="21"/>
          <w:highlight w:val="none"/>
          <w14:textFill>
            <w14:solidFill>
              <w14:schemeClr w14:val="tx1"/>
            </w14:solidFill>
          </w14:textFill>
        </w:rPr>
        <w:t>资格要</w:t>
      </w:r>
      <w:bookmarkEnd w:id="140"/>
      <w:r>
        <w:rPr>
          <w:rFonts w:hint="eastAsia" w:ascii="宋体" w:hAnsi="宋体" w:eastAsia="宋体" w:cs="Times New Roman"/>
          <w:color w:val="000000" w:themeColor="text1"/>
          <w:szCs w:val="21"/>
          <w:highlight w:val="none"/>
          <w14:textFill>
            <w14:solidFill>
              <w14:schemeClr w14:val="tx1"/>
            </w14:solidFill>
          </w14:textFill>
        </w:rPr>
        <w:t>求</w:t>
      </w:r>
      <w:bookmarkEnd w:id="139"/>
      <w:r>
        <w:rPr>
          <w:rFonts w:hint="eastAsia" w:ascii="宋体" w:hAnsi="宋体" w:eastAsia="宋体" w:cs="Times New Roman"/>
          <w:color w:val="000000" w:themeColor="text1"/>
          <w:szCs w:val="21"/>
          <w:highlight w:val="none"/>
          <w14:textFill>
            <w14:solidFill>
              <w14:schemeClr w14:val="tx1"/>
            </w14:solidFill>
          </w14:textFill>
        </w:rPr>
        <w:t>：</w:t>
      </w:r>
      <w:bookmarkStart w:id="141" w:name="OLE_LINK403"/>
      <w:r>
        <w:rPr>
          <w:rFonts w:hint="eastAsia"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供货安装</w:t>
      </w:r>
      <w:r>
        <w:rPr>
          <w:rFonts w:hint="eastAsia" w:ascii="宋体" w:hAnsi="宋体" w:eastAsia="宋体" w:cs="Times New Roman"/>
          <w:color w:val="000000" w:themeColor="text1"/>
          <w:szCs w:val="21"/>
          <w:highlight w:val="none"/>
          <w:lang w:val="zh-CN"/>
          <w14:textFill>
            <w14:solidFill>
              <w14:schemeClr w14:val="tx1"/>
            </w14:solidFill>
          </w14:textFill>
        </w:rPr>
        <w:t>资质：①具有以下其中一种资质：a）电力工程施工总承包</w:t>
      </w:r>
      <w:r>
        <w:rPr>
          <w:rFonts w:hint="eastAsia" w:ascii="宋体" w:hAnsi="宋体" w:eastAsia="宋体" w:cs="Times New Roman"/>
          <w:color w:val="000000" w:themeColor="text1"/>
          <w:szCs w:val="21"/>
          <w:highlight w:val="none"/>
          <w14:textFill>
            <w14:solidFill>
              <w14:schemeClr w14:val="tx1"/>
            </w14:solidFill>
          </w14:textFill>
        </w:rPr>
        <w:t>乙级</w:t>
      </w:r>
      <w:r>
        <w:rPr>
          <w:rFonts w:hint="eastAsia" w:ascii="宋体" w:hAnsi="宋体" w:eastAsia="宋体" w:cs="Times New Roman"/>
          <w:color w:val="000000" w:themeColor="text1"/>
          <w:szCs w:val="21"/>
          <w:highlight w:val="none"/>
          <w:lang w:val="zh-CN"/>
          <w14:textFill>
            <w14:solidFill>
              <w14:schemeClr w14:val="tx1"/>
            </w14:solidFill>
          </w14:textFill>
        </w:rPr>
        <w:t>（或以上）企业资质；</w:t>
      </w:r>
      <w:r>
        <w:rPr>
          <w:rFonts w:hint="eastAsia" w:ascii="宋体" w:hAnsi="宋体" w:eastAsia="宋体" w:cs="Times New Roman"/>
          <w:color w:val="000000" w:themeColor="text1"/>
          <w:szCs w:val="21"/>
          <w:highlight w:val="none"/>
          <w14:textFill>
            <w14:solidFill>
              <w14:schemeClr w14:val="tx1"/>
            </w14:solidFill>
          </w14:textFill>
        </w:rPr>
        <w:t>b</w:t>
      </w:r>
      <w:r>
        <w:rPr>
          <w:rFonts w:hint="eastAsia" w:ascii="宋体" w:hAnsi="宋体" w:eastAsia="宋体" w:cs="Times New Roman"/>
          <w:color w:val="000000" w:themeColor="text1"/>
          <w:szCs w:val="21"/>
          <w:highlight w:val="none"/>
          <w:lang w:val="zh-CN"/>
          <w14:textFill>
            <w14:solidFill>
              <w14:schemeClr w14:val="tx1"/>
            </w14:solidFill>
          </w14:textFill>
        </w:rPr>
        <w:t>）输变电工程专业承包</w:t>
      </w:r>
      <w:r>
        <w:rPr>
          <w:rFonts w:hint="eastAsia" w:ascii="宋体" w:hAnsi="宋体" w:eastAsia="宋体" w:cs="Times New Roman"/>
          <w:color w:val="000000" w:themeColor="text1"/>
          <w:szCs w:val="21"/>
          <w:highlight w:val="none"/>
          <w14:textFill>
            <w14:solidFill>
              <w14:schemeClr w14:val="tx1"/>
            </w14:solidFill>
          </w14:textFill>
        </w:rPr>
        <w:t>乙级</w:t>
      </w:r>
      <w:r>
        <w:rPr>
          <w:rFonts w:hint="eastAsia" w:ascii="宋体" w:hAnsi="宋体" w:eastAsia="宋体" w:cs="Times New Roman"/>
          <w:color w:val="000000" w:themeColor="text1"/>
          <w:szCs w:val="21"/>
          <w:highlight w:val="none"/>
          <w:lang w:val="zh-CN"/>
          <w14:textFill>
            <w14:solidFill>
              <w14:schemeClr w14:val="tx1"/>
            </w14:solidFill>
          </w14:textFill>
        </w:rPr>
        <w:t>（或以上）企业资质；【</w:t>
      </w:r>
      <w:r>
        <w:rPr>
          <w:rFonts w:hint="eastAsia" w:ascii="宋体" w:hAnsi="宋体" w:eastAsia="宋体" w:cs="Times New Roman"/>
          <w:color w:val="000000" w:themeColor="text1"/>
          <w:szCs w:val="21"/>
          <w:highlight w:val="none"/>
          <w14:textFill>
            <w14:solidFill>
              <w14:schemeClr w14:val="tx1"/>
            </w14:solidFill>
          </w14:textFill>
        </w:rPr>
        <w:t>或更换资质证书前有效期内：</w:t>
      </w:r>
      <w:r>
        <w:rPr>
          <w:rFonts w:hint="eastAsia" w:ascii="宋体" w:hAnsi="宋体" w:eastAsia="宋体" w:cs="Times New Roman"/>
          <w:color w:val="000000" w:themeColor="text1"/>
          <w:szCs w:val="21"/>
          <w:highlight w:val="none"/>
          <w:lang w:val="zh-CN"/>
          <w14:textFill>
            <w14:solidFill>
              <w14:schemeClr w14:val="tx1"/>
            </w14:solidFill>
          </w14:textFill>
        </w:rPr>
        <w:t>电力工程施工总承包三级（或以上）企业资质；</w:t>
      </w:r>
      <w:r>
        <w:rPr>
          <w:rFonts w:hint="eastAsia" w:ascii="宋体" w:hAnsi="宋体" w:eastAsia="宋体" w:cs="Times New Roman"/>
          <w:color w:val="000000" w:themeColor="text1"/>
          <w:szCs w:val="21"/>
          <w:highlight w:val="none"/>
          <w14:textFill>
            <w14:solidFill>
              <w14:schemeClr w14:val="tx1"/>
            </w14:solidFill>
          </w14:textFill>
        </w:rPr>
        <w:t>或</w:t>
      </w:r>
      <w:r>
        <w:rPr>
          <w:rFonts w:hint="eastAsia" w:ascii="宋体" w:hAnsi="宋体" w:eastAsia="宋体" w:cs="Times New Roman"/>
          <w:color w:val="000000" w:themeColor="text1"/>
          <w:szCs w:val="21"/>
          <w:highlight w:val="none"/>
          <w:lang w:val="zh-CN"/>
          <w14:textFill>
            <w14:solidFill>
              <w14:schemeClr w14:val="tx1"/>
            </w14:solidFill>
          </w14:textFill>
        </w:rPr>
        <w:t>输变电工程专业承包三级（或以上）企业资质】；②具有《承装（修、试）电力设施许可证》承装类别五级或以上资质；③具有在效期内的《安全生产许可证》。（</w:t>
      </w: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）设计资质：具有有效期内工程设计综合资质，或工程设计电力行业乙级（或以上）资质，或工程设计电力行业（送</w:t>
      </w:r>
      <w:r>
        <w:rPr>
          <w:rFonts w:hint="eastAsia" w:ascii="宋体" w:hAnsi="宋体" w:eastAsia="宋体" w:cs="Times New Roman"/>
          <w:color w:val="000000" w:themeColor="text1"/>
          <w:szCs w:val="21"/>
          <w:highlight w:val="none"/>
          <w14:textFill>
            <w14:solidFill>
              <w14:schemeClr w14:val="tx1"/>
            </w14:solidFill>
          </w14:textFill>
        </w:rPr>
        <w:t>变</w:t>
      </w:r>
      <w:r>
        <w:rPr>
          <w:rFonts w:hint="eastAsia" w:ascii="宋体" w:hAnsi="宋体" w:eastAsia="宋体" w:cs="Times New Roman"/>
          <w:color w:val="000000" w:themeColor="text1"/>
          <w:szCs w:val="21"/>
          <w:highlight w:val="none"/>
          <w:lang w:val="zh-CN"/>
          <w14:textFill>
            <w14:solidFill>
              <w14:schemeClr w14:val="tx1"/>
            </w14:solidFill>
          </w14:textFill>
        </w:rPr>
        <w:t>电工程）专业乙级（或以上）资质，或工程设计电力行业（新能源发电</w:t>
      </w:r>
      <w:r>
        <w:rPr>
          <w:rFonts w:hint="eastAsia" w:ascii="宋体" w:hAnsi="宋体" w:eastAsia="宋体" w:cs="Times New Roman"/>
          <w:color w:val="000000" w:themeColor="text1"/>
          <w:szCs w:val="21"/>
          <w:highlight w:val="none"/>
          <w14:textFill>
            <w14:solidFill>
              <w14:schemeClr w14:val="tx1"/>
            </w14:solidFill>
          </w14:textFill>
        </w:rPr>
        <w:t>工程</w:t>
      </w:r>
      <w:r>
        <w:rPr>
          <w:rFonts w:hint="eastAsia" w:ascii="宋体" w:hAnsi="宋体" w:eastAsia="宋体" w:cs="Times New Roman"/>
          <w:color w:val="000000" w:themeColor="text1"/>
          <w:szCs w:val="21"/>
          <w:highlight w:val="none"/>
          <w:lang w:val="zh-CN"/>
          <w14:textFill>
            <w14:solidFill>
              <w14:schemeClr w14:val="tx1"/>
            </w14:solidFill>
          </w14:textFill>
        </w:rPr>
        <w:t>）专业乙级（或以上）资质【</w:t>
      </w:r>
      <w:r>
        <w:rPr>
          <w:rFonts w:hint="eastAsia" w:ascii="宋体" w:hAnsi="宋体" w:eastAsia="宋体" w:cs="Times New Roman"/>
          <w:color w:val="000000" w:themeColor="text1"/>
          <w:szCs w:val="21"/>
          <w:highlight w:val="none"/>
          <w14:textFill>
            <w14:solidFill>
              <w14:schemeClr w14:val="tx1"/>
            </w14:solidFill>
          </w14:textFill>
        </w:rPr>
        <w:t>或更换资质证书前有效期内</w:t>
      </w:r>
      <w:r>
        <w:rPr>
          <w:rFonts w:hint="eastAsia" w:ascii="宋体" w:hAnsi="宋体" w:eastAsia="宋体" w:cs="Times New Roman"/>
          <w:color w:val="000000" w:themeColor="text1"/>
          <w:szCs w:val="21"/>
          <w:highlight w:val="none"/>
          <w:lang w:val="zh-CN"/>
          <w14:textFill>
            <w14:solidFill>
              <w14:schemeClr w14:val="tx1"/>
            </w14:solidFill>
          </w14:textFill>
        </w:rPr>
        <w:t>：工程设计综合</w:t>
      </w:r>
      <w:r>
        <w:rPr>
          <w:rFonts w:hint="eastAsia" w:ascii="宋体" w:hAnsi="宋体" w:eastAsia="宋体" w:cs="Times New Roman"/>
          <w:color w:val="000000" w:themeColor="text1"/>
          <w:szCs w:val="21"/>
          <w:highlight w:val="none"/>
          <w14:textFill>
            <w14:solidFill>
              <w14:schemeClr w14:val="tx1"/>
            </w14:solidFill>
          </w14:textFill>
        </w:rPr>
        <w:t>甲级</w:t>
      </w:r>
      <w:r>
        <w:rPr>
          <w:rFonts w:hint="eastAsia" w:ascii="宋体" w:hAnsi="宋体" w:eastAsia="宋体" w:cs="Times New Roman"/>
          <w:color w:val="000000" w:themeColor="text1"/>
          <w:szCs w:val="21"/>
          <w:highlight w:val="none"/>
          <w:lang w:val="zh-CN"/>
          <w14:textFill>
            <w14:solidFill>
              <w14:schemeClr w14:val="tx1"/>
            </w14:solidFill>
          </w14:textFill>
        </w:rPr>
        <w:t>资质，或工程设计电力行业乙级（或以上）资质，或工程设计电力行业（送电工程或变电工程）专业丙级（或以上）资质，或工程设计电力行业（新能源发电）专业乙级资质】；</w:t>
      </w:r>
      <w:r>
        <w:rPr>
          <w:rFonts w:hint="eastAsia" w:ascii="宋体" w:hAnsi="宋体" w:eastAsia="宋体" w:cs="Times New Roman"/>
          <w:color w:val="000000" w:themeColor="text1"/>
          <w:szCs w:val="21"/>
          <w:highlight w:val="none"/>
          <w14:textFill>
            <w14:solidFill>
              <w14:schemeClr w14:val="tx1"/>
            </w14:solidFill>
          </w14:textFill>
        </w:rPr>
        <w:t>【投标人提供以上资质证书复印件】</w:t>
      </w:r>
      <w:bookmarkEnd w:id="141"/>
    </w:p>
    <w:bookmarkEnd w:id="138"/>
    <w:p w14:paraId="137A2865">
      <w:pPr>
        <w:tabs>
          <w:tab w:val="left" w:pos="1276"/>
        </w:tabs>
        <w:spacing w:line="360" w:lineRule="auto"/>
        <w:ind w:left="283" w:hanging="283" w:hangingChars="135"/>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资格业绩</w:t>
      </w:r>
      <w:bookmarkStart w:id="142" w:name="OLE_LINK71"/>
      <w:r>
        <w:rPr>
          <w:rFonts w:hint="eastAsia" w:ascii="宋体" w:hAnsi="宋体" w:eastAsia="宋体"/>
          <w:color w:val="000000" w:themeColor="text1"/>
          <w:szCs w:val="21"/>
          <w:highlight w:val="none"/>
          <w14:textFill>
            <w14:solidFill>
              <w14:schemeClr w14:val="tx1"/>
            </w14:solidFill>
          </w14:textFill>
        </w:rPr>
        <w:t>【投标人提供一份2019年1月1日以来</w:t>
      </w:r>
      <w:r>
        <w:rPr>
          <w:rFonts w:hint="eastAsia" w:ascii="宋体" w:hAnsi="宋体" w:eastAsia="宋体" w:cs="宋体"/>
          <w:b/>
          <w:color w:val="000000" w:themeColor="text1"/>
          <w:szCs w:val="21"/>
          <w:highlight w:val="none"/>
          <w14:textFill>
            <w14:solidFill>
              <w14:schemeClr w14:val="tx1"/>
            </w14:solidFill>
          </w14:textFill>
        </w:rPr>
        <w:t>屋顶分布式光伏发电的业</w:t>
      </w:r>
      <w:bookmarkStart w:id="143" w:name="OLE_LINK70"/>
      <w:r>
        <w:rPr>
          <w:rFonts w:hint="eastAsia" w:ascii="宋体" w:hAnsi="宋体" w:eastAsia="宋体" w:cs="宋体"/>
          <w:b/>
          <w:color w:val="000000" w:themeColor="text1"/>
          <w:szCs w:val="21"/>
          <w:highlight w:val="none"/>
          <w14:textFill>
            <w14:solidFill>
              <w14:schemeClr w14:val="tx1"/>
            </w14:solidFill>
          </w14:textFill>
        </w:rPr>
        <w:t>绩</w:t>
      </w:r>
      <w:bookmarkEnd w:id="143"/>
      <w:r>
        <w:rPr>
          <w:rFonts w:hint="eastAsia" w:ascii="宋体" w:hAnsi="宋体" w:eastAsia="宋体"/>
          <w:color w:val="000000" w:themeColor="text1"/>
          <w:szCs w:val="21"/>
          <w:highlight w:val="none"/>
          <w14:textFill>
            <w14:solidFill>
              <w14:schemeClr w14:val="tx1"/>
            </w14:solidFill>
          </w14:textFill>
        </w:rPr>
        <w:t>（合同签订日期为2019年1月1日或以后），资格业绩证明材料提交要求详见招标文件第六篇投标文件格式</w:t>
      </w:r>
      <w:r>
        <w:rPr>
          <w:rFonts w:hint="eastAsia" w:ascii="宋体" w:hAnsi="宋体" w:eastAsia="宋体"/>
          <w:color w:val="000000" w:themeColor="text1"/>
          <w:szCs w:val="21"/>
          <w:highlight w:val="none"/>
          <w:u w:val="single"/>
          <w14:textFill>
            <w14:solidFill>
              <w14:schemeClr w14:val="tx1"/>
            </w14:solidFill>
          </w14:textFill>
        </w:rPr>
        <w:t>5.5</w:t>
      </w:r>
      <w:r>
        <w:rPr>
          <w:rFonts w:hint="eastAsia" w:ascii="宋体" w:hAnsi="宋体" w:eastAsia="宋体"/>
          <w:color w:val="000000" w:themeColor="text1"/>
          <w:szCs w:val="21"/>
          <w:highlight w:val="none"/>
          <w14:textFill>
            <w14:solidFill>
              <w14:schemeClr w14:val="tx1"/>
            </w14:solidFill>
          </w14:textFill>
        </w:rPr>
        <w:t>】；</w:t>
      </w:r>
      <w:bookmarkEnd w:id="142"/>
    </w:p>
    <w:p w14:paraId="506C764B">
      <w:pPr>
        <w:autoSpaceDE w:val="0"/>
        <w:autoSpaceDN w:val="0"/>
        <w:adjustRightInd w:val="0"/>
        <w:spacing w:line="360" w:lineRule="auto"/>
        <w:ind w:left="913" w:hanging="913" w:hangingChars="435"/>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最近3年投标人牵涉的其他（失信和违法）</w:t>
      </w:r>
      <w:r>
        <w:rPr>
          <w:rFonts w:hint="eastAsia" w:ascii="宋体" w:hAnsi="宋体" w:eastAsia="宋体" w:cs="宋体"/>
          <w:color w:val="000000" w:themeColor="text1"/>
          <w:kern w:val="0"/>
          <w:szCs w:val="21"/>
          <w:highlight w:val="none"/>
          <w14:textFill>
            <w14:solidFill>
              <w14:schemeClr w14:val="tx1"/>
            </w14:solidFill>
          </w14:textFill>
        </w:rPr>
        <w:t>处罚说明</w:t>
      </w:r>
      <w:r>
        <w:rPr>
          <w:rFonts w:hint="eastAsia" w:ascii="宋体" w:hAnsi="宋体" w:eastAsia="宋体" w:cs="宋体"/>
          <w:color w:val="000000" w:themeColor="text1"/>
          <w:szCs w:val="21"/>
          <w:highlight w:val="none"/>
          <w:lang w:val="zh-CN"/>
          <w14:textFill>
            <w14:solidFill>
              <w14:schemeClr w14:val="tx1"/>
            </w14:solidFill>
          </w14:textFill>
        </w:rPr>
        <w:t>；</w:t>
      </w:r>
      <w:bookmarkStart w:id="144" w:name="OLE_LINK33"/>
    </w:p>
    <w:p w14:paraId="6C02FFA6">
      <w:pPr>
        <w:autoSpaceDE w:val="0"/>
        <w:autoSpaceDN w:val="0"/>
        <w:adjustRightInd w:val="0"/>
        <w:spacing w:line="360" w:lineRule="auto"/>
        <w:ind w:left="913" w:hanging="913" w:hangingChars="435"/>
        <w:rPr>
          <w:rFonts w:ascii="宋体" w:hAnsi="宋体" w:eastAsia="宋体" w:cs="宋体"/>
          <w:color w:val="000000" w:themeColor="text1"/>
          <w:szCs w:val="21"/>
          <w:highlight w:val="none"/>
          <w14:textFill>
            <w14:solidFill>
              <w14:schemeClr w14:val="tx1"/>
            </w14:solidFill>
          </w14:textFill>
        </w:rPr>
      </w:pPr>
      <w:bookmarkStart w:id="145" w:name="OLE_LINK67"/>
      <w:r>
        <w:rPr>
          <w:rFonts w:hint="eastAsia" w:ascii="宋体" w:hAnsi="宋体" w:eastAsia="宋体" w:cs="宋体"/>
          <w:color w:val="000000" w:themeColor="text1"/>
          <w:szCs w:val="21"/>
          <w:highlight w:val="none"/>
          <w14:textFill>
            <w14:solidFill>
              <w14:schemeClr w14:val="tx1"/>
            </w14:solidFill>
          </w14:textFill>
        </w:rPr>
        <w:t>7）联合体共同投标协议书（</w:t>
      </w:r>
      <w:bookmarkStart w:id="146" w:name="OLE_LINK231"/>
      <w:r>
        <w:rPr>
          <w:rFonts w:hint="eastAsia" w:ascii="宋体" w:hAnsi="宋体" w:eastAsia="宋体" w:cs="宋体"/>
          <w:color w:val="000000" w:themeColor="text1"/>
          <w:szCs w:val="21"/>
          <w:highlight w:val="none"/>
          <w14:textFill>
            <w14:solidFill>
              <w14:schemeClr w14:val="tx1"/>
            </w14:solidFill>
          </w14:textFill>
        </w:rPr>
        <w:t>当联合体投标时提供</w:t>
      </w:r>
      <w:bookmarkEnd w:id="146"/>
      <w:r>
        <w:rPr>
          <w:rFonts w:hint="eastAsia" w:ascii="宋体" w:hAnsi="宋体" w:eastAsia="宋体" w:cs="宋体"/>
          <w:color w:val="000000" w:themeColor="text1"/>
          <w:szCs w:val="21"/>
          <w:highlight w:val="none"/>
          <w14:textFill>
            <w14:solidFill>
              <w14:schemeClr w14:val="tx1"/>
            </w14:solidFill>
          </w14:textFill>
        </w:rPr>
        <w:t>）；</w:t>
      </w:r>
    </w:p>
    <w:bookmarkEnd w:id="144"/>
    <w:bookmarkEnd w:id="145"/>
    <w:p w14:paraId="4A166C6E">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）投标人基本情况一览表；</w:t>
      </w:r>
    </w:p>
    <w:p w14:paraId="594A8BCE">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）投标人财务状况表；</w:t>
      </w:r>
    </w:p>
    <w:p w14:paraId="1BE2417E">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（8）标准化体系认证；</w:t>
      </w:r>
    </w:p>
    <w:p w14:paraId="51F74894">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（9）合同条款响应程度（合同条款偏离表）；</w:t>
      </w:r>
    </w:p>
    <w:p w14:paraId="16A82C63">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10</w:t>
      </w:r>
      <w:r>
        <w:rPr>
          <w:rFonts w:hint="eastAsia" w:ascii="宋体" w:hAnsi="宋体" w:eastAsia="宋体" w:cs="宋体"/>
          <w:color w:val="000000" w:themeColor="text1"/>
          <w:szCs w:val="21"/>
          <w:highlight w:val="none"/>
          <w:lang w:val="zh-CN"/>
          <w14:textFill>
            <w14:solidFill>
              <w14:schemeClr w14:val="tx1"/>
            </w14:solidFill>
          </w14:textFill>
        </w:rPr>
        <w:t>）业绩表；</w:t>
      </w:r>
    </w:p>
    <w:p w14:paraId="4CBB848A">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11</w:t>
      </w:r>
      <w:r>
        <w:rPr>
          <w:rFonts w:hint="eastAsia" w:ascii="宋体" w:hAnsi="宋体" w:eastAsia="宋体" w:cs="宋体"/>
          <w:color w:val="000000" w:themeColor="text1"/>
          <w:szCs w:val="21"/>
          <w:highlight w:val="none"/>
          <w:lang w:val="zh-CN"/>
          <w14:textFill>
            <w14:solidFill>
              <w14:schemeClr w14:val="tx1"/>
            </w14:solidFill>
          </w14:textFill>
        </w:rPr>
        <w:t>）投标保证金汇入情况说明；</w:t>
      </w:r>
    </w:p>
    <w:p w14:paraId="50D89346">
      <w:pPr>
        <w:tabs>
          <w:tab w:val="left" w:pos="567"/>
        </w:tabs>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12</w:t>
      </w:r>
      <w:r>
        <w:rPr>
          <w:rFonts w:hint="eastAsia" w:ascii="宋体" w:hAnsi="宋体" w:eastAsia="宋体" w:cs="宋体"/>
          <w:color w:val="000000" w:themeColor="text1"/>
          <w:szCs w:val="21"/>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000000" w:themeColor="text1"/>
          <w:szCs w:val="21"/>
          <w:highlight w:val="none"/>
          <w14:textFill>
            <w14:solidFill>
              <w14:schemeClr w14:val="tx1"/>
            </w14:solidFill>
          </w14:textFill>
        </w:rPr>
        <w:t>及有关</w:t>
      </w:r>
      <w:r>
        <w:rPr>
          <w:rFonts w:hint="eastAsia" w:ascii="宋体" w:hAnsi="宋体" w:eastAsia="宋体" w:cs="宋体"/>
          <w:color w:val="000000" w:themeColor="text1"/>
          <w:szCs w:val="21"/>
          <w:highlight w:val="none"/>
          <w:lang w:val="zh-CN"/>
          <w14:textFill>
            <w14:solidFill>
              <w14:schemeClr w14:val="tx1"/>
            </w14:solidFill>
          </w14:textFill>
        </w:rPr>
        <w:t>服务能力的有关其它商务文件（不做强制要求）。</w:t>
      </w:r>
    </w:p>
    <w:p w14:paraId="1F96C8E9">
      <w:pPr>
        <w:autoSpaceDE w:val="0"/>
        <w:autoSpaceDN w:val="0"/>
        <w:adjustRightInd w:val="0"/>
        <w:spacing w:line="360" w:lineRule="auto"/>
        <w:ind w:left="422" w:leftChars="-100" w:hanging="632" w:hangingChars="300"/>
        <w:rPr>
          <w:rFonts w:ascii="宋体" w:hAnsi="宋体" w:eastAsia="宋体" w:cs="宋体"/>
          <w:b/>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9.1.2 技术文件：</w:t>
      </w:r>
    </w:p>
    <w:p w14:paraId="76A65C5F">
      <w:pPr>
        <w:autoSpaceDE w:val="0"/>
        <w:autoSpaceDN w:val="0"/>
        <w:adjustRightInd w:val="0"/>
        <w:spacing w:line="360" w:lineRule="auto"/>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目录：</w:t>
      </w:r>
    </w:p>
    <w:p w14:paraId="67329E86">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（1）用户需求响应程度（即用户需求偏离表格式）；</w:t>
      </w:r>
    </w:p>
    <w:p w14:paraId="1BF857D1">
      <w:pPr>
        <w:spacing w:line="360" w:lineRule="auto"/>
        <w:ind w:left="315" w:leftChars="-100" w:hanging="525" w:hangingChars="2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Times New Roman"/>
          <w:color w:val="000000" w:themeColor="text1"/>
          <w:kern w:val="0"/>
          <w:szCs w:val="21"/>
          <w:highlight w:val="none"/>
          <w:lang w:val="zh-CN"/>
          <w14:textFill>
            <w14:solidFill>
              <w14:schemeClr w14:val="tx1"/>
            </w14:solidFill>
          </w14:textFill>
        </w:rPr>
        <w:t>供货货物清单表</w:t>
      </w:r>
      <w:bookmarkStart w:id="147" w:name="OLE_LINK367"/>
      <w:r>
        <w:rPr>
          <w:rFonts w:hint="eastAsia" w:ascii="宋体" w:hAnsi="宋体" w:eastAsia="宋体" w:cs="Times New Roman"/>
          <w:color w:val="000000" w:themeColor="text1"/>
          <w:kern w:val="0"/>
          <w:szCs w:val="21"/>
          <w:highlight w:val="none"/>
          <w:lang w:val="zh-CN"/>
          <w14:textFill>
            <w14:solidFill>
              <w14:schemeClr w14:val="tx1"/>
            </w14:solidFill>
          </w14:textFill>
        </w:rPr>
        <w:t>（货物明细中的货物名称、品牌、产地、规格、型号、数量等，必须与分项报价明细表完全一致）</w:t>
      </w:r>
      <w:bookmarkEnd w:id="147"/>
      <w:r>
        <w:rPr>
          <w:rFonts w:hint="eastAsia" w:ascii="宋体" w:hAnsi="宋体" w:eastAsia="宋体" w:cs="Times New Roman"/>
          <w:color w:val="000000" w:themeColor="text1"/>
          <w:kern w:val="0"/>
          <w:szCs w:val="21"/>
          <w:highlight w:val="none"/>
          <w:lang w:val="zh-CN"/>
          <w14:textFill>
            <w14:solidFill>
              <w14:schemeClr w14:val="tx1"/>
            </w14:solidFill>
          </w14:textFill>
        </w:rPr>
        <w:t>；</w:t>
      </w:r>
    </w:p>
    <w:p w14:paraId="214DBE4D">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bookmarkStart w:id="148" w:name="OLE_LINK368"/>
      <w:r>
        <w:rPr>
          <w:rFonts w:hint="eastAsia" w:ascii="宋体" w:hAnsi="宋体" w:eastAsia="宋体" w:cs="宋体"/>
          <w:color w:val="000000" w:themeColor="text1"/>
          <w:kern w:val="0"/>
          <w:szCs w:val="21"/>
          <w:highlight w:val="none"/>
          <w14:textFill>
            <w14:solidFill>
              <w14:schemeClr w14:val="tx1"/>
            </w14:solidFill>
          </w14:textFill>
        </w:rPr>
        <w:t>（3）</w:t>
      </w:r>
      <w:bookmarkEnd w:id="148"/>
      <w:r>
        <w:rPr>
          <w:rFonts w:hint="eastAsia" w:ascii="宋体" w:hAnsi="宋体" w:eastAsia="宋体" w:cs="宋体"/>
          <w:color w:val="000000" w:themeColor="text1"/>
          <w:kern w:val="0"/>
          <w:szCs w:val="21"/>
          <w:highlight w:val="none"/>
          <w14:textFill>
            <w14:solidFill>
              <w14:schemeClr w14:val="tx1"/>
            </w14:solidFill>
          </w14:textFill>
        </w:rPr>
        <w:t>光伏系统主要设备配置（投标人自行提供书面说明和资料）；</w:t>
      </w:r>
    </w:p>
    <w:p w14:paraId="3E8A4D7D">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（4）技术服务团队实力（投标人提供证明资料）；</w:t>
      </w:r>
    </w:p>
    <w:p w14:paraId="5ACB931E">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（5）系统总体设计（投标人自行编写）；</w:t>
      </w:r>
    </w:p>
    <w:p w14:paraId="4ED7D684">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（6）项目管理和项目实施组织（投标人自行编写）；</w:t>
      </w:r>
    </w:p>
    <w:p w14:paraId="494D6004">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（7）技术服务（投标人自行编写）；</w:t>
      </w:r>
    </w:p>
    <w:p w14:paraId="38696008">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（8）投标人认为有必要提供的其它材料（不做强制要求）。</w:t>
      </w:r>
    </w:p>
    <w:p w14:paraId="3D95DFEF">
      <w:pPr>
        <w:autoSpaceDE w:val="0"/>
        <w:autoSpaceDN w:val="0"/>
        <w:adjustRightInd w:val="0"/>
        <w:spacing w:line="360" w:lineRule="auto"/>
        <w:ind w:left="422" w:leftChars="-100" w:hanging="632" w:hangingChars="3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9.1.3 </w:t>
      </w:r>
      <w:r>
        <w:rPr>
          <w:rFonts w:hint="eastAsia" w:ascii="宋体" w:hAnsi="宋体" w:eastAsia="宋体" w:cs="宋体"/>
          <w:b/>
          <w:bCs/>
          <w:color w:val="000000" w:themeColor="text1"/>
          <w:kern w:val="0"/>
          <w:szCs w:val="21"/>
          <w:highlight w:val="none"/>
          <w:lang w:val="zh-CN"/>
          <w14:textFill>
            <w14:solidFill>
              <w14:schemeClr w14:val="tx1"/>
            </w14:solidFill>
          </w14:textFill>
        </w:rPr>
        <w:t>投标文件电子文件</w:t>
      </w:r>
      <w:r>
        <w:rPr>
          <w:rFonts w:hint="eastAsia" w:ascii="宋体" w:hAnsi="宋体" w:eastAsia="宋体" w:cs="宋体"/>
          <w:color w:val="000000" w:themeColor="text1"/>
          <w:kern w:val="0"/>
          <w:szCs w:val="21"/>
          <w:highlight w:val="none"/>
          <w:lang w:val="zh-CN"/>
          <w14:textFill>
            <w14:solidFill>
              <w14:schemeClr w14:val="tx1"/>
            </w14:solidFill>
          </w14:textFill>
        </w:rPr>
        <w:t>（详细要求见本篇第17.</w:t>
      </w:r>
      <w:r>
        <w:rPr>
          <w:rFonts w:ascii="宋体" w:hAnsi="宋体" w:eastAsia="宋体" w:cs="宋体"/>
          <w:color w:val="000000" w:themeColor="text1"/>
          <w:kern w:val="0"/>
          <w:szCs w:val="21"/>
          <w:highlight w:val="none"/>
          <w:lang w:val="zh-CN"/>
          <w14:textFill>
            <w14:solidFill>
              <w14:schemeClr w14:val="tx1"/>
            </w14:solidFill>
          </w14:textFill>
        </w:rPr>
        <w:t>5</w:t>
      </w:r>
      <w:r>
        <w:rPr>
          <w:rFonts w:hint="eastAsia" w:ascii="宋体" w:hAnsi="宋体" w:eastAsia="宋体" w:cs="宋体"/>
          <w:color w:val="000000" w:themeColor="text1"/>
          <w:kern w:val="0"/>
          <w:szCs w:val="21"/>
          <w:highlight w:val="none"/>
          <w:lang w:val="zh-CN"/>
          <w14:textFill>
            <w14:solidFill>
              <w14:schemeClr w14:val="tx1"/>
            </w14:solidFill>
          </w14:textFill>
        </w:rPr>
        <w:t>款）</w:t>
      </w:r>
    </w:p>
    <w:p w14:paraId="39BCA32D">
      <w:pPr>
        <w:autoSpaceDE w:val="0"/>
        <w:autoSpaceDN w:val="0"/>
        <w:adjustRightInd w:val="0"/>
        <w:spacing w:line="360" w:lineRule="auto"/>
        <w:ind w:left="35" w:leftChars="-118" w:hanging="283" w:hangingChars="135"/>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（1）签字、盖章后的投标文件扫描版PDF格式电子文件。</w:t>
      </w:r>
    </w:p>
    <w:p w14:paraId="14CCB68A">
      <w:pPr>
        <w:autoSpaceDE w:val="0"/>
        <w:autoSpaceDN w:val="0"/>
        <w:adjustRightInd w:val="0"/>
        <w:spacing w:line="360" w:lineRule="auto"/>
        <w:ind w:left="422" w:leftChars="-100" w:hanging="632" w:hangingChars="300"/>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9.1.4 唱标信封（单独密封）</w:t>
      </w:r>
    </w:p>
    <w:p w14:paraId="0C8380A9">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（1）投标报价表；</w:t>
      </w:r>
    </w:p>
    <w:p w14:paraId="2BEB9389">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（2）投标保证金汇入情况说明（一式两份）。</w:t>
      </w:r>
    </w:p>
    <w:p w14:paraId="0787B4D5">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7C30FC7B">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9.3  </w:t>
      </w:r>
      <w:r>
        <w:rPr>
          <w:rFonts w:hint="eastAsia" w:ascii="宋体" w:hAnsi="宋体" w:eastAsia="宋体" w:cs="宋体"/>
          <w:b/>
          <w:color w:val="000000" w:themeColor="text1"/>
          <w:szCs w:val="21"/>
          <w:highlight w:val="none"/>
          <w:u w:val="single"/>
          <w:lang w:val="zh-CN"/>
          <w14:textFill>
            <w14:solidFill>
              <w14:schemeClr w14:val="tx1"/>
            </w14:solidFill>
          </w14:textFill>
        </w:rPr>
        <w:t>投标文件中相关证件、证书、合同、</w:t>
      </w:r>
      <w:r>
        <w:rPr>
          <w:rFonts w:hint="eastAsia" w:ascii="宋体" w:hAnsi="宋体" w:eastAsia="宋体" w:cs="Times New Roman"/>
          <w:b/>
          <w:color w:val="000000" w:themeColor="text1"/>
          <w:szCs w:val="21"/>
          <w:highlight w:val="none"/>
          <w:u w:val="single"/>
          <w:lang w:val="zh-CN"/>
          <w14:textFill>
            <w14:solidFill>
              <w14:schemeClr w14:val="tx1"/>
            </w14:solidFill>
          </w14:textFill>
        </w:rPr>
        <w:t>发票、照片</w:t>
      </w:r>
      <w:r>
        <w:rPr>
          <w:rFonts w:hint="eastAsia" w:ascii="宋体" w:hAnsi="宋体" w:eastAsia="宋体" w:cs="宋体"/>
          <w:b/>
          <w:color w:val="000000" w:themeColor="text1"/>
          <w:szCs w:val="21"/>
          <w:highlight w:val="none"/>
          <w:u w:val="single"/>
          <w:lang w:val="zh-CN"/>
          <w14:textFill>
            <w14:solidFill>
              <w14:schemeClr w14:val="tx1"/>
            </w14:solidFill>
          </w14:textFill>
        </w:rPr>
        <w:t>等证明材料中的原始印章、签名、关键内容必须清晰、可辨认，签字、盖章真实，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000000" w:themeColor="text1"/>
          <w:szCs w:val="21"/>
          <w:highlight w:val="none"/>
          <w:lang w:val="zh-CN"/>
          <w14:textFill>
            <w14:solidFill>
              <w14:schemeClr w14:val="tx1"/>
            </w14:solidFill>
          </w14:textFill>
        </w:rPr>
        <w:t>。</w:t>
      </w:r>
    </w:p>
    <w:p w14:paraId="7E530838">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p>
    <w:p w14:paraId="526F513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49" w:name="_Toc18697"/>
      <w:bookmarkStart w:id="150" w:name="_Toc450662860"/>
      <w:bookmarkStart w:id="151" w:name="_Toc486167674"/>
      <w:bookmarkStart w:id="152" w:name="_Toc8675_WPSOffice_Level3"/>
      <w:bookmarkStart w:id="153" w:name="_Toc30889"/>
      <w:bookmarkStart w:id="154" w:name="_Toc142508324"/>
      <w:r>
        <w:rPr>
          <w:rFonts w:hint="eastAsia" w:ascii="宋体" w:hAnsi="宋体" w:eastAsia="宋体" w:cs="宋体"/>
          <w:color w:val="000000" w:themeColor="text1"/>
          <w:szCs w:val="21"/>
          <w:highlight w:val="none"/>
          <w:lang w:val="zh-CN"/>
          <w14:textFill>
            <w14:solidFill>
              <w14:schemeClr w14:val="tx1"/>
            </w14:solidFill>
          </w14:textFill>
        </w:rPr>
        <w:t>10</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投标函</w:t>
      </w:r>
      <w:bookmarkEnd w:id="149"/>
      <w:bookmarkEnd w:id="150"/>
      <w:bookmarkEnd w:id="151"/>
      <w:bookmarkEnd w:id="152"/>
      <w:bookmarkEnd w:id="153"/>
      <w:bookmarkEnd w:id="154"/>
    </w:p>
    <w:p w14:paraId="138AA097">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投标人应完整填写投标文件格式中规定的投标函。</w:t>
      </w:r>
    </w:p>
    <w:p w14:paraId="483F87E3">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p>
    <w:p w14:paraId="484CF0C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55" w:name="_Toc142508325"/>
      <w:bookmarkStart w:id="156" w:name="_Toc28822"/>
      <w:bookmarkStart w:id="157" w:name="_Toc486167675"/>
      <w:bookmarkStart w:id="158" w:name="_Toc4385_WPSOffice_Level3"/>
      <w:bookmarkStart w:id="159" w:name="_Toc450662861"/>
      <w:bookmarkStart w:id="160" w:name="_Toc3053"/>
      <w:r>
        <w:rPr>
          <w:rFonts w:hint="eastAsia" w:ascii="宋体" w:hAnsi="宋体" w:eastAsia="宋体" w:cs="宋体"/>
          <w:color w:val="000000" w:themeColor="text1"/>
          <w:szCs w:val="21"/>
          <w:highlight w:val="none"/>
          <w:lang w:val="zh-CN"/>
          <w14:textFill>
            <w14:solidFill>
              <w14:schemeClr w14:val="tx1"/>
            </w14:solidFill>
          </w14:textFill>
        </w:rPr>
        <w:t>11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投标报价</w:t>
      </w:r>
      <w:bookmarkEnd w:id="155"/>
      <w:bookmarkEnd w:id="156"/>
      <w:bookmarkEnd w:id="157"/>
      <w:bookmarkEnd w:id="158"/>
      <w:bookmarkEnd w:id="159"/>
      <w:bookmarkEnd w:id="160"/>
    </w:p>
    <w:p w14:paraId="4ABE9A13">
      <w:pPr>
        <w:tabs>
          <w:tab w:val="left" w:pos="567"/>
        </w:tabs>
        <w:autoSpaceDE w:val="0"/>
        <w:autoSpaceDN w:val="0"/>
        <w:adjustRightInd w:val="0"/>
        <w:spacing w:line="360" w:lineRule="auto"/>
        <w:ind w:left="357" w:leftChars="-100"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11.1 本项目</w:t>
      </w:r>
      <w:r>
        <w:rPr>
          <w:rFonts w:hint="eastAsia" w:ascii="宋体" w:hAnsi="宋体" w:eastAsia="宋体" w:cs="Times New Roman"/>
          <w:b/>
          <w:color w:val="000000" w:themeColor="text1"/>
          <w:szCs w:val="21"/>
          <w:highlight w:val="none"/>
          <w:lang w:val="zh-CN"/>
          <w14:textFill>
            <w14:solidFill>
              <w14:schemeClr w14:val="tx1"/>
            </w14:solidFill>
          </w14:textFill>
        </w:rPr>
        <w:t>只允许有一个报价价格，任何有选择的或</w:t>
      </w:r>
      <w:r>
        <w:rPr>
          <w:rFonts w:hint="eastAsia" w:ascii="宋体" w:hAnsi="宋体" w:eastAsia="宋体" w:cs="Times New Roman"/>
          <w:b/>
          <w:color w:val="000000" w:themeColor="text1"/>
          <w:kern w:val="0"/>
          <w:szCs w:val="21"/>
          <w:highlight w:val="none"/>
          <w:lang w:val="zh-CN"/>
          <w14:textFill>
            <w14:solidFill>
              <w14:schemeClr w14:val="tx1"/>
            </w14:solidFill>
          </w14:textFill>
        </w:rPr>
        <w:t>不是固定价的</w:t>
      </w:r>
      <w:r>
        <w:rPr>
          <w:rFonts w:hint="eastAsia" w:ascii="宋体" w:hAnsi="宋体" w:eastAsia="宋体" w:cs="Times New Roman"/>
          <w:b/>
          <w:color w:val="000000" w:themeColor="text1"/>
          <w:szCs w:val="21"/>
          <w:highlight w:val="none"/>
          <w:lang w:val="zh-CN"/>
          <w14:textFill>
            <w14:solidFill>
              <w14:schemeClr w14:val="tx1"/>
            </w14:solidFill>
          </w14:textFill>
        </w:rPr>
        <w:t>投标报价将不予接受，</w:t>
      </w:r>
      <w:r>
        <w:rPr>
          <w:rFonts w:hint="eastAsia" w:ascii="宋体" w:hAnsi="宋体" w:eastAsia="宋体" w:cs="Times New Roman"/>
          <w:b/>
          <w:color w:val="000000" w:themeColor="text1"/>
          <w:kern w:val="0"/>
          <w:szCs w:val="21"/>
          <w:highlight w:val="none"/>
          <w:lang w:val="zh-CN"/>
          <w14:textFill>
            <w14:solidFill>
              <w14:schemeClr w14:val="tx1"/>
            </w14:solidFill>
          </w14:textFill>
        </w:rPr>
        <w:t>作为非实质性响应投标而予以拒绝。</w:t>
      </w:r>
      <w:r>
        <w:rPr>
          <w:rFonts w:hint="eastAsia" w:ascii="宋体" w:hAnsi="宋体" w:eastAsia="宋体" w:cs="Times New Roman"/>
          <w:b/>
          <w:color w:val="000000" w:themeColor="text1"/>
          <w:kern w:val="0"/>
          <w:szCs w:val="21"/>
          <w:highlight w:val="none"/>
          <w14:textFill>
            <w14:solidFill>
              <w14:schemeClr w14:val="tx1"/>
            </w14:solidFill>
          </w14:textFill>
        </w:rPr>
        <w:t>投标人不得以低于企业自身成本的价格竞投</w:t>
      </w:r>
      <w:r>
        <w:rPr>
          <w:rFonts w:hint="eastAsia" w:ascii="宋体" w:hAnsi="宋体" w:eastAsia="宋体" w:cs="宋体"/>
          <w:b/>
          <w:color w:val="000000" w:themeColor="text1"/>
          <w:szCs w:val="21"/>
          <w:highlight w:val="none"/>
          <w:lang w:val="zh-CN"/>
          <w14:textFill>
            <w14:solidFill>
              <w14:schemeClr w14:val="tx1"/>
            </w14:solidFill>
          </w14:textFill>
        </w:rPr>
        <w:t>。</w:t>
      </w:r>
    </w:p>
    <w:p w14:paraId="0D29AE30">
      <w:pPr>
        <w:tabs>
          <w:tab w:val="left" w:pos="567"/>
        </w:tabs>
        <w:autoSpaceDE w:val="0"/>
        <w:autoSpaceDN w:val="0"/>
        <w:adjustRightInd w:val="0"/>
        <w:spacing w:line="360" w:lineRule="auto"/>
        <w:ind w:firstLine="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130C0E67">
      <w:pPr>
        <w:tabs>
          <w:tab w:val="left" w:pos="567"/>
        </w:tabs>
        <w:autoSpaceDE w:val="0"/>
        <w:autoSpaceDN w:val="0"/>
        <w:adjustRightInd w:val="0"/>
        <w:spacing w:line="360" w:lineRule="auto"/>
        <w:ind w:firstLine="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对是否低于企业成本价报价的事宜有争议的投标文件，评标委员会成员将以记名方式表决，</w:t>
      </w:r>
      <w:r>
        <w:rPr>
          <w:rFonts w:hint="eastAsia" w:ascii="宋体" w:hAnsi="宋体" w:eastAsia="宋体" w:cs="宋体"/>
          <w:b/>
          <w:color w:val="000000" w:themeColor="text1"/>
          <w:szCs w:val="21"/>
          <w:highlight w:val="none"/>
          <w14:textFill>
            <w14:solidFill>
              <w14:schemeClr w14:val="tx1"/>
            </w14:solidFill>
          </w14:textFill>
        </w:rPr>
        <w:t>根据少数服从多数的原则，获多数表决通过</w:t>
      </w:r>
      <w:r>
        <w:rPr>
          <w:rFonts w:hint="eastAsia" w:ascii="宋体" w:hAnsi="宋体" w:eastAsia="宋体" w:cs="宋体"/>
          <w:b/>
          <w:color w:val="000000" w:themeColor="text1"/>
          <w:szCs w:val="21"/>
          <w:highlight w:val="none"/>
          <w:lang w:val="zh-CN"/>
          <w14:textFill>
            <w14:solidFill>
              <w14:schemeClr w14:val="tx1"/>
            </w14:solidFill>
          </w14:textFill>
        </w:rPr>
        <w:t>的投标人才有资格进入下一阶段的评审，否则将按无效投标处理。</w:t>
      </w:r>
    </w:p>
    <w:p w14:paraId="50914A47">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
          <w:color w:val="000000" w:themeColor="text1"/>
          <w:szCs w:val="21"/>
          <w:highlight w:val="none"/>
          <w:u w:val="single"/>
          <w:lang w:val="zh-CN"/>
          <w14:textFill>
            <w14:solidFill>
              <w14:schemeClr w14:val="tx1"/>
            </w14:solidFill>
          </w14:textFill>
        </w:rPr>
        <w:t>本项目投标报价为不含税价，即为《中华人民共和国增值税暂行条例》（国务院令第6</w:t>
      </w:r>
      <w:r>
        <w:rPr>
          <w:rFonts w:ascii="宋体" w:hAnsi="宋体" w:eastAsia="宋体" w:cs="Times New Roman"/>
          <w:b/>
          <w:color w:val="000000" w:themeColor="text1"/>
          <w:szCs w:val="21"/>
          <w:highlight w:val="none"/>
          <w:u w:val="single"/>
          <w:lang w:val="zh-CN"/>
          <w14:textFill>
            <w14:solidFill>
              <w14:schemeClr w14:val="tx1"/>
            </w14:solidFill>
          </w14:textFill>
        </w:rPr>
        <w:t>91</w:t>
      </w:r>
      <w:r>
        <w:rPr>
          <w:rFonts w:hint="eastAsia" w:ascii="宋体" w:hAnsi="宋体" w:eastAsia="宋体" w:cs="Times New Roman"/>
          <w:b/>
          <w:color w:val="000000" w:themeColor="text1"/>
          <w:szCs w:val="21"/>
          <w:highlight w:val="none"/>
          <w:u w:val="single"/>
          <w:lang w:val="zh-CN"/>
          <w14:textFill>
            <w14:solidFill>
              <w14:schemeClr w14:val="tx1"/>
            </w14:solidFill>
          </w14:textFill>
        </w:rPr>
        <w:t>号修订版）规定的销售额</w:t>
      </w:r>
      <w:r>
        <w:rPr>
          <w:rFonts w:hint="eastAsia" w:ascii="宋体" w:hAnsi="宋体" w:eastAsia="宋体" w:cs="Times New Roman"/>
          <w:color w:val="000000" w:themeColor="text1"/>
          <w:szCs w:val="21"/>
          <w:highlight w:val="none"/>
          <w:lang w:val="zh-CN"/>
          <w14:textFill>
            <w14:solidFill>
              <w14:schemeClr w14:val="tx1"/>
            </w14:solidFill>
          </w14:textFill>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000000" w:themeColor="text1"/>
          <w:kern w:val="0"/>
          <w:szCs w:val="21"/>
          <w:highlight w:val="none"/>
          <w14:textFill>
            <w14:solidFill>
              <w14:schemeClr w14:val="tx1"/>
            </w14:solidFill>
          </w14:textFill>
        </w:rPr>
        <w:t xml:space="preserve">本采购项目投标报价已含投标人履行本招标内容全部义务的一切费用，包括但不限于： </w:t>
      </w:r>
    </w:p>
    <w:p w14:paraId="70DB5CDB">
      <w:pPr>
        <w:spacing w:line="360" w:lineRule="auto"/>
        <w:ind w:left="315" w:leftChars="-100" w:hanging="525" w:hangingChars="250"/>
        <w:rPr>
          <w:rFonts w:ascii="宋体" w:hAnsi="宋体" w:eastAsia="宋体" w:cs="宋体"/>
          <w:color w:val="000000" w:themeColor="text1"/>
          <w:szCs w:val="21"/>
          <w:highlight w:val="none"/>
          <w14:textFill>
            <w14:solidFill>
              <w14:schemeClr w14:val="tx1"/>
            </w14:solidFill>
          </w14:textFill>
        </w:rPr>
      </w:pPr>
      <w:bookmarkStart w:id="161" w:name="OLE_LINK373"/>
      <w:r>
        <w:rPr>
          <w:rFonts w:hint="eastAsia" w:ascii="宋体" w:hAnsi="宋体" w:eastAsia="宋体" w:cs="宋体"/>
          <w:color w:val="000000" w:themeColor="text1"/>
          <w:szCs w:val="21"/>
          <w:highlight w:val="none"/>
          <w14:textFill>
            <w14:solidFill>
              <w14:schemeClr w14:val="tx1"/>
            </w14:solidFill>
          </w14:textFill>
        </w:rPr>
        <w:t>（1）光伏系统的设计服务费（包括深化设计费用）、货物及零配件成本费、运输费、包装费、装卸费、搬运（含二次搬运）费、保险费、安装费及安装设备所需的配件等费用、安装所需的一切配套施工费用、调试费、材料费、验收费（含验收所需的专家费、会务费、差旅费、验收材料费等）、人工费、技术培训费、技术服务（包括技术资料、图纸的提供等）、其它保障光伏系统稳定运行所必须的相关工作费用、质保期设备保修保养费等；</w:t>
      </w:r>
    </w:p>
    <w:p w14:paraId="2A86404F">
      <w:pPr>
        <w:spacing w:line="360" w:lineRule="auto"/>
        <w:ind w:left="315" w:leftChars="-100" w:hanging="525" w:hangingChars="2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bookmarkStart w:id="162" w:name="OLE_LINK438"/>
      <w:r>
        <w:rPr>
          <w:rFonts w:hint="eastAsia" w:ascii="宋体" w:hAnsi="宋体" w:eastAsia="宋体" w:cs="宋体"/>
          <w:color w:val="000000" w:themeColor="text1"/>
          <w:szCs w:val="21"/>
          <w:highlight w:val="none"/>
          <w14:textFill>
            <w14:solidFill>
              <w14:schemeClr w14:val="tx1"/>
            </w14:solidFill>
          </w14:textFill>
        </w:rPr>
        <w:t>运维一年费用</w:t>
      </w:r>
      <w:bookmarkEnd w:id="162"/>
      <w:bookmarkStart w:id="163" w:name="OLE_LINK439"/>
      <w:r>
        <w:rPr>
          <w:rFonts w:hint="eastAsia" w:ascii="宋体" w:hAnsi="宋体" w:eastAsia="宋体" w:cs="宋体"/>
          <w:color w:val="000000" w:themeColor="text1"/>
          <w:szCs w:val="21"/>
          <w:highlight w:val="none"/>
          <w14:textFill>
            <w14:solidFill>
              <w14:schemeClr w14:val="tx1"/>
            </w14:solidFill>
          </w14:textFill>
        </w:rPr>
        <w:t>（含日常办公费用、巡检费、设备设施维修养护/清洗费、设备运营所需的维修及耗材费用、人员工资、员工保险、利润（管理酬金）等一切费用）</w:t>
      </w:r>
      <w:bookmarkEnd w:id="163"/>
      <w:r>
        <w:rPr>
          <w:rFonts w:hint="eastAsia" w:ascii="宋体" w:hAnsi="宋体" w:eastAsia="宋体" w:cs="宋体"/>
          <w:color w:val="000000" w:themeColor="text1"/>
          <w:szCs w:val="21"/>
          <w:highlight w:val="none"/>
          <w14:textFill>
            <w14:solidFill>
              <w14:schemeClr w14:val="tx1"/>
            </w14:solidFill>
          </w14:textFill>
        </w:rPr>
        <w:t>；</w:t>
      </w:r>
    </w:p>
    <w:p w14:paraId="7B5DEF30">
      <w:pPr>
        <w:spacing w:line="360" w:lineRule="auto"/>
        <w:ind w:left="315" w:leftChars="-100" w:hanging="525" w:hangingChars="2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（3）供货货物及其工艺所有制造方、使用方应支付的对专有技术、商标权、专利权和版权、设计或其他知识产权而需要向其他方支付的版税；</w:t>
      </w:r>
    </w:p>
    <w:p w14:paraId="5DADF222">
      <w:pPr>
        <w:spacing w:line="360" w:lineRule="auto"/>
        <w:ind w:left="315" w:leftChars="-100" w:hanging="525" w:hangingChars="2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（4）日常技术指导，免费的质保服务，包括但不限于免费现场质量问题处理或更换失效产品；</w:t>
      </w:r>
    </w:p>
    <w:p w14:paraId="752ED931">
      <w:pPr>
        <w:spacing w:line="360" w:lineRule="auto"/>
        <w:ind w:left="315" w:leftChars="-100" w:hanging="525" w:hangingChars="2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（5）合理利润、乙方销项税额以外的税费及合同实施过程中的应预见和不可预见费用等完成合同规定责任和义务、达到合同目的的一切费用等；</w:t>
      </w:r>
    </w:p>
    <w:p w14:paraId="214F1AA6">
      <w:pPr>
        <w:spacing w:line="360" w:lineRule="auto"/>
        <w:ind w:left="315" w:leftChars="-100" w:hanging="525" w:hangingChars="2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（6）法律法规、商业公认、招标文件规定由乙方承担的其他直接及间接费用。</w:t>
      </w:r>
    </w:p>
    <w:bookmarkEnd w:id="161"/>
    <w:p w14:paraId="72BE10DE">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11.3</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投标人根据</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000000" w:themeColor="text1"/>
          <w:highlight w:val="none"/>
          <w14:textFill>
            <w14:solidFill>
              <w14:schemeClr w14:val="tx1"/>
            </w14:solidFill>
          </w14:textFill>
        </w:rPr>
        <w:fldChar w:fldCharType="separate"/>
      </w:r>
      <w:r>
        <w:rPr>
          <w:rFonts w:hint="eastAsia" w:ascii="宋体" w:hAnsi="宋体" w:eastAsia="宋体" w:cs="Times New Roman"/>
          <w:color w:val="000000" w:themeColor="text1"/>
          <w:szCs w:val="21"/>
          <w:highlight w:val="none"/>
          <w:lang w:val="zh-CN"/>
          <w14:textFill>
            <w14:solidFill>
              <w14:schemeClr w14:val="tx1"/>
            </w14:solidFill>
          </w14:textFill>
        </w:rPr>
        <w:t>第</w:t>
      </w:r>
      <w:r>
        <w:rPr>
          <w:rFonts w:ascii="宋体" w:hAnsi="宋体" w:eastAsia="宋体" w:cs="Times New Roman"/>
          <w:color w:val="000000" w:themeColor="text1"/>
          <w:szCs w:val="21"/>
          <w:highlight w:val="none"/>
          <w:lang w:val="zh-CN"/>
          <w14:textFill>
            <w14:solidFill>
              <w14:schemeClr w14:val="tx1"/>
            </w14:solidFill>
          </w14:textFill>
        </w:rPr>
        <w:t>11.</w:t>
      </w: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款</w:t>
      </w:r>
      <w:r>
        <w:rPr>
          <w:rFonts w:hint="eastAsia" w:ascii="宋体" w:hAnsi="宋体" w:eastAsia="宋体" w:cs="Times New Roman"/>
          <w:color w:val="000000" w:themeColor="text1"/>
          <w:szCs w:val="21"/>
          <w:highlight w:val="none"/>
          <w:lang w:val="zh-CN"/>
          <w14:textFill>
            <w14:solidFill>
              <w14:schemeClr w14:val="tx1"/>
            </w14:solidFill>
          </w14:textFill>
        </w:rPr>
        <w:fldChar w:fldCharType="end"/>
      </w:r>
      <w:r>
        <w:rPr>
          <w:rFonts w:hint="eastAsia" w:ascii="宋体" w:hAnsi="宋体" w:eastAsia="宋体" w:cs="Times New Roman"/>
          <w:color w:val="000000" w:themeColor="text1"/>
          <w:szCs w:val="21"/>
          <w:highlight w:val="none"/>
          <w:lang w:val="zh-CN"/>
          <w14:textFill>
            <w14:solidFill>
              <w14:schemeClr w14:val="tx1"/>
            </w14:solidFill>
          </w14:textFill>
        </w:rPr>
        <w:t>所报的价格分项仅供评标委员会评审时使用；在任何情况下不限制投标人以不同的条件中标的权利。</w:t>
      </w:r>
    </w:p>
    <w:p w14:paraId="009A0831">
      <w:pPr>
        <w:autoSpaceDE w:val="0"/>
        <w:autoSpaceDN w:val="0"/>
        <w:adjustRightInd w:val="0"/>
        <w:spacing w:line="360" w:lineRule="auto"/>
        <w:ind w:left="268" w:leftChars="-100" w:hanging="478" w:hangingChars="228"/>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11.4 在合同期间，投标报价不随国家政策或法规、标准、市场因素及采购数量的变化而进行调整</w:t>
      </w:r>
      <w:r>
        <w:rPr>
          <w:rFonts w:hint="eastAsia" w:ascii="宋体" w:hAnsi="宋体" w:eastAsia="宋体" w:cs="Times New Roman"/>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3038F6E0">
      <w:pPr>
        <w:autoSpaceDE w:val="0"/>
        <w:autoSpaceDN w:val="0"/>
        <w:adjustRightInd w:val="0"/>
        <w:spacing w:line="360" w:lineRule="auto"/>
        <w:ind w:left="357" w:leftChars="-100" w:hanging="567"/>
        <w:rPr>
          <w:rFonts w:ascii="宋体" w:hAnsi="宋体" w:eastAsia="宋体" w:cs="Times New Roman"/>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11.5 </w:t>
      </w:r>
      <w:r>
        <w:rPr>
          <w:rFonts w:hint="eastAsia" w:ascii="宋体" w:hAnsi="宋体" w:eastAsia="宋体" w:cs="Times New Roman"/>
          <w:b/>
          <w:bCs/>
          <w:color w:val="000000" w:themeColor="text1"/>
          <w:szCs w:val="21"/>
          <w:highlight w:val="none"/>
          <w:lang w:val="zh-CN"/>
          <w14:textFill>
            <w14:solidFill>
              <w14:schemeClr w14:val="tx1"/>
            </w14:solidFill>
          </w14:textFill>
        </w:rPr>
        <w:t>合同项下，招标人需要的货物及</w:t>
      </w:r>
      <w:r>
        <w:rPr>
          <w:rFonts w:hint="eastAsia" w:ascii="宋体" w:hAnsi="宋体" w:eastAsia="宋体" w:cs="Times New Roman"/>
          <w:b/>
          <w:bCs/>
          <w:color w:val="000000" w:themeColor="text1"/>
          <w:szCs w:val="21"/>
          <w:highlight w:val="none"/>
          <w14:textFill>
            <w14:solidFill>
              <w14:schemeClr w14:val="tx1"/>
            </w14:solidFill>
          </w14:textFill>
        </w:rPr>
        <w:t>有关</w:t>
      </w:r>
      <w:r>
        <w:rPr>
          <w:rFonts w:hint="eastAsia" w:ascii="宋体" w:hAnsi="宋体" w:eastAsia="宋体" w:cs="Times New Roman"/>
          <w:b/>
          <w:bCs/>
          <w:color w:val="000000" w:themeColor="text1"/>
          <w:szCs w:val="21"/>
          <w:highlight w:val="none"/>
          <w:lang w:val="zh-CN"/>
          <w14:textFill>
            <w14:solidFill>
              <w14:schemeClr w14:val="tx1"/>
            </w14:solidFill>
          </w14:textFill>
        </w:rPr>
        <w:t>服务所需的费用，投标人都应计入投标报价总价。</w:t>
      </w:r>
    </w:p>
    <w:p w14:paraId="1463B643">
      <w:pPr>
        <w:autoSpaceDE w:val="0"/>
        <w:autoSpaceDN w:val="0"/>
        <w:adjustRightInd w:val="0"/>
        <w:spacing w:line="360" w:lineRule="auto"/>
        <w:ind w:left="357" w:leftChars="-100"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11.6</w:t>
      </w:r>
      <w:bookmarkStart w:id="164" w:name="OLE_LINK121"/>
      <w:r>
        <w:rPr>
          <w:rFonts w:hint="eastAsia" w:ascii="宋体" w:hAnsi="宋体" w:eastAsia="宋体" w:cs="Times New Roman"/>
          <w:b/>
          <w:bCs/>
          <w:color w:val="000000" w:themeColor="text1"/>
          <w:szCs w:val="21"/>
          <w:highlight w:val="none"/>
          <w14:textFill>
            <w14:solidFill>
              <w14:schemeClr w14:val="tx1"/>
            </w14:solidFill>
          </w14:textFill>
        </w:rPr>
        <w:t xml:space="preserve"> </w:t>
      </w:r>
      <w:bookmarkStart w:id="165" w:name="OLE_LINK519"/>
      <w:r>
        <w:rPr>
          <w:rFonts w:hint="eastAsia" w:ascii="宋体" w:hAnsi="宋体" w:eastAsia="宋体" w:cs="宋体"/>
          <w:b/>
          <w:color w:val="000000" w:themeColor="text1"/>
          <w:szCs w:val="21"/>
          <w:highlight w:val="none"/>
          <w:u w:val="single"/>
          <w:lang w:val="zh-CN"/>
          <w14:textFill>
            <w14:solidFill>
              <w14:schemeClr w14:val="tx1"/>
            </w14:solidFill>
          </w14:textFill>
        </w:rPr>
        <w:t>投标人</w:t>
      </w:r>
      <w:r>
        <w:rPr>
          <w:rFonts w:hint="eastAsia" w:ascii="宋体" w:hAnsi="宋体" w:eastAsia="宋体" w:cs="Times New Roman"/>
          <w:b/>
          <w:bCs/>
          <w:color w:val="000000" w:themeColor="text1"/>
          <w:kern w:val="0"/>
          <w:szCs w:val="24"/>
          <w:highlight w:val="none"/>
          <w:u w:val="single"/>
          <w14:textFill>
            <w14:solidFill>
              <w14:schemeClr w14:val="tx1"/>
            </w14:solidFill>
          </w14:textFill>
        </w:rPr>
        <w:t>的</w:t>
      </w:r>
      <w:bookmarkStart w:id="166" w:name="OLE_LINK521"/>
      <w:r>
        <w:rPr>
          <w:rFonts w:hint="eastAsia" w:ascii="宋体" w:hAnsi="宋体" w:eastAsia="宋体" w:cs="Times New Roman"/>
          <w:b/>
          <w:bCs/>
          <w:color w:val="000000" w:themeColor="text1"/>
          <w:kern w:val="0"/>
          <w:szCs w:val="24"/>
          <w:highlight w:val="none"/>
          <w:u w:val="single"/>
          <w14:textFill>
            <w14:solidFill>
              <w14:schemeClr w14:val="tx1"/>
            </w14:solidFill>
          </w14:textFill>
        </w:rPr>
        <w:t>投标报价</w:t>
      </w:r>
      <w:bookmarkEnd w:id="166"/>
      <w:r>
        <w:rPr>
          <w:rFonts w:hint="eastAsia" w:ascii="宋体" w:hAnsi="宋体" w:eastAsia="宋体" w:cs="Times New Roman"/>
          <w:b/>
          <w:bCs/>
          <w:color w:val="000000" w:themeColor="text1"/>
          <w:kern w:val="0"/>
          <w:szCs w:val="24"/>
          <w:highlight w:val="none"/>
          <w:u w:val="single"/>
          <w14:textFill>
            <w14:solidFill>
              <w14:schemeClr w14:val="tx1"/>
            </w14:solidFill>
          </w14:textFill>
        </w:rPr>
        <w:t>高于</w:t>
      </w:r>
      <w:bookmarkStart w:id="167" w:name="OLE_LINK371"/>
      <w:bookmarkStart w:id="168" w:name="OLE_LINK520"/>
      <w:r>
        <w:rPr>
          <w:rFonts w:hint="eastAsia" w:ascii="宋体" w:hAnsi="宋体" w:eastAsia="宋体" w:cs="宋体"/>
          <w:b/>
          <w:color w:val="000000" w:themeColor="text1"/>
          <w:kern w:val="0"/>
          <w:szCs w:val="21"/>
          <w:highlight w:val="none"/>
          <w:u w:val="single"/>
          <w14:textFill>
            <w14:solidFill>
              <w14:schemeClr w14:val="tx1"/>
            </w14:solidFill>
          </w14:textFill>
        </w:rPr>
        <w:t>本项目总采购限价的或投标单价报价高于单价采购限价的</w:t>
      </w:r>
      <w:bookmarkEnd w:id="167"/>
      <w:bookmarkEnd w:id="168"/>
      <w:r>
        <w:rPr>
          <w:rFonts w:hint="eastAsia" w:ascii="宋体" w:hAnsi="宋体" w:eastAsia="宋体" w:cs="Times New Roman"/>
          <w:b/>
          <w:bCs/>
          <w:color w:val="000000" w:themeColor="text1"/>
          <w:kern w:val="0"/>
          <w:szCs w:val="24"/>
          <w:highlight w:val="none"/>
          <w:u w:val="single"/>
          <w14:textFill>
            <w14:solidFill>
              <w14:schemeClr w14:val="tx1"/>
            </w14:solidFill>
          </w14:textFill>
        </w:rPr>
        <w:t>，该投标人的投标文件将被视为无效投标</w:t>
      </w:r>
      <w:r>
        <w:rPr>
          <w:rFonts w:hint="eastAsia" w:ascii="宋体" w:hAnsi="宋体" w:eastAsia="宋体" w:cs="宋体"/>
          <w:b/>
          <w:color w:val="000000" w:themeColor="text1"/>
          <w:szCs w:val="21"/>
          <w:highlight w:val="none"/>
          <w:u w:val="single"/>
          <w:lang w:val="zh-CN"/>
          <w14:textFill>
            <w14:solidFill>
              <w14:schemeClr w14:val="tx1"/>
            </w14:solidFill>
          </w14:textFill>
        </w:rPr>
        <w:t>。本项目的不含税</w:t>
      </w:r>
      <w:bookmarkStart w:id="169" w:name="OLE_LINK374"/>
      <w:r>
        <w:rPr>
          <w:rFonts w:hint="eastAsia" w:ascii="宋体" w:hAnsi="宋体" w:eastAsia="宋体" w:cs="宋体"/>
          <w:b/>
          <w:color w:val="000000" w:themeColor="text1"/>
          <w:szCs w:val="21"/>
          <w:highlight w:val="none"/>
          <w:u w:val="single"/>
          <w14:textFill>
            <w14:solidFill>
              <w14:schemeClr w14:val="tx1"/>
            </w14:solidFill>
          </w14:textFill>
        </w:rPr>
        <w:t>总价采购</w:t>
      </w:r>
      <w:bookmarkEnd w:id="169"/>
      <w:r>
        <w:rPr>
          <w:rFonts w:hint="eastAsia" w:ascii="宋体" w:hAnsi="宋体" w:eastAsia="宋体" w:cs="宋体"/>
          <w:b/>
          <w:color w:val="000000" w:themeColor="text1"/>
          <w:szCs w:val="21"/>
          <w:highlight w:val="none"/>
          <w:u w:val="single"/>
          <w:lang w:val="zh-CN"/>
          <w14:textFill>
            <w14:solidFill>
              <w14:schemeClr w14:val="tx1"/>
            </w14:solidFill>
          </w14:textFill>
        </w:rPr>
        <w:t>限价</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为</w:t>
      </w:r>
      <w:bookmarkStart w:id="170" w:name="OLE_LINK378"/>
      <w:r>
        <w:rPr>
          <w:rFonts w:hint="eastAsia" w:ascii="宋体" w:hAnsi="宋体" w:eastAsia="宋体" w:cs="宋体"/>
          <w:b/>
          <w:color w:val="000000" w:themeColor="text1"/>
          <w:szCs w:val="21"/>
          <w:highlight w:val="none"/>
          <w:u w:val="single"/>
          <w14:textFill>
            <w14:solidFill>
              <w14:schemeClr w14:val="tx1"/>
            </w14:solidFill>
          </w14:textFill>
        </w:rPr>
        <w:t>¥</w:t>
      </w:r>
      <w:r>
        <w:rPr>
          <w:rFonts w:hint="eastAsia" w:ascii="宋体" w:hAnsi="宋体" w:eastAsia="宋体" w:cs="Times New Roman"/>
          <w:b/>
          <w:bCs/>
          <w:color w:val="000000" w:themeColor="text1"/>
          <w:szCs w:val="21"/>
          <w:highlight w:val="none"/>
          <w:u w:val="single"/>
          <w14:textFill>
            <w14:solidFill>
              <w14:schemeClr w14:val="tx1"/>
            </w14:solidFill>
          </w14:textFill>
        </w:rPr>
        <w:t>12,896,212.55</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元</w:t>
      </w:r>
      <w:bookmarkEnd w:id="170"/>
      <w:r>
        <w:rPr>
          <w:rFonts w:hint="eastAsia" w:ascii="宋体" w:hAnsi="宋体" w:eastAsia="宋体" w:cs="Times New Roman"/>
          <w:b/>
          <w:bCs/>
          <w:color w:val="000000" w:themeColor="text1"/>
          <w:szCs w:val="21"/>
          <w:highlight w:val="none"/>
          <w:u w:val="single"/>
          <w:lang w:val="zh-CN"/>
          <w14:textFill>
            <w14:solidFill>
              <w14:schemeClr w14:val="tx1"/>
            </w14:solidFill>
          </w14:textFill>
        </w:rPr>
        <w:t>（大写</w:t>
      </w:r>
      <w:r>
        <w:rPr>
          <w:rFonts w:hint="eastAsia" w:ascii="宋体" w:hAnsi="宋体" w:eastAsia="宋体" w:cs="宋体"/>
          <w:b/>
          <w:color w:val="000000" w:themeColor="text1"/>
          <w:szCs w:val="21"/>
          <w:highlight w:val="none"/>
          <w:u w:val="single"/>
          <w:lang w:val="zh-CN"/>
          <w14:textFill>
            <w14:solidFill>
              <w14:schemeClr w14:val="tx1"/>
            </w14:solidFill>
          </w14:textFill>
        </w:rPr>
        <w:t>：人民币</w:t>
      </w:r>
      <w:r>
        <w:rPr>
          <w:rFonts w:hint="eastAsia" w:ascii="宋体" w:hAnsi="宋体" w:eastAsia="宋体" w:cs="宋体"/>
          <w:b/>
          <w:color w:val="000000" w:themeColor="text1"/>
          <w:szCs w:val="21"/>
          <w:highlight w:val="none"/>
          <w:u w:val="single"/>
          <w14:textFill>
            <w14:solidFill>
              <w14:schemeClr w14:val="tx1"/>
            </w14:solidFill>
          </w14:textFill>
        </w:rPr>
        <w:t>壹仟贰佰捌拾玖万陆仟贰佰壹拾贰元伍角伍分</w:t>
      </w:r>
      <w:r>
        <w:rPr>
          <w:rFonts w:hint="eastAsia" w:ascii="宋体" w:hAnsi="宋体" w:eastAsia="宋体" w:cs="宋体"/>
          <w:b/>
          <w:color w:val="000000" w:themeColor="text1"/>
          <w:szCs w:val="21"/>
          <w:highlight w:val="none"/>
          <w:u w:val="single"/>
          <w:lang w:val="zh-CN"/>
          <w14:textFill>
            <w14:solidFill>
              <w14:schemeClr w14:val="tx1"/>
            </w14:solidFill>
          </w14:textFill>
        </w:rPr>
        <w:t>），固定每瓦不含税单价采购限价为：</w:t>
      </w:r>
      <w:bookmarkStart w:id="171" w:name="OLE_LINK385"/>
      <w:bookmarkStart w:id="172" w:name="OLE_LINK381"/>
      <w:r>
        <w:rPr>
          <w:rFonts w:hint="eastAsia" w:ascii="宋体" w:hAnsi="宋体" w:eastAsia="宋体" w:cs="宋体"/>
          <w:b/>
          <w:color w:val="000000" w:themeColor="text1"/>
          <w:szCs w:val="21"/>
          <w:highlight w:val="none"/>
          <w:u w:val="single"/>
          <w14:textFill>
            <w14:solidFill>
              <w14:schemeClr w14:val="tx1"/>
            </w14:solidFill>
          </w14:textFill>
        </w:rPr>
        <w:t>¥</w:t>
      </w:r>
      <w:bookmarkEnd w:id="171"/>
      <w:r>
        <w:rPr>
          <w:rFonts w:hint="eastAsia" w:ascii="宋体" w:hAnsi="宋体" w:eastAsia="宋体" w:cs="宋体"/>
          <w:b/>
          <w:color w:val="000000" w:themeColor="text1"/>
          <w:szCs w:val="21"/>
          <w:highlight w:val="none"/>
          <w:u w:val="single"/>
          <w14:textFill>
            <w14:solidFill>
              <w14:schemeClr w14:val="tx1"/>
            </w14:solidFill>
          </w14:textFill>
        </w:rPr>
        <w:t>2.89</w:t>
      </w:r>
      <w:r>
        <w:rPr>
          <w:rFonts w:hint="eastAsia" w:ascii="宋体" w:hAnsi="宋体" w:eastAsia="宋体" w:cs="宋体"/>
          <w:b/>
          <w:color w:val="000000" w:themeColor="text1"/>
          <w:szCs w:val="21"/>
          <w:highlight w:val="none"/>
          <w:u w:val="single"/>
          <w:lang w:val="zh-CN"/>
          <w14:textFill>
            <w14:solidFill>
              <w14:schemeClr w14:val="tx1"/>
            </w14:solidFill>
          </w14:textFill>
        </w:rPr>
        <w:t>元</w:t>
      </w:r>
      <w:bookmarkEnd w:id="172"/>
      <w:r>
        <w:rPr>
          <w:rFonts w:hint="eastAsia" w:ascii="宋体" w:hAnsi="宋体" w:eastAsia="宋体" w:cs="宋体"/>
          <w:b/>
          <w:bCs/>
          <w:color w:val="000000" w:themeColor="text1"/>
          <w:highlight w:val="none"/>
          <w:u w:val="single"/>
          <w14:textFill>
            <w14:solidFill>
              <w14:schemeClr w14:val="tx1"/>
            </w14:solidFill>
          </w14:textFill>
        </w:rPr>
        <w:t>（大写：人民币贰元捌角玖分）</w:t>
      </w:r>
      <w:bookmarkEnd w:id="164"/>
      <w:bookmarkEnd w:id="165"/>
      <w:r>
        <w:rPr>
          <w:rFonts w:hint="eastAsia" w:ascii="宋体" w:hAnsi="宋体" w:eastAsia="宋体" w:cs="宋体"/>
          <w:b/>
          <w:bCs/>
          <w:color w:val="000000" w:themeColor="text1"/>
          <w:highlight w:val="none"/>
          <w:u w:val="single"/>
          <w14:textFill>
            <w14:solidFill>
              <w14:schemeClr w14:val="tx1"/>
            </w14:solidFill>
          </w14:textFill>
        </w:rPr>
        <w:t>。</w:t>
      </w:r>
    </w:p>
    <w:p w14:paraId="5053E0DF">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lang w:val="zh-CN"/>
          <w14:textFill>
            <w14:solidFill>
              <w14:schemeClr w14:val="tx1"/>
            </w14:solidFill>
          </w14:textFill>
        </w:rPr>
        <w:t xml:space="preserve">     </w:t>
      </w:r>
    </w:p>
    <w:p w14:paraId="3CE6B9DE">
      <w:pPr>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173" w:name="_Toc486167676"/>
      <w:bookmarkStart w:id="174" w:name="_Toc142508326"/>
      <w:bookmarkStart w:id="175" w:name="_Toc26691"/>
      <w:bookmarkStart w:id="176" w:name="_Toc450662862"/>
      <w:bookmarkStart w:id="177" w:name="_Toc14068"/>
      <w:bookmarkStart w:id="178" w:name="_Toc30042_WPSOffice_Level3"/>
      <w:r>
        <w:rPr>
          <w:rFonts w:hint="eastAsia" w:ascii="宋体" w:hAnsi="宋体" w:eastAsia="宋体" w:cs="宋体"/>
          <w:b/>
          <w:color w:val="000000" w:themeColor="text1"/>
          <w:szCs w:val="21"/>
          <w:highlight w:val="none"/>
          <w:lang w:val="zh-CN"/>
          <w14:textFill>
            <w14:solidFill>
              <w14:schemeClr w14:val="tx1"/>
            </w14:solidFill>
          </w14:textFill>
        </w:rPr>
        <w:t>12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投标报价货币</w:t>
      </w:r>
      <w:bookmarkEnd w:id="173"/>
      <w:bookmarkEnd w:id="174"/>
      <w:bookmarkEnd w:id="175"/>
      <w:bookmarkEnd w:id="176"/>
      <w:bookmarkEnd w:id="177"/>
      <w:bookmarkEnd w:id="178"/>
    </w:p>
    <w:p w14:paraId="7A755C8D">
      <w:pPr>
        <w:autoSpaceDE w:val="0"/>
        <w:autoSpaceDN w:val="0"/>
        <w:adjustRightInd w:val="0"/>
        <w:spacing w:line="360" w:lineRule="auto"/>
        <w:ind w:left="265" w:leftChars="119" w:hanging="15"/>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投标</w:t>
      </w:r>
      <w:r>
        <w:rPr>
          <w:rFonts w:hint="eastAsia" w:ascii="宋体" w:hAnsi="宋体" w:eastAsia="宋体" w:cs="Times New Roman"/>
          <w:b/>
          <w:color w:val="000000" w:themeColor="text1"/>
          <w:szCs w:val="21"/>
          <w:highlight w:val="none"/>
          <w:lang w:val="zh-CN"/>
          <w14:textFill>
            <w14:solidFill>
              <w14:schemeClr w14:val="tx1"/>
            </w14:solidFill>
          </w14:textFill>
        </w:rPr>
        <w:t>报价表上的价格须以人民币报价，以其</w:t>
      </w:r>
      <w:r>
        <w:rPr>
          <w:rFonts w:hint="eastAsia" w:ascii="宋体" w:hAnsi="宋体" w:eastAsia="宋体" w:cs="Times New Roman"/>
          <w:b/>
          <w:color w:val="000000" w:themeColor="text1"/>
          <w:szCs w:val="21"/>
          <w:highlight w:val="none"/>
          <w14:textFill>
            <w14:solidFill>
              <w14:schemeClr w14:val="tx1"/>
            </w14:solidFill>
          </w14:textFill>
        </w:rPr>
        <w:t>他</w:t>
      </w:r>
      <w:r>
        <w:rPr>
          <w:rFonts w:hint="eastAsia" w:ascii="宋体" w:hAnsi="宋体" w:eastAsia="宋体" w:cs="Times New Roman"/>
          <w:b/>
          <w:color w:val="000000" w:themeColor="text1"/>
          <w:szCs w:val="21"/>
          <w:highlight w:val="none"/>
          <w:lang w:val="zh-CN"/>
          <w14:textFill>
            <w14:solidFill>
              <w14:schemeClr w14:val="tx1"/>
            </w14:solidFill>
          </w14:textFill>
        </w:rPr>
        <w:t>货币标价的投标将予以拒绝</w:t>
      </w:r>
      <w:r>
        <w:rPr>
          <w:rFonts w:hint="eastAsia" w:ascii="宋体" w:hAnsi="宋体" w:eastAsia="宋体" w:cs="宋体"/>
          <w:b/>
          <w:color w:val="000000" w:themeColor="text1"/>
          <w:szCs w:val="21"/>
          <w:highlight w:val="none"/>
          <w:lang w:val="zh-CN"/>
          <w14:textFill>
            <w14:solidFill>
              <w14:schemeClr w14:val="tx1"/>
            </w14:solidFill>
          </w14:textFill>
        </w:rPr>
        <w:t>。</w:t>
      </w:r>
    </w:p>
    <w:p w14:paraId="036C8470">
      <w:pPr>
        <w:autoSpaceDE w:val="0"/>
        <w:autoSpaceDN w:val="0"/>
        <w:adjustRightInd w:val="0"/>
        <w:spacing w:line="360" w:lineRule="auto"/>
        <w:ind w:left="265" w:leftChars="119" w:hanging="15"/>
        <w:rPr>
          <w:rFonts w:ascii="宋体" w:hAnsi="宋体" w:eastAsia="宋体" w:cs="宋体"/>
          <w:color w:val="000000" w:themeColor="text1"/>
          <w:szCs w:val="21"/>
          <w:highlight w:val="none"/>
          <w14:textFill>
            <w14:solidFill>
              <w14:schemeClr w14:val="tx1"/>
            </w14:solidFill>
          </w14:textFill>
        </w:rPr>
      </w:pPr>
    </w:p>
    <w:p w14:paraId="75216FDC">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79" w:name="_Toc25596"/>
      <w:bookmarkStart w:id="180" w:name="_Toc450662863"/>
      <w:bookmarkStart w:id="181" w:name="_Toc486167677"/>
      <w:bookmarkStart w:id="182" w:name="_Toc142508327"/>
      <w:bookmarkStart w:id="183" w:name="_Toc9411_WPSOffice_Level3"/>
      <w:bookmarkStart w:id="184" w:name="_Toc16396"/>
      <w:r>
        <w:rPr>
          <w:rFonts w:hint="eastAsia" w:ascii="宋体" w:hAnsi="宋体" w:eastAsia="宋体" w:cs="宋体"/>
          <w:color w:val="000000" w:themeColor="text1"/>
          <w:szCs w:val="21"/>
          <w:highlight w:val="none"/>
          <w:lang w:val="zh-CN"/>
          <w14:textFill>
            <w14:solidFill>
              <w14:schemeClr w14:val="tx1"/>
            </w14:solidFill>
          </w14:textFill>
        </w:rPr>
        <w:t>13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证明投标人的合格性和资格的声明文件</w:t>
      </w:r>
      <w:bookmarkEnd w:id="179"/>
      <w:bookmarkEnd w:id="180"/>
      <w:bookmarkEnd w:id="181"/>
      <w:bookmarkEnd w:id="182"/>
      <w:bookmarkEnd w:id="183"/>
      <w:bookmarkEnd w:id="184"/>
    </w:p>
    <w:p w14:paraId="1ECD4D73">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根据第2条、第13.2款规定，投标人须提交证明其有资格进行投标和有能力履行合同的文件，作为投标文件的一部分。</w:t>
      </w:r>
    </w:p>
    <w:p w14:paraId="4520F870">
      <w:pPr>
        <w:autoSpaceDE w:val="0"/>
        <w:autoSpaceDN w:val="0"/>
        <w:adjustRightInd w:val="0"/>
        <w:spacing w:line="360" w:lineRule="auto"/>
        <w:ind w:left="357" w:leftChars="-100" w:hanging="567"/>
        <w:rPr>
          <w:rFonts w:ascii="宋体" w:hAnsi="宋体" w:eastAsia="宋体" w:cs="宋体"/>
          <w:color w:val="000000" w:themeColor="text1"/>
          <w:szCs w:val="21"/>
          <w:highlight w:val="none"/>
          <w:vertAlign w:val="superscript"/>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投标人提供的履行合同的资格声明文件应符合：</w:t>
      </w:r>
    </w:p>
    <w:p w14:paraId="1CE7BB5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（1）符合《中华人民共和国招标投标法》《中华人民共和国招标投标法实施条例》投标人应当具备的条件；</w:t>
      </w:r>
    </w:p>
    <w:p w14:paraId="010B3D4C">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（2）投标人具有履行本项目所必须的证明文件；</w:t>
      </w:r>
    </w:p>
    <w:p w14:paraId="273B38AB">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（3）投标人证明其相应资格</w:t>
      </w:r>
      <w:r>
        <w:rPr>
          <w:rFonts w:hint="eastAsia" w:ascii="宋体" w:hAnsi="宋体" w:eastAsia="宋体" w:cs="Times New Roman"/>
          <w:color w:val="000000" w:themeColor="text1"/>
          <w:szCs w:val="21"/>
          <w:highlight w:val="none"/>
          <w:lang w:val="zh-CN"/>
          <w14:textFill>
            <w14:solidFill>
              <w14:schemeClr w14:val="tx1"/>
            </w14:solidFill>
          </w14:textFill>
        </w:rPr>
        <w:t>符合或</w:t>
      </w:r>
      <w:r>
        <w:rPr>
          <w:rFonts w:hint="eastAsia" w:ascii="宋体" w:hAnsi="宋体" w:eastAsia="宋体" w:cs="宋体"/>
          <w:color w:val="000000" w:themeColor="text1"/>
          <w:szCs w:val="21"/>
          <w:highlight w:val="none"/>
          <w:lang w:val="zh-CN"/>
          <w14:textFill>
            <w14:solidFill>
              <w14:schemeClr w14:val="tx1"/>
            </w14:solidFill>
          </w14:textFill>
        </w:rPr>
        <w:t>优于招标文件要求的其它文件。</w:t>
      </w:r>
    </w:p>
    <w:p w14:paraId="25F9CA78">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000000" w:themeColor="text1"/>
          <w:szCs w:val="21"/>
          <w:highlight w:val="none"/>
          <w:lang w:val="zh-CN"/>
          <w14:textFill>
            <w14:solidFill>
              <w14:schemeClr w14:val="tx1"/>
            </w14:solidFill>
          </w14:textFill>
        </w:rPr>
        <w:t>。</w:t>
      </w:r>
    </w:p>
    <w:p w14:paraId="7AD93478">
      <w:pPr>
        <w:autoSpaceDE w:val="0"/>
        <w:autoSpaceDN w:val="0"/>
        <w:adjustRightInd w:val="0"/>
        <w:spacing w:line="360" w:lineRule="auto"/>
        <w:ind w:left="560" w:leftChars="128" w:hanging="291" w:hangingChars="139"/>
        <w:rPr>
          <w:rFonts w:ascii="宋体" w:hAnsi="宋体" w:eastAsia="宋体" w:cs="宋体"/>
          <w:color w:val="000000" w:themeColor="text1"/>
          <w:szCs w:val="21"/>
          <w:highlight w:val="none"/>
          <w14:textFill>
            <w14:solidFill>
              <w14:schemeClr w14:val="tx1"/>
            </w14:solidFill>
          </w14:textFill>
        </w:rPr>
      </w:pPr>
    </w:p>
    <w:p w14:paraId="79BEE41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85" w:name="_Toc30441"/>
      <w:bookmarkStart w:id="186" w:name="_Toc142508328"/>
      <w:bookmarkStart w:id="187" w:name="_Toc450662864"/>
      <w:bookmarkStart w:id="188" w:name="_Toc27771_WPSOffice_Level3"/>
      <w:bookmarkStart w:id="189" w:name="_Toc486167678"/>
      <w:bookmarkStart w:id="190" w:name="_Toc9411"/>
      <w:r>
        <w:rPr>
          <w:rFonts w:hint="eastAsia" w:ascii="宋体" w:hAnsi="宋体" w:eastAsia="宋体" w:cs="宋体"/>
          <w:color w:val="000000" w:themeColor="text1"/>
          <w:szCs w:val="21"/>
          <w:highlight w:val="none"/>
          <w:lang w:val="zh-CN"/>
          <w14:textFill>
            <w14:solidFill>
              <w14:schemeClr w14:val="tx1"/>
            </w14:solidFill>
          </w14:textFill>
        </w:rPr>
        <w:t>14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证明货物的合格性并符合招标文件规定的声明文件</w:t>
      </w:r>
      <w:bookmarkEnd w:id="185"/>
      <w:bookmarkEnd w:id="186"/>
      <w:bookmarkEnd w:id="187"/>
      <w:bookmarkEnd w:id="188"/>
      <w:bookmarkEnd w:id="189"/>
      <w:bookmarkEnd w:id="190"/>
    </w:p>
    <w:p w14:paraId="2B41AF75">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w:t>
      </w:r>
      <w:r>
        <w:rPr>
          <w:rFonts w:hint="eastAsia" w:ascii="宋体" w:hAnsi="宋体" w:eastAsia="宋体" w:cs="宋体"/>
          <w:color w:val="000000" w:themeColor="text1"/>
          <w:kern w:val="0"/>
          <w:szCs w:val="21"/>
          <w:highlight w:val="none"/>
          <w14:textFill>
            <w14:solidFill>
              <w14:schemeClr w14:val="tx1"/>
            </w14:solidFill>
          </w14:textFill>
        </w:rPr>
        <w:t>第9</w:t>
      </w:r>
      <w:r>
        <w:rPr>
          <w:rFonts w:hint="eastAsia" w:ascii="宋体" w:hAnsi="宋体" w:eastAsia="宋体" w:cs="宋体"/>
          <w:color w:val="000000" w:themeColor="text1"/>
          <w:szCs w:val="21"/>
          <w:highlight w:val="none"/>
          <w:lang w:val="zh-CN"/>
          <w14:textFill>
            <w14:solidFill>
              <w14:schemeClr w14:val="tx1"/>
            </w14:solidFill>
          </w14:textFill>
        </w:rPr>
        <w:t>条规定，投标人须提交证明其拟供货物的合格性并符合招标文件规定的声明文件，作为投标文件的一部分。</w:t>
      </w:r>
    </w:p>
    <w:p w14:paraId="11F4F8A5">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14.2  证明</w:t>
      </w:r>
      <w:r>
        <w:rPr>
          <w:rFonts w:hint="eastAsia" w:ascii="宋体" w:hAnsi="宋体" w:eastAsia="宋体" w:cs="宋体"/>
          <w:color w:val="000000" w:themeColor="text1"/>
          <w:kern w:val="0"/>
          <w:szCs w:val="21"/>
          <w:highlight w:val="none"/>
          <w14:textFill>
            <w14:solidFill>
              <w14:schemeClr w14:val="tx1"/>
            </w14:solidFill>
          </w14:textFill>
        </w:rPr>
        <w:t>货物及有关服务</w:t>
      </w:r>
      <w:r>
        <w:rPr>
          <w:rFonts w:hint="eastAsia" w:ascii="宋体" w:hAnsi="宋体" w:eastAsia="宋体" w:cs="宋体"/>
          <w:color w:val="000000" w:themeColor="text1"/>
          <w:szCs w:val="21"/>
          <w:highlight w:val="none"/>
          <w:lang w:val="zh-CN"/>
          <w14:textFill>
            <w14:solidFill>
              <w14:schemeClr w14:val="tx1"/>
            </w14:solidFill>
          </w14:textFill>
        </w:rPr>
        <w:t>与招标文件的要求相一致的文件可以是文字资料、图纸和数据资料。</w:t>
      </w:r>
    </w:p>
    <w:p w14:paraId="7DF37CF2">
      <w:pPr>
        <w:autoSpaceDE w:val="0"/>
        <w:autoSpaceDN w:val="0"/>
        <w:adjustRightInd w:val="0"/>
        <w:spacing w:line="360" w:lineRule="auto"/>
        <w:ind w:left="317" w:leftChars="-100" w:hanging="527" w:hangingChars="251"/>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14.3 </w:t>
      </w:r>
      <w:r>
        <w:rPr>
          <w:rFonts w:hint="eastAsia" w:ascii="宋体" w:hAnsi="宋体" w:eastAsia="宋体" w:cs="宋体"/>
          <w:b/>
          <w:color w:val="000000" w:themeColor="text1"/>
          <w:szCs w:val="21"/>
          <w:highlight w:val="none"/>
          <w:lang w:val="zh-CN"/>
          <w14:textFill>
            <w14:solidFill>
              <w14:schemeClr w14:val="tx1"/>
            </w14:solidFill>
          </w14:textFill>
        </w:rPr>
        <w:t>为说明第14.2款的规定，</w:t>
      </w:r>
      <w:r>
        <w:rPr>
          <w:rFonts w:hint="eastAsia" w:ascii="宋体" w:hAnsi="宋体" w:eastAsia="宋体" w:cs="Times New Roman"/>
          <w:b/>
          <w:color w:val="000000" w:themeColor="text1"/>
          <w:szCs w:val="21"/>
          <w:highlight w:val="none"/>
          <w:lang w:val="zh-CN"/>
          <w14:textFill>
            <w14:solidFill>
              <w14:schemeClr w14:val="tx1"/>
            </w14:solidFill>
          </w14:textFill>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000000" w:themeColor="text1"/>
          <w:szCs w:val="21"/>
          <w:highlight w:val="none"/>
          <w:lang w:val="zh-CN"/>
          <w14:textFill>
            <w14:solidFill>
              <w14:schemeClr w14:val="tx1"/>
            </w14:solidFill>
          </w14:textFill>
        </w:rPr>
        <w:t>凡标有“</w:t>
      </w: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ascii="宋体" w:hAnsi="宋体" w:eastAsia="宋体" w:cs="Times New Roman"/>
          <w:b/>
          <w:color w:val="000000" w:themeColor="text1"/>
          <w:szCs w:val="21"/>
          <w:highlight w:val="none"/>
          <w:lang w:val="zh-CN"/>
          <w14:textFill>
            <w14:solidFill>
              <w14:schemeClr w14:val="tx1"/>
            </w14:solidFill>
          </w14:textFill>
        </w:rPr>
        <w:t>”的地方均被视为重要的技术指标要求或性能要求。投标</w:t>
      </w:r>
      <w:r>
        <w:rPr>
          <w:rFonts w:hint="eastAsia" w:ascii="宋体" w:hAnsi="宋体" w:eastAsia="宋体" w:cs="Times New Roman"/>
          <w:b/>
          <w:color w:val="000000" w:themeColor="text1"/>
          <w:szCs w:val="21"/>
          <w:highlight w:val="none"/>
          <w:lang w:val="zh-CN"/>
          <w14:textFill>
            <w14:solidFill>
              <w14:schemeClr w14:val="tx1"/>
            </w14:solidFill>
          </w14:textFill>
        </w:rPr>
        <w:t>人</w:t>
      </w:r>
      <w:r>
        <w:rPr>
          <w:rFonts w:ascii="宋体" w:hAnsi="宋体" w:eastAsia="宋体" w:cs="Times New Roman"/>
          <w:b/>
          <w:color w:val="000000" w:themeColor="text1"/>
          <w:szCs w:val="21"/>
          <w:highlight w:val="none"/>
          <w:lang w:val="zh-CN"/>
          <w14:textFill>
            <w14:solidFill>
              <w14:schemeClr w14:val="tx1"/>
            </w14:solidFill>
          </w14:textFill>
        </w:rPr>
        <w:t>要特别加以注意，必须对此回答并完全满足这些要求</w:t>
      </w: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ascii="宋体" w:hAnsi="宋体" w:eastAsia="宋体" w:cs="Times New Roman"/>
          <w:b/>
          <w:color w:val="000000" w:themeColor="text1"/>
          <w:szCs w:val="21"/>
          <w:highlight w:val="none"/>
          <w:lang w:val="zh-CN"/>
          <w14:textFill>
            <w14:solidFill>
              <w14:schemeClr w14:val="tx1"/>
            </w14:solidFill>
          </w14:textFill>
        </w:rPr>
        <w:t>否则若有一项带“</w:t>
      </w: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ascii="宋体" w:hAnsi="宋体" w:eastAsia="宋体" w:cs="Times New Roman"/>
          <w:b/>
          <w:color w:val="000000" w:themeColor="text1"/>
          <w:szCs w:val="21"/>
          <w:highlight w:val="none"/>
          <w:lang w:val="zh-CN"/>
          <w14:textFill>
            <w14:solidFill>
              <w14:schemeClr w14:val="tx1"/>
            </w14:solidFill>
          </w14:textFill>
        </w:rPr>
        <w:t>”的指标未响应或不满足，将按</w:t>
      </w:r>
      <w:r>
        <w:rPr>
          <w:rFonts w:hint="eastAsia" w:ascii="宋体" w:hAnsi="宋体" w:eastAsia="宋体" w:cs="Times New Roman"/>
          <w:b/>
          <w:color w:val="000000" w:themeColor="text1"/>
          <w:szCs w:val="21"/>
          <w:highlight w:val="none"/>
          <w:lang w:val="zh-CN"/>
          <w14:textFill>
            <w14:solidFill>
              <w14:schemeClr w14:val="tx1"/>
            </w14:solidFill>
          </w14:textFill>
        </w:rPr>
        <w:t>无效投标</w:t>
      </w:r>
      <w:r>
        <w:rPr>
          <w:rFonts w:ascii="宋体" w:hAnsi="宋体" w:eastAsia="宋体" w:cs="Times New Roman"/>
          <w:b/>
          <w:color w:val="000000" w:themeColor="text1"/>
          <w:szCs w:val="21"/>
          <w:highlight w:val="none"/>
          <w:lang w:val="zh-CN"/>
          <w14:textFill>
            <w14:solidFill>
              <w14:schemeClr w14:val="tx1"/>
            </w14:solidFill>
          </w14:textFill>
        </w:rPr>
        <w:t>处理</w:t>
      </w:r>
      <w:r>
        <w:rPr>
          <w:rFonts w:hint="eastAsia" w:ascii="宋体" w:hAnsi="宋体" w:eastAsia="宋体" w:cs="宋体"/>
          <w:b/>
          <w:color w:val="000000" w:themeColor="text1"/>
          <w:szCs w:val="21"/>
          <w:highlight w:val="none"/>
          <w:lang w:val="zh-CN"/>
          <w14:textFill>
            <w14:solidFill>
              <w14:schemeClr w14:val="tx1"/>
            </w14:solidFill>
          </w14:textFill>
        </w:rPr>
        <w:t>。</w:t>
      </w:r>
    </w:p>
    <w:p w14:paraId="010D5A29">
      <w:pPr>
        <w:autoSpaceDE w:val="0"/>
        <w:autoSpaceDN w:val="0"/>
        <w:adjustRightInd w:val="0"/>
        <w:spacing w:line="360" w:lineRule="auto"/>
        <w:ind w:left="392" w:leftChars="-100" w:hanging="602" w:hangingChars="251"/>
        <w:rPr>
          <w:rFonts w:ascii="宋体" w:hAnsi="宋体" w:eastAsia="宋体" w:cs="Times New Roman"/>
          <w:color w:val="000000" w:themeColor="text1"/>
          <w:kern w:val="0"/>
          <w:sz w:val="24"/>
          <w:szCs w:val="24"/>
          <w:highlight w:val="none"/>
          <w14:textFill>
            <w14:solidFill>
              <w14:schemeClr w14:val="tx1"/>
            </w14:solidFill>
          </w14:textFill>
        </w:rPr>
      </w:pPr>
    </w:p>
    <w:p w14:paraId="78488F5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91" w:name="_Toc23319"/>
      <w:bookmarkStart w:id="192" w:name="_Toc24774"/>
      <w:bookmarkStart w:id="193" w:name="_Toc5356_WPSOffice_Level3"/>
      <w:bookmarkStart w:id="194" w:name="_Toc142508329"/>
      <w:bookmarkStart w:id="195" w:name="_Toc486167679"/>
      <w:r>
        <w:rPr>
          <w:rFonts w:hint="eastAsia" w:ascii="宋体" w:hAnsi="宋体" w:eastAsia="宋体" w:cs="宋体"/>
          <w:color w:val="000000" w:themeColor="text1"/>
          <w:szCs w:val="21"/>
          <w:highlight w:val="none"/>
          <w:lang w:val="zh-CN"/>
          <w14:textFill>
            <w14:solidFill>
              <w14:schemeClr w14:val="tx1"/>
            </w14:solidFill>
          </w14:textFill>
        </w:rPr>
        <w:t>15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投标保证金</w:t>
      </w:r>
      <w:bookmarkEnd w:id="191"/>
      <w:bookmarkEnd w:id="192"/>
      <w:bookmarkEnd w:id="193"/>
      <w:bookmarkEnd w:id="194"/>
      <w:bookmarkEnd w:id="195"/>
    </w:p>
    <w:p w14:paraId="12AEE7A7">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15.1</w:t>
      </w:r>
      <w:r>
        <w:rPr>
          <w:rFonts w:ascii="宋体" w:hAnsi="宋体" w:eastAsia="宋体" w:cs="宋体"/>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宋体"/>
          <w:b/>
          <w:bCs/>
          <w:color w:val="000000" w:themeColor="text1"/>
          <w:kern w:val="0"/>
          <w:szCs w:val="21"/>
          <w:highlight w:val="none"/>
          <w:u w:val="single"/>
          <w:lang w:val="zh-CN"/>
          <w14:textFill>
            <w14:solidFill>
              <w14:schemeClr w14:val="tx1"/>
            </w14:solidFill>
          </w14:textFill>
        </w:rPr>
        <w:t>投标人投标时须</w:t>
      </w:r>
      <w:r>
        <w:rPr>
          <w:rFonts w:hint="eastAsia" w:ascii="宋体" w:hAnsi="宋体" w:eastAsia="宋体" w:cs="宋体"/>
          <w:b/>
          <w:bCs/>
          <w:color w:val="000000" w:themeColor="text1"/>
          <w:kern w:val="0"/>
          <w:szCs w:val="21"/>
          <w:highlight w:val="none"/>
          <w:u w:val="single"/>
          <w14:textFill>
            <w14:solidFill>
              <w14:schemeClr w14:val="tx1"/>
            </w14:solidFill>
          </w14:textFill>
        </w:rPr>
        <w:t>提交</w:t>
      </w:r>
      <w:r>
        <w:rPr>
          <w:rFonts w:hint="eastAsia" w:ascii="宋体" w:hAnsi="宋体" w:eastAsia="宋体" w:cs="宋体"/>
          <w:b/>
          <w:bCs/>
          <w:color w:val="000000" w:themeColor="text1"/>
          <w:kern w:val="0"/>
          <w:szCs w:val="21"/>
          <w:highlight w:val="none"/>
          <w:u w:val="single"/>
          <w:lang w:val="zh-CN"/>
          <w14:textFill>
            <w14:solidFill>
              <w14:schemeClr w14:val="tx1"/>
            </w14:solidFill>
          </w14:textFill>
        </w:rPr>
        <w:t>投标保证金</w:t>
      </w:r>
      <w:bookmarkStart w:id="196" w:name="OLE_LINK386"/>
      <w:r>
        <w:rPr>
          <w:rFonts w:hint="eastAsia" w:ascii="宋体" w:hAnsi="宋体" w:eastAsia="宋体" w:cs="宋体"/>
          <w:b/>
          <w:bCs/>
          <w:color w:val="000000" w:themeColor="text1"/>
          <w:kern w:val="0"/>
          <w:szCs w:val="21"/>
          <w:highlight w:val="none"/>
          <w:u w:val="single"/>
          <w14:textFill>
            <w14:solidFill>
              <w14:schemeClr w14:val="tx1"/>
            </w14:solidFill>
          </w14:textFill>
        </w:rPr>
        <w:t>250,000.00</w:t>
      </w:r>
      <w:r>
        <w:rPr>
          <w:rFonts w:hint="eastAsia" w:ascii="宋体" w:hAnsi="宋体" w:eastAsia="宋体" w:cs="宋体"/>
          <w:b/>
          <w:color w:val="000000" w:themeColor="text1"/>
          <w:kern w:val="0"/>
          <w:szCs w:val="21"/>
          <w:highlight w:val="none"/>
          <w:u w:val="single"/>
          <w14:textFill>
            <w14:solidFill>
              <w14:schemeClr w14:val="tx1"/>
            </w14:solidFill>
          </w14:textFill>
        </w:rPr>
        <w:t>元（大写：人民币贰拾伍万元整）</w:t>
      </w:r>
      <w:bookmarkEnd w:id="196"/>
      <w:r>
        <w:rPr>
          <w:rFonts w:hint="eastAsia" w:ascii="宋体" w:hAnsi="宋体" w:eastAsia="宋体" w:cs="宋体"/>
          <w:b/>
          <w:color w:val="000000" w:themeColor="text1"/>
          <w:kern w:val="0"/>
          <w:szCs w:val="21"/>
          <w:highlight w:val="none"/>
          <w14:textFill>
            <w14:solidFill>
              <w14:schemeClr w14:val="tx1"/>
            </w14:solidFill>
          </w14:textFill>
        </w:rPr>
        <w:t>。</w:t>
      </w:r>
    </w:p>
    <w:p w14:paraId="5AF9ACC9">
      <w:pPr>
        <w:spacing w:line="360" w:lineRule="auto"/>
        <w:ind w:left="315" w:leftChars="-100" w:hanging="525" w:hangingChars="25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 xml:space="preserve">15.2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应按要求提交投标保证金，</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000000" w:themeColor="text1"/>
          <w:kern w:val="0"/>
          <w:szCs w:val="21"/>
          <w:highlight w:val="none"/>
          <w14:textFill>
            <w14:solidFill>
              <w14:schemeClr w14:val="tx1"/>
            </w14:solidFill>
          </w14:textFill>
        </w:rPr>
        <w:t>。</w:t>
      </w:r>
    </w:p>
    <w:p w14:paraId="376680EC">
      <w:pPr>
        <w:tabs>
          <w:tab w:val="left" w:pos="567"/>
        </w:tabs>
        <w:autoSpaceDE w:val="0"/>
        <w:autoSpaceDN w:val="0"/>
        <w:adjustRightInd w:val="0"/>
        <w:spacing w:line="360" w:lineRule="auto"/>
        <w:ind w:left="357" w:leftChars="-100" w:hanging="567"/>
        <w:jc w:val="left"/>
        <w:rPr>
          <w:rFonts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15.3 提交保证金时应符合下列规定：</w:t>
      </w:r>
    </w:p>
    <w:p w14:paraId="726CB8C5">
      <w:pPr>
        <w:spacing w:line="360" w:lineRule="auto"/>
        <w:ind w:firstLine="777" w:firstLineChars="3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必须通过本单位基本账户采用银行转账、电汇方式提交，且在递交投标文件截止时间前</w:t>
      </w:r>
      <w:r>
        <w:rPr>
          <w:rFonts w:hint="eastAsia" w:ascii="宋体" w:hAnsi="宋体" w:eastAsia="宋体" w:cs="Times New Roman"/>
          <w:color w:val="000000" w:themeColor="text1"/>
          <w:kern w:val="0"/>
          <w:szCs w:val="21"/>
          <w:highlight w:val="none"/>
          <w14:textFill>
            <w14:solidFill>
              <w14:schemeClr w14:val="tx1"/>
            </w14:solidFill>
          </w14:textFill>
        </w:rPr>
        <w:t>到达</w:t>
      </w:r>
      <w:r>
        <w:rPr>
          <w:rFonts w:hint="eastAsia" w:ascii="宋体" w:hAnsi="宋体" w:eastAsia="宋体" w:cs="宋体"/>
          <w:color w:val="000000" w:themeColor="text1"/>
          <w:kern w:val="0"/>
          <w:szCs w:val="21"/>
          <w:highlight w:val="none"/>
          <w14:textFill>
            <w14:solidFill>
              <w14:schemeClr w14:val="tx1"/>
            </w14:solidFill>
          </w14:textFill>
        </w:rPr>
        <w:t>以下账户上</w:t>
      </w:r>
      <w:r>
        <w:rPr>
          <w:rFonts w:hint="eastAsia" w:ascii="宋体" w:hAnsi="宋体" w:eastAsia="宋体" w:cs="宋体"/>
          <w:b/>
          <w:bCs/>
          <w:color w:val="000000" w:themeColor="text1"/>
          <w:kern w:val="0"/>
          <w:szCs w:val="21"/>
          <w:highlight w:val="none"/>
          <w14:textFill>
            <w14:solidFill>
              <w14:schemeClr w14:val="tx1"/>
            </w14:solidFill>
          </w14:textFill>
        </w:rPr>
        <w:t>并注明招标编号</w:t>
      </w:r>
      <w:r>
        <w:rPr>
          <w:rFonts w:hint="eastAsia" w:ascii="宋体" w:hAnsi="宋体" w:eastAsia="宋体" w:cs="宋体"/>
          <w:color w:val="000000" w:themeColor="text1"/>
          <w:kern w:val="0"/>
          <w:szCs w:val="21"/>
          <w:highlight w:val="none"/>
          <w14:textFill>
            <w14:solidFill>
              <w14:schemeClr w14:val="tx1"/>
            </w14:solidFill>
          </w14:textFill>
        </w:rPr>
        <w:t>。</w:t>
      </w:r>
    </w:p>
    <w:p w14:paraId="4FF95201">
      <w:pPr>
        <w:autoSpaceDE w:val="0"/>
        <w:autoSpaceDN w:val="0"/>
        <w:adjustRightInd w:val="0"/>
        <w:spacing w:line="360" w:lineRule="auto"/>
        <w:ind w:left="225" w:leftChars="107" w:firstLine="489" w:firstLineChars="233"/>
        <w:jc w:val="left"/>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开户名称：</w:t>
      </w:r>
      <w:bookmarkStart w:id="197" w:name="OLE_LINK10"/>
      <w:r>
        <w:rPr>
          <w:rFonts w:hint="eastAsia" w:ascii="宋体" w:hAnsi="宋体" w:eastAsia="宋体" w:cs="Times New Roman"/>
          <w:color w:val="000000" w:themeColor="text1"/>
          <w:kern w:val="0"/>
          <w:szCs w:val="21"/>
          <w:highlight w:val="none"/>
          <w14:textFill>
            <w14:solidFill>
              <w14:schemeClr w14:val="tx1"/>
            </w14:solidFill>
          </w14:textFill>
        </w:rPr>
        <w:t>东莞市水务集</w:t>
      </w:r>
      <w:bookmarkStart w:id="198" w:name="OLE_LINK11"/>
      <w:r>
        <w:rPr>
          <w:rFonts w:hint="eastAsia" w:ascii="宋体" w:hAnsi="宋体" w:eastAsia="宋体" w:cs="Times New Roman"/>
          <w:color w:val="000000" w:themeColor="text1"/>
          <w:kern w:val="0"/>
          <w:szCs w:val="21"/>
          <w:highlight w:val="none"/>
          <w14:textFill>
            <w14:solidFill>
              <w14:schemeClr w14:val="tx1"/>
            </w14:solidFill>
          </w14:textFill>
        </w:rPr>
        <w:t>团科技</w:t>
      </w:r>
      <w:bookmarkEnd w:id="198"/>
      <w:r>
        <w:rPr>
          <w:rFonts w:hint="eastAsia" w:ascii="宋体" w:hAnsi="宋体" w:eastAsia="宋体" w:cs="Times New Roman"/>
          <w:color w:val="000000" w:themeColor="text1"/>
          <w:kern w:val="0"/>
          <w:szCs w:val="21"/>
          <w:highlight w:val="none"/>
          <w14:textFill>
            <w14:solidFill>
              <w14:schemeClr w14:val="tx1"/>
            </w14:solidFill>
          </w14:textFill>
        </w:rPr>
        <w:t>发展有限公司</w:t>
      </w:r>
      <w:bookmarkEnd w:id="197"/>
    </w:p>
    <w:p w14:paraId="2ACBD4B2">
      <w:pPr>
        <w:autoSpaceDE w:val="0"/>
        <w:autoSpaceDN w:val="0"/>
        <w:adjustRightInd w:val="0"/>
        <w:spacing w:line="360" w:lineRule="auto"/>
        <w:ind w:left="225" w:leftChars="107" w:firstLine="489" w:firstLineChars="233"/>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开户银行：东莞银行东莞分行</w:t>
      </w:r>
    </w:p>
    <w:p w14:paraId="68AB6C74">
      <w:pPr>
        <w:autoSpaceDE w:val="0"/>
        <w:autoSpaceDN w:val="0"/>
        <w:adjustRightInd w:val="0"/>
        <w:spacing w:line="360" w:lineRule="auto"/>
        <w:ind w:left="225" w:leftChars="107" w:firstLine="489" w:firstLineChars="233"/>
        <w:jc w:val="left"/>
        <w:rPr>
          <w:rFonts w:ascii="宋体" w:hAnsi="宋体" w:eastAsia="宋体" w:cs="Times New Roman"/>
          <w:b/>
          <w:bCs/>
          <w:color w:val="000000" w:themeColor="text1"/>
          <w:kern w:val="0"/>
          <w:szCs w:val="21"/>
          <w:highlight w:val="none"/>
          <w:u w:val="singl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银行账号：579000016396602000003</w:t>
      </w:r>
    </w:p>
    <w:p w14:paraId="136C9C66">
      <w:pPr>
        <w:spacing w:line="360" w:lineRule="auto"/>
        <w:ind w:left="210" w:leftChars="100" w:firstLine="211" w:firstLineChars="1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u w:val="single"/>
          <w14:textFill>
            <w14:solidFill>
              <w14:schemeClr w14:val="tx1"/>
            </w14:solidFill>
          </w14:textFill>
        </w:rPr>
        <w:t>投标保证金未按规定时间到达指定账户或提交金额不足的，将被视为无效投标保证金</w:t>
      </w:r>
      <w:r>
        <w:rPr>
          <w:rFonts w:hint="eastAsia" w:ascii="宋体" w:hAnsi="宋体" w:eastAsia="宋体" w:cs="宋体"/>
          <w:b/>
          <w:color w:val="000000" w:themeColor="text1"/>
          <w:kern w:val="0"/>
          <w:szCs w:val="21"/>
          <w:highlight w:val="none"/>
          <w14:textFill>
            <w14:solidFill>
              <w14:schemeClr w14:val="tx1"/>
            </w14:solidFill>
          </w14:textFill>
        </w:rPr>
        <w:t>。</w:t>
      </w:r>
    </w:p>
    <w:p w14:paraId="48B8AB01">
      <w:pPr>
        <w:autoSpaceDE w:val="0"/>
        <w:autoSpaceDN w:val="0"/>
        <w:adjustRightInd w:val="0"/>
        <w:spacing w:line="360" w:lineRule="auto"/>
        <w:ind w:left="357" w:leftChars="-100" w:hanging="567" w:hangingChars="270"/>
        <w:jc w:val="left"/>
        <w:rPr>
          <w:rFonts w:ascii="宋体" w:hAnsi="宋体" w:eastAsia="宋体" w:cs="宋体"/>
          <w:b/>
          <w:bCs/>
          <w:color w:val="000000" w:themeColor="text1"/>
          <w:kern w:val="0"/>
          <w:szCs w:val="24"/>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15.4</w:t>
      </w:r>
      <w:r>
        <w:rPr>
          <w:rFonts w:ascii="宋体" w:hAnsi="宋体" w:eastAsia="宋体" w:cs="宋体"/>
          <w:bCs/>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kern w:val="0"/>
          <w:szCs w:val="24"/>
          <w:highlight w:val="none"/>
          <w:u w:val="single"/>
          <w14:textFill>
            <w14:solidFill>
              <w14:schemeClr w14:val="tx1"/>
            </w14:solidFill>
          </w14:textFill>
        </w:rPr>
        <w:t>任何未按第15.1款、第15.2款、第15.3款规定提交投标保证金的投标，将被视为无效投标</w:t>
      </w:r>
      <w:r>
        <w:rPr>
          <w:rFonts w:hint="eastAsia" w:ascii="宋体" w:hAnsi="宋体" w:eastAsia="宋体" w:cs="宋体"/>
          <w:b/>
          <w:color w:val="000000" w:themeColor="text1"/>
          <w:kern w:val="0"/>
          <w:szCs w:val="24"/>
          <w:highlight w:val="none"/>
          <w14:textFill>
            <w14:solidFill>
              <w14:schemeClr w14:val="tx1"/>
            </w14:solidFill>
          </w14:textFill>
        </w:rPr>
        <w:t>。</w:t>
      </w:r>
    </w:p>
    <w:p w14:paraId="6F8516CF">
      <w:pPr>
        <w:spacing w:line="360" w:lineRule="auto"/>
        <w:ind w:left="315" w:leftChars="-100" w:hanging="525" w:hangingChars="2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15.5 </w:t>
      </w:r>
      <w:r>
        <w:rPr>
          <w:rFonts w:hint="eastAsia" w:ascii="宋体" w:hAnsi="宋体" w:eastAsia="宋体" w:cs="宋体"/>
          <w:color w:val="000000" w:themeColor="text1"/>
          <w:kern w:val="0"/>
          <w:szCs w:val="21"/>
          <w:highlight w:val="none"/>
          <w14:textFill>
            <w14:solidFill>
              <w14:schemeClr w14:val="tx1"/>
            </w14:solidFill>
          </w14:textFill>
        </w:rPr>
        <w:t>未</w:t>
      </w:r>
      <w:r>
        <w:rPr>
          <w:rFonts w:hint="eastAsia" w:ascii="宋体" w:hAnsi="宋体" w:eastAsia="宋体" w:cs="宋体"/>
          <w:color w:val="000000" w:themeColor="text1"/>
          <w:szCs w:val="21"/>
          <w:highlight w:val="none"/>
          <w:lang w:val="zh-CN"/>
          <w14:textFill>
            <w14:solidFill>
              <w14:schemeClr w14:val="tx1"/>
            </w14:solidFill>
          </w14:textFill>
        </w:rPr>
        <w:t>中标</w:t>
      </w:r>
      <w:r>
        <w:rPr>
          <w:rFonts w:hint="eastAsia" w:ascii="宋体" w:hAnsi="宋体" w:eastAsia="宋体" w:cs="宋体"/>
          <w:color w:val="000000" w:themeColor="text1"/>
          <w:kern w:val="0"/>
          <w:szCs w:val="21"/>
          <w:highlight w:val="none"/>
          <w14:textFill>
            <w14:solidFill>
              <w14:schemeClr w14:val="tx1"/>
            </w14:solidFill>
          </w14:textFill>
        </w:rPr>
        <w:t>的投标人的投标保证金，将在本项目的中标通知书发出后</w:t>
      </w:r>
      <w:r>
        <w:rPr>
          <w:rFonts w:ascii="宋体" w:hAnsi="宋体" w:eastAsia="宋体" w:cs="宋体"/>
          <w:color w:val="000000" w:themeColor="text1"/>
          <w:kern w:val="0"/>
          <w:szCs w:val="21"/>
          <w:highlight w:val="none"/>
          <w14:textFill>
            <w14:solidFill>
              <w14:schemeClr w14:val="tx1"/>
            </w14:solidFill>
          </w14:textFill>
        </w:rPr>
        <w:t>10日内</w:t>
      </w:r>
      <w:r>
        <w:rPr>
          <w:rFonts w:hint="eastAsia" w:ascii="宋体" w:hAnsi="宋体" w:eastAsia="宋体" w:cs="宋体"/>
          <w:color w:val="000000" w:themeColor="text1"/>
          <w:kern w:val="0"/>
          <w:szCs w:val="21"/>
          <w:highlight w:val="none"/>
          <w14:textFill>
            <w14:solidFill>
              <w14:schemeClr w14:val="tx1"/>
            </w14:solidFill>
          </w14:textFill>
        </w:rPr>
        <w:t>（如本项目在前述期间已签订书面合同的，则最迟应在本项目的书面合同签订后5日内），按照其投标保证金支付凭证上注明的收款人名称和账号予以退还，除非</w:t>
      </w:r>
      <w:r>
        <w:rPr>
          <w:rFonts w:hint="eastAsia" w:ascii="宋体" w:hAnsi="宋体" w:eastAsia="宋体" w:cs="Times New Roman"/>
          <w:color w:val="000000" w:themeColor="text1"/>
          <w:kern w:val="0"/>
          <w:szCs w:val="21"/>
          <w:highlight w:val="none"/>
          <w14:textFill>
            <w14:solidFill>
              <w14:schemeClr w14:val="tx1"/>
            </w14:solidFill>
          </w14:textFill>
        </w:rPr>
        <w:t>投标保证金</w:t>
      </w:r>
      <w:r>
        <w:rPr>
          <w:rFonts w:hint="eastAsia" w:ascii="宋体" w:hAnsi="宋体" w:eastAsia="宋体" w:cs="宋体"/>
          <w:color w:val="000000" w:themeColor="text1"/>
          <w:kern w:val="0"/>
          <w:szCs w:val="21"/>
          <w:highlight w:val="none"/>
          <w14:textFill>
            <w14:solidFill>
              <w14:schemeClr w14:val="tx1"/>
            </w14:solidFill>
          </w14:textFill>
        </w:rPr>
        <w:t>有效期已延长。</w:t>
      </w:r>
    </w:p>
    <w:p w14:paraId="5FC8EE0C">
      <w:pPr>
        <w:spacing w:line="360" w:lineRule="auto"/>
        <w:ind w:left="357" w:leftChars="-100" w:hanging="567" w:hangingChars="2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15.6 </w:t>
      </w:r>
      <w:r>
        <w:rPr>
          <w:rFonts w:hint="eastAsia" w:ascii="宋体" w:hAnsi="宋体" w:eastAsia="宋体" w:cs="宋体"/>
          <w:color w:val="000000" w:themeColor="text1"/>
          <w:kern w:val="0"/>
          <w:szCs w:val="21"/>
          <w:highlight w:val="none"/>
          <w14:textFill>
            <w14:solidFill>
              <w14:schemeClr w14:val="tx1"/>
            </w14:solidFill>
          </w14:textFill>
        </w:rPr>
        <w:t>中标人的投标保证金，满足下列要求，并最迟应在本项目的书面合同签订后5日内退还。</w:t>
      </w:r>
    </w:p>
    <w:p w14:paraId="3A611D19">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（1）中标</w:t>
      </w:r>
      <w:r>
        <w:rPr>
          <w:rFonts w:hint="eastAsia" w:ascii="宋体" w:hAnsi="宋体" w:eastAsia="宋体" w:cs="宋体"/>
          <w:color w:val="000000" w:themeColor="text1"/>
          <w:szCs w:val="21"/>
          <w:highlight w:val="none"/>
          <w:lang w:val="zh-CN"/>
          <w14:textFill>
            <w14:solidFill>
              <w14:schemeClr w14:val="tx1"/>
            </w14:solidFill>
          </w14:textFill>
        </w:rPr>
        <w:t>人提交了履约担保；</w:t>
      </w:r>
    </w:p>
    <w:p w14:paraId="3AA620A6">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（2）在投标过程中</w:t>
      </w:r>
      <w:r>
        <w:rPr>
          <w:rFonts w:hint="eastAsia" w:ascii="宋体" w:hAnsi="宋体" w:eastAsia="宋体" w:cs="宋体"/>
          <w:color w:val="000000" w:themeColor="text1"/>
          <w:kern w:val="0"/>
          <w:szCs w:val="21"/>
          <w:highlight w:val="none"/>
          <w14:textFill>
            <w14:solidFill>
              <w14:schemeClr w14:val="tx1"/>
            </w14:solidFill>
          </w14:textFill>
        </w:rPr>
        <w:t>不存在违反本招标文件或《中华人民共和国招标投标法》及其实施条例等规定的行为。</w:t>
      </w:r>
    </w:p>
    <w:p w14:paraId="123F4E9C">
      <w:pPr>
        <w:spacing w:line="360" w:lineRule="auto"/>
        <w:ind w:left="315" w:leftChars="-100" w:hanging="525" w:hangingChars="250"/>
        <w:rPr>
          <w:rFonts w:ascii="宋体" w:hAnsi="宋体" w:eastAsia="宋体" w:cs="宋体"/>
          <w:b/>
          <w:bCs/>
          <w:color w:val="000000" w:themeColor="text1"/>
          <w:kern w:val="0"/>
          <w:szCs w:val="20"/>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15.7 </w:t>
      </w:r>
      <w:r>
        <w:rPr>
          <w:rFonts w:hint="eastAsia" w:ascii="宋体" w:hAnsi="宋体" w:eastAsia="宋体" w:cs="宋体"/>
          <w:color w:val="000000" w:themeColor="text1"/>
          <w:kern w:val="0"/>
          <w:szCs w:val="20"/>
          <w:highlight w:val="none"/>
          <w14:textFill>
            <w14:solidFill>
              <w14:schemeClr w14:val="tx1"/>
            </w14:solidFill>
          </w14:textFill>
        </w:rPr>
        <w:t>若</w:t>
      </w:r>
      <w:r>
        <w:rPr>
          <w:rFonts w:hint="eastAsia" w:ascii="宋体" w:hAnsi="宋体" w:eastAsia="宋体" w:cs="宋体"/>
          <w:color w:val="000000" w:themeColor="text1"/>
          <w:szCs w:val="21"/>
          <w:highlight w:val="none"/>
          <w:lang w:val="zh-CN"/>
          <w14:textFill>
            <w14:solidFill>
              <w14:schemeClr w14:val="tx1"/>
            </w14:solidFill>
          </w14:textFill>
        </w:rPr>
        <w:t>发生</w:t>
      </w:r>
      <w:r>
        <w:rPr>
          <w:rFonts w:hint="eastAsia" w:ascii="宋体" w:hAnsi="宋体" w:eastAsia="宋体" w:cs="宋体"/>
          <w:color w:val="000000" w:themeColor="text1"/>
          <w:kern w:val="0"/>
          <w:szCs w:val="20"/>
          <w:highlight w:val="none"/>
          <w14:textFill>
            <w14:solidFill>
              <w14:schemeClr w14:val="tx1"/>
            </w14:solidFill>
          </w14:textFill>
        </w:rPr>
        <w:t>下列情况，招标人在书面通知投标人（或中标人）后有权不予退还投标保证金：</w:t>
      </w:r>
    </w:p>
    <w:p w14:paraId="21B76308">
      <w:pPr>
        <w:numPr>
          <w:ilvl w:val="2"/>
          <w:numId w:val="0"/>
        </w:numPr>
        <w:autoSpaceDE w:val="0"/>
        <w:autoSpaceDN w:val="0"/>
        <w:adjustRightInd w:val="0"/>
        <w:spacing w:line="360" w:lineRule="auto"/>
        <w:ind w:left="853" w:leftChars="136" w:hanging="567"/>
        <w:jc w:val="left"/>
        <w:rPr>
          <w:rFonts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如果投标人（或中标人）：</w:t>
      </w:r>
    </w:p>
    <w:p w14:paraId="135EF1C4">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（1）投标</w:t>
      </w:r>
      <w:r>
        <w:rPr>
          <w:rFonts w:hint="eastAsia" w:ascii="宋体" w:hAnsi="宋体" w:eastAsia="宋体" w:cs="宋体"/>
          <w:color w:val="000000" w:themeColor="text1"/>
          <w:szCs w:val="21"/>
          <w:highlight w:val="none"/>
          <w:lang w:val="zh-CN"/>
          <w14:textFill>
            <w14:solidFill>
              <w14:schemeClr w14:val="tx1"/>
            </w14:solidFill>
          </w14:textFill>
        </w:rPr>
        <w:t>人在规定的投标截止时间后至投标有效期满之前撤销或修改其投标文件；</w:t>
      </w:r>
    </w:p>
    <w:p w14:paraId="3C6DA719">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（2）中标人未能在规定期限内提交履约担保；</w:t>
      </w:r>
    </w:p>
    <w:p w14:paraId="55B03B14">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（3）未根据第34条规定签署合同；</w:t>
      </w:r>
    </w:p>
    <w:p w14:paraId="64D755A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）将中标项目转让给他人，或者在投标文件中未说明，且未经招标人同意，将中标项目的合同</w:t>
      </w:r>
      <w:r>
        <w:rPr>
          <w:rFonts w:ascii="宋体" w:hAnsi="宋体" w:eastAsia="宋体" w:cs="宋体"/>
          <w:color w:val="000000" w:themeColor="text1"/>
          <w:szCs w:val="21"/>
          <w:highlight w:val="none"/>
          <w:lang w:val="zh-CN"/>
          <w14:textFill>
            <w14:solidFill>
              <w14:schemeClr w14:val="tx1"/>
            </w14:solidFill>
          </w14:textFill>
        </w:rPr>
        <w:t>的权利义务转让</w:t>
      </w:r>
      <w:r>
        <w:rPr>
          <w:rFonts w:hint="eastAsia" w:ascii="宋体" w:hAnsi="宋体" w:eastAsia="宋体" w:cs="宋体"/>
          <w:color w:val="000000" w:themeColor="text1"/>
          <w:szCs w:val="21"/>
          <w:highlight w:val="none"/>
          <w:lang w:val="zh-CN"/>
          <w14:textFill>
            <w14:solidFill>
              <w14:schemeClr w14:val="tx1"/>
            </w14:solidFill>
          </w14:textFill>
        </w:rPr>
        <w:t>给第三</w:t>
      </w:r>
      <w:r>
        <w:rPr>
          <w:rFonts w:ascii="宋体" w:hAnsi="宋体" w:eastAsia="宋体" w:cs="宋体"/>
          <w:color w:val="000000" w:themeColor="text1"/>
          <w:szCs w:val="21"/>
          <w:highlight w:val="none"/>
          <w:lang w:val="zh-CN"/>
          <w14:textFill>
            <w14:solidFill>
              <w14:schemeClr w14:val="tx1"/>
            </w14:solidFill>
          </w14:textFill>
        </w:rPr>
        <w:t>方</w:t>
      </w:r>
      <w:r>
        <w:rPr>
          <w:rFonts w:hint="eastAsia" w:ascii="宋体" w:hAnsi="宋体" w:eastAsia="宋体" w:cs="宋体"/>
          <w:color w:val="000000" w:themeColor="text1"/>
          <w:szCs w:val="21"/>
          <w:highlight w:val="none"/>
          <w:lang w:val="zh-CN"/>
          <w14:textFill>
            <w14:solidFill>
              <w14:schemeClr w14:val="tx1"/>
            </w14:solidFill>
          </w14:textFill>
        </w:rPr>
        <w:t>的；</w:t>
      </w:r>
    </w:p>
    <w:p w14:paraId="33FE4E13">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）提供虚假投标文</w:t>
      </w:r>
      <w:r>
        <w:rPr>
          <w:rFonts w:hint="eastAsia" w:ascii="宋体" w:hAnsi="宋体" w:eastAsia="宋体" w:cs="宋体"/>
          <w:color w:val="000000" w:themeColor="text1"/>
          <w:kern w:val="0"/>
          <w:szCs w:val="21"/>
          <w:highlight w:val="none"/>
          <w14:textFill>
            <w14:solidFill>
              <w14:schemeClr w14:val="tx1"/>
            </w14:solidFill>
          </w14:textFill>
        </w:rPr>
        <w:t>件或虚假补充文件的，或违反《中华人民共和国招标投标法》等有关法律、法规、规章及招标投标相关规定的行为。</w:t>
      </w:r>
    </w:p>
    <w:p w14:paraId="3E05F749">
      <w:pPr>
        <w:tabs>
          <w:tab w:val="left" w:pos="1134"/>
        </w:tabs>
        <w:autoSpaceDE w:val="0"/>
        <w:autoSpaceDN w:val="0"/>
        <w:adjustRightInd w:val="0"/>
        <w:spacing w:line="360" w:lineRule="auto"/>
        <w:ind w:left="840" w:leftChars="150" w:hanging="525" w:hangingChars="250"/>
        <w:jc w:val="left"/>
        <w:rPr>
          <w:rFonts w:ascii="宋体" w:hAnsi="宋体" w:eastAsia="宋体" w:cs="宋体"/>
          <w:color w:val="000000" w:themeColor="text1"/>
          <w:kern w:val="0"/>
          <w:szCs w:val="21"/>
          <w:highlight w:val="none"/>
          <w14:textFill>
            <w14:solidFill>
              <w14:schemeClr w14:val="tx1"/>
            </w14:solidFill>
          </w14:textFill>
        </w:rPr>
      </w:pPr>
    </w:p>
    <w:p w14:paraId="05EC70D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99" w:name="_Toc10550"/>
      <w:bookmarkStart w:id="200" w:name="_Toc142508330"/>
      <w:bookmarkStart w:id="201" w:name="_Toc450662865"/>
      <w:bookmarkStart w:id="202" w:name="_Toc486167680"/>
      <w:bookmarkStart w:id="203" w:name="_Toc22649_WPSOffice_Level3"/>
      <w:bookmarkStart w:id="204" w:name="_Toc20641"/>
      <w:r>
        <w:rPr>
          <w:rFonts w:hint="eastAsia" w:ascii="宋体" w:hAnsi="宋体" w:eastAsia="宋体" w:cs="宋体"/>
          <w:color w:val="000000" w:themeColor="text1"/>
          <w:szCs w:val="21"/>
          <w:highlight w:val="none"/>
          <w:lang w:val="zh-CN"/>
          <w14:textFill>
            <w14:solidFill>
              <w14:schemeClr w14:val="tx1"/>
            </w14:solidFill>
          </w14:textFill>
        </w:rPr>
        <w:t>16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投标有效期</w:t>
      </w:r>
      <w:bookmarkEnd w:id="199"/>
      <w:bookmarkEnd w:id="200"/>
      <w:bookmarkEnd w:id="201"/>
      <w:bookmarkEnd w:id="202"/>
      <w:bookmarkEnd w:id="203"/>
      <w:bookmarkEnd w:id="204"/>
    </w:p>
    <w:p w14:paraId="5AB14F87">
      <w:pPr>
        <w:tabs>
          <w:tab w:val="left" w:pos="567"/>
        </w:tabs>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投标文件</w:t>
      </w:r>
      <w:r>
        <w:rPr>
          <w:rFonts w:hint="eastAsia" w:ascii="宋体" w:hAnsi="宋体" w:eastAsia="宋体" w:cs="宋体"/>
          <w:b/>
          <w:bCs/>
          <w:color w:val="000000" w:themeColor="text1"/>
          <w:szCs w:val="21"/>
          <w:highlight w:val="none"/>
          <w:u w:val="single"/>
          <w14:textFill>
            <w14:solidFill>
              <w14:schemeClr w14:val="tx1"/>
            </w14:solidFill>
          </w14:textFill>
        </w:rPr>
        <w:t>的投标有效期为从投标文件提交截止之日起90日历天</w:t>
      </w:r>
      <w:r>
        <w:rPr>
          <w:rFonts w:hint="eastAsia" w:ascii="宋体" w:hAnsi="宋体" w:eastAsia="宋体" w:cs="宋体"/>
          <w:b/>
          <w:bCs/>
          <w:color w:val="000000" w:themeColor="text1"/>
          <w:szCs w:val="21"/>
          <w:highlight w:val="none"/>
          <w:u w:val="single"/>
          <w:lang w:val="zh-CN"/>
          <w14:textFill>
            <w14:solidFill>
              <w14:schemeClr w14:val="tx1"/>
            </w14:solidFill>
          </w14:textFill>
        </w:rPr>
        <w:t>。投标有效期比规定时间短的按无效投标文件处理</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5F44D811">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中标人的投标文件作为合同附件，合同失效时同时失效。</w:t>
      </w:r>
    </w:p>
    <w:p w14:paraId="6F21DED6">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000000" w:themeColor="text1"/>
          <w:szCs w:val="21"/>
          <w:highlight w:val="none"/>
          <w:lang w:val="zh-CN"/>
          <w14:textFill>
            <w14:solidFill>
              <w14:schemeClr w14:val="tx1"/>
            </w14:solidFill>
          </w14:textFill>
        </w:rPr>
        <w:t>，招标</w:t>
      </w:r>
      <w:r>
        <w:rPr>
          <w:rFonts w:hint="eastAsia" w:ascii="宋体" w:hAnsi="宋体" w:eastAsia="宋体" w:cs="Times New Roman"/>
          <w:color w:val="000000" w:themeColor="text1"/>
          <w:szCs w:val="21"/>
          <w:highlight w:val="none"/>
          <w14:textFill>
            <w14:solidFill>
              <w14:schemeClr w14:val="tx1"/>
            </w14:solidFill>
          </w14:textFill>
        </w:rPr>
        <w:t>人</w:t>
      </w:r>
      <w:r>
        <w:rPr>
          <w:rFonts w:hint="eastAsia" w:ascii="宋体" w:hAnsi="宋体" w:eastAsia="宋体" w:cs="Times New Roman"/>
          <w:color w:val="000000" w:themeColor="text1"/>
          <w:szCs w:val="21"/>
          <w:highlight w:val="none"/>
          <w:lang w:val="zh-CN"/>
          <w14:textFill>
            <w14:solidFill>
              <w14:schemeClr w14:val="tx1"/>
            </w14:solidFill>
          </w14:textFill>
        </w:rPr>
        <w:t>将退还</w:t>
      </w:r>
      <w:r>
        <w:rPr>
          <w:rFonts w:hint="eastAsia" w:ascii="宋体" w:hAnsi="宋体" w:eastAsia="宋体" w:cs="宋体"/>
          <w:color w:val="000000" w:themeColor="text1"/>
          <w:szCs w:val="21"/>
          <w:highlight w:val="none"/>
          <w:lang w:val="zh-CN"/>
          <w14:textFill>
            <w14:solidFill>
              <w14:schemeClr w14:val="tx1"/>
            </w14:solidFill>
          </w14:textFill>
        </w:rPr>
        <w:t>其投标保证金。对于同意该要求的投标人，既不要求也不允许其修改投标文件，但将要求其相应延长投标保证金的有效期。第15条投标保证金的有关规定在投标保证金延长期内仍适用。</w:t>
      </w:r>
    </w:p>
    <w:p w14:paraId="016EAFB5">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0E575EE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05" w:name="_Toc142508331"/>
      <w:bookmarkStart w:id="206" w:name="_Toc25637_WPSOffice_Level3"/>
      <w:bookmarkStart w:id="207" w:name="_Toc13311"/>
      <w:bookmarkStart w:id="208" w:name="_Toc5282"/>
      <w:bookmarkStart w:id="209" w:name="_Toc450662866"/>
      <w:bookmarkStart w:id="210" w:name="_Toc486167681"/>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投标文件的式样和签署</w:t>
      </w:r>
      <w:bookmarkEnd w:id="205"/>
      <w:bookmarkEnd w:id="206"/>
      <w:bookmarkEnd w:id="207"/>
      <w:bookmarkEnd w:id="208"/>
      <w:bookmarkEnd w:id="209"/>
      <w:bookmarkEnd w:id="210"/>
    </w:p>
    <w:p w14:paraId="48E003C8">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u w:val="single"/>
          <w:lang w:val="zh-CN"/>
          <w14:textFill>
            <w14:solidFill>
              <w14:schemeClr w14:val="tx1"/>
            </w14:solidFill>
          </w14:textFill>
        </w:rPr>
        <w:t>投标人应准备一份“唱标信封”、</w:t>
      </w:r>
      <w:r>
        <w:rPr>
          <w:rFonts w:hint="eastAsia" w:ascii="宋体" w:hAnsi="宋体" w:eastAsia="宋体" w:cs="Times New Roman"/>
          <w:b/>
          <w:color w:val="000000" w:themeColor="text1"/>
          <w:szCs w:val="21"/>
          <w:highlight w:val="none"/>
          <w:u w:val="single"/>
          <w:lang w:val="zh-CN"/>
          <w14:textFill>
            <w14:solidFill>
              <w14:schemeClr w14:val="tx1"/>
            </w14:solidFill>
          </w14:textFill>
        </w:rPr>
        <w:t>一份投标文件电子文件、</w:t>
      </w:r>
      <w:bookmarkStart w:id="211" w:name="OLE_LINK531"/>
      <w:r>
        <w:rPr>
          <w:rFonts w:hint="eastAsia" w:ascii="宋体" w:hAnsi="宋体" w:eastAsia="宋体" w:cs="宋体"/>
          <w:b/>
          <w:color w:val="000000" w:themeColor="text1"/>
          <w:szCs w:val="21"/>
          <w:highlight w:val="none"/>
          <w:u w:val="single"/>
          <w:lang w:val="zh-CN"/>
          <w14:textFill>
            <w14:solidFill>
              <w14:schemeClr w14:val="tx1"/>
            </w14:solidFill>
          </w14:textFill>
        </w:rPr>
        <w:t>一份正本和</w:t>
      </w:r>
      <w:r>
        <w:rPr>
          <w:rFonts w:hint="eastAsia" w:ascii="宋体" w:hAnsi="宋体" w:eastAsia="宋体" w:cs="宋体"/>
          <w:b/>
          <w:color w:val="000000" w:themeColor="text1"/>
          <w:szCs w:val="21"/>
          <w:highlight w:val="none"/>
          <w:u w:val="single"/>
          <w14:textFill>
            <w14:solidFill>
              <w14:schemeClr w14:val="tx1"/>
            </w14:solidFill>
          </w14:textFill>
        </w:rPr>
        <w:t>七</w:t>
      </w:r>
      <w:r>
        <w:rPr>
          <w:rFonts w:hint="eastAsia" w:ascii="宋体" w:hAnsi="宋体" w:eastAsia="宋体" w:cs="宋体"/>
          <w:b/>
          <w:color w:val="000000" w:themeColor="text1"/>
          <w:szCs w:val="21"/>
          <w:highlight w:val="none"/>
          <w:u w:val="single"/>
          <w:lang w:val="zh-CN"/>
          <w14:textFill>
            <w14:solidFill>
              <w14:schemeClr w14:val="tx1"/>
            </w14:solidFill>
          </w14:textFill>
        </w:rPr>
        <w:t>份副本“投标文件”</w:t>
      </w:r>
      <w:bookmarkEnd w:id="211"/>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000000" w:themeColor="text1"/>
          <w:szCs w:val="21"/>
          <w:highlight w:val="none"/>
          <w:lang w:val="zh-CN"/>
          <w14:textFill>
            <w14:solidFill>
              <w14:schemeClr w14:val="tx1"/>
            </w14:solidFill>
          </w14:textFill>
        </w:rPr>
        <w:t>。</w:t>
      </w:r>
    </w:p>
    <w:p w14:paraId="54FDE26A">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Cs/>
          <w:color w:val="000000" w:themeColor="text1"/>
          <w:szCs w:val="21"/>
          <w:highlight w:val="none"/>
          <w:lang w:val="zh-CN"/>
          <w14:textFill>
            <w14:solidFill>
              <w14:schemeClr w14:val="tx1"/>
            </w14:solidFill>
          </w14:textFill>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法定代表人授权书</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以书面形式附在投标文件中。</w:t>
      </w:r>
      <w:r>
        <w:rPr>
          <w:rFonts w:hint="eastAsia" w:ascii="宋体" w:hAnsi="宋体" w:eastAsia="宋体" w:cs="Times New Roman"/>
          <w:color w:val="000000" w:themeColor="text1"/>
          <w:szCs w:val="21"/>
          <w:highlight w:val="none"/>
          <w:lang w:val="zh-CN"/>
          <w14:textFill>
            <w14:solidFill>
              <w14:schemeClr w14:val="tx1"/>
            </w14:solidFill>
          </w14:textFill>
        </w:rPr>
        <w:t>副本文件可由正本文件复印而成。</w:t>
      </w:r>
    </w:p>
    <w:p w14:paraId="2AE3DB12">
      <w:pPr>
        <w:autoSpaceDE w:val="0"/>
        <w:autoSpaceDN w:val="0"/>
        <w:adjustRightInd w:val="0"/>
        <w:spacing w:line="360" w:lineRule="auto"/>
        <w:ind w:left="357" w:leftChars="-100" w:hanging="567"/>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除投标人对错处作必要修改外，投标文件中不许有加行、涂抹或改写。</w:t>
      </w:r>
      <w:r>
        <w:rPr>
          <w:rFonts w:hint="eastAsia" w:ascii="宋体" w:hAnsi="宋体" w:eastAsia="宋体" w:cs="宋体"/>
          <w:bCs/>
          <w:color w:val="000000" w:themeColor="text1"/>
          <w:szCs w:val="21"/>
          <w:highlight w:val="none"/>
          <w:lang w:val="zh-CN"/>
          <w14:textFill>
            <w14:solidFill>
              <w14:schemeClr w14:val="tx1"/>
            </w14:solidFill>
          </w14:textFill>
        </w:rPr>
        <w:t>若有修改须由签署投标文件的人进行签字（或盖私章），并加盖投标人</w:t>
      </w:r>
      <w:r>
        <w:rPr>
          <w:rFonts w:hint="eastAsia" w:ascii="宋体" w:hAnsi="宋体" w:eastAsia="宋体" w:cs="Times New Roman"/>
          <w:bCs/>
          <w:color w:val="000000" w:themeColor="text1"/>
          <w:szCs w:val="21"/>
          <w:highlight w:val="none"/>
          <w:lang w:val="zh-CN"/>
          <w14:textFill>
            <w14:solidFill>
              <w14:schemeClr w14:val="tx1"/>
            </w14:solidFill>
          </w14:textFill>
        </w:rPr>
        <w:t>法人</w:t>
      </w:r>
      <w:r>
        <w:rPr>
          <w:rFonts w:hint="eastAsia" w:ascii="宋体" w:hAnsi="宋体" w:eastAsia="宋体" w:cs="宋体"/>
          <w:bCs/>
          <w:color w:val="000000" w:themeColor="text1"/>
          <w:szCs w:val="21"/>
          <w:highlight w:val="none"/>
          <w:lang w:val="zh-CN"/>
          <w14:textFill>
            <w14:solidFill>
              <w14:schemeClr w14:val="tx1"/>
            </w14:solidFill>
          </w14:textFill>
        </w:rPr>
        <w:t>公章。</w:t>
      </w:r>
    </w:p>
    <w:p w14:paraId="0257FDDC">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投标文件的封面应注明“项目名称、招标编号、投标人名称、投标日期等”。</w:t>
      </w:r>
    </w:p>
    <w:p w14:paraId="04B29CDE">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电子文件内容包括：电子文件不可设置密码，用DVD或CD-R光盘或U盘储存，</w:t>
      </w:r>
      <w:r>
        <w:rPr>
          <w:rFonts w:hint="eastAsia" w:ascii="宋体" w:hAnsi="宋体" w:eastAsia="宋体" w:cs="Times New Roman"/>
          <w:color w:val="000000" w:themeColor="text1"/>
          <w:szCs w:val="21"/>
          <w:highlight w:val="none"/>
          <w:lang w:val="zh-CN"/>
          <w14:textFill>
            <w14:solidFill>
              <w14:schemeClr w14:val="tx1"/>
            </w14:solidFill>
          </w14:textFill>
        </w:rPr>
        <w:t>可密封于</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内（若电子文件单独密封，其包装封面需注明项目名称、招标编号、投标人单位名称，并加盖投标人法人公章）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5338B01D">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电报、电传、传真的投标概不接受。</w:t>
      </w:r>
    </w:p>
    <w:p w14:paraId="40C93399">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bookmarkStart w:id="212" w:name="_Toc450662867"/>
    </w:p>
    <w:p w14:paraId="01CD54CB">
      <w:pPr>
        <w:keepNext/>
        <w:keepLines/>
        <w:tabs>
          <w:tab w:val="left" w:pos="509"/>
        </w:tabs>
        <w:autoSpaceDE w:val="0"/>
        <w:autoSpaceDN w:val="0"/>
        <w:adjustRightInd w:val="0"/>
        <w:spacing w:line="360" w:lineRule="auto"/>
        <w:jc w:val="left"/>
        <w:outlineLvl w:val="0"/>
        <w:rPr>
          <w:rFonts w:ascii="宋体" w:hAnsi="宋体" w:eastAsia="宋体" w:cs="宋体"/>
          <w:color w:val="000000" w:themeColor="text1"/>
          <w:kern w:val="0"/>
          <w:sz w:val="24"/>
          <w:szCs w:val="24"/>
          <w:highlight w:val="none"/>
          <w14:textFill>
            <w14:solidFill>
              <w14:schemeClr w14:val="tx1"/>
            </w14:solidFill>
          </w14:textFill>
        </w:rPr>
      </w:pPr>
      <w:bookmarkStart w:id="213" w:name="_Toc140596891"/>
      <w:bookmarkStart w:id="214" w:name="_Toc486167682"/>
      <w:bookmarkStart w:id="215" w:name="_Toc17608"/>
      <w:bookmarkStart w:id="216" w:name="_Toc22356_WPSOffice_Level2"/>
      <w:bookmarkStart w:id="217" w:name="_Toc142508332"/>
      <w:bookmarkStart w:id="218" w:name="_Toc20532"/>
      <w:r>
        <w:rPr>
          <w:rFonts w:hint="eastAsia" w:ascii="宋体" w:hAnsi="宋体" w:eastAsia="宋体" w:cs="宋体"/>
          <w:b/>
          <w:bCs/>
          <w:color w:val="000000" w:themeColor="text1"/>
          <w:kern w:val="44"/>
          <w:szCs w:val="21"/>
          <w:highlight w:val="none"/>
          <w:lang w:val="zh-CN"/>
          <w14:textFill>
            <w14:solidFill>
              <w14:schemeClr w14:val="tx1"/>
            </w14:solidFill>
          </w14:textFill>
        </w:rPr>
        <w:t>四、投标文件的递交</w:t>
      </w:r>
      <w:bookmarkEnd w:id="212"/>
      <w:bookmarkEnd w:id="213"/>
      <w:bookmarkEnd w:id="214"/>
      <w:bookmarkEnd w:id="215"/>
      <w:bookmarkEnd w:id="216"/>
      <w:bookmarkEnd w:id="217"/>
      <w:bookmarkEnd w:id="218"/>
    </w:p>
    <w:p w14:paraId="3D3AABE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19" w:name="_Toc12192_WPSOffice_Level3"/>
      <w:bookmarkStart w:id="220" w:name="_Toc486167683"/>
      <w:bookmarkStart w:id="221" w:name="_Toc450662868"/>
      <w:bookmarkStart w:id="222" w:name="_Toc142508333"/>
      <w:bookmarkStart w:id="223" w:name="_Toc9900"/>
      <w:bookmarkStart w:id="224" w:name="_Toc26225"/>
      <w:r>
        <w:rPr>
          <w:rFonts w:hint="eastAsia" w:ascii="宋体" w:hAnsi="宋体" w:eastAsia="宋体" w:cs="宋体"/>
          <w:color w:val="000000" w:themeColor="text1"/>
          <w:szCs w:val="21"/>
          <w:highlight w:val="none"/>
          <w:lang w:val="zh-CN"/>
          <w14:textFill>
            <w14:solidFill>
              <w14:schemeClr w14:val="tx1"/>
            </w14:solidFill>
          </w14:textFill>
        </w:rPr>
        <w:t>18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投标文件的密封和标记</w:t>
      </w:r>
      <w:bookmarkEnd w:id="219"/>
      <w:bookmarkEnd w:id="220"/>
      <w:bookmarkEnd w:id="221"/>
      <w:bookmarkEnd w:id="222"/>
      <w:bookmarkEnd w:id="223"/>
      <w:bookmarkEnd w:id="224"/>
    </w:p>
    <w:p w14:paraId="0EE20462">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投标人应将正本和副本投标文件（本处不含唱标信封</w:t>
      </w:r>
      <w:r>
        <w:rPr>
          <w:rFonts w:hint="eastAsia" w:ascii="宋体" w:hAnsi="宋体" w:eastAsia="宋体" w:cs="Times New Roman"/>
          <w:color w:val="000000" w:themeColor="text1"/>
          <w:szCs w:val="21"/>
          <w:highlight w:val="none"/>
          <w:lang w:val="zh-CN"/>
          <w14:textFill>
            <w14:solidFill>
              <w14:schemeClr w14:val="tx1"/>
            </w14:solidFill>
          </w14:textFill>
        </w:rPr>
        <w:t>、投标文件电子文件</w:t>
      </w:r>
      <w:r>
        <w:rPr>
          <w:rFonts w:hint="eastAsia" w:ascii="宋体" w:hAnsi="宋体" w:eastAsia="宋体" w:cs="宋体"/>
          <w:color w:val="000000" w:themeColor="text1"/>
          <w:szCs w:val="21"/>
          <w:highlight w:val="none"/>
          <w:lang w:val="zh-CN"/>
          <w14:textFill>
            <w14:solidFill>
              <w14:schemeClr w14:val="tx1"/>
            </w14:solidFill>
          </w14:textFill>
        </w:rPr>
        <w:t>）密封在不透明的外层封装中。</w:t>
      </w:r>
    </w:p>
    <w:p w14:paraId="0FCEDBF3">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lang w:val="zh-CN"/>
          <w14:textFill>
            <w14:solidFill>
              <w14:schemeClr w14:val="tx1"/>
            </w14:solidFill>
          </w14:textFill>
        </w:rPr>
        <w:t>唱标信封应单独密封</w:t>
      </w:r>
      <w:r>
        <w:rPr>
          <w:rFonts w:hint="eastAsia" w:ascii="宋体" w:hAnsi="宋体" w:eastAsia="宋体" w:cs="Times New Roman"/>
          <w:b/>
          <w:bCs/>
          <w:color w:val="000000" w:themeColor="text1"/>
          <w:szCs w:val="21"/>
          <w:highlight w:val="none"/>
          <w:lang w:val="zh-CN"/>
          <w14:textFill>
            <w14:solidFill>
              <w14:schemeClr w14:val="tx1"/>
            </w14:solidFill>
          </w14:textFill>
        </w:rPr>
        <w:t>，与18.1款的投标文件一同提交。</w:t>
      </w:r>
    </w:p>
    <w:p w14:paraId="0DD8C389">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投标文件密封封装标记：</w:t>
      </w:r>
    </w:p>
    <w:p w14:paraId="4FD21278">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zh-CN"/>
          <w14:textFill>
            <w14:solidFill>
              <w14:schemeClr w14:val="tx1"/>
            </w14:solidFill>
          </w14:textFill>
        </w:rPr>
        <w:t>）外层密封封装表面应正确注明项目名称、招标编号、投标人单位名称、并注明投标文件递交截止时间之前不得开封（在封口位置的封条上标注注明），封口位置的封条上须加盖投标人法人公章；</w:t>
      </w:r>
    </w:p>
    <w:p w14:paraId="491B6C2C">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）投标文件已密封但不按前述标志封包，由此而引起的提前开封或错放责任由投标人承担；</w:t>
      </w:r>
    </w:p>
    <w:p w14:paraId="3C11A103">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（3）不足以造成投标文件可以从外包装内散出而导致投标文件泄密的，不认定为投标文件未密封。</w:t>
      </w:r>
    </w:p>
    <w:p w14:paraId="0B5ABF71">
      <w:pPr>
        <w:tabs>
          <w:tab w:val="left" w:pos="567"/>
        </w:tabs>
        <w:autoSpaceDE w:val="0"/>
        <w:autoSpaceDN w:val="0"/>
        <w:adjustRightInd w:val="0"/>
        <w:spacing w:line="360" w:lineRule="auto"/>
        <w:ind w:left="357" w:leftChars="-100" w:right="15" w:rightChars="7"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18.4</w:t>
      </w:r>
      <w:r>
        <w:rPr>
          <w:rFonts w:hint="eastAsia" w:ascii="宋体" w:hAnsi="宋体" w:eastAsia="宋体" w:cs="宋体"/>
          <w:b/>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lang w:val="zh-CN"/>
          <w14:textFill>
            <w14:solidFill>
              <w14:schemeClr w14:val="tx1"/>
            </w14:solidFill>
          </w14:textFill>
        </w:rPr>
        <w:t>如果</w:t>
      </w:r>
      <w:r>
        <w:rPr>
          <w:rFonts w:hint="eastAsia" w:ascii="宋体" w:hAnsi="宋体" w:eastAsia="宋体" w:cs="Times New Roman"/>
          <w:b/>
          <w:color w:val="000000" w:themeColor="text1"/>
          <w:szCs w:val="21"/>
          <w:highlight w:val="none"/>
          <w:lang w:val="zh-CN"/>
          <w14:textFill>
            <w14:solidFill>
              <w14:schemeClr w14:val="tx1"/>
            </w14:solidFill>
          </w14:textFill>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000000" w:themeColor="text1"/>
          <w:szCs w:val="21"/>
          <w:highlight w:val="none"/>
          <w:lang w:val="zh-CN"/>
          <w14:textFill>
            <w14:solidFill>
              <w14:schemeClr w14:val="tx1"/>
            </w14:solidFill>
          </w14:textFill>
        </w:rPr>
        <w:t>。</w:t>
      </w:r>
    </w:p>
    <w:p w14:paraId="336F133D">
      <w:pPr>
        <w:autoSpaceDE w:val="0"/>
        <w:autoSpaceDN w:val="0"/>
        <w:adjustRightInd w:val="0"/>
        <w:spacing w:line="360" w:lineRule="auto"/>
        <w:ind w:left="355" w:leftChars="-101" w:right="15" w:rightChars="7" w:hanging="567" w:hangingChars="27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18.5 开标前，</w:t>
      </w:r>
      <w:r>
        <w:rPr>
          <w:rFonts w:hint="eastAsia" w:ascii="宋体" w:hAnsi="宋体" w:eastAsia="宋体" w:cs="Times New Roman"/>
          <w:color w:val="000000" w:themeColor="text1"/>
          <w:szCs w:val="21"/>
          <w:highlight w:val="none"/>
          <w:lang w:val="zh-CN"/>
          <w14:textFill>
            <w14:solidFill>
              <w14:schemeClr w14:val="tx1"/>
            </w14:solidFill>
          </w14:textFill>
        </w:rPr>
        <w:t>由投标人代表</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第一位递交投标文件的投标人代表及主动自愿参与检查的投标人代表</w:t>
      </w:r>
      <w:r>
        <w:rPr>
          <w:rFonts w:ascii="宋体" w:hAnsi="宋体" w:eastAsia="宋体" w:cs="Times New Roman"/>
          <w:color w:val="000000" w:themeColor="text1"/>
          <w:szCs w:val="21"/>
          <w:highlight w:val="none"/>
          <w:lang w:val="zh-CN"/>
          <w14:textFill>
            <w14:solidFill>
              <w14:schemeClr w14:val="tx1"/>
            </w14:solidFill>
          </w14:textFill>
        </w:rPr>
        <w:t>）和招标人代表</w:t>
      </w:r>
      <w:r>
        <w:rPr>
          <w:rFonts w:hint="eastAsia" w:ascii="宋体" w:hAnsi="宋体" w:eastAsia="宋体" w:cs="Times New Roman"/>
          <w:color w:val="000000" w:themeColor="text1"/>
          <w:kern w:val="0"/>
          <w:szCs w:val="21"/>
          <w:highlight w:val="none"/>
          <w:lang w:val="zh-CN"/>
          <w14:textFill>
            <w14:solidFill>
              <w14:schemeClr w14:val="tx1"/>
            </w14:solidFill>
          </w14:textFill>
        </w:rPr>
        <w:t>将对所有的投标文件的密封性进行检查</w:t>
      </w:r>
      <w:r>
        <w:rPr>
          <w:rFonts w:ascii="宋体" w:hAnsi="宋体" w:eastAsia="宋体" w:cs="Times New Roman"/>
          <w:color w:val="000000" w:themeColor="text1"/>
          <w:szCs w:val="21"/>
          <w:highlight w:val="none"/>
          <w:lang w:val="zh-CN"/>
          <w14:textFill>
            <w14:solidFill>
              <w14:schemeClr w14:val="tx1"/>
            </w14:solidFill>
          </w14:textFill>
        </w:rPr>
        <w:t>，并签署进行确认</w:t>
      </w:r>
      <w:r>
        <w:rPr>
          <w:rFonts w:hint="eastAsia" w:ascii="宋体" w:hAnsi="宋体" w:eastAsia="宋体" w:cs="宋体"/>
          <w:color w:val="000000" w:themeColor="text1"/>
          <w:szCs w:val="21"/>
          <w:highlight w:val="none"/>
          <w:lang w:val="zh-CN"/>
          <w14:textFill>
            <w14:solidFill>
              <w14:schemeClr w14:val="tx1"/>
            </w14:solidFill>
          </w14:textFill>
        </w:rPr>
        <w:t>。</w:t>
      </w:r>
    </w:p>
    <w:p w14:paraId="4741E60C">
      <w:pPr>
        <w:tabs>
          <w:tab w:val="left" w:pos="567"/>
        </w:tabs>
        <w:autoSpaceDE w:val="0"/>
        <w:autoSpaceDN w:val="0"/>
        <w:adjustRightInd w:val="0"/>
        <w:spacing w:line="360" w:lineRule="auto"/>
        <w:ind w:right="15" w:rightChars="7" w:firstLine="525" w:firstLineChars="250"/>
        <w:rPr>
          <w:rFonts w:ascii="宋体" w:hAnsi="宋体" w:eastAsia="宋体" w:cs="宋体"/>
          <w:color w:val="000000" w:themeColor="text1"/>
          <w:szCs w:val="21"/>
          <w:highlight w:val="none"/>
          <w:lang w:val="zh-CN"/>
          <w14:textFill>
            <w14:solidFill>
              <w14:schemeClr w14:val="tx1"/>
            </w14:solidFill>
          </w14:textFill>
        </w:rPr>
      </w:pPr>
    </w:p>
    <w:p w14:paraId="462340D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25" w:name="_Toc142508334"/>
      <w:bookmarkStart w:id="226" w:name="_Toc29665_WPSOffice_Level3"/>
      <w:bookmarkStart w:id="227" w:name="_Toc3384"/>
      <w:bookmarkStart w:id="228" w:name="_Toc450662869"/>
      <w:bookmarkStart w:id="229" w:name="_Toc27088"/>
      <w:bookmarkStart w:id="230" w:name="_Toc486167684"/>
      <w:r>
        <w:rPr>
          <w:rFonts w:hint="eastAsia" w:ascii="宋体" w:hAnsi="宋体" w:eastAsia="宋体" w:cs="宋体"/>
          <w:color w:val="000000" w:themeColor="text1"/>
          <w:szCs w:val="21"/>
          <w:highlight w:val="none"/>
          <w:lang w:val="zh-CN"/>
          <w14:textFill>
            <w14:solidFill>
              <w14:schemeClr w14:val="tx1"/>
            </w14:solidFill>
          </w14:textFill>
        </w:rPr>
        <w:t>19</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递交投标文件的截止日期</w:t>
      </w:r>
      <w:bookmarkEnd w:id="225"/>
      <w:bookmarkEnd w:id="226"/>
      <w:bookmarkEnd w:id="227"/>
      <w:bookmarkEnd w:id="228"/>
      <w:bookmarkEnd w:id="229"/>
      <w:bookmarkEnd w:id="230"/>
    </w:p>
    <w:p w14:paraId="517C2458">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收到投标文件的时间不得迟于第一篇</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招标公告</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中规定的截止时间</w:t>
      </w:r>
      <w:r>
        <w:rPr>
          <w:rFonts w:hint="eastAsia" w:ascii="宋体" w:hAnsi="宋体" w:eastAsia="宋体" w:cs="宋体"/>
          <w:color w:val="000000" w:themeColor="text1"/>
          <w:szCs w:val="21"/>
          <w:highlight w:val="none"/>
          <w:lang w:val="zh-CN"/>
          <w14:textFill>
            <w14:solidFill>
              <w14:schemeClr w14:val="tx1"/>
            </w14:solidFill>
          </w14:textFill>
        </w:rPr>
        <w:t>。</w:t>
      </w:r>
    </w:p>
    <w:p w14:paraId="228B1771">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可按照第</w:t>
      </w:r>
      <w:r>
        <w:rPr>
          <w:rFonts w:ascii="宋体" w:hAnsi="宋体" w:eastAsia="宋体" w:cs="Times New Roman"/>
          <w:color w:val="000000" w:themeColor="text1"/>
          <w:szCs w:val="21"/>
          <w:highlight w:val="none"/>
          <w:lang w:val="zh-CN"/>
          <w14:textFill>
            <w14:solidFill>
              <w14:schemeClr w14:val="tx1"/>
            </w14:solidFill>
          </w14:textFill>
        </w:rPr>
        <w:t>7</w:t>
      </w:r>
      <w:r>
        <w:rPr>
          <w:rFonts w:hint="eastAsia" w:ascii="宋体" w:hAnsi="宋体" w:eastAsia="宋体" w:cs="Times New Roman"/>
          <w:color w:val="000000" w:themeColor="text1"/>
          <w:szCs w:val="21"/>
          <w:highlight w:val="none"/>
          <w:lang w:val="zh-CN"/>
          <w14:textFill>
            <w14:solidFill>
              <w14:schemeClr w14:val="tx1"/>
            </w14:solidFill>
          </w14:textFill>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000000" w:themeColor="text1"/>
          <w:szCs w:val="21"/>
          <w:highlight w:val="none"/>
          <w:lang w:val="zh-CN"/>
          <w14:textFill>
            <w14:solidFill>
              <w14:schemeClr w14:val="tx1"/>
            </w14:solidFill>
          </w14:textFill>
        </w:rPr>
        <w:t>。</w:t>
      </w:r>
    </w:p>
    <w:p w14:paraId="4D0F0ADD">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55209EB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kern w:val="0"/>
          <w:sz w:val="24"/>
          <w:szCs w:val="24"/>
          <w:highlight w:val="none"/>
          <w14:textFill>
            <w14:solidFill>
              <w14:schemeClr w14:val="tx1"/>
            </w14:solidFill>
          </w14:textFill>
        </w:rPr>
      </w:pPr>
      <w:bookmarkStart w:id="231" w:name="_Toc27296"/>
      <w:bookmarkStart w:id="232" w:name="_Toc486167685"/>
      <w:bookmarkStart w:id="233" w:name="_Toc450662870"/>
      <w:bookmarkStart w:id="234" w:name="_Toc22431_WPSOffice_Level3"/>
      <w:bookmarkStart w:id="235" w:name="_Toc6684"/>
      <w:bookmarkStart w:id="236" w:name="_Toc142508335"/>
      <w:r>
        <w:rPr>
          <w:rFonts w:hint="eastAsia" w:ascii="宋体" w:hAnsi="宋体" w:eastAsia="宋体" w:cs="宋体"/>
          <w:color w:val="000000" w:themeColor="text1"/>
          <w:szCs w:val="21"/>
          <w:highlight w:val="none"/>
          <w:lang w:val="zh-CN"/>
          <w14:textFill>
            <w14:solidFill>
              <w14:schemeClr w14:val="tx1"/>
            </w14:solidFill>
          </w14:textFill>
        </w:rPr>
        <w:t>20 迟交的投标文件</w:t>
      </w:r>
      <w:bookmarkEnd w:id="231"/>
      <w:bookmarkEnd w:id="232"/>
      <w:bookmarkEnd w:id="233"/>
      <w:bookmarkEnd w:id="234"/>
      <w:bookmarkEnd w:id="235"/>
      <w:bookmarkEnd w:id="236"/>
    </w:p>
    <w:p w14:paraId="5F74E768">
      <w:pPr>
        <w:autoSpaceDE w:val="0"/>
        <w:autoSpaceDN w:val="0"/>
        <w:adjustRightInd w:val="0"/>
        <w:spacing w:line="360" w:lineRule="auto"/>
        <w:ind w:firstLine="315" w:firstLineChars="1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根据第19条规定，招标代理机构将拒绝任何晚于递交投标文件的截止时间交到的投标文件。</w:t>
      </w:r>
    </w:p>
    <w:p w14:paraId="22DE6B55">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49C85A9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37" w:name="_Toc142508336"/>
      <w:bookmarkStart w:id="238" w:name="_Toc486167686"/>
      <w:bookmarkStart w:id="239" w:name="_Toc16964"/>
      <w:bookmarkStart w:id="240" w:name="_Toc28627"/>
      <w:bookmarkStart w:id="241" w:name="_Toc4883_WPSOffice_Level3"/>
      <w:bookmarkStart w:id="242" w:name="_Toc450662871"/>
      <w:r>
        <w:rPr>
          <w:rFonts w:hint="eastAsia" w:ascii="宋体" w:hAnsi="宋体" w:eastAsia="宋体" w:cs="宋体"/>
          <w:color w:val="000000" w:themeColor="text1"/>
          <w:szCs w:val="21"/>
          <w:highlight w:val="none"/>
          <w:lang w:val="zh-CN"/>
          <w14:textFill>
            <w14:solidFill>
              <w14:schemeClr w14:val="tx1"/>
            </w14:solidFill>
          </w14:textFill>
        </w:rPr>
        <w:t>21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投标文件的修改和撤回</w:t>
      </w:r>
      <w:bookmarkEnd w:id="237"/>
      <w:bookmarkEnd w:id="238"/>
      <w:bookmarkEnd w:id="239"/>
      <w:bookmarkEnd w:id="240"/>
      <w:bookmarkEnd w:id="241"/>
      <w:bookmarkEnd w:id="242"/>
    </w:p>
    <w:p w14:paraId="26485455">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投标人在提交投标文件后可对其投标文件进行修改或撤回，但招标代理机构须在提交投标文件截止日期前收到该修改或撤回的书面通知。</w:t>
      </w:r>
    </w:p>
    <w:p w14:paraId="3FD815EC">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color w:val="000000" w:themeColor="text1"/>
          <w:szCs w:val="21"/>
          <w:highlight w:val="none"/>
          <w:lang w:val="zh-CN"/>
          <w14:textFill>
            <w14:solidFill>
              <w14:schemeClr w14:val="tx1"/>
            </w14:solidFill>
          </w14:textFill>
        </w:rPr>
        <w:t>投标人对投标文件的修改或撤回的通知应按第</w:t>
      </w:r>
      <w:r>
        <w:rPr>
          <w:rFonts w:ascii="宋体" w:hAnsi="宋体" w:eastAsia="宋体" w:cs="Times New Roman"/>
          <w:color w:val="000000" w:themeColor="text1"/>
          <w:szCs w:val="21"/>
          <w:highlight w:val="none"/>
          <w:lang w:val="zh-CN"/>
          <w14:textFill>
            <w14:solidFill>
              <w14:schemeClr w14:val="tx1"/>
            </w14:solidFill>
          </w14:textFill>
        </w:rPr>
        <w:t>17</w:t>
      </w:r>
      <w:r>
        <w:rPr>
          <w:rFonts w:hint="eastAsia" w:ascii="宋体" w:hAnsi="宋体" w:eastAsia="宋体" w:cs="Times New Roman"/>
          <w:color w:val="000000" w:themeColor="text1"/>
          <w:szCs w:val="21"/>
          <w:highlight w:val="none"/>
          <w:lang w:val="zh-CN"/>
          <w14:textFill>
            <w14:solidFill>
              <w14:schemeClr w14:val="tx1"/>
            </w14:solidFill>
          </w14:textFill>
        </w:rPr>
        <w:t>条和第18条规定进行准备、密封、标注和递送</w:t>
      </w:r>
      <w:r>
        <w:rPr>
          <w:rFonts w:hint="eastAsia" w:ascii="宋体" w:hAnsi="宋体" w:eastAsia="宋体" w:cs="宋体"/>
          <w:color w:val="000000" w:themeColor="text1"/>
          <w:szCs w:val="21"/>
          <w:highlight w:val="none"/>
          <w:lang w:val="zh-CN"/>
          <w14:textFill>
            <w14:solidFill>
              <w14:schemeClr w14:val="tx1"/>
            </w14:solidFill>
          </w14:textFill>
        </w:rPr>
        <w:t>。</w:t>
      </w:r>
    </w:p>
    <w:p w14:paraId="5FCDDECA">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递交投标文件截止时间后不得修改投标文件。</w:t>
      </w:r>
    </w:p>
    <w:p w14:paraId="77E8E656">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投标人不得在递交投标文件截止时间起至第16条规定的投标文件有效期期满前撤销投标文件。否则招标</w:t>
      </w:r>
      <w:r>
        <w:rPr>
          <w:rFonts w:hint="eastAsia" w:ascii="宋体" w:hAnsi="宋体" w:eastAsia="宋体" w:cs="宋体"/>
          <w:color w:val="000000" w:themeColor="text1"/>
          <w:szCs w:val="21"/>
          <w:highlight w:val="none"/>
          <w14:textFill>
            <w14:solidFill>
              <w14:schemeClr w14:val="tx1"/>
            </w14:solidFill>
          </w14:textFill>
        </w:rPr>
        <w:t>人</w:t>
      </w:r>
      <w:r>
        <w:rPr>
          <w:rFonts w:hint="eastAsia" w:ascii="宋体" w:hAnsi="宋体" w:eastAsia="宋体" w:cs="宋体"/>
          <w:color w:val="000000" w:themeColor="text1"/>
          <w:szCs w:val="21"/>
          <w:highlight w:val="none"/>
          <w:lang w:val="zh-CN"/>
          <w14:textFill>
            <w14:solidFill>
              <w14:schemeClr w14:val="tx1"/>
            </w14:solidFill>
          </w14:textFill>
        </w:rPr>
        <w:t>将按第15.7款（1）规定不予退还其投标保证金。</w:t>
      </w:r>
    </w:p>
    <w:p w14:paraId="3CD97438">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7D4C4F4C">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43" w:name="_Toc1049_WPSOffice_Level2"/>
      <w:bookmarkStart w:id="244" w:name="_Toc486167687"/>
      <w:bookmarkStart w:id="245" w:name="_Toc27648"/>
      <w:bookmarkStart w:id="246" w:name="_Toc140596896"/>
      <w:bookmarkStart w:id="247" w:name="_Toc450662872"/>
      <w:bookmarkStart w:id="248" w:name="_Toc4101"/>
      <w:bookmarkStart w:id="249" w:name="_Toc142508337"/>
      <w:r>
        <w:rPr>
          <w:rFonts w:hint="eastAsia" w:ascii="宋体" w:hAnsi="宋体" w:eastAsia="宋体" w:cs="宋体"/>
          <w:b/>
          <w:bCs/>
          <w:color w:val="000000" w:themeColor="text1"/>
          <w:kern w:val="44"/>
          <w:szCs w:val="21"/>
          <w:highlight w:val="none"/>
          <w:lang w:val="zh-CN"/>
          <w14:textFill>
            <w14:solidFill>
              <w14:schemeClr w14:val="tx1"/>
            </w14:solidFill>
          </w14:textFill>
        </w:rPr>
        <w:t>五、开标与评标</w:t>
      </w:r>
      <w:bookmarkEnd w:id="243"/>
      <w:bookmarkEnd w:id="244"/>
      <w:bookmarkEnd w:id="245"/>
      <w:bookmarkEnd w:id="246"/>
      <w:bookmarkEnd w:id="247"/>
      <w:bookmarkEnd w:id="248"/>
      <w:bookmarkEnd w:id="249"/>
    </w:p>
    <w:p w14:paraId="738B175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50" w:name="_Toc450662873"/>
      <w:bookmarkStart w:id="251" w:name="_Toc3071"/>
      <w:bookmarkStart w:id="252" w:name="_Toc486167688"/>
      <w:bookmarkStart w:id="253" w:name="_Toc144_WPSOffice_Level3"/>
      <w:bookmarkStart w:id="254" w:name="_Toc142508338"/>
      <w:bookmarkStart w:id="255" w:name="_Toc7200"/>
      <w:r>
        <w:rPr>
          <w:rFonts w:hint="eastAsia" w:ascii="宋体" w:hAnsi="宋体" w:eastAsia="宋体" w:cs="宋体"/>
          <w:color w:val="000000" w:themeColor="text1"/>
          <w:szCs w:val="21"/>
          <w:highlight w:val="none"/>
          <w:lang w:val="zh-CN"/>
          <w14:textFill>
            <w14:solidFill>
              <w14:schemeClr w14:val="tx1"/>
            </w14:solidFill>
          </w14:textFill>
        </w:rPr>
        <w:t>22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开标</w:t>
      </w:r>
      <w:bookmarkEnd w:id="250"/>
      <w:bookmarkEnd w:id="251"/>
      <w:bookmarkEnd w:id="252"/>
      <w:bookmarkEnd w:id="253"/>
      <w:bookmarkEnd w:id="254"/>
      <w:bookmarkEnd w:id="255"/>
    </w:p>
    <w:p w14:paraId="3A0B1A7B">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招标代理机构在投标人代表自愿出席的情况下，在第一篇“招标公告”规定的地点和时间开标, 出席代表需登记以示出席。</w:t>
      </w:r>
    </w:p>
    <w:p w14:paraId="5703AB3C">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按照第21条规定，提交了可接受的“撤回”通知的投标文件将不予开封。</w:t>
      </w:r>
    </w:p>
    <w:p w14:paraId="42CD12BC">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000000" w:themeColor="text1"/>
          <w:szCs w:val="21"/>
          <w:highlight w:val="none"/>
          <w14:textFill>
            <w14:solidFill>
              <w14:schemeClr w14:val="tx1"/>
            </w14:solidFill>
          </w14:textFill>
        </w:rPr>
        <w:t>当</w:t>
      </w:r>
      <w:r>
        <w:rPr>
          <w:rFonts w:hint="eastAsia" w:ascii="宋体" w:hAnsi="宋体" w:eastAsia="宋体" w:cs="宋体"/>
          <w:color w:val="000000" w:themeColor="text1"/>
          <w:szCs w:val="21"/>
          <w:highlight w:val="none"/>
          <w:lang w:val="zh-CN"/>
          <w14:textFill>
            <w14:solidFill>
              <w14:schemeClr w14:val="tx1"/>
            </w14:solidFill>
          </w14:textFill>
        </w:rPr>
        <w:t>场核查确认之后，可重新宣读其投标文件</w:t>
      </w:r>
      <w:r>
        <w:rPr>
          <w:rFonts w:hint="eastAsia" w:ascii="宋体" w:hAnsi="宋体" w:eastAsia="宋体" w:cs="宋体"/>
          <w:color w:val="000000" w:themeColor="text1"/>
          <w:szCs w:val="21"/>
          <w:highlight w:val="none"/>
          <w14:textFill>
            <w14:solidFill>
              <w14:schemeClr w14:val="tx1"/>
            </w14:solidFill>
          </w14:textFill>
        </w:rPr>
        <w:t>相关内容</w:t>
      </w:r>
      <w:r>
        <w:rPr>
          <w:rFonts w:hint="eastAsia" w:ascii="宋体" w:hAnsi="宋体" w:eastAsia="宋体" w:cs="宋体"/>
          <w:color w:val="000000" w:themeColor="text1"/>
          <w:szCs w:val="21"/>
          <w:highlight w:val="none"/>
          <w:lang w:val="zh-CN"/>
          <w14:textFill>
            <w14:solidFill>
              <w14:schemeClr w14:val="tx1"/>
            </w14:solidFill>
          </w14:textFill>
        </w:rPr>
        <w:t>。若投标人现场未提出异议，则视为投标人确认宣读的结果。</w:t>
      </w:r>
    </w:p>
    <w:p w14:paraId="50548C64">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投标文件的投标报价大写金额和小写金额不一致的，以大写金额为准</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对不同文字文本投标文件的解释发生异议的，以中文文本为准。</w:t>
      </w:r>
    </w:p>
    <w:p w14:paraId="569AA6DA">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22.5 投标人对开标有异议的，应当在开标现场提出，招标代理机构应当当场作出答复，并制作记录。投标人法定代表人或其授权代表未出席的，视同认可开标结果。</w:t>
      </w:r>
    </w:p>
    <w:p w14:paraId="05FFE0D3">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22.6 招标代理机构将做开标记录，开标记录包括第22.5款发生的异议及答复、按第22.3款的规定在开标时宣读的全部内容。</w:t>
      </w:r>
    </w:p>
    <w:p w14:paraId="4460BA25">
      <w:pPr>
        <w:autoSpaceDE w:val="0"/>
        <w:autoSpaceDN w:val="0"/>
        <w:adjustRightInd w:val="0"/>
        <w:spacing w:line="360" w:lineRule="auto"/>
        <w:ind w:left="357" w:leftChars="-100" w:right="15" w:rightChars="7" w:hanging="567"/>
        <w:rPr>
          <w:rFonts w:ascii="宋体" w:hAnsi="宋体" w:eastAsia="宋体" w:cs="宋体"/>
          <w:color w:val="000000" w:themeColor="text1"/>
          <w:kern w:val="0"/>
          <w:szCs w:val="21"/>
          <w:highlight w:val="none"/>
          <w14:textFill>
            <w14:solidFill>
              <w14:schemeClr w14:val="tx1"/>
            </w14:solidFill>
          </w14:textFill>
        </w:rPr>
      </w:pPr>
    </w:p>
    <w:p w14:paraId="4DD1FFD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56" w:name="_Toc142508339"/>
      <w:bookmarkStart w:id="257" w:name="_Toc32398"/>
      <w:bookmarkStart w:id="258" w:name="_Toc486167689"/>
      <w:bookmarkStart w:id="259" w:name="_Toc450662874"/>
      <w:bookmarkStart w:id="260" w:name="_Toc2038"/>
      <w:bookmarkStart w:id="261" w:name="_Toc12165_WPSOffice_Level3"/>
      <w:r>
        <w:rPr>
          <w:rFonts w:hint="eastAsia" w:ascii="宋体" w:hAnsi="宋体" w:eastAsia="宋体" w:cs="宋体"/>
          <w:color w:val="000000" w:themeColor="text1"/>
          <w:szCs w:val="21"/>
          <w:highlight w:val="none"/>
          <w:lang w:val="zh-CN"/>
          <w14:textFill>
            <w14:solidFill>
              <w14:schemeClr w14:val="tx1"/>
            </w14:solidFill>
          </w14:textFill>
        </w:rPr>
        <w:t>23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bookmarkEnd w:id="256"/>
      <w:bookmarkEnd w:id="257"/>
      <w:bookmarkEnd w:id="258"/>
      <w:bookmarkEnd w:id="259"/>
      <w:bookmarkEnd w:id="260"/>
      <w:bookmarkEnd w:id="261"/>
    </w:p>
    <w:p w14:paraId="0C500817">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递交投标文件后，</w:t>
      </w:r>
      <w:r>
        <w:rPr>
          <w:rFonts w:hint="eastAsia" w:ascii="宋体" w:hAnsi="宋体" w:eastAsia="宋体" w:cs="Times New Roman"/>
          <w:color w:val="000000" w:themeColor="text1"/>
          <w:szCs w:val="21"/>
          <w:highlight w:val="none"/>
          <w:lang w:val="zh-CN"/>
          <w14:textFill>
            <w14:solidFill>
              <w14:schemeClr w14:val="tx1"/>
            </w14:solidFill>
          </w14:textFill>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000000" w:themeColor="text1"/>
          <w:szCs w:val="21"/>
          <w:highlight w:val="none"/>
          <w:lang w:val="zh-CN"/>
          <w14:textFill>
            <w14:solidFill>
              <w14:schemeClr w14:val="tx1"/>
            </w14:solidFill>
          </w14:textFill>
        </w:rPr>
        <w:t>。</w:t>
      </w:r>
    </w:p>
    <w:p w14:paraId="755303F0">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在评标过程中，如果投标人试图在投标文件审查、澄清、比较及授予合同方面向招标代理机构和招标人施加任何影响，其投标文件将被拒绝。</w:t>
      </w:r>
    </w:p>
    <w:p w14:paraId="0CCB0720">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63DD10B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62" w:name="_Toc16094"/>
      <w:bookmarkStart w:id="263" w:name="_Toc486167690"/>
      <w:bookmarkStart w:id="264" w:name="_Toc15565_WPSOffice_Level3"/>
      <w:bookmarkStart w:id="265" w:name="_Toc833"/>
      <w:bookmarkStart w:id="266" w:name="_Toc450662875"/>
      <w:bookmarkStart w:id="267" w:name="_Toc142508340"/>
      <w:r>
        <w:rPr>
          <w:rFonts w:hint="eastAsia" w:ascii="宋体" w:hAnsi="宋体" w:eastAsia="宋体" w:cs="宋体"/>
          <w:color w:val="000000" w:themeColor="text1"/>
          <w:szCs w:val="21"/>
          <w:highlight w:val="none"/>
          <w:lang w:val="zh-CN"/>
          <w14:textFill>
            <w14:solidFill>
              <w14:schemeClr w14:val="tx1"/>
            </w14:solidFill>
          </w14:textFill>
        </w:rPr>
        <w:t>24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评标委员会</w:t>
      </w:r>
      <w:bookmarkEnd w:id="262"/>
      <w:bookmarkEnd w:id="263"/>
      <w:bookmarkEnd w:id="264"/>
      <w:bookmarkEnd w:id="265"/>
      <w:bookmarkEnd w:id="266"/>
      <w:bookmarkEnd w:id="267"/>
    </w:p>
    <w:p w14:paraId="32D64DBD">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依法组建评标委员会。评标委员会的成员在评审过程中必须严格遵守国家及地方招标投标的有关规定。</w:t>
      </w:r>
    </w:p>
    <w:p w14:paraId="627113A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评标委员会依法根据招标文件的规定，进行投标文件的评审、得出评审结果，并向招标人推荐中标候选人。</w:t>
      </w:r>
    </w:p>
    <w:p w14:paraId="270C4FF4">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1E640C66">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268" w:name="_Toc5035"/>
      <w:bookmarkStart w:id="269" w:name="_Toc450662876"/>
      <w:bookmarkStart w:id="270" w:name="_Toc31399"/>
      <w:bookmarkStart w:id="271" w:name="_Toc486167691"/>
      <w:bookmarkStart w:id="272" w:name="_Toc142508341"/>
      <w:bookmarkStart w:id="273" w:name="_Toc28910_WPSOffice_Level3"/>
      <w:r>
        <w:rPr>
          <w:rFonts w:hint="eastAsia" w:ascii="宋体" w:hAnsi="宋体" w:eastAsia="宋体" w:cs="宋体"/>
          <w:b/>
          <w:color w:val="000000" w:themeColor="text1"/>
          <w:szCs w:val="21"/>
          <w:highlight w:val="none"/>
          <w:lang w:val="zh-CN"/>
          <w14:textFill>
            <w14:solidFill>
              <w14:schemeClr w14:val="tx1"/>
            </w14:solidFill>
          </w14:textFill>
        </w:rPr>
        <w:t>25</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投标文件的初审</w:t>
      </w:r>
      <w:bookmarkEnd w:id="268"/>
      <w:bookmarkEnd w:id="269"/>
      <w:bookmarkEnd w:id="270"/>
      <w:bookmarkEnd w:id="271"/>
      <w:bookmarkEnd w:id="272"/>
      <w:bookmarkEnd w:id="273"/>
    </w:p>
    <w:p w14:paraId="7F3C66D7">
      <w:pPr>
        <w:autoSpaceDE w:val="0"/>
        <w:autoSpaceDN w:val="0"/>
        <w:adjustRightInd w:val="0"/>
        <w:spacing w:line="360" w:lineRule="auto"/>
        <w:ind w:left="357" w:leftChars="-100" w:hanging="56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25.1 资格性检查：依据法律法规和招标文件的规定，对投标文件中的资格证明、投标保证金等进行审查，以确定投标人是否具备投标资格。</w:t>
      </w:r>
    </w:p>
    <w:p w14:paraId="4B423260">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25.2 符合性检查：依据招标文件的规定，从投标文件的有效性、完整性和对招标文件的响应程度进行审查，以确定是否对招标文件的实质性要求作出响应。</w:t>
      </w:r>
    </w:p>
    <w:p w14:paraId="459378D9">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p>
    <w:p w14:paraId="458FECDB">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74" w:name="_Toc338_WPSOffice_Level3"/>
      <w:bookmarkStart w:id="275" w:name="_Toc450662877"/>
      <w:bookmarkStart w:id="276" w:name="_Toc10130"/>
      <w:bookmarkStart w:id="277" w:name="_Toc142508342"/>
      <w:bookmarkStart w:id="278" w:name="_Toc486167692"/>
      <w:bookmarkStart w:id="279" w:name="_Toc31484"/>
      <w:r>
        <w:rPr>
          <w:rFonts w:hint="eastAsia" w:ascii="宋体" w:hAnsi="宋体" w:eastAsia="宋体" w:cs="宋体"/>
          <w:color w:val="000000" w:themeColor="text1"/>
          <w:szCs w:val="21"/>
          <w:highlight w:val="none"/>
          <w:lang w:val="zh-CN"/>
          <w14:textFill>
            <w14:solidFill>
              <w14:schemeClr w14:val="tx1"/>
            </w14:solidFill>
          </w14:textFill>
        </w:rPr>
        <w:t>26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投标文件的澄清</w:t>
      </w:r>
      <w:bookmarkEnd w:id="274"/>
      <w:bookmarkEnd w:id="275"/>
      <w:bookmarkEnd w:id="276"/>
      <w:bookmarkEnd w:id="277"/>
      <w:bookmarkEnd w:id="278"/>
      <w:bookmarkEnd w:id="279"/>
    </w:p>
    <w:p w14:paraId="3D7E6719">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 对投标文件中含义不明确、</w:t>
      </w:r>
      <w:r>
        <w:rPr>
          <w:rFonts w:hint="eastAsia" w:ascii="宋体" w:hAnsi="宋体" w:eastAsia="宋体" w:cs="宋体"/>
          <w:color w:val="000000" w:themeColor="text1"/>
          <w:szCs w:val="21"/>
          <w:highlight w:val="none"/>
          <w14:textFill>
            <w14:solidFill>
              <w14:schemeClr w14:val="tx1"/>
            </w14:solidFill>
          </w14:textFill>
        </w:rPr>
        <w:t>对</w:t>
      </w:r>
      <w:r>
        <w:rPr>
          <w:rFonts w:hint="eastAsia" w:ascii="宋体" w:hAnsi="宋体" w:eastAsia="宋体" w:cs="宋体"/>
          <w:color w:val="000000" w:themeColor="text1"/>
          <w:szCs w:val="21"/>
          <w:highlight w:val="none"/>
          <w:lang w:val="zh-CN"/>
          <w14:textFill>
            <w14:solidFill>
              <w14:schemeClr w14:val="tx1"/>
            </w14:solidFill>
          </w14:textFill>
        </w:rPr>
        <w:t>同类问题表述不一致、有明显文字和计算错误、</w:t>
      </w:r>
      <w:r>
        <w:rPr>
          <w:rFonts w:hint="eastAsia" w:ascii="宋体" w:hAnsi="宋体" w:eastAsia="宋体" w:cs="宋体"/>
          <w:color w:val="000000" w:themeColor="text1"/>
          <w:szCs w:val="21"/>
          <w:highlight w:val="none"/>
          <w14:textFill>
            <w14:solidFill>
              <w14:schemeClr w14:val="tx1"/>
            </w14:solidFill>
          </w14:textFill>
        </w:rPr>
        <w:t>投标报价可能低于成本影响履约的</w:t>
      </w:r>
      <w:r>
        <w:rPr>
          <w:rFonts w:hint="eastAsia" w:ascii="宋体" w:hAnsi="宋体" w:eastAsia="宋体" w:cs="宋体"/>
          <w:color w:val="000000" w:themeColor="text1"/>
          <w:szCs w:val="21"/>
          <w:highlight w:val="none"/>
          <w:lang w:val="zh-CN"/>
          <w14:textFill>
            <w14:solidFill>
              <w14:schemeClr w14:val="tx1"/>
            </w14:solidFill>
          </w14:textFill>
        </w:rPr>
        <w:t>，评标委员会</w:t>
      </w:r>
      <w:r>
        <w:rPr>
          <w:rFonts w:hint="eastAsia" w:ascii="宋体" w:hAnsi="宋体" w:eastAsia="宋体" w:cs="宋体"/>
          <w:color w:val="000000" w:themeColor="text1"/>
          <w:szCs w:val="21"/>
          <w:highlight w:val="none"/>
          <w14:textFill>
            <w14:solidFill>
              <w14:schemeClr w14:val="tx1"/>
            </w14:solidFill>
          </w14:textFill>
        </w:rPr>
        <w:t>应当先请投标人作必要的澄清说明</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不得直接否决投标。评标委员会</w:t>
      </w:r>
      <w:r>
        <w:rPr>
          <w:rFonts w:hint="eastAsia" w:ascii="宋体" w:hAnsi="宋体" w:eastAsia="宋体" w:cs="宋体"/>
          <w:color w:val="000000" w:themeColor="text1"/>
          <w:szCs w:val="21"/>
          <w:highlight w:val="none"/>
          <w:lang w:val="zh-CN"/>
          <w14:textFill>
            <w14:solidFill>
              <w14:schemeClr w14:val="tx1"/>
            </w14:solidFill>
          </w14:textFill>
        </w:rPr>
        <w:t>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3546063F">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bookmarkStart w:id="280" w:name="_Toc450662879"/>
      <w:r>
        <w:rPr>
          <w:rFonts w:hint="eastAsia" w:ascii="宋体" w:hAnsi="宋体" w:eastAsia="宋体" w:cs="宋体"/>
          <w:color w:val="000000" w:themeColor="text1"/>
          <w:szCs w:val="21"/>
          <w:highlight w:val="none"/>
          <w:lang w:val="zh-CN"/>
          <w14:textFill>
            <w14:solidFill>
              <w14:schemeClr w14:val="tx1"/>
            </w14:solidFill>
          </w14:textFill>
        </w:rPr>
        <w:t xml:space="preserve">26.2 </w:t>
      </w:r>
      <w:r>
        <w:rPr>
          <w:rFonts w:hint="eastAsia" w:ascii="宋体" w:hAnsi="宋体" w:eastAsia="宋体" w:cs="宋体"/>
          <w:color w:val="000000" w:themeColor="text1"/>
          <w:szCs w:val="21"/>
          <w:highlight w:val="none"/>
          <w14:textFill>
            <w14:solidFill>
              <w14:schemeClr w14:val="tx1"/>
            </w14:solidFill>
          </w14:textFill>
        </w:rPr>
        <w:t>开标当天</w:t>
      </w:r>
      <w:r>
        <w:rPr>
          <w:rFonts w:hint="eastAsia" w:ascii="宋体" w:hAnsi="宋体" w:eastAsia="宋体" w:cs="宋体"/>
          <w:color w:val="000000" w:themeColor="text1"/>
          <w:szCs w:val="21"/>
          <w:highlight w:val="none"/>
          <w:lang w:val="zh-CN"/>
          <w14:textFill>
            <w14:solidFill>
              <w14:schemeClr w14:val="tx1"/>
            </w14:solidFill>
          </w14:textFill>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80"/>
    <w:p w14:paraId="5A6A6265">
      <w:pPr>
        <w:tabs>
          <w:tab w:val="left" w:pos="525"/>
        </w:tabs>
        <w:autoSpaceDE w:val="0"/>
        <w:autoSpaceDN w:val="0"/>
        <w:adjustRightInd w:val="0"/>
        <w:spacing w:line="360" w:lineRule="auto"/>
        <w:ind w:left="357" w:leftChars="-100" w:hanging="567"/>
        <w:jc w:val="left"/>
        <w:rPr>
          <w:rFonts w:ascii="宋体" w:hAnsi="宋体" w:eastAsia="宋体" w:cs="宋体"/>
          <w:color w:val="000000" w:themeColor="text1"/>
          <w:szCs w:val="21"/>
          <w:highlight w:val="none"/>
          <w:lang w:val="zh-CN"/>
          <w14:textFill>
            <w14:solidFill>
              <w14:schemeClr w14:val="tx1"/>
            </w14:solidFill>
          </w14:textFill>
        </w:rPr>
      </w:pPr>
      <w:bookmarkStart w:id="281" w:name="_Toc522047355"/>
      <w:bookmarkStart w:id="282" w:name="_Toc18368_WPSOffice_Level3"/>
      <w:bookmarkStart w:id="283" w:name="_Toc142508343"/>
      <w:bookmarkStart w:id="284" w:name="_Toc521918096"/>
    </w:p>
    <w:p w14:paraId="3E4DAFC8">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85" w:name="_Toc24332"/>
      <w:bookmarkStart w:id="286" w:name="_Toc15022"/>
      <w:r>
        <w:rPr>
          <w:rFonts w:hint="eastAsia" w:ascii="宋体" w:hAnsi="宋体" w:eastAsia="宋体" w:cs="宋体"/>
          <w:color w:val="000000" w:themeColor="text1"/>
          <w:szCs w:val="21"/>
          <w:highlight w:val="none"/>
          <w:lang w:val="zh-CN"/>
          <w14:textFill>
            <w14:solidFill>
              <w14:schemeClr w14:val="tx1"/>
            </w14:solidFill>
          </w14:textFill>
        </w:rPr>
        <w:t>27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对投标文件的比较和评价</w:t>
      </w:r>
      <w:bookmarkEnd w:id="281"/>
      <w:bookmarkEnd w:id="282"/>
      <w:bookmarkEnd w:id="283"/>
      <w:bookmarkEnd w:id="284"/>
      <w:bookmarkEnd w:id="285"/>
      <w:bookmarkEnd w:id="286"/>
    </w:p>
    <w:p w14:paraId="455D657F">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评标委员会将对资格性检查和符合性检查合格的投标文件进行比较和评价，包括商务、技术和价格的详细评审。</w:t>
      </w:r>
    </w:p>
    <w:p w14:paraId="2B0B8ACF">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对投标文件商务的评审详见评标工作大纲。</w:t>
      </w:r>
    </w:p>
    <w:p w14:paraId="74D90096">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对投标文件技术的评审详见评标工作大纲。</w:t>
      </w:r>
    </w:p>
    <w:p w14:paraId="43F86F15">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对投标价格的评审详见评标工作大纲。</w:t>
      </w:r>
    </w:p>
    <w:p w14:paraId="2CCA4462">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本次评标的评分权重详见评标工作大纲。</w:t>
      </w:r>
    </w:p>
    <w:p w14:paraId="66AE2F94">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根据上述商务、技术及价格综合评价的权重分配计算出各投标人的综合得分。</w:t>
      </w:r>
    </w:p>
    <w:p w14:paraId="436421A6">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szCs w:val="21"/>
          <w:highlight w:val="none"/>
          <w:lang w:val="zh-CN"/>
          <w14:textFill>
            <w14:solidFill>
              <w14:schemeClr w14:val="tx1"/>
            </w14:solidFill>
          </w14:textFill>
        </w:rPr>
      </w:pPr>
      <w:bookmarkStart w:id="287" w:name="_Toc522047356"/>
      <w:bookmarkStart w:id="288" w:name="_Toc521918097"/>
    </w:p>
    <w:p w14:paraId="736BB1D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89" w:name="_Toc142508344"/>
      <w:bookmarkStart w:id="290" w:name="_Toc31279"/>
      <w:bookmarkStart w:id="291" w:name="_Toc17214"/>
      <w:bookmarkStart w:id="292" w:name="_Toc21460_WPSOffice_Level3"/>
      <w:r>
        <w:rPr>
          <w:rFonts w:hint="eastAsia" w:ascii="宋体" w:hAnsi="宋体" w:eastAsia="宋体" w:cs="宋体"/>
          <w:color w:val="000000" w:themeColor="text1"/>
          <w:szCs w:val="21"/>
          <w:highlight w:val="none"/>
          <w:lang w:val="zh-CN"/>
          <w14:textFill>
            <w14:solidFill>
              <w14:schemeClr w14:val="tx1"/>
            </w14:solidFill>
          </w14:textFill>
        </w:rPr>
        <w:t>28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评标原则及方法</w:t>
      </w:r>
      <w:bookmarkEnd w:id="287"/>
      <w:bookmarkEnd w:id="288"/>
      <w:bookmarkEnd w:id="289"/>
      <w:bookmarkEnd w:id="290"/>
      <w:bookmarkEnd w:id="291"/>
      <w:bookmarkEnd w:id="292"/>
    </w:p>
    <w:p w14:paraId="0591C14D">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对所有投标文件的评审，都采用相同的程序和标准。按步骤先进行初步评审，再进行商务、技术、价格评审。</w:t>
      </w:r>
    </w:p>
    <w:p w14:paraId="43B14BC3">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28.2 评标严格按照招标文件的要求和条件进行。</w:t>
      </w:r>
    </w:p>
    <w:p w14:paraId="03B458CD">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在评标时将根据第27</w:t>
      </w:r>
      <w:r>
        <w:rPr>
          <w:rFonts w:hint="eastAsia" w:ascii="宋体" w:hAnsi="宋体" w:eastAsia="宋体" w:cs="Times New Roman"/>
          <w:color w:val="000000" w:themeColor="text1"/>
          <w:szCs w:val="21"/>
          <w:highlight w:val="none"/>
          <w:lang w:val="zh-CN"/>
          <w14:textFill>
            <w14:solidFill>
              <w14:schemeClr w14:val="tx1"/>
            </w14:solidFill>
          </w14:textFill>
        </w:rPr>
        <w:t>条</w:t>
      </w:r>
      <w:r>
        <w:rPr>
          <w:rFonts w:hint="eastAsia" w:ascii="宋体" w:hAnsi="宋体" w:eastAsia="宋体" w:cs="宋体"/>
          <w:color w:val="000000" w:themeColor="text1"/>
          <w:szCs w:val="21"/>
          <w:highlight w:val="none"/>
          <w:lang w:val="zh-CN"/>
          <w14:textFill>
            <w14:solidFill>
              <w14:schemeClr w14:val="tx1"/>
            </w14:solidFill>
          </w14:textFill>
        </w:rPr>
        <w:t>，采用综合评分法的评审方法，对所有实质响应性投标文件进行综合打分。</w:t>
      </w:r>
    </w:p>
    <w:p w14:paraId="38BF6599">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28.3 </w:t>
      </w:r>
      <w:r>
        <w:rPr>
          <w:rFonts w:hint="eastAsia" w:ascii="宋体" w:hAnsi="宋体" w:eastAsia="宋体" w:cs="宋体"/>
          <w:b/>
          <w:bCs/>
          <w:color w:val="000000" w:themeColor="text1"/>
          <w:szCs w:val="21"/>
          <w:highlight w:val="none"/>
          <w:lang w:val="zh-CN"/>
          <w14:textFill>
            <w14:solidFill>
              <w14:schemeClr w14:val="tx1"/>
            </w14:solidFill>
          </w14:textFill>
        </w:rPr>
        <w:t>若</w:t>
      </w:r>
      <w:r>
        <w:rPr>
          <w:rFonts w:hint="eastAsia" w:ascii="宋体" w:hAnsi="宋体" w:eastAsia="宋体" w:cs="宋体"/>
          <w:b/>
          <w:bCs/>
          <w:color w:val="000000" w:themeColor="text1"/>
          <w:szCs w:val="21"/>
          <w:highlight w:val="none"/>
          <w14:textFill>
            <w14:solidFill>
              <w14:schemeClr w14:val="tx1"/>
            </w14:solidFill>
          </w14:textFill>
        </w:rPr>
        <w:t>本次招标过程中有效投标人不足三个时，公开招标失败，并由评标委员会论证，招标文件是否没有不合理条款、招标程序是否符合规定。</w:t>
      </w:r>
    </w:p>
    <w:p w14:paraId="21A9701B">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p>
    <w:p w14:paraId="7C3E8742">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93" w:name="_Toc142508345"/>
      <w:bookmarkStart w:id="294" w:name="_Toc465358969"/>
      <w:bookmarkStart w:id="295" w:name="_Toc32498_WPSOffice_Level3"/>
      <w:bookmarkStart w:id="296" w:name="_Toc2613"/>
      <w:bookmarkStart w:id="297" w:name="_Toc466882017"/>
      <w:bookmarkStart w:id="298" w:name="_Toc486167694"/>
      <w:bookmarkStart w:id="299" w:name="_Toc15841"/>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9 </w:t>
      </w:r>
      <w:r>
        <w:rPr>
          <w:rFonts w:hint="eastAsia" w:ascii="宋体" w:hAnsi="宋体" w:eastAsia="宋体" w:cs="宋体"/>
          <w:color w:val="000000" w:themeColor="text1"/>
          <w:szCs w:val="21"/>
          <w:highlight w:val="none"/>
          <w:lang w:val="zh-CN"/>
          <w14:textFill>
            <w14:solidFill>
              <w14:schemeClr w14:val="tx1"/>
            </w14:solidFill>
          </w14:textFill>
        </w:rPr>
        <w:t>评标结果公</w:t>
      </w:r>
      <w:r>
        <w:rPr>
          <w:rFonts w:hint="eastAsia" w:ascii="宋体" w:hAnsi="宋体" w:eastAsia="宋体" w:cs="Times New Roman"/>
          <w:color w:val="000000" w:themeColor="text1"/>
          <w:szCs w:val="21"/>
          <w:highlight w:val="none"/>
          <w:lang w:val="zh-CN"/>
          <w14:textFill>
            <w14:solidFill>
              <w14:schemeClr w14:val="tx1"/>
            </w14:solidFill>
          </w14:textFill>
        </w:rPr>
        <w:t>示</w:t>
      </w:r>
      <w:r>
        <w:rPr>
          <w:rFonts w:hint="eastAsia" w:ascii="宋体" w:hAnsi="宋体" w:eastAsia="宋体" w:cs="宋体"/>
          <w:color w:val="000000" w:themeColor="text1"/>
          <w:szCs w:val="21"/>
          <w:highlight w:val="none"/>
          <w:lang w:val="zh-CN"/>
          <w14:textFill>
            <w14:solidFill>
              <w14:schemeClr w14:val="tx1"/>
            </w14:solidFill>
          </w14:textFill>
        </w:rPr>
        <w:t>及异议、投诉</w:t>
      </w:r>
      <w:bookmarkEnd w:id="293"/>
      <w:bookmarkEnd w:id="294"/>
      <w:bookmarkEnd w:id="295"/>
      <w:bookmarkEnd w:id="296"/>
      <w:bookmarkEnd w:id="297"/>
      <w:bookmarkEnd w:id="298"/>
      <w:bookmarkEnd w:id="299"/>
    </w:p>
    <w:p w14:paraId="05D7EBD0">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招标代理机构在招标公告发布媒介公示中标候选人，公示期为3日。投标人或者其他利害关系人对评标结果有异议的，应当在</w:t>
      </w:r>
      <w:r>
        <w:rPr>
          <w:rFonts w:hint="eastAsia" w:ascii="宋体" w:hAnsi="宋体" w:eastAsia="宋体" w:cs="Times New Roman"/>
          <w:color w:val="000000" w:themeColor="text1"/>
          <w:szCs w:val="21"/>
          <w:highlight w:val="none"/>
          <w14:textFill>
            <w14:solidFill>
              <w14:schemeClr w14:val="tx1"/>
            </w14:solidFill>
          </w14:textFill>
        </w:rPr>
        <w:t>评标结果</w:t>
      </w:r>
      <w:r>
        <w:rPr>
          <w:rFonts w:hint="eastAsia" w:ascii="宋体" w:hAnsi="宋体" w:eastAsia="宋体" w:cs="Times New Roman"/>
          <w:color w:val="000000" w:themeColor="text1"/>
          <w:szCs w:val="21"/>
          <w:highlight w:val="none"/>
          <w:lang w:val="zh-CN"/>
          <w14:textFill>
            <w14:solidFill>
              <w14:schemeClr w14:val="tx1"/>
            </w14:solidFill>
          </w14:textFill>
        </w:rPr>
        <w:t>公示期间向招标代理机构以书面的形式提出，</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将完整的异议书面材料原件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对评标结果无异议。超出提交异议截止时间而提出的任何疑问，招标代理机构可不予答复</w:t>
      </w:r>
      <w:r>
        <w:rPr>
          <w:rFonts w:hint="eastAsia" w:ascii="宋体" w:hAnsi="宋体" w:eastAsia="宋体" w:cs="宋体"/>
          <w:color w:val="000000" w:themeColor="text1"/>
          <w:szCs w:val="21"/>
          <w:highlight w:val="none"/>
          <w:lang w:val="zh-CN"/>
          <w14:textFill>
            <w14:solidFill>
              <w14:schemeClr w14:val="tx1"/>
            </w14:solidFill>
          </w14:textFill>
        </w:rPr>
        <w:t>。</w:t>
      </w:r>
    </w:p>
    <w:p w14:paraId="477E2F5A">
      <w:pPr>
        <w:autoSpaceDE w:val="0"/>
        <w:autoSpaceDN w:val="0"/>
        <w:adjustRightInd w:val="0"/>
        <w:snapToGrid w:val="0"/>
        <w:spacing w:line="360" w:lineRule="auto"/>
        <w:ind w:left="210" w:leftChars="100" w:firstLine="525" w:firstLineChars="2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招标代理机构将拒收未能提供完整异议书面材料的异议，完整的异议书面材料必须同时包含：异议书（加盖法人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，并注明联系人、联系电话、联系地址）、授权提交异议的法定代表人授权书原件、反映异议人主体资格的营业执照复印件（加盖法人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）、以及合法来源的证据证明材料</w:t>
      </w:r>
      <w:r>
        <w:rPr>
          <w:rFonts w:hint="eastAsia" w:ascii="宋体" w:hAnsi="宋体" w:eastAsia="宋体" w:cs="宋体"/>
          <w:color w:val="000000" w:themeColor="text1"/>
          <w:kern w:val="0"/>
          <w:szCs w:val="21"/>
          <w:highlight w:val="none"/>
          <w:lang w:val="zh-CN"/>
          <w14:textFill>
            <w14:solidFill>
              <w14:schemeClr w14:val="tx1"/>
            </w14:solidFill>
          </w14:textFill>
        </w:rPr>
        <w:t>。</w:t>
      </w:r>
    </w:p>
    <w:p w14:paraId="4EEB70A7">
      <w:pPr>
        <w:autoSpaceDE w:val="0"/>
        <w:autoSpaceDN w:val="0"/>
        <w:adjustRightInd w:val="0"/>
        <w:spacing w:line="360" w:lineRule="auto"/>
        <w:ind w:left="284" w:hanging="568"/>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 xml:space="preserve">29.2 </w:t>
      </w:r>
      <w:r>
        <w:rPr>
          <w:rFonts w:hint="eastAsia" w:ascii="宋体" w:hAnsi="宋体" w:eastAsia="宋体" w:cs="Times New Roman"/>
          <w:b/>
          <w:color w:val="000000" w:themeColor="text1"/>
          <w:szCs w:val="21"/>
          <w:highlight w:val="none"/>
          <w:lang w:val="zh-CN"/>
          <w14:textFill>
            <w14:solidFill>
              <w14:schemeClr w14:val="tx1"/>
            </w14:solidFill>
          </w14:textFill>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000000" w:themeColor="text1"/>
          <w:szCs w:val="21"/>
          <w:highlight w:val="none"/>
          <w:lang w:val="zh-CN"/>
          <w14:textFill>
            <w14:solidFill>
              <w14:schemeClr w14:val="tx1"/>
            </w14:solidFill>
          </w14:textFill>
        </w:rPr>
        <w:t>移交司法机关处理</w:t>
      </w:r>
      <w:r>
        <w:rPr>
          <w:rFonts w:hint="eastAsia" w:ascii="宋体" w:hAnsi="宋体" w:eastAsia="宋体" w:cs="Times New Roman"/>
          <w:b/>
          <w:color w:val="000000" w:themeColor="text1"/>
          <w:szCs w:val="21"/>
          <w:highlight w:val="none"/>
          <w:lang w:val="zh-CN"/>
          <w14:textFill>
            <w14:solidFill>
              <w14:schemeClr w14:val="tx1"/>
            </w14:solidFill>
          </w14:textFill>
        </w:rPr>
        <w:t>。</w:t>
      </w:r>
    </w:p>
    <w:p w14:paraId="394D9228">
      <w:pPr>
        <w:autoSpaceDE w:val="0"/>
        <w:autoSpaceDN w:val="0"/>
        <w:adjustRightInd w:val="0"/>
        <w:snapToGrid w:val="0"/>
        <w:spacing w:line="360" w:lineRule="auto"/>
        <w:ind w:left="246" w:leftChars="117" w:firstLine="422" w:firstLineChars="200"/>
        <w:jc w:val="left"/>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000000" w:themeColor="text1"/>
          <w:kern w:val="0"/>
          <w:szCs w:val="21"/>
          <w:highlight w:val="none"/>
          <w14:textFill>
            <w14:solidFill>
              <w14:schemeClr w14:val="tx1"/>
            </w14:solidFill>
          </w14:textFill>
        </w:rPr>
        <w:t>第一中标候选人未能在招标人（或其委托的招标代理机构</w:t>
      </w:r>
      <w:r>
        <w:rPr>
          <w:rFonts w:ascii="宋体" w:hAnsi="宋体" w:eastAsia="宋体" w:cs="Times New Roman"/>
          <w:b/>
          <w:color w:val="000000" w:themeColor="text1"/>
          <w:kern w:val="0"/>
          <w:szCs w:val="21"/>
          <w:highlight w:val="none"/>
          <w14:textFill>
            <w14:solidFill>
              <w14:schemeClr w14:val="tx1"/>
            </w14:solidFill>
          </w14:textFill>
        </w:rPr>
        <w:t>) 书面要求的时间(一般不少于三个工作日) 内提供完整的材料原件进行核查的</w:t>
      </w:r>
      <w:r>
        <w:rPr>
          <w:rFonts w:hint="eastAsia" w:ascii="宋体" w:hAnsi="宋体" w:eastAsia="宋体" w:cs="Times New Roman"/>
          <w:b/>
          <w:color w:val="000000" w:themeColor="text1"/>
          <w:szCs w:val="21"/>
          <w:highlight w:val="none"/>
          <w:lang w:val="zh-CN"/>
          <w14:textFill>
            <w14:solidFill>
              <w14:schemeClr w14:val="tx1"/>
            </w14:solidFill>
          </w14:textFill>
        </w:rPr>
        <w:t>，视为其无法提供真实的资料，招标人有权取消其中标候选人资格。</w:t>
      </w:r>
    </w:p>
    <w:p w14:paraId="6FECDA0D">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6C761689">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（一）投诉人和被投诉人的姓名或者名称、通讯地址、邮编、联系人及联系电话；</w:t>
      </w:r>
    </w:p>
    <w:p w14:paraId="094B82AE">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（二）异议和异议答复情况说明及相关证明材料；</w:t>
      </w:r>
    </w:p>
    <w:p w14:paraId="30E0F8E5">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（三）具体、明确的投诉事项和与投诉事项相关的投诉请求；</w:t>
      </w:r>
    </w:p>
    <w:p w14:paraId="41B93F0F">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（四）事实依据；</w:t>
      </w:r>
    </w:p>
    <w:p w14:paraId="7AB5026E">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（五）法律依据；</w:t>
      </w:r>
    </w:p>
    <w:p w14:paraId="0D2B29F4">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（六）提起投诉的日期。</w:t>
      </w:r>
    </w:p>
    <w:p w14:paraId="4BF53002">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投诉人为法人或者其他组织的，应当由法定代表人、主要负责人，或者其授权代表签字或者盖章，并加盖公章。</w:t>
      </w:r>
    </w:p>
    <w:p w14:paraId="183FA9AD">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投诉人投诉的事项不得超出已异议事项的范围，但基于异议答复内容提出的投诉事项除外。</w:t>
      </w:r>
    </w:p>
    <w:p w14:paraId="5D5D095E">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监督部门：东莞市水务集团有限公司，联系人：莫先生，联系电话：0769-28823251。</w:t>
      </w:r>
    </w:p>
    <w:p w14:paraId="553D4BD7">
      <w:pPr>
        <w:autoSpaceDE w:val="0"/>
        <w:autoSpaceDN w:val="0"/>
        <w:adjustRightInd w:val="0"/>
        <w:snapToGrid w:val="0"/>
        <w:spacing w:line="360" w:lineRule="auto"/>
        <w:ind w:left="296" w:leftChars="100" w:hanging="86" w:hangingChars="41"/>
        <w:jc w:val="left"/>
        <w:rPr>
          <w:rFonts w:ascii="宋体" w:hAnsi="宋体" w:eastAsia="宋体" w:cs="宋体"/>
          <w:color w:val="000000" w:themeColor="text1"/>
          <w:szCs w:val="21"/>
          <w:highlight w:val="none"/>
          <w:lang w:val="zh-CN"/>
          <w14:textFill>
            <w14:solidFill>
              <w14:schemeClr w14:val="tx1"/>
            </w14:solidFill>
          </w14:textFill>
        </w:rPr>
      </w:pPr>
    </w:p>
    <w:p w14:paraId="2B935824">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000000" w:themeColor="text1"/>
          <w:szCs w:val="21"/>
          <w:highlight w:val="none"/>
          <w:lang w:val="zh-CN"/>
          <w14:textFill>
            <w14:solidFill>
              <w14:schemeClr w14:val="tx1"/>
            </w14:solidFill>
          </w14:textFill>
        </w:rPr>
      </w:pPr>
      <w:bookmarkStart w:id="300" w:name="_Toc465358970"/>
      <w:bookmarkStart w:id="301" w:name="_Toc26138"/>
      <w:bookmarkStart w:id="302" w:name="_Toc11421"/>
      <w:bookmarkStart w:id="303" w:name="_Toc486167695"/>
      <w:bookmarkStart w:id="304" w:name="_Toc466882018"/>
      <w:bookmarkStart w:id="305" w:name="_Toc142508346"/>
      <w:bookmarkStart w:id="306" w:name="_Toc1848_WPSOffice_Level3"/>
      <w:r>
        <w:rPr>
          <w:rFonts w:hint="eastAsia" w:ascii="宋体" w:hAnsi="宋体" w:eastAsia="宋体" w:cs="宋体"/>
          <w:b/>
          <w:color w:val="000000" w:themeColor="text1"/>
          <w:szCs w:val="21"/>
          <w:highlight w:val="none"/>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 xml:space="preserve"> 真实性审查</w:t>
      </w:r>
      <w:bookmarkEnd w:id="300"/>
      <w:bookmarkEnd w:id="301"/>
      <w:bookmarkEnd w:id="302"/>
      <w:bookmarkEnd w:id="303"/>
      <w:bookmarkEnd w:id="304"/>
      <w:bookmarkEnd w:id="305"/>
      <w:bookmarkEnd w:id="306"/>
    </w:p>
    <w:p w14:paraId="4EA9192C">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30.1 在</w:t>
      </w:r>
      <w:r>
        <w:rPr>
          <w:rFonts w:hint="eastAsia" w:ascii="宋体" w:hAnsi="宋体" w:eastAsia="宋体" w:cs="Times New Roman"/>
          <w:b/>
          <w:color w:val="000000" w:themeColor="text1"/>
          <w:kern w:val="0"/>
          <w:szCs w:val="21"/>
          <w:highlight w:val="none"/>
          <w14:textFill>
            <w14:solidFill>
              <w14:schemeClr w14:val="tx1"/>
            </w14:solidFill>
          </w14:textFill>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000000" w:themeColor="text1"/>
          <w:szCs w:val="21"/>
          <w:highlight w:val="none"/>
          <w:lang w:val="zh-CN"/>
          <w14:textFill>
            <w14:solidFill>
              <w14:schemeClr w14:val="tx1"/>
            </w14:solidFill>
          </w14:textFill>
        </w:rPr>
        <w:t>如有需要，投标人有义务提供投标文件外其他相关证明资料原件（包括但不限于业绩合同对应的发票等）供招标人核查。</w:t>
      </w:r>
      <w:r>
        <w:rPr>
          <w:rFonts w:hint="eastAsia" w:ascii="宋体" w:hAnsi="宋体" w:eastAsia="宋体" w:cs="Times New Roman"/>
          <w:b/>
          <w:color w:val="000000" w:themeColor="text1"/>
          <w:kern w:val="0"/>
          <w:szCs w:val="21"/>
          <w:highlight w:val="none"/>
          <w14:textFill>
            <w14:solidFill>
              <w14:schemeClr w14:val="tx1"/>
            </w14:solidFill>
          </w14:textFill>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48377A63">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30.2 投标人</w:t>
      </w:r>
      <w:r>
        <w:rPr>
          <w:rFonts w:hint="eastAsia" w:ascii="宋体" w:hAnsi="宋体" w:eastAsia="宋体" w:cs="Times New Roman"/>
          <w:b/>
          <w:color w:val="000000" w:themeColor="text1"/>
          <w:kern w:val="0"/>
          <w:szCs w:val="21"/>
          <w:highlight w:val="none"/>
          <w14:textFill>
            <w14:solidFill>
              <w14:schemeClr w14:val="tx1"/>
            </w14:solidFill>
          </w14:textFill>
        </w:rPr>
        <w:t>在招标人（或其委托的招标代理机构）、或评标委员会通知其提供</w:t>
      </w:r>
      <w:r>
        <w:rPr>
          <w:rFonts w:hint="eastAsia" w:ascii="宋体" w:hAnsi="宋体" w:eastAsia="宋体" w:cs="Times New Roman"/>
          <w:b/>
          <w:color w:val="000000" w:themeColor="text1"/>
          <w:szCs w:val="21"/>
          <w:highlight w:val="none"/>
          <w:lang w:val="zh-CN"/>
          <w14:textFill>
            <w14:solidFill>
              <w14:schemeClr w14:val="tx1"/>
            </w14:solidFill>
          </w14:textFill>
        </w:rPr>
        <w:t>上述投标文件或投标文件外其他相关（包括但不限于业绩合同对应的发票等）的证明资料原件</w:t>
      </w:r>
      <w:r>
        <w:rPr>
          <w:rFonts w:hint="eastAsia" w:ascii="宋体" w:hAnsi="宋体" w:eastAsia="宋体" w:cs="Times New Roman"/>
          <w:b/>
          <w:color w:val="000000" w:themeColor="text1"/>
          <w:kern w:val="0"/>
          <w:szCs w:val="21"/>
          <w:highlight w:val="none"/>
          <w14:textFill>
            <w14:solidFill>
              <w14:schemeClr w14:val="tx1"/>
            </w14:solidFill>
          </w14:textFill>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135EF3CC">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30.3 若投标人在投标或履约过程中存在提供虚假材料、</w:t>
      </w:r>
      <w:r>
        <w:rPr>
          <w:rFonts w:ascii="宋体" w:hAnsi="宋体" w:eastAsia="宋体" w:cs="宋体"/>
          <w:b/>
          <w:color w:val="000000" w:themeColor="text1"/>
          <w:szCs w:val="21"/>
          <w:highlight w:val="none"/>
          <w14:textFill>
            <w14:solidFill>
              <w14:schemeClr w14:val="tx1"/>
            </w14:solidFill>
          </w14:textFill>
        </w:rPr>
        <w:t>虚假响应</w:t>
      </w:r>
      <w:r>
        <w:rPr>
          <w:rFonts w:hint="eastAsia" w:ascii="宋体" w:hAnsi="宋体" w:eastAsia="宋体" w:cs="宋体"/>
          <w:b/>
          <w:color w:val="000000" w:themeColor="text1"/>
          <w:szCs w:val="21"/>
          <w:highlight w:val="none"/>
          <w14:textFill>
            <w14:solidFill>
              <w14:schemeClr w14:val="tx1"/>
            </w14:solidFill>
          </w14:textFill>
        </w:rPr>
        <w:t>招标</w:t>
      </w:r>
      <w:r>
        <w:rPr>
          <w:rFonts w:ascii="宋体" w:hAnsi="宋体" w:eastAsia="宋体" w:cs="宋体"/>
          <w:b/>
          <w:color w:val="000000" w:themeColor="text1"/>
          <w:szCs w:val="21"/>
          <w:highlight w:val="none"/>
          <w14:textFill>
            <w14:solidFill>
              <w14:schemeClr w14:val="tx1"/>
            </w14:solidFill>
          </w14:textFill>
        </w:rPr>
        <w:t>文件</w:t>
      </w:r>
      <w:r>
        <w:rPr>
          <w:rFonts w:hint="eastAsia" w:ascii="宋体" w:hAnsi="宋体" w:eastAsia="宋体" w:cs="宋体"/>
          <w:b/>
          <w:color w:val="000000" w:themeColor="text1"/>
          <w:szCs w:val="21"/>
          <w:highlight w:val="none"/>
          <w14:textFill>
            <w14:solidFill>
              <w14:schemeClr w14:val="tx1"/>
            </w14:solidFill>
          </w14:textFill>
        </w:rPr>
        <w:t>要求等弄虚作假行为，或未能根据本须知2</w:t>
      </w:r>
      <w:r>
        <w:rPr>
          <w:rFonts w:ascii="宋体" w:hAnsi="宋体" w:eastAsia="宋体" w:cs="宋体"/>
          <w:b/>
          <w:color w:val="000000" w:themeColor="text1"/>
          <w:szCs w:val="21"/>
          <w:highlight w:val="none"/>
          <w14:textFill>
            <w14:solidFill>
              <w14:schemeClr w14:val="tx1"/>
            </w14:solidFill>
          </w14:textFill>
        </w:rPr>
        <w:t>9.2</w:t>
      </w:r>
      <w:r>
        <w:rPr>
          <w:rFonts w:hint="eastAsia" w:ascii="宋体" w:hAnsi="宋体" w:eastAsia="宋体" w:cs="宋体"/>
          <w:b/>
          <w:color w:val="000000" w:themeColor="text1"/>
          <w:szCs w:val="21"/>
          <w:highlight w:val="none"/>
          <w14:textFill>
            <w14:solidFill>
              <w14:schemeClr w14:val="tx1"/>
            </w14:solidFill>
          </w14:textFill>
        </w:rPr>
        <w:t>款约定按时提供原件进行核查的，</w:t>
      </w:r>
      <w:r>
        <w:rPr>
          <w:rFonts w:ascii="宋体" w:hAnsi="宋体" w:eastAsia="宋体" w:cs="宋体"/>
          <w:b/>
          <w:color w:val="000000" w:themeColor="text1"/>
          <w:szCs w:val="21"/>
          <w:highlight w:val="none"/>
          <w14:textFill>
            <w14:solidFill>
              <w14:schemeClr w14:val="tx1"/>
            </w14:solidFill>
          </w14:textFill>
        </w:rPr>
        <w:t>或不按照投标文件承诺履约</w:t>
      </w:r>
      <w:r>
        <w:rPr>
          <w:rFonts w:hint="eastAsia" w:ascii="宋体" w:hAnsi="宋体" w:eastAsia="宋体" w:cs="宋体"/>
          <w:b/>
          <w:color w:val="000000" w:themeColor="text1"/>
          <w:szCs w:val="21"/>
          <w:highlight w:val="none"/>
          <w14:textFill>
            <w14:solidFill>
              <w14:schemeClr w14:val="tx1"/>
            </w14:solidFill>
          </w14:textFill>
        </w:rPr>
        <w:t>或撤回投标或放弃中标资格或</w:t>
      </w:r>
      <w:r>
        <w:rPr>
          <w:rFonts w:ascii="宋体" w:hAnsi="宋体" w:eastAsia="宋体" w:cs="宋体"/>
          <w:b/>
          <w:color w:val="000000" w:themeColor="text1"/>
          <w:szCs w:val="21"/>
          <w:highlight w:val="none"/>
          <w14:textFill>
            <w14:solidFill>
              <w14:schemeClr w14:val="tx1"/>
            </w14:solidFill>
          </w14:textFill>
        </w:rPr>
        <w:t>不按要求与招标人签订合同等影响中标结果的行为</w:t>
      </w:r>
      <w:r>
        <w:rPr>
          <w:rFonts w:hint="eastAsia" w:ascii="宋体" w:hAnsi="宋体" w:eastAsia="宋体" w:cs="宋体"/>
          <w:b/>
          <w:color w:val="000000" w:themeColor="text1"/>
          <w:szCs w:val="21"/>
          <w:highlight w:val="none"/>
          <w14:textFill>
            <w14:solidFill>
              <w14:schemeClr w14:val="tx1"/>
            </w14:solidFill>
          </w14:textFill>
        </w:rPr>
        <w:t>，因此导致投标人无法参与东莞市水务集团有限公司相关招标采购等活动的，由投标人自行承担全部后果。</w:t>
      </w:r>
    </w:p>
    <w:p w14:paraId="3CBB85B1">
      <w:pPr>
        <w:autoSpaceDE w:val="0"/>
        <w:autoSpaceDN w:val="0"/>
        <w:adjustRightInd w:val="0"/>
        <w:snapToGrid w:val="0"/>
        <w:spacing w:line="360" w:lineRule="auto"/>
        <w:jc w:val="left"/>
        <w:rPr>
          <w:rFonts w:ascii="宋体" w:hAnsi="宋体" w:eastAsia="宋体" w:cs="宋体"/>
          <w:color w:val="000000" w:themeColor="text1"/>
          <w:szCs w:val="21"/>
          <w:highlight w:val="none"/>
          <w14:textFill>
            <w14:solidFill>
              <w14:schemeClr w14:val="tx1"/>
            </w14:solidFill>
          </w14:textFill>
        </w:rPr>
      </w:pPr>
      <w:bookmarkStart w:id="307" w:name="_Toc466882019"/>
      <w:bookmarkStart w:id="308" w:name="_Toc465358971"/>
    </w:p>
    <w:p w14:paraId="0104B411">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000000" w:themeColor="text1"/>
          <w:szCs w:val="21"/>
          <w:highlight w:val="none"/>
          <w:lang w:val="zh-CN"/>
          <w14:textFill>
            <w14:solidFill>
              <w14:schemeClr w14:val="tx1"/>
            </w14:solidFill>
          </w14:textFill>
        </w:rPr>
      </w:pPr>
      <w:bookmarkStart w:id="309" w:name="_Toc10671"/>
      <w:bookmarkStart w:id="310" w:name="_Toc486167696"/>
      <w:bookmarkStart w:id="311" w:name="_Toc10867_WPSOffice_Level3"/>
      <w:bookmarkStart w:id="312" w:name="_Toc26035"/>
      <w:bookmarkStart w:id="313" w:name="_Toc142508347"/>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bookmarkEnd w:id="307"/>
      <w:bookmarkEnd w:id="308"/>
      <w:bookmarkEnd w:id="309"/>
      <w:bookmarkEnd w:id="310"/>
      <w:bookmarkEnd w:id="311"/>
      <w:bookmarkEnd w:id="312"/>
      <w:bookmarkEnd w:id="313"/>
    </w:p>
    <w:p w14:paraId="2C7C9EB5">
      <w:pPr>
        <w:autoSpaceDE w:val="0"/>
        <w:autoSpaceDN w:val="0"/>
        <w:adjustRightInd w:val="0"/>
        <w:spacing w:line="360" w:lineRule="auto"/>
        <w:ind w:left="248" w:leftChars="118" w:firstLine="1"/>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在授予合同前的任何时候，招标人仍保留接受或拒绝任何投标，宣布招标程序无效或拒绝所有投标的权利，无需向受影响的投标人承担任何责任。</w:t>
      </w:r>
    </w:p>
    <w:p w14:paraId="43E157E0">
      <w:pPr>
        <w:autoSpaceDE w:val="0"/>
        <w:autoSpaceDN w:val="0"/>
        <w:adjustRightInd w:val="0"/>
        <w:snapToGrid w:val="0"/>
        <w:spacing w:line="360" w:lineRule="auto"/>
        <w:ind w:left="436" w:leftChars="-158" w:hanging="768" w:hangingChars="320"/>
        <w:jc w:val="left"/>
        <w:rPr>
          <w:rFonts w:ascii="宋体" w:hAnsi="宋体" w:eastAsia="宋体" w:cs="宋体"/>
          <w:color w:val="000000" w:themeColor="text1"/>
          <w:kern w:val="44"/>
          <w:sz w:val="24"/>
          <w:szCs w:val="24"/>
          <w:highlight w:val="none"/>
          <w:lang w:val="zh-CN"/>
          <w14:textFill>
            <w14:solidFill>
              <w14:schemeClr w14:val="tx1"/>
            </w14:solidFill>
          </w14:textFill>
        </w:rPr>
      </w:pPr>
      <w:bookmarkStart w:id="314" w:name="_Toc450662880"/>
    </w:p>
    <w:p w14:paraId="36F514B7">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315" w:name="_Toc18316"/>
      <w:bookmarkStart w:id="316" w:name="_Toc140596907"/>
      <w:bookmarkStart w:id="317" w:name="_Toc26380"/>
      <w:bookmarkStart w:id="318" w:name="_Toc16848_WPSOffice_Level2"/>
      <w:bookmarkStart w:id="319" w:name="_Toc486167697"/>
      <w:bookmarkStart w:id="320" w:name="_Toc142508348"/>
      <w:r>
        <w:rPr>
          <w:rFonts w:hint="eastAsia" w:ascii="宋体" w:hAnsi="宋体" w:eastAsia="宋体" w:cs="宋体"/>
          <w:b/>
          <w:bCs/>
          <w:color w:val="000000" w:themeColor="text1"/>
          <w:kern w:val="44"/>
          <w:szCs w:val="21"/>
          <w:highlight w:val="none"/>
          <w:lang w:val="zh-CN"/>
          <w14:textFill>
            <w14:solidFill>
              <w14:schemeClr w14:val="tx1"/>
            </w14:solidFill>
          </w14:textFill>
        </w:rPr>
        <w:t>六、授予合同</w:t>
      </w:r>
      <w:bookmarkEnd w:id="314"/>
      <w:bookmarkEnd w:id="315"/>
      <w:bookmarkEnd w:id="316"/>
      <w:bookmarkEnd w:id="317"/>
      <w:bookmarkEnd w:id="318"/>
      <w:bookmarkEnd w:id="319"/>
      <w:bookmarkEnd w:id="320"/>
    </w:p>
    <w:p w14:paraId="732874A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21" w:name="_Toc450662881"/>
      <w:bookmarkStart w:id="322" w:name="_Toc6401_WPSOffice_Level3"/>
      <w:bookmarkStart w:id="323" w:name="_Toc142508349"/>
      <w:bookmarkStart w:id="324" w:name="_Toc25540"/>
      <w:bookmarkStart w:id="325" w:name="_Toc11498"/>
      <w:bookmarkStart w:id="326" w:name="_Toc486167698"/>
      <w:r>
        <w:rPr>
          <w:rFonts w:hint="eastAsia" w:ascii="宋体" w:hAnsi="宋体" w:eastAsia="宋体" w:cs="宋体"/>
          <w:color w:val="000000" w:themeColor="text1"/>
          <w:szCs w:val="21"/>
          <w:highlight w:val="none"/>
          <w14:textFill>
            <w14:solidFill>
              <w14:schemeClr w14:val="tx1"/>
            </w14:solidFill>
          </w14:textFill>
        </w:rPr>
        <w:t>32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授予合同的准则</w:t>
      </w:r>
      <w:bookmarkEnd w:id="321"/>
      <w:bookmarkEnd w:id="322"/>
      <w:bookmarkEnd w:id="323"/>
      <w:bookmarkEnd w:id="324"/>
      <w:bookmarkEnd w:id="325"/>
      <w:bookmarkEnd w:id="326"/>
    </w:p>
    <w:p w14:paraId="721082D5">
      <w:pPr>
        <w:tabs>
          <w:tab w:val="left" w:pos="645"/>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除第29条、30条</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条规定外，招标人将合同授予其投标文件符合招标文件要求，并且能承诺履行合同，对招标人最为有利的投标人。</w:t>
      </w:r>
    </w:p>
    <w:p w14:paraId="7E7826ED">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32.2 招标人依法</w:t>
      </w:r>
      <w:r>
        <w:rPr>
          <w:rFonts w:hint="eastAsia" w:ascii="宋体" w:hAnsi="宋体" w:eastAsia="宋体" w:cs="宋体"/>
          <w:color w:val="000000" w:themeColor="text1"/>
          <w:kern w:val="0"/>
          <w:szCs w:val="21"/>
          <w:highlight w:val="none"/>
          <w14:textFill>
            <w14:solidFill>
              <w14:schemeClr w14:val="tx1"/>
            </w14:solidFill>
          </w14:textFill>
        </w:rPr>
        <w:t>按照评标报告中推荐的中标候选人顺序</w:t>
      </w:r>
      <w:r>
        <w:rPr>
          <w:rFonts w:hint="eastAsia" w:ascii="宋体" w:hAnsi="宋体" w:eastAsia="宋体" w:cs="宋体"/>
          <w:color w:val="000000" w:themeColor="text1"/>
          <w:szCs w:val="21"/>
          <w:highlight w:val="none"/>
          <w:lang w:val="zh-CN"/>
          <w14:textFill>
            <w14:solidFill>
              <w14:schemeClr w14:val="tx1"/>
            </w14:solidFill>
          </w14:textFill>
        </w:rPr>
        <w:t>确定中标人。</w:t>
      </w:r>
    </w:p>
    <w:p w14:paraId="627A548C">
      <w:pPr>
        <w:autoSpaceDE w:val="0"/>
        <w:autoSpaceDN w:val="0"/>
        <w:adjustRightInd w:val="0"/>
        <w:snapToGrid w:val="0"/>
        <w:spacing w:line="360" w:lineRule="auto"/>
        <w:ind w:left="315" w:leftChars="-100" w:hanging="525" w:hangingChars="25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w:t>
      </w:r>
      <w:r>
        <w:rPr>
          <w:rFonts w:hint="eastAsia" w:ascii="宋体" w:hAnsi="宋体" w:eastAsia="宋体" w:cs="宋体"/>
          <w:color w:val="000000" w:themeColor="text1"/>
          <w:kern w:val="0"/>
          <w:szCs w:val="21"/>
          <w:highlight w:val="none"/>
          <w14:textFill>
            <w14:solidFill>
              <w14:schemeClr w14:val="tx1"/>
            </w14:solidFill>
          </w14:textFill>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000000" w:themeColor="text1"/>
          <w:kern w:val="0"/>
          <w:szCs w:val="21"/>
          <w:highlight w:val="none"/>
          <w14:textFill>
            <w14:solidFill>
              <w14:schemeClr w14:val="tx1"/>
            </w14:solidFill>
          </w14:textFill>
        </w:rPr>
        <w:t>。</w:t>
      </w:r>
    </w:p>
    <w:p w14:paraId="0A0A61D8">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27" w:name="_Toc450662885"/>
    </w:p>
    <w:p w14:paraId="4B584CEC">
      <w:pPr>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28" w:name="_Toc20062"/>
      <w:bookmarkStart w:id="329" w:name="_Toc486167699"/>
      <w:bookmarkStart w:id="330" w:name="_Toc6726_WPSOffice_Level3"/>
      <w:bookmarkStart w:id="331" w:name="_Toc142508350"/>
      <w:bookmarkStart w:id="332" w:name="_Toc24266"/>
      <w:r>
        <w:rPr>
          <w:rFonts w:hint="eastAsia" w:ascii="宋体" w:hAnsi="宋体" w:eastAsia="宋体" w:cs="宋体"/>
          <w:color w:val="000000" w:themeColor="text1"/>
          <w:szCs w:val="21"/>
          <w:highlight w:val="none"/>
          <w:lang w:val="zh-CN"/>
          <w14:textFill>
            <w14:solidFill>
              <w14:schemeClr w14:val="tx1"/>
            </w14:solidFill>
          </w14:textFill>
        </w:rPr>
        <w:t>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中标通知</w:t>
      </w:r>
      <w:bookmarkEnd w:id="327"/>
      <w:bookmarkEnd w:id="328"/>
      <w:bookmarkEnd w:id="329"/>
      <w:bookmarkEnd w:id="330"/>
      <w:bookmarkEnd w:id="331"/>
      <w:bookmarkEnd w:id="332"/>
    </w:p>
    <w:p w14:paraId="158BCF15">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33" w:name="_Toc450662886"/>
      <w:r>
        <w:rPr>
          <w:rFonts w:hint="eastAsia" w:ascii="宋体" w:hAnsi="宋体" w:eastAsia="宋体" w:cs="宋体"/>
          <w:color w:val="000000" w:themeColor="text1"/>
          <w:szCs w:val="21"/>
          <w:highlight w:val="none"/>
          <w:lang w:val="zh-CN"/>
          <w14:textFill>
            <w14:solidFill>
              <w14:schemeClr w14:val="tx1"/>
            </w14:solidFill>
          </w14:textFill>
        </w:rPr>
        <w:t>33.1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招标代理机构向中标人发出书面通知，中标通知书是合同的一个组成部分。</w:t>
      </w:r>
    </w:p>
    <w:p w14:paraId="2F9407D6">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招标代理机构向中标人发出书面通知的同时，招标代理机构通知落选的投标人其投标文件未被接受而不提原因。</w:t>
      </w:r>
    </w:p>
    <w:p w14:paraId="5CFD60DA">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14:paraId="7F79694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34" w:name="_Toc32732"/>
      <w:bookmarkStart w:id="335" w:name="_Toc486167700"/>
      <w:bookmarkStart w:id="336" w:name="_Toc2571"/>
      <w:bookmarkStart w:id="337" w:name="_Toc9694_WPSOffice_Level3"/>
      <w:bookmarkStart w:id="338" w:name="_Toc142508351"/>
      <w:r>
        <w:rPr>
          <w:rFonts w:hint="eastAsia" w:ascii="宋体" w:hAnsi="宋体" w:eastAsia="宋体" w:cs="宋体"/>
          <w:color w:val="000000" w:themeColor="text1"/>
          <w:szCs w:val="21"/>
          <w:highlight w:val="none"/>
          <w14:textFill>
            <w14:solidFill>
              <w14:schemeClr w14:val="tx1"/>
            </w14:solidFill>
          </w14:textFill>
        </w:rPr>
        <w:t>34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签署合同</w:t>
      </w:r>
      <w:bookmarkEnd w:id="333"/>
      <w:bookmarkEnd w:id="334"/>
      <w:bookmarkEnd w:id="335"/>
      <w:bookmarkEnd w:id="336"/>
      <w:bookmarkEnd w:id="337"/>
      <w:bookmarkEnd w:id="338"/>
    </w:p>
    <w:p w14:paraId="6FC9B491">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
          <w:color w:val="000000" w:themeColor="text1"/>
          <w:szCs w:val="21"/>
          <w:highlight w:val="none"/>
          <w:u w:val="single"/>
          <w:lang w:val="zh-CN"/>
          <w14:textFill>
            <w14:solidFill>
              <w14:schemeClr w14:val="tx1"/>
            </w14:solidFill>
          </w14:textFill>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000000" w:themeColor="text1"/>
          <w:szCs w:val="21"/>
          <w:highlight w:val="none"/>
          <w:lang w:val="zh-CN"/>
          <w14:textFill>
            <w14:solidFill>
              <w14:schemeClr w14:val="tx1"/>
            </w14:solidFill>
          </w14:textFill>
        </w:rPr>
        <w:t>。</w:t>
      </w:r>
    </w:p>
    <w:p w14:paraId="282119C9">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34.2 在签署合同前，招标人可对中标人投标报价明细及附表内的计算或表达上的错误进行修正，修正原则为：</w:t>
      </w:r>
    </w:p>
    <w:p w14:paraId="18E6F848">
      <w:pPr>
        <w:autoSpaceDE w:val="0"/>
        <w:autoSpaceDN w:val="0"/>
        <w:adjustRightInd w:val="0"/>
        <w:snapToGrid w:val="0"/>
        <w:spacing w:line="360" w:lineRule="auto"/>
        <w:ind w:left="315" w:leftChars="100" w:hanging="105" w:hangingChars="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（1）当以数字表示的金额与以文字表示的金额不一致时，以文字表示的金额为准；</w:t>
      </w:r>
    </w:p>
    <w:p w14:paraId="6FCFA7D6">
      <w:pPr>
        <w:autoSpaceDE w:val="0"/>
        <w:autoSpaceDN w:val="0"/>
        <w:adjustRightInd w:val="0"/>
        <w:snapToGrid w:val="0"/>
        <w:spacing w:line="360" w:lineRule="auto"/>
        <w:ind w:left="315" w:leftChars="100" w:hanging="105" w:hangingChars="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）当开标一览表(投标报价表)内总报价金额与按单价计算的总价不一致的，以总</w:t>
      </w:r>
      <w:r>
        <w:rPr>
          <w:rFonts w:hint="eastAsia" w:ascii="宋体" w:hAnsi="宋体" w:eastAsia="宋体" w:cs="Times New Roman"/>
          <w:color w:val="000000" w:themeColor="text1"/>
          <w:szCs w:val="21"/>
          <w:highlight w:val="none"/>
          <w14:textFill>
            <w14:solidFill>
              <w14:schemeClr w14:val="tx1"/>
            </w14:solidFill>
          </w14:textFill>
        </w:rPr>
        <w:t>报</w:t>
      </w:r>
      <w:r>
        <w:rPr>
          <w:rFonts w:hint="eastAsia" w:ascii="宋体" w:hAnsi="宋体" w:eastAsia="宋体" w:cs="Times New Roman"/>
          <w:color w:val="000000" w:themeColor="text1"/>
          <w:szCs w:val="21"/>
          <w:highlight w:val="none"/>
          <w:lang w:val="zh-CN"/>
          <w14:textFill>
            <w14:solidFill>
              <w14:schemeClr w14:val="tx1"/>
            </w14:solidFill>
          </w14:textFill>
        </w:rPr>
        <w:t>价为准，修正单价金额；</w:t>
      </w:r>
    </w:p>
    <w:p w14:paraId="0C66BA1A">
      <w:pPr>
        <w:autoSpaceDE w:val="0"/>
        <w:autoSpaceDN w:val="0"/>
        <w:adjustRightInd w:val="0"/>
        <w:snapToGrid w:val="0"/>
        <w:spacing w:line="360" w:lineRule="auto"/>
        <w:ind w:left="315" w:leftChars="100" w:hanging="105" w:hangingChars="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lang w:val="zh-CN"/>
          <w14:textFill>
            <w14:solidFill>
              <w14:schemeClr w14:val="tx1"/>
            </w14:solidFill>
          </w14:textFill>
        </w:rPr>
        <w:t>）当分项报价明细表内累计与投标报价表内报价不符时，以投标报价表（开标一览表）为准，修正分项报价明细表内的各分项报价；</w:t>
      </w:r>
    </w:p>
    <w:p w14:paraId="5BFE2693">
      <w:pPr>
        <w:autoSpaceDE w:val="0"/>
        <w:autoSpaceDN w:val="0"/>
        <w:adjustRightInd w:val="0"/>
        <w:snapToGrid w:val="0"/>
        <w:spacing w:line="360" w:lineRule="auto"/>
        <w:ind w:left="315" w:leftChars="100" w:hanging="105" w:hangingChars="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s="Times New Roman"/>
          <w:color w:val="000000" w:themeColor="text1"/>
          <w:szCs w:val="21"/>
          <w:highlight w:val="none"/>
          <w:lang w:val="zh-CN"/>
          <w14:textFill>
            <w14:solidFill>
              <w14:schemeClr w14:val="tx1"/>
            </w14:solidFill>
          </w14:textFill>
        </w:rPr>
        <w:t>）按前述修正原则排序依次进行修正至唯一值后的报价表经双方确认后，作为合同文件的组成部分。</w:t>
      </w:r>
    </w:p>
    <w:p w14:paraId="401AB8E8">
      <w:pPr>
        <w:tabs>
          <w:tab w:val="left" w:pos="360"/>
        </w:tabs>
        <w:autoSpaceDE w:val="0"/>
        <w:autoSpaceDN w:val="0"/>
        <w:adjustRightInd w:val="0"/>
        <w:spacing w:line="360" w:lineRule="auto"/>
        <w:ind w:left="357" w:leftChars="-100" w:hanging="567"/>
        <w:jc w:val="left"/>
        <w:rPr>
          <w:rFonts w:ascii="宋体" w:hAnsi="宋体" w:eastAsia="宋体" w:cs="宋体"/>
          <w:color w:val="000000" w:themeColor="text1"/>
          <w:szCs w:val="21"/>
          <w:highlight w:val="none"/>
          <w14:textFill>
            <w14:solidFill>
              <w14:schemeClr w14:val="tx1"/>
            </w14:solidFill>
          </w14:textFill>
        </w:rPr>
      </w:pPr>
      <w:bookmarkStart w:id="339" w:name="_Toc450662887"/>
      <w:bookmarkStart w:id="340" w:name="_Toc10513_WPSOffice_Level3"/>
      <w:bookmarkStart w:id="341" w:name="_Toc142508352"/>
      <w:bookmarkStart w:id="342" w:name="_Toc486167701"/>
    </w:p>
    <w:p w14:paraId="5C347E83">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43" w:name="_Toc19285"/>
      <w:bookmarkStart w:id="344" w:name="_Toc8873"/>
      <w:r>
        <w:rPr>
          <w:rFonts w:hint="eastAsia" w:ascii="宋体" w:hAnsi="宋体" w:eastAsia="宋体" w:cs="宋体"/>
          <w:color w:val="000000" w:themeColor="text1"/>
          <w:szCs w:val="21"/>
          <w:highlight w:val="none"/>
          <w14:textFill>
            <w14:solidFill>
              <w14:schemeClr w14:val="tx1"/>
            </w14:solidFill>
          </w14:textFill>
        </w:rPr>
        <w:t>35</w:t>
      </w:r>
      <w:r>
        <w:rPr>
          <w:rFonts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履约担保</w:t>
      </w:r>
      <w:bookmarkEnd w:id="339"/>
      <w:bookmarkEnd w:id="340"/>
      <w:bookmarkEnd w:id="341"/>
      <w:bookmarkEnd w:id="342"/>
      <w:bookmarkEnd w:id="343"/>
      <w:bookmarkEnd w:id="344"/>
    </w:p>
    <w:p w14:paraId="64E64672">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000000" w:themeColor="text1"/>
          <w:szCs w:val="21"/>
          <w:highlight w:val="none"/>
          <w:lang w:val="zh-CN"/>
          <w14:textFill>
            <w14:solidFill>
              <w14:schemeClr w14:val="tx1"/>
            </w14:solidFill>
          </w14:textFill>
        </w:rPr>
      </w:pPr>
      <w:bookmarkStart w:id="345" w:name="_Toc466882025"/>
      <w:bookmarkStart w:id="346" w:name="_Toc465358977"/>
      <w:r>
        <w:rPr>
          <w:rFonts w:hint="eastAsia" w:ascii="宋体" w:hAnsi="宋体" w:eastAsia="宋体" w:cs="宋体"/>
          <w:bCs/>
          <w:color w:val="000000" w:themeColor="text1"/>
          <w:szCs w:val="21"/>
          <w:highlight w:val="none"/>
          <w14:textFill>
            <w14:solidFill>
              <w14:schemeClr w14:val="tx1"/>
            </w14:solidFill>
          </w14:textFill>
        </w:rPr>
        <w:t>35</w:t>
      </w:r>
      <w:r>
        <w:rPr>
          <w:rFonts w:hint="eastAsia" w:ascii="宋体" w:hAnsi="宋体" w:eastAsia="宋体" w:cs="宋体"/>
          <w:bCs/>
          <w:color w:val="000000" w:themeColor="text1"/>
          <w:szCs w:val="21"/>
          <w:highlight w:val="none"/>
          <w:lang w:val="zh-CN"/>
          <w14:textFill>
            <w14:solidFill>
              <w14:schemeClr w14:val="tx1"/>
            </w14:solidFill>
          </w14:textFill>
        </w:rPr>
        <w:t>.1</w:t>
      </w:r>
      <w:r>
        <w:rPr>
          <w:rFonts w:hint="eastAsia" w:ascii="宋体" w:hAnsi="宋体" w:eastAsia="宋体" w:cs="宋体"/>
          <w:b/>
          <w:bCs/>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中标人应在签订合同前，按本招标文件规定金额及形式要求，向招标人提交不可撤销银行履约保函（或履约保证金</w:t>
      </w:r>
      <w:r>
        <w:rPr>
          <w:rFonts w:hint="eastAsia" w:ascii="宋体" w:hAnsi="宋体" w:eastAsia="宋体" w:cs="Times New Roman"/>
          <w:b/>
          <w:bCs/>
          <w:color w:val="000000" w:themeColor="text1"/>
          <w:szCs w:val="21"/>
          <w:highlight w:val="none"/>
          <w:u w:val="single"/>
          <w14:textFill>
            <w14:solidFill>
              <w14:schemeClr w14:val="tx1"/>
            </w14:solidFill>
          </w14:textFill>
        </w:rPr>
        <w:t>或履约保证保险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或担保公司履约担保书），作为履约担保（所需费用由中标人自行承担），</w:t>
      </w:r>
      <w:r>
        <w:rPr>
          <w:rFonts w:ascii="宋体" w:hAnsi="宋体" w:eastAsia="宋体" w:cs="Arial"/>
          <w:b/>
          <w:bCs/>
          <w:color w:val="000000" w:themeColor="text1"/>
          <w:kern w:val="0"/>
          <w:szCs w:val="24"/>
          <w:highlight w:val="none"/>
          <w:u w:val="single"/>
          <w14:textFill>
            <w14:solidFill>
              <w14:schemeClr w14:val="tx1"/>
            </w14:solidFill>
          </w14:textFill>
        </w:rPr>
        <w:t>否则招标人可取消中标人的中标资格，</w:t>
      </w:r>
      <w:r>
        <w:rPr>
          <w:rFonts w:hint="eastAsia" w:ascii="宋体" w:hAnsi="宋体" w:eastAsia="宋体" w:cs="Arial"/>
          <w:b/>
          <w:bCs/>
          <w:color w:val="000000" w:themeColor="text1"/>
          <w:kern w:val="0"/>
          <w:szCs w:val="24"/>
          <w:highlight w:val="none"/>
          <w:u w:val="single"/>
          <w14:textFill>
            <w14:solidFill>
              <w14:schemeClr w14:val="tx1"/>
            </w14:solidFill>
          </w14:textFill>
        </w:rPr>
        <w:t>不予退还其投标保证金。</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其中，采用履约保证金（银行转账形式）的金额为暂定总合同价的5%，采用不可撤销银行履约保函形式的金额为暂定总合同价的8%，采用</w:t>
      </w:r>
      <w:r>
        <w:rPr>
          <w:rFonts w:hint="eastAsia" w:ascii="宋体" w:hAnsi="宋体" w:eastAsia="宋体" w:cs="Times New Roman"/>
          <w:b/>
          <w:bCs/>
          <w:color w:val="000000" w:themeColor="text1"/>
          <w:szCs w:val="21"/>
          <w:highlight w:val="none"/>
          <w:u w:val="single"/>
          <w14:textFill>
            <w14:solidFill>
              <w14:schemeClr w14:val="tx1"/>
            </w14:solidFill>
          </w14:textFill>
        </w:rPr>
        <w:t>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形式的金额为暂定总合同价的8%，采用担保公司履约担保书形式的金额为暂定总合同价的</w:t>
      </w:r>
      <w:r>
        <w:rPr>
          <w:rFonts w:ascii="宋体" w:hAnsi="宋体" w:eastAsia="宋体" w:cs="Times New Roman"/>
          <w:b/>
          <w:bCs/>
          <w:color w:val="000000" w:themeColor="text1"/>
          <w:szCs w:val="21"/>
          <w:highlight w:val="none"/>
          <w:u w:val="single"/>
          <w:lang w:val="zh-CN"/>
          <w14:textFill>
            <w14:solidFill>
              <w14:schemeClr w14:val="tx1"/>
            </w14:solidFill>
          </w14:textFill>
        </w:rPr>
        <w:t>10</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w:t>
      </w:r>
      <w:bookmarkStart w:id="347" w:name="OLE_LINK387"/>
      <w:r>
        <w:rPr>
          <w:rFonts w:hint="eastAsia" w:ascii="宋体" w:hAnsi="宋体" w:eastAsia="宋体" w:cs="Times New Roman"/>
          <w:b/>
          <w:bCs/>
          <w:color w:val="000000" w:themeColor="text1"/>
          <w:szCs w:val="21"/>
          <w:highlight w:val="none"/>
          <w:u w:val="single"/>
          <w:lang w:val="zh-CN"/>
          <w14:textFill>
            <w14:solidFill>
              <w14:schemeClr w14:val="tx1"/>
            </w14:solidFill>
          </w14:textFill>
        </w:rPr>
        <w:t>。</w:t>
      </w:r>
      <w:bookmarkEnd w:id="347"/>
      <w:r>
        <w:rPr>
          <w:rFonts w:hint="eastAsia" w:ascii="宋体" w:hAnsi="宋体" w:eastAsia="宋体" w:cs="Arial"/>
          <w:bCs/>
          <w:color w:val="000000" w:themeColor="text1"/>
          <w:kern w:val="0"/>
          <w:szCs w:val="24"/>
          <w:highlight w:val="none"/>
          <w14:textFill>
            <w14:solidFill>
              <w14:schemeClr w14:val="tx1"/>
            </w14:solidFill>
          </w14:textFill>
        </w:rPr>
        <w:t>合同履行过程中，中标人</w:t>
      </w:r>
      <w:r>
        <w:rPr>
          <w:rFonts w:hint="eastAsia" w:ascii="宋体" w:hAnsi="宋体" w:eastAsia="宋体" w:cs="Arial"/>
          <w:color w:val="000000" w:themeColor="text1"/>
          <w:kern w:val="0"/>
          <w:szCs w:val="24"/>
          <w:highlight w:val="none"/>
          <w14:textFill>
            <w14:solidFill>
              <w14:schemeClr w14:val="tx1"/>
            </w14:solidFill>
          </w14:textFill>
        </w:rPr>
        <w:t>给招标人造成的损失超过履约担保数额的，中标人还应当对超过部分予以赔偿，招标人并依法追究中标人的相应责任。</w:t>
      </w:r>
    </w:p>
    <w:p w14:paraId="712981F7">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35.2 </w:t>
      </w:r>
      <w:r>
        <w:rPr>
          <w:rFonts w:hint="eastAsia" w:ascii="宋体" w:hAnsi="宋体" w:eastAsia="宋体" w:cs="Times New Roman"/>
          <w:color w:val="000000" w:themeColor="text1"/>
          <w:kern w:val="0"/>
          <w:szCs w:val="21"/>
          <w:highlight w:val="none"/>
          <w14:textFill>
            <w14:solidFill>
              <w14:schemeClr w14:val="tx1"/>
            </w14:solidFill>
          </w14:textFill>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000000" w:themeColor="text1"/>
          <w:kern w:val="0"/>
          <w:szCs w:val="21"/>
          <w:highlight w:val="none"/>
          <w14:textFill>
            <w14:solidFill>
              <w14:schemeClr w14:val="tx1"/>
            </w14:solidFill>
          </w14:textFill>
        </w:rPr>
        <w:t>：</w:t>
      </w:r>
    </w:p>
    <w:p w14:paraId="606BD8E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Times New Roman"/>
          <w:color w:val="000000" w:themeColor="text1"/>
          <w:kern w:val="0"/>
          <w:szCs w:val="21"/>
          <w:highlight w:val="none"/>
          <w14:textFill>
            <w14:solidFill>
              <w14:schemeClr w14:val="tx1"/>
            </w14:solidFill>
          </w14:textFill>
        </w:rPr>
        <w:t>中标人将合同项下中标人的权利义务全部转让给第三方，或未经招标人书面同意将部分权利义务转让给第三方的，招标人有权没收其履约担保。</w:t>
      </w:r>
    </w:p>
    <w:p w14:paraId="246D705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2）在合同履行期间，中标人</w:t>
      </w:r>
      <w:r>
        <w:rPr>
          <w:rFonts w:hint="eastAsia" w:ascii="宋体" w:hAnsi="宋体" w:eastAsia="宋体" w:cs="Times New Roman"/>
          <w:color w:val="000000" w:themeColor="text1"/>
          <w:kern w:val="0"/>
          <w:szCs w:val="21"/>
          <w:highlight w:val="none"/>
          <w14:textFill>
            <w14:solidFill>
              <w14:schemeClr w14:val="tx1"/>
            </w14:solidFill>
          </w14:textFill>
        </w:rPr>
        <w:t>怠于履行合同义务，经招标人通知或要求承担违约金后仍拒不改正的，招标人可依法没收或适当扣除其履约担保。</w:t>
      </w:r>
    </w:p>
    <w:p w14:paraId="157B593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3）在合同履行期间，因中标人</w:t>
      </w:r>
      <w:r>
        <w:rPr>
          <w:rFonts w:hint="eastAsia" w:ascii="宋体" w:hAnsi="宋体" w:eastAsia="宋体" w:cs="Times New Roman"/>
          <w:color w:val="000000" w:themeColor="text1"/>
          <w:kern w:val="0"/>
          <w:szCs w:val="21"/>
          <w:highlight w:val="none"/>
          <w14:textFill>
            <w14:solidFill>
              <w14:schemeClr w14:val="tx1"/>
            </w14:solidFill>
          </w14:textFill>
        </w:rPr>
        <w:t>货物、运营维护</w:t>
      </w:r>
      <w:r>
        <w:rPr>
          <w:rFonts w:ascii="宋体" w:hAnsi="宋体" w:eastAsia="宋体" w:cs="Times New Roman"/>
          <w:color w:val="000000" w:themeColor="text1"/>
          <w:kern w:val="0"/>
          <w:szCs w:val="21"/>
          <w:highlight w:val="none"/>
          <w14:textFill>
            <w14:solidFill>
              <w14:schemeClr w14:val="tx1"/>
            </w14:solidFill>
          </w14:textFill>
        </w:rPr>
        <w:t>服务质量问题造成损害、侵权损失（包括但不限于招标人经济损失、第三人人身财产损失等）、</w:t>
      </w:r>
      <w:r>
        <w:rPr>
          <w:rFonts w:hint="eastAsia" w:ascii="宋体" w:hAnsi="宋体" w:eastAsia="宋体" w:cs="Times New Roman"/>
          <w:color w:val="000000" w:themeColor="text1"/>
          <w:kern w:val="0"/>
          <w:szCs w:val="21"/>
          <w:highlight w:val="none"/>
          <w14:textFill>
            <w14:solidFill>
              <w14:schemeClr w14:val="tx1"/>
            </w14:solidFill>
          </w14:textFill>
        </w:rPr>
        <w:t>拖欠原材料供应商货款或与其所雇用员工发生劳资纠纷、上访、闹事或其他影响招标人生产经营等情况而其未及时妥善处理的</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招标人有权使用履约担保予以支付或作出相应处理，由此产生的一切法律后果由中标人承担。</w:t>
      </w:r>
    </w:p>
    <w:p w14:paraId="381AD29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4）在合同履行期间，中标人违约产生的违约金、赔偿、罚款或其他应付费用等款项，招标人有权直接从未付款项中直接扣除或启用履约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予以支付。</w:t>
      </w:r>
    </w:p>
    <w:p w14:paraId="780D165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5）合同期内，中标人不能及时完成合同某项义务的，招标人有权提取履约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用于处理该项工作。</w:t>
      </w:r>
    </w:p>
    <w:p w14:paraId="291EBF4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6）其他根据本合同约定或法律规定，招标人可启用履约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的情形。</w:t>
      </w:r>
    </w:p>
    <w:p w14:paraId="1B9CDF23">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35.3  履约担保应符合如下规定：</w:t>
      </w:r>
    </w:p>
    <w:p w14:paraId="6C28FB1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ascii="宋体" w:hAnsi="宋体" w:eastAsia="宋体" w:cs="Times New Roman"/>
          <w:color w:val="000000" w:themeColor="text1"/>
          <w:kern w:val="0"/>
          <w:szCs w:val="21"/>
          <w:highlight w:val="none"/>
          <w14:textFill>
            <w14:solidFill>
              <w14:schemeClr w14:val="tx1"/>
            </w14:solidFill>
          </w14:textFill>
        </w:rPr>
        <w:t>出具履约保函的银行必须是</w:t>
      </w:r>
      <w:r>
        <w:rPr>
          <w:rFonts w:hint="eastAsia" w:ascii="宋体" w:hAnsi="宋体" w:eastAsia="宋体" w:cs="Times New Roman"/>
          <w:color w:val="000000" w:themeColor="text1"/>
          <w:kern w:val="0"/>
          <w:szCs w:val="21"/>
          <w:highlight w:val="none"/>
          <w14:textFill>
            <w14:solidFill>
              <w14:schemeClr w14:val="tx1"/>
            </w14:solidFill>
          </w14:textFill>
        </w:rPr>
        <w:t>境内</w:t>
      </w:r>
      <w:r>
        <w:rPr>
          <w:rFonts w:ascii="宋体" w:hAnsi="宋体" w:eastAsia="宋体" w:cs="Times New Roman"/>
          <w:color w:val="000000" w:themeColor="text1"/>
          <w:kern w:val="0"/>
          <w:szCs w:val="21"/>
          <w:highlight w:val="none"/>
          <w14:textFill>
            <w14:solidFill>
              <w14:schemeClr w14:val="tx1"/>
            </w14:solidFill>
          </w14:textFill>
        </w:rPr>
        <w:t>支行一级以上机构，并经招标人同意，执行本款时所发生的费用由中标人</w:t>
      </w:r>
      <w:r>
        <w:rPr>
          <w:rFonts w:hint="eastAsia" w:ascii="宋体" w:hAnsi="宋体" w:eastAsia="宋体" w:cs="Times New Roman"/>
          <w:color w:val="000000" w:themeColor="text1"/>
          <w:kern w:val="0"/>
          <w:szCs w:val="21"/>
          <w:highlight w:val="none"/>
          <w14:textFill>
            <w14:solidFill>
              <w14:schemeClr w14:val="tx1"/>
            </w14:solidFill>
          </w14:textFill>
        </w:rPr>
        <w:t>承担</w:t>
      </w:r>
      <w:r>
        <w:rPr>
          <w:rFonts w:ascii="宋体" w:hAnsi="宋体" w:eastAsia="宋体" w:cs="Times New Roman"/>
          <w:color w:val="000000" w:themeColor="text1"/>
          <w:kern w:val="0"/>
          <w:szCs w:val="21"/>
          <w:highlight w:val="none"/>
          <w14:textFill>
            <w14:solidFill>
              <w14:schemeClr w14:val="tx1"/>
            </w14:solidFill>
          </w14:textFill>
        </w:rPr>
        <w:t>。</w:t>
      </w:r>
    </w:p>
    <w:p w14:paraId="7B36404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r>
        <w:rPr>
          <w:rFonts w:ascii="宋体" w:hAnsi="宋体" w:eastAsia="宋体" w:cs="Times New Roman"/>
          <w:color w:val="000000" w:themeColor="text1"/>
          <w:kern w:val="0"/>
          <w:szCs w:val="21"/>
          <w:highlight w:val="none"/>
          <w14:textFill>
            <w14:solidFill>
              <w14:schemeClr w14:val="tx1"/>
            </w14:solidFill>
          </w14:textFill>
        </w:rPr>
        <w:t>履约担保格式应采用招标文件中提供的（格式参见第</w:t>
      </w:r>
      <w:r>
        <w:rPr>
          <w:rFonts w:hint="eastAsia" w:ascii="宋体" w:hAnsi="宋体" w:eastAsia="宋体" w:cs="Times New Roman"/>
          <w:color w:val="000000" w:themeColor="text1"/>
          <w:kern w:val="0"/>
          <w:szCs w:val="21"/>
          <w:highlight w:val="none"/>
          <w14:textFill>
            <w14:solidFill>
              <w14:schemeClr w14:val="tx1"/>
            </w14:solidFill>
          </w14:textFill>
        </w:rPr>
        <w:t>五篇</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000000" w:themeColor="text1"/>
          <w:kern w:val="0"/>
          <w:szCs w:val="21"/>
          <w:highlight w:val="none"/>
          <w14:textFill>
            <w14:solidFill>
              <w14:schemeClr w14:val="tx1"/>
            </w14:solidFill>
          </w14:textFill>
        </w:rPr>
        <w:t>如使用其他格式的履约保函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（或履约保证保险或担保公司履约担保书）</w:t>
      </w:r>
      <w:r>
        <w:rPr>
          <w:rFonts w:ascii="宋体" w:hAnsi="宋体" w:eastAsia="宋体" w:cs="Times New Roman"/>
          <w:color w:val="000000" w:themeColor="text1"/>
          <w:kern w:val="0"/>
          <w:szCs w:val="21"/>
          <w:highlight w:val="none"/>
          <w14:textFill>
            <w14:solidFill>
              <w14:schemeClr w14:val="tx1"/>
            </w14:solidFill>
          </w14:textFill>
        </w:rPr>
        <w:t>，须事先经招标人的书面</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6B4BEAC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000000" w:themeColor="text1"/>
          <w:kern w:val="0"/>
          <w:szCs w:val="21"/>
          <w:highlight w:val="none"/>
          <w14:textFill>
            <w14:solidFill>
              <w14:schemeClr w14:val="tx1"/>
            </w14:solidFill>
          </w14:textFill>
        </w:rPr>
        <w:t>。</w:t>
      </w:r>
    </w:p>
    <w:p w14:paraId="5A7AED8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bookmarkStart w:id="348" w:name="OLE_LINK499"/>
      <w:r>
        <w:rPr>
          <w:rFonts w:hint="eastAsia" w:ascii="宋体" w:hAnsi="宋体" w:eastAsia="宋体" w:cs="Times New Roman"/>
          <w:color w:val="000000" w:themeColor="text1"/>
          <w:kern w:val="0"/>
          <w:szCs w:val="21"/>
          <w:highlight w:val="none"/>
          <w14:textFill>
            <w14:solidFill>
              <w14:schemeClr w14:val="tx1"/>
            </w14:solidFill>
          </w14:textFill>
        </w:rPr>
        <w:t>（4）</w:t>
      </w:r>
      <w:r>
        <w:rPr>
          <w:rFonts w:ascii="宋体" w:hAnsi="宋体" w:eastAsia="宋体" w:cs="Times New Roman"/>
          <w:color w:val="000000" w:themeColor="text1"/>
          <w:kern w:val="0"/>
          <w:szCs w:val="21"/>
          <w:highlight w:val="none"/>
          <w14:textFill>
            <w14:solidFill>
              <w14:schemeClr w14:val="tx1"/>
            </w14:solidFill>
          </w14:textFill>
        </w:rPr>
        <w:t>如果</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人提交的履约担保的有效期届满时间先于招标文件、合同文件要求的，</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人应在原提交的履约担保有效期届满前15</w:t>
      </w:r>
      <w:r>
        <w:rPr>
          <w:rFonts w:hint="eastAsia" w:ascii="宋体" w:hAnsi="宋体" w:eastAsia="宋体" w:cs="Times New Roman"/>
          <w:color w:val="000000" w:themeColor="text1"/>
          <w:kern w:val="0"/>
          <w:szCs w:val="21"/>
          <w:highlight w:val="none"/>
          <w14:textFill>
            <w14:solidFill>
              <w14:schemeClr w14:val="tx1"/>
            </w14:solidFill>
          </w14:textFill>
        </w:rPr>
        <w:t>日</w:t>
      </w:r>
      <w:r>
        <w:rPr>
          <w:rFonts w:ascii="宋体" w:hAnsi="宋体" w:eastAsia="宋体" w:cs="Times New Roman"/>
          <w:color w:val="000000" w:themeColor="text1"/>
          <w:kern w:val="0"/>
          <w:szCs w:val="21"/>
          <w:highlight w:val="none"/>
          <w14:textFill>
            <w14:solidFill>
              <w14:schemeClr w14:val="tx1"/>
            </w14:solidFill>
          </w14:textFill>
        </w:rPr>
        <w:t>内，无条件办理</w:t>
      </w:r>
      <w:r>
        <w:rPr>
          <w:rFonts w:hint="eastAsia" w:ascii="宋体" w:hAnsi="宋体" w:eastAsia="宋体" w:cs="Times New Roman"/>
          <w:color w:val="000000" w:themeColor="text1"/>
          <w:kern w:val="0"/>
          <w:szCs w:val="21"/>
          <w:highlight w:val="none"/>
          <w14:textFill>
            <w14:solidFill>
              <w14:schemeClr w14:val="tx1"/>
            </w14:solidFill>
          </w14:textFill>
        </w:rPr>
        <w:t>符合招标人要求的</w:t>
      </w:r>
      <w:r>
        <w:rPr>
          <w:rFonts w:ascii="宋体" w:hAnsi="宋体" w:eastAsia="宋体" w:cs="Times New Roman"/>
          <w:color w:val="000000" w:themeColor="text1"/>
          <w:kern w:val="0"/>
          <w:szCs w:val="21"/>
          <w:highlight w:val="none"/>
          <w14:textFill>
            <w14:solidFill>
              <w14:schemeClr w14:val="tx1"/>
            </w14:solidFill>
          </w14:textFill>
        </w:rPr>
        <w:t>履约担保延期手续，否则视为</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人违约，</w:t>
      </w:r>
      <w:r>
        <w:rPr>
          <w:rFonts w:hint="eastAsia" w:ascii="宋体" w:hAnsi="宋体" w:eastAsia="宋体" w:cs="Times New Roman"/>
          <w:color w:val="000000" w:themeColor="text1"/>
          <w:kern w:val="0"/>
          <w:szCs w:val="21"/>
          <w:highlight w:val="none"/>
          <w14:textFill>
            <w14:solidFill>
              <w14:schemeClr w14:val="tx1"/>
            </w14:solidFill>
          </w14:textFill>
        </w:rPr>
        <w:t>招标</w:t>
      </w:r>
      <w:r>
        <w:rPr>
          <w:rFonts w:ascii="宋体" w:hAnsi="宋体" w:eastAsia="宋体" w:cs="Times New Roman"/>
          <w:color w:val="000000" w:themeColor="text1"/>
          <w:kern w:val="0"/>
          <w:szCs w:val="21"/>
          <w:highlight w:val="none"/>
          <w14:textFill>
            <w14:solidFill>
              <w14:schemeClr w14:val="tx1"/>
            </w14:solidFill>
          </w14:textFill>
        </w:rPr>
        <w:t>人有权</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在不可撤销银行履约保函或履约保证保险或担保公司履约担保书到期前</w:t>
      </w:r>
      <w:r>
        <w:rPr>
          <w:rFonts w:ascii="宋体" w:hAnsi="宋体" w:eastAsia="宋体" w:cs="Times New Roman"/>
          <w:color w:val="000000" w:themeColor="text1"/>
          <w:kern w:val="0"/>
          <w:szCs w:val="21"/>
          <w:highlight w:val="none"/>
          <w14:textFill>
            <w14:solidFill>
              <w14:schemeClr w14:val="tx1"/>
            </w14:solidFill>
          </w14:textFill>
        </w:rPr>
        <w:t>向出具履约</w:t>
      </w:r>
      <w:r>
        <w:rPr>
          <w:rFonts w:hint="eastAsia" w:ascii="宋体" w:hAnsi="宋体" w:eastAsia="宋体" w:cs="Times New Roman"/>
          <w:color w:val="000000" w:themeColor="text1"/>
          <w:kern w:val="0"/>
          <w:szCs w:val="21"/>
          <w:highlight w:val="none"/>
          <w14:textFill>
            <w14:solidFill>
              <w14:schemeClr w14:val="tx1"/>
            </w14:solidFill>
          </w14:textFill>
        </w:rPr>
        <w:t>担保的机构</w:t>
      </w:r>
      <w:r>
        <w:rPr>
          <w:rFonts w:ascii="宋体" w:hAnsi="宋体" w:eastAsia="宋体" w:cs="Times New Roman"/>
          <w:color w:val="000000" w:themeColor="text1"/>
          <w:kern w:val="0"/>
          <w:szCs w:val="21"/>
          <w:highlight w:val="none"/>
          <w14:textFill>
            <w14:solidFill>
              <w14:schemeClr w14:val="tx1"/>
            </w14:solidFill>
          </w14:textFill>
        </w:rPr>
        <w:t>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金。</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在不可撤销银行履约保函（或履约保证保险或担保公司履约担保书）到期后中标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未按招标人要求重新提供的，招标人有权要求中标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以履约担保金额为限承担违约金，违约金可直接从未付采购合同费用中扣除</w:t>
      </w:r>
      <w:r>
        <w:rPr>
          <w:rFonts w:ascii="宋体" w:hAnsi="宋体" w:eastAsia="宋体" w:cs="Times New Roman"/>
          <w:color w:val="000000" w:themeColor="text1"/>
          <w:kern w:val="0"/>
          <w:szCs w:val="21"/>
          <w:highlight w:val="none"/>
          <w14:textFill>
            <w14:solidFill>
              <w14:schemeClr w14:val="tx1"/>
            </w14:solidFill>
          </w14:textFill>
        </w:rPr>
        <w:t>。</w:t>
      </w:r>
    </w:p>
    <w:bookmarkEnd w:id="348"/>
    <w:p w14:paraId="38F6F2B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）在合同履行过程中，不论何种原因导致履约担保金数额不符合招标文件要求的，中标人应当在</w:t>
      </w:r>
      <w:r>
        <w:rPr>
          <w:rFonts w:ascii="宋体" w:hAnsi="宋体" w:eastAsia="宋体" w:cs="Times New Roman"/>
          <w:color w:val="000000" w:themeColor="text1"/>
          <w:kern w:val="0"/>
          <w:szCs w:val="21"/>
          <w:highlight w:val="none"/>
          <w14:textFill>
            <w14:solidFill>
              <w14:schemeClr w14:val="tx1"/>
            </w14:solidFill>
          </w14:textFill>
        </w:rPr>
        <w:t>5日内予以补足。逾期不予补足的，</w:t>
      </w:r>
      <w:r>
        <w:rPr>
          <w:rFonts w:hint="eastAsia" w:ascii="宋体" w:hAnsi="宋体" w:eastAsia="宋体" w:cs="Times New Roman"/>
          <w:color w:val="000000" w:themeColor="text1"/>
          <w:kern w:val="0"/>
          <w:szCs w:val="21"/>
          <w:highlight w:val="none"/>
          <w14:textFill>
            <w14:solidFill>
              <w14:schemeClr w14:val="tx1"/>
            </w14:solidFill>
          </w14:textFill>
        </w:rPr>
        <w:t>招标人有权按需补足的金额要求中标人承担违约金，并要求限期补足。如中标人仍不补足的，招标人有权单方解除合同，违约金可直接从未付合同款或履约担保中扣除。</w:t>
      </w:r>
    </w:p>
    <w:p w14:paraId="74C92EF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（6）不</w:t>
      </w:r>
      <w:r>
        <w:rPr>
          <w:rFonts w:hint="eastAsia" w:ascii="宋体" w:hAnsi="宋体" w:eastAsia="宋体" w:cs="Times New Roman"/>
          <w:color w:val="000000" w:themeColor="text1"/>
          <w:kern w:val="0"/>
          <w:szCs w:val="21"/>
          <w:highlight w:val="none"/>
          <w14:textFill>
            <w14:solidFill>
              <w14:schemeClr w14:val="tx1"/>
            </w14:solidFill>
          </w14:textFill>
        </w:rPr>
        <w:t>可撤销银行履约保函（或履约保证保险或担保公司履约担保书）应</w:t>
      </w:r>
      <w:bookmarkStart w:id="349" w:name="OLE_LINK441"/>
      <w:r>
        <w:rPr>
          <w:rFonts w:hint="eastAsia" w:ascii="宋体" w:hAnsi="宋体" w:eastAsia="宋体" w:cs="Times New Roman"/>
          <w:color w:val="000000" w:themeColor="text1"/>
          <w:kern w:val="0"/>
          <w:szCs w:val="21"/>
          <w:highlight w:val="none"/>
          <w14:textFill>
            <w14:solidFill>
              <w14:schemeClr w14:val="tx1"/>
            </w14:solidFill>
          </w14:textFill>
        </w:rPr>
        <w:t>从合同签订之日起至</w:t>
      </w:r>
      <w:bookmarkEnd w:id="349"/>
      <w:bookmarkStart w:id="350" w:name="OLE_LINK440"/>
      <w:bookmarkStart w:id="351" w:name="OLE_LINK442"/>
      <w:r>
        <w:rPr>
          <w:rFonts w:hint="eastAsia" w:ascii="宋体" w:hAnsi="宋体" w:eastAsia="宋体" w:cs="Times New Roman"/>
          <w:color w:val="000000" w:themeColor="text1"/>
          <w:kern w:val="0"/>
          <w:szCs w:val="21"/>
          <w:highlight w:val="none"/>
          <w14:textFill>
            <w14:solidFill>
              <w14:schemeClr w14:val="tx1"/>
            </w14:solidFill>
          </w14:textFill>
        </w:rPr>
        <w:t>依法完成本项目的所有合同义务</w:t>
      </w:r>
      <w:bookmarkEnd w:id="350"/>
      <w:bookmarkEnd w:id="351"/>
      <w:r>
        <w:rPr>
          <w:rFonts w:hint="eastAsia" w:ascii="宋体" w:hAnsi="宋体" w:eastAsia="宋体" w:cs="Times New Roman"/>
          <w:color w:val="000000" w:themeColor="text1"/>
          <w:kern w:val="0"/>
          <w:szCs w:val="21"/>
          <w:highlight w:val="none"/>
          <w14:textFill>
            <w14:solidFill>
              <w14:schemeClr w14:val="tx1"/>
            </w14:solidFill>
          </w14:textFill>
        </w:rPr>
        <w:t>且双方结算完毕后二十八（28）日内</w:t>
      </w:r>
      <w:r>
        <w:rPr>
          <w:rFonts w:ascii="宋体" w:hAnsi="宋体" w:eastAsia="宋体" w:cs="Times New Roman"/>
          <w:color w:val="000000" w:themeColor="text1"/>
          <w:kern w:val="0"/>
          <w:szCs w:val="21"/>
          <w:highlight w:val="none"/>
          <w14:textFill>
            <w14:solidFill>
              <w14:schemeClr w14:val="tx1"/>
            </w14:solidFill>
          </w14:textFill>
        </w:rPr>
        <w:t>保持有效</w:t>
      </w:r>
      <w:r>
        <w:rPr>
          <w:rFonts w:hint="eastAsia" w:ascii="宋体" w:hAnsi="宋体" w:eastAsia="宋体" w:cs="宋体"/>
          <w:color w:val="000000" w:themeColor="text1"/>
          <w:kern w:val="0"/>
          <w:szCs w:val="21"/>
          <w:highlight w:val="none"/>
          <w14:textFill>
            <w14:solidFill>
              <w14:schemeClr w14:val="tx1"/>
            </w14:solidFill>
          </w14:textFill>
        </w:rPr>
        <w:t>。</w:t>
      </w:r>
    </w:p>
    <w:p w14:paraId="651AA7B1">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35.4  履约保证金应用本合同货币。</w:t>
      </w:r>
    </w:p>
    <w:p w14:paraId="4AA030E7">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35.5  中标人</w:t>
      </w:r>
      <w:r>
        <w:rPr>
          <w:rFonts w:ascii="宋体" w:hAnsi="宋体" w:eastAsia="宋体" w:cs="Times New Roman"/>
          <w:color w:val="000000" w:themeColor="text1"/>
          <w:kern w:val="0"/>
          <w:szCs w:val="21"/>
          <w:highlight w:val="none"/>
          <w14:textFill>
            <w14:solidFill>
              <w14:schemeClr w14:val="tx1"/>
            </w14:solidFill>
          </w14:textFill>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人的法人书面授权，不接受由私人账户和其它单位转入的保证金</w:t>
      </w:r>
      <w:r>
        <w:rPr>
          <w:rFonts w:hint="eastAsia" w:ascii="宋体" w:hAnsi="宋体" w:eastAsia="宋体" w:cs="Times New Roman"/>
          <w:color w:val="000000" w:themeColor="text1"/>
          <w:kern w:val="0"/>
          <w:szCs w:val="21"/>
          <w:highlight w:val="none"/>
          <w14:textFill>
            <w14:solidFill>
              <w14:schemeClr w14:val="tx1"/>
            </w14:solidFill>
          </w14:textFill>
        </w:rPr>
        <w:t>，也不接受现金形式提交</w:t>
      </w:r>
      <w:r>
        <w:rPr>
          <w:rFonts w:ascii="宋体" w:hAnsi="宋体" w:eastAsia="宋体" w:cs="Times New Roman"/>
          <w:color w:val="000000" w:themeColor="text1"/>
          <w:kern w:val="0"/>
          <w:szCs w:val="21"/>
          <w:highlight w:val="none"/>
          <w14:textFill>
            <w14:solidFill>
              <w14:schemeClr w14:val="tx1"/>
            </w14:solidFill>
          </w14:textFill>
        </w:rPr>
        <w:t>。履约保证金应以存入招标人指定的</w:t>
      </w:r>
      <w:r>
        <w:rPr>
          <w:rFonts w:hint="eastAsia" w:ascii="宋体" w:hAnsi="宋体" w:eastAsia="宋体" w:cs="Times New Roman"/>
          <w:color w:val="000000" w:themeColor="text1"/>
          <w:kern w:val="0"/>
          <w:szCs w:val="21"/>
          <w:highlight w:val="none"/>
          <w14:textFill>
            <w14:solidFill>
              <w14:schemeClr w14:val="tx1"/>
            </w14:solidFill>
          </w14:textFill>
        </w:rPr>
        <w:t>以下</w:t>
      </w:r>
      <w:r>
        <w:rPr>
          <w:rFonts w:ascii="宋体" w:hAnsi="宋体" w:eastAsia="宋体" w:cs="Times New Roman"/>
          <w:color w:val="000000" w:themeColor="text1"/>
          <w:kern w:val="0"/>
          <w:szCs w:val="21"/>
          <w:highlight w:val="none"/>
          <w14:textFill>
            <w14:solidFill>
              <w14:schemeClr w14:val="tx1"/>
            </w14:solidFill>
          </w14:textFill>
        </w:rPr>
        <w:t>银行账户为准</w:t>
      </w:r>
      <w:r>
        <w:rPr>
          <w:rFonts w:hint="eastAsia" w:ascii="宋体" w:hAnsi="宋体" w:eastAsia="宋体" w:cs="宋体"/>
          <w:color w:val="000000" w:themeColor="text1"/>
          <w:kern w:val="0"/>
          <w:szCs w:val="21"/>
          <w:highlight w:val="none"/>
          <w14:textFill>
            <w14:solidFill>
              <w14:schemeClr w14:val="tx1"/>
            </w14:solidFill>
          </w14:textFill>
        </w:rPr>
        <w:t>。</w:t>
      </w:r>
    </w:p>
    <w:p w14:paraId="7E80F491">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履约保证金账户：</w:t>
      </w:r>
      <w:r>
        <w:rPr>
          <w:rFonts w:hint="eastAsia" w:ascii="宋体" w:hAnsi="宋体" w:eastAsia="宋体" w:cs="宋体"/>
          <w:b/>
          <w:color w:val="000000" w:themeColor="text1"/>
          <w:kern w:val="0"/>
          <w:szCs w:val="21"/>
          <w:highlight w:val="none"/>
          <w:u w:val="single"/>
          <w14:textFill>
            <w14:solidFill>
              <w14:schemeClr w14:val="tx1"/>
            </w14:solidFill>
          </w14:textFill>
        </w:rPr>
        <w:t>（特别提醒，本账户非投标保证金账户）</w:t>
      </w:r>
    </w:p>
    <w:p w14:paraId="34335909">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开户名称：</w:t>
      </w:r>
      <w:bookmarkStart w:id="352" w:name="OLE_LINK390"/>
      <w:bookmarkStart w:id="353" w:name="OLE_LINK391"/>
      <w:r>
        <w:rPr>
          <w:rFonts w:hint="eastAsia" w:ascii="宋体" w:hAnsi="宋体" w:eastAsia="宋体" w:cs="Times New Roman"/>
          <w:b/>
          <w:color w:val="000000" w:themeColor="text1"/>
          <w:kern w:val="0"/>
          <w:szCs w:val="21"/>
          <w:highlight w:val="none"/>
          <w14:textFill>
            <w14:solidFill>
              <w14:schemeClr w14:val="tx1"/>
            </w14:solidFill>
          </w14:textFill>
        </w:rPr>
        <w:t>东莞市水务集团科技发展有限公司</w:t>
      </w:r>
      <w:bookmarkEnd w:id="352"/>
    </w:p>
    <w:bookmarkEnd w:id="353"/>
    <w:p w14:paraId="30EB7993">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银行账号：</w:t>
      </w:r>
      <w:bookmarkStart w:id="354" w:name="OLE_LINK392"/>
      <w:r>
        <w:rPr>
          <w:rFonts w:hint="eastAsia" w:ascii="宋体" w:hAnsi="宋体" w:eastAsia="宋体" w:cs="Times New Roman"/>
          <w:b/>
          <w:color w:val="000000" w:themeColor="text1"/>
          <w:kern w:val="0"/>
          <w:szCs w:val="21"/>
          <w:highlight w:val="none"/>
          <w14:textFill>
            <w14:solidFill>
              <w14:schemeClr w14:val="tx1"/>
            </w14:solidFill>
          </w14:textFill>
        </w:rPr>
        <w:t>2010021309200593250</w:t>
      </w:r>
    </w:p>
    <w:bookmarkEnd w:id="354"/>
    <w:p w14:paraId="54A3C4EF">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开户银行：</w:t>
      </w:r>
      <w:bookmarkStart w:id="355" w:name="OLE_LINK393"/>
      <w:r>
        <w:rPr>
          <w:rFonts w:hint="eastAsia" w:ascii="宋体" w:hAnsi="宋体" w:eastAsia="宋体" w:cs="Times New Roman"/>
          <w:b/>
          <w:color w:val="000000" w:themeColor="text1"/>
          <w:kern w:val="0"/>
          <w:szCs w:val="21"/>
          <w:highlight w:val="none"/>
          <w14:textFill>
            <w14:solidFill>
              <w14:schemeClr w14:val="tx1"/>
            </w14:solidFill>
          </w14:textFill>
        </w:rPr>
        <w:t>中国工商银行东莞分行</w:t>
      </w:r>
      <w:bookmarkEnd w:id="355"/>
    </w:p>
    <w:p w14:paraId="29C6D812">
      <w:pPr>
        <w:autoSpaceDE w:val="0"/>
        <w:autoSpaceDN w:val="0"/>
        <w:adjustRightInd w:val="0"/>
        <w:spacing w:line="360" w:lineRule="auto"/>
        <w:ind w:left="420" w:leftChars="-100" w:hanging="630" w:hangingChars="3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35.6</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单位提交了履约担保后，当履约保证金转达招标人履约保证金账户后，</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人将履约保证金的汇款凭证用A4纸复印件（</w:t>
      </w:r>
      <w:r>
        <w:rPr>
          <w:rFonts w:hint="eastAsia" w:ascii="宋体" w:hAnsi="宋体" w:eastAsia="宋体" w:cs="Times New Roman"/>
          <w:bCs/>
          <w:color w:val="000000" w:themeColor="text1"/>
          <w:kern w:val="0"/>
          <w:szCs w:val="24"/>
          <w:highlight w:val="none"/>
          <w14:textFill>
            <w14:solidFill>
              <w14:schemeClr w14:val="tx1"/>
            </w14:solidFill>
          </w14:textFill>
        </w:rPr>
        <w:t>注明</w:t>
      </w:r>
      <w:r>
        <w:rPr>
          <w:rFonts w:hint="eastAsia" w:ascii="宋体" w:hAnsi="宋体" w:eastAsia="宋体" w:cs="Times New Roman"/>
          <w:bCs/>
          <w:color w:val="000000" w:themeColor="text1"/>
          <w:szCs w:val="21"/>
          <w:highlight w:val="none"/>
          <w:lang w:val="zh-CN"/>
          <w14:textFill>
            <w14:solidFill>
              <w14:schemeClr w14:val="tx1"/>
            </w14:solidFill>
          </w14:textFill>
        </w:rPr>
        <w:t>招标</w:t>
      </w:r>
      <w:r>
        <w:rPr>
          <w:rFonts w:hint="eastAsia" w:ascii="宋体" w:hAnsi="宋体" w:eastAsia="宋体" w:cs="Times New Roman"/>
          <w:bCs/>
          <w:color w:val="000000" w:themeColor="text1"/>
          <w:kern w:val="0"/>
          <w:szCs w:val="24"/>
          <w:highlight w:val="none"/>
          <w14:textFill>
            <w14:solidFill>
              <w14:schemeClr w14:val="tx1"/>
            </w14:solidFill>
          </w14:textFill>
        </w:rPr>
        <w:t>编号</w:t>
      </w:r>
      <w:r>
        <w:rPr>
          <w:rFonts w:hint="eastAsia" w:ascii="宋体" w:hAnsi="宋体" w:eastAsia="宋体" w:cs="Times New Roman"/>
          <w:color w:val="000000" w:themeColor="text1"/>
          <w:kern w:val="0"/>
          <w:szCs w:val="24"/>
          <w:highlight w:val="none"/>
          <w14:textFill>
            <w14:solidFill>
              <w14:schemeClr w14:val="tx1"/>
            </w14:solidFill>
          </w14:textFill>
        </w:rPr>
        <w:t>）一式二份并加盖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人的公章送招标代理机构，[或当中标人采取不可撤销银行履约保函（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或担保公司履约担保书）的方式缴纳履约担保时，中标人将不可撤销银行履约保函（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或担保公司履约担保书）原件</w:t>
      </w:r>
      <w:r>
        <w:rPr>
          <w:rFonts w:hint="eastAsia" w:ascii="宋体" w:hAnsi="宋体" w:eastAsia="宋体" w:cs="Times New Roman"/>
          <w:color w:val="000000" w:themeColor="text1"/>
          <w:szCs w:val="21"/>
          <w:highlight w:val="none"/>
          <w:lang w:val="zh-CN"/>
          <w14:textFill>
            <w14:solidFill>
              <w14:schemeClr w14:val="tx1"/>
            </w14:solidFill>
          </w14:textFill>
        </w:rPr>
        <w:t>交给招标人，由招标人在</w:t>
      </w:r>
      <w:r>
        <w:rPr>
          <w:rFonts w:hint="eastAsia" w:ascii="宋体" w:hAnsi="宋体" w:eastAsia="宋体" w:cs="Times New Roman"/>
          <w:color w:val="000000" w:themeColor="text1"/>
          <w:kern w:val="0"/>
          <w:szCs w:val="24"/>
          <w:highlight w:val="none"/>
          <w14:textFill>
            <w14:solidFill>
              <w14:schemeClr w14:val="tx1"/>
            </w14:solidFill>
          </w14:textFill>
        </w:rPr>
        <w:t>履约保函一式两份复印件上</w:t>
      </w:r>
      <w:r>
        <w:rPr>
          <w:rFonts w:hint="eastAsia" w:ascii="宋体" w:hAnsi="宋体" w:eastAsia="宋体" w:cs="Times New Roman"/>
          <w:color w:val="000000" w:themeColor="text1"/>
          <w:szCs w:val="21"/>
          <w:highlight w:val="none"/>
          <w:lang w:val="zh-CN"/>
          <w14:textFill>
            <w14:solidFill>
              <w14:schemeClr w14:val="tx1"/>
            </w14:solidFill>
          </w14:textFill>
        </w:rPr>
        <w:t>注明“原件已收”及签收人、日期后，中标人在每份复印件上</w:t>
      </w:r>
      <w:r>
        <w:rPr>
          <w:rFonts w:hint="eastAsia" w:ascii="宋体" w:hAnsi="宋体" w:eastAsia="宋体" w:cs="Times New Roman"/>
          <w:color w:val="000000" w:themeColor="text1"/>
          <w:kern w:val="0"/>
          <w:szCs w:val="24"/>
          <w:highlight w:val="none"/>
          <w14:textFill>
            <w14:solidFill>
              <w14:schemeClr w14:val="tx1"/>
            </w14:solidFill>
          </w14:textFill>
        </w:rPr>
        <w:t>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w:t>
      </w:r>
      <w:r>
        <w:rPr>
          <w:rFonts w:hint="eastAsia" w:ascii="宋体" w:hAnsi="宋体" w:eastAsia="宋体" w:cs="宋体"/>
          <w:color w:val="000000" w:themeColor="text1"/>
          <w:kern w:val="0"/>
          <w:szCs w:val="21"/>
          <w:highlight w:val="none"/>
          <w14:textFill>
            <w14:solidFill>
              <w14:schemeClr w14:val="tx1"/>
            </w14:solidFill>
          </w14:textFill>
        </w:rPr>
        <w:t>。</w:t>
      </w:r>
    </w:p>
    <w:p w14:paraId="4C5BFCC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4"/>
          <w:highlight w:val="none"/>
          <w14:textFill>
            <w14:solidFill>
              <w14:schemeClr w14:val="tx1"/>
            </w14:solidFill>
          </w14:textFill>
        </w:rPr>
      </w:pPr>
      <w:r>
        <w:rPr>
          <w:rFonts w:hint="eastAsia" w:ascii="宋体" w:hAnsi="宋体" w:eastAsia="宋体" w:cs="Times New Roman"/>
          <w:color w:val="000000" w:themeColor="text1"/>
          <w:kern w:val="0"/>
          <w:szCs w:val="24"/>
          <w:highlight w:val="none"/>
          <w14:textFill>
            <w14:solidFill>
              <w14:schemeClr w14:val="tx1"/>
            </w14:solidFill>
          </w14:textFill>
        </w:rPr>
        <w:t>35.7</w:t>
      </w:r>
      <w:r>
        <w:rPr>
          <w:rFonts w:ascii="宋体" w:hAnsi="宋体" w:eastAsia="宋体" w:cs="Times New Roman"/>
          <w:color w:val="000000" w:themeColor="text1"/>
          <w:kern w:val="0"/>
          <w:szCs w:val="24"/>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中标人以履约保证金（银行转账形式）提供履约担保的，在</w:t>
      </w:r>
      <w:bookmarkStart w:id="356" w:name="OLE_LINK13"/>
      <w:r>
        <w:rPr>
          <w:rFonts w:hint="eastAsia" w:ascii="宋体" w:hAnsi="宋体" w:eastAsia="宋体" w:cs="宋体"/>
          <w:color w:val="000000" w:themeColor="text1"/>
          <w:kern w:val="0"/>
          <w:szCs w:val="21"/>
          <w:highlight w:val="none"/>
          <w14:textFill>
            <w14:solidFill>
              <w14:schemeClr w14:val="tx1"/>
            </w14:solidFill>
          </w14:textFill>
        </w:rPr>
        <w:t>依法完成本项目的所有合同义务，且结算完毕之</w:t>
      </w:r>
      <w:bookmarkEnd w:id="356"/>
      <w:r>
        <w:rPr>
          <w:rFonts w:ascii="宋体" w:hAnsi="宋体" w:eastAsia="宋体" w:cs="宋体"/>
          <w:color w:val="000000" w:themeColor="text1"/>
          <w:kern w:val="0"/>
          <w:szCs w:val="21"/>
          <w:highlight w:val="none"/>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，经招标人确认，中标人可向招标人提交退回履约担保的申请。招标人审核无异议后，办理履约担保退还手续，退回时一律以银行转账的形式无息退回到中标人的账户。</w:t>
      </w:r>
    </w:p>
    <w:p w14:paraId="7FFE7BF8">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14:textFill>
            <w14:solidFill>
              <w14:schemeClr w14:val="tx1"/>
            </w14:solidFill>
          </w14:textFill>
        </w:rPr>
      </w:pPr>
    </w:p>
    <w:p w14:paraId="60E6D313">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57" w:name="_Toc486167702"/>
      <w:bookmarkStart w:id="358" w:name="_Toc142508353"/>
      <w:bookmarkStart w:id="359" w:name="_Toc27958"/>
      <w:bookmarkStart w:id="360" w:name="_Toc13033"/>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bookmarkEnd w:id="345"/>
      <w:bookmarkEnd w:id="346"/>
      <w:bookmarkEnd w:id="357"/>
      <w:bookmarkEnd w:id="358"/>
      <w:bookmarkEnd w:id="359"/>
      <w:bookmarkEnd w:id="360"/>
    </w:p>
    <w:p w14:paraId="123C7505">
      <w:pPr>
        <w:autoSpaceDE w:val="0"/>
        <w:autoSpaceDN w:val="0"/>
        <w:adjustRightInd w:val="0"/>
        <w:spacing w:line="360" w:lineRule="auto"/>
        <w:ind w:left="328" w:leftChars="-114" w:hanging="567" w:hangingChars="270"/>
        <w:jc w:val="left"/>
        <w:rPr>
          <w:rFonts w:ascii="宋体" w:hAnsi="宋体" w:eastAsia="宋体" w:cs="宋体"/>
          <w:color w:val="000000" w:themeColor="text1"/>
          <w:kern w:val="0"/>
          <w:szCs w:val="21"/>
          <w:highlight w:val="none"/>
          <w14:textFill>
            <w14:solidFill>
              <w14:schemeClr w14:val="tx1"/>
            </w14:solidFill>
          </w14:textFill>
        </w:rPr>
      </w:pPr>
      <w:bookmarkStart w:id="361" w:name="OLE_LINK498"/>
      <w:r>
        <w:rPr>
          <w:rFonts w:hint="eastAsia" w:ascii="宋体" w:hAnsi="宋体" w:eastAsia="宋体" w:cs="宋体"/>
          <w:color w:val="000000" w:themeColor="text1"/>
          <w:kern w:val="0"/>
          <w:szCs w:val="21"/>
          <w:highlight w:val="none"/>
          <w14:textFill>
            <w14:solidFill>
              <w14:schemeClr w14:val="tx1"/>
            </w14:solidFill>
          </w14:textFill>
        </w:rPr>
        <w:t>36.1</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合同履行中</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招标</w:t>
      </w:r>
      <w:r>
        <w:rPr>
          <w:rFonts w:ascii="宋体" w:hAnsi="宋体" w:eastAsia="宋体" w:cs="宋体"/>
          <w:color w:val="000000" w:themeColor="text1"/>
          <w:kern w:val="0"/>
          <w:szCs w:val="21"/>
          <w:highlight w:val="none"/>
          <w14:textFill>
            <w14:solidFill>
              <w14:schemeClr w14:val="tx1"/>
            </w14:solidFill>
          </w14:textFill>
        </w:rPr>
        <w:t>人</w:t>
      </w:r>
      <w:r>
        <w:rPr>
          <w:rFonts w:hint="eastAsia" w:ascii="宋体" w:hAnsi="宋体" w:eastAsia="宋体" w:cs="宋体"/>
          <w:color w:val="000000" w:themeColor="text1"/>
          <w:kern w:val="0"/>
          <w:szCs w:val="21"/>
          <w:highlight w:val="none"/>
          <w14:textFill>
            <w14:solidFill>
              <w14:schemeClr w14:val="tx1"/>
            </w14:solidFill>
          </w14:textFill>
        </w:rPr>
        <w:t>在合同约定的范围内，招标人有权根据项目实际情况及有关法律法规、政策的规定对采购范围进行变更调整，变更采购范围后，投标人应遵照执行。</w:t>
      </w:r>
    </w:p>
    <w:bookmarkEnd w:id="361"/>
    <w:p w14:paraId="3461F09F">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62" w:name="_Toc450662888"/>
    </w:p>
    <w:p w14:paraId="2C58D942">
      <w:pPr>
        <w:tabs>
          <w:tab w:val="left" w:pos="46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63" w:name="_Toc28921_WPSOffice_Level3"/>
      <w:bookmarkStart w:id="364" w:name="_Toc20043"/>
      <w:bookmarkStart w:id="365" w:name="_Toc486167703"/>
      <w:bookmarkStart w:id="366" w:name="_Toc14372"/>
      <w:bookmarkStart w:id="367" w:name="_Toc142508354"/>
      <w:r>
        <w:rPr>
          <w:rFonts w:hint="eastAsia" w:ascii="宋体" w:hAnsi="宋体" w:eastAsia="宋体" w:cs="宋体"/>
          <w:color w:val="000000" w:themeColor="text1"/>
          <w:szCs w:val="21"/>
          <w:highlight w:val="none"/>
          <w14:textFill>
            <w14:solidFill>
              <w14:schemeClr w14:val="tx1"/>
            </w14:solidFill>
          </w14:textFill>
        </w:rPr>
        <w:t>37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中标服务费</w:t>
      </w:r>
      <w:bookmarkEnd w:id="362"/>
      <w:bookmarkEnd w:id="363"/>
      <w:bookmarkEnd w:id="364"/>
      <w:bookmarkEnd w:id="365"/>
      <w:bookmarkEnd w:id="366"/>
      <w:bookmarkEnd w:id="367"/>
    </w:p>
    <w:p w14:paraId="6793761E">
      <w:pPr>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bookmarkStart w:id="368" w:name="OLE_LINK497"/>
      <w:r>
        <w:rPr>
          <w:rFonts w:hint="eastAsia" w:ascii="宋体" w:hAnsi="宋体" w:eastAsia="宋体" w:cs="宋体"/>
          <w:color w:val="000000" w:themeColor="text1"/>
          <w:szCs w:val="21"/>
          <w:highlight w:val="none"/>
          <w:lang w:val="zh-CN"/>
          <w14:textFill>
            <w14:solidFill>
              <w14:schemeClr w14:val="tx1"/>
            </w14:solidFill>
          </w14:textFill>
        </w:rPr>
        <w:t>37.1 本项目中标服务费由招标人向招标代理机构支付。</w:t>
      </w:r>
    </w:p>
    <w:bookmarkEnd w:id="368"/>
    <w:p w14:paraId="1F273F22">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69" w:name="_Toc450662889"/>
    </w:p>
    <w:p w14:paraId="3FADB3D9">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70" w:name="_Toc486167704"/>
      <w:bookmarkStart w:id="371" w:name="_Toc6764_WPSOffice_Level3"/>
      <w:bookmarkStart w:id="372" w:name="_Toc142508355"/>
      <w:bookmarkStart w:id="373" w:name="_Toc26292"/>
      <w:bookmarkStart w:id="374" w:name="_Toc12049"/>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bookmarkEnd w:id="369"/>
      <w:bookmarkEnd w:id="370"/>
      <w:bookmarkEnd w:id="371"/>
      <w:bookmarkEnd w:id="372"/>
      <w:bookmarkEnd w:id="373"/>
      <w:bookmarkEnd w:id="374"/>
    </w:p>
    <w:p w14:paraId="05D96407">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bookmarkStart w:id="375" w:name="OLE_LINK496"/>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Times New Roman"/>
          <w:color w:val="000000" w:themeColor="text1"/>
          <w:szCs w:val="21"/>
          <w:highlight w:val="none"/>
          <w:lang w:val="zh-CN"/>
          <w14:textFill>
            <w14:solidFill>
              <w14:schemeClr w14:val="tx1"/>
            </w14:solidFill>
          </w14:textFill>
        </w:rPr>
        <w:t>该项目获得中标的中标人在执行合同过程中，向招标人出具的发票必须是由中标人开具，不得以其他单位或个人名义出具，本项目中标人向招标人出具的发票类型为</w:t>
      </w:r>
      <w:bookmarkStart w:id="376" w:name="OLE_LINK122"/>
      <w:r>
        <w:rPr>
          <w:rFonts w:hint="eastAsia" w:ascii="宋体" w:hAnsi="宋体" w:eastAsia="宋体" w:cs="Times New Roman"/>
          <w:color w:val="000000" w:themeColor="text1"/>
          <w:szCs w:val="21"/>
          <w:highlight w:val="none"/>
          <w:lang w:val="zh-CN"/>
          <w14:textFill>
            <w14:solidFill>
              <w14:schemeClr w14:val="tx1"/>
            </w14:solidFill>
          </w14:textFill>
        </w:rPr>
        <w:t>增值税专用发票</w:t>
      </w:r>
      <w:bookmarkEnd w:id="376"/>
      <w:r>
        <w:rPr>
          <w:rFonts w:hint="eastAsia" w:ascii="宋体" w:hAnsi="宋体" w:eastAsia="宋体" w:cs="Times New Roman"/>
          <w:color w:val="000000" w:themeColor="text1"/>
          <w:szCs w:val="21"/>
          <w:highlight w:val="none"/>
          <w:lang w:val="zh-CN"/>
          <w14:textFill>
            <w14:solidFill>
              <w14:schemeClr w14:val="tx1"/>
            </w14:solidFill>
          </w14:textFill>
        </w:rPr>
        <w:t>。</w:t>
      </w:r>
      <w:bookmarkStart w:id="377" w:name="_Toc486167705"/>
      <w:bookmarkStart w:id="378" w:name="_Toc31106_WPSOffice_Level3"/>
    </w:p>
    <w:bookmarkEnd w:id="375"/>
    <w:p w14:paraId="7FDF0BFF">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2ADC4354">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14:textFill>
            <w14:solidFill>
              <w14:schemeClr w14:val="tx1"/>
            </w14:solidFill>
          </w14:textFill>
        </w:rPr>
      </w:pPr>
      <w:bookmarkStart w:id="379" w:name="_Toc14362"/>
      <w:bookmarkStart w:id="380" w:name="_Toc142508356"/>
      <w:bookmarkStart w:id="381" w:name="_Toc16304"/>
      <w:bookmarkStart w:id="382" w:name="OLE_LINK500"/>
      <w:r>
        <w:rPr>
          <w:rFonts w:ascii="宋体" w:hAnsi="宋体" w:eastAsia="宋体" w:cs="宋体"/>
          <w:b/>
          <w:color w:val="000000" w:themeColor="text1"/>
          <w:szCs w:val="21"/>
          <w:highlight w:val="none"/>
          <w14:textFill>
            <w14:solidFill>
              <w14:schemeClr w14:val="tx1"/>
            </w14:solidFill>
          </w14:textFill>
        </w:rPr>
        <w:t>39 招标相关补充约定</w:t>
      </w:r>
      <w:bookmarkEnd w:id="379"/>
      <w:bookmarkEnd w:id="380"/>
      <w:bookmarkEnd w:id="381"/>
    </w:p>
    <w:bookmarkEnd w:id="382"/>
    <w:p w14:paraId="5F0FB392">
      <w:pPr>
        <w:autoSpaceDE w:val="0"/>
        <w:autoSpaceDN w:val="0"/>
        <w:adjustRightInd w:val="0"/>
        <w:snapToGrid w:val="0"/>
        <w:spacing w:line="360" w:lineRule="auto"/>
        <w:ind w:left="317" w:leftChars="-100" w:hanging="527" w:hangingChars="250"/>
        <w:jc w:val="left"/>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t>39.1</w:t>
      </w:r>
      <w:r>
        <w:rPr>
          <w:rFonts w:ascii="宋体" w:hAnsi="宋体" w:eastAsia="宋体" w:cs="Times New Roman"/>
          <w:b/>
          <w:color w:val="000000" w:themeColor="text1"/>
          <w:szCs w:val="21"/>
          <w:highlight w:val="none"/>
          <w14:textFill>
            <w14:solidFill>
              <w14:schemeClr w14:val="tx1"/>
            </w14:solidFill>
          </w14:textFill>
        </w:rPr>
        <w:tab/>
      </w:r>
      <w:r>
        <w:rPr>
          <w:rFonts w:ascii="宋体" w:hAnsi="宋体" w:eastAsia="宋体" w:cs="Times New Roman"/>
          <w:b/>
          <w:color w:val="000000" w:themeColor="text1"/>
          <w:szCs w:val="21"/>
          <w:highlight w:val="none"/>
          <w14:textFill>
            <w14:solidFill>
              <w14:schemeClr w14:val="tx1"/>
            </w14:solidFill>
          </w14:textFill>
        </w:rPr>
        <w:t>本项目投标人须知第2条所述行政处罚信息，以开标</w:t>
      </w:r>
      <w:r>
        <w:rPr>
          <w:rFonts w:hint="eastAsia" w:ascii="宋体" w:hAnsi="宋体" w:eastAsia="宋体" w:cs="Times New Roman"/>
          <w:b/>
          <w:color w:val="000000" w:themeColor="text1"/>
          <w:szCs w:val="21"/>
          <w:highlight w:val="none"/>
          <w14:textFill>
            <w14:solidFill>
              <w14:schemeClr w14:val="tx1"/>
            </w14:solidFill>
          </w14:textFill>
        </w:rPr>
        <w:t>当天</w:t>
      </w:r>
      <w:r>
        <w:rPr>
          <w:rFonts w:ascii="宋体" w:hAnsi="宋体" w:eastAsia="宋体" w:cs="Times New Roman"/>
          <w:b/>
          <w:color w:val="000000" w:themeColor="text1"/>
          <w:szCs w:val="21"/>
          <w:highlight w:val="none"/>
          <w14:textFill>
            <w14:solidFill>
              <w14:schemeClr w14:val="tx1"/>
            </w14:solidFill>
          </w14:textFill>
        </w:rPr>
        <w:t>在“信用中国”网站（www.creditchina.gov.cn）查询结果为准</w:t>
      </w:r>
      <w:r>
        <w:rPr>
          <w:rFonts w:hint="eastAsia" w:ascii="宋体" w:hAnsi="宋体" w:eastAsia="宋体" w:cs="Times New Roman"/>
          <w:b/>
          <w:color w:val="000000" w:themeColor="text1"/>
          <w:szCs w:val="21"/>
          <w:highlight w:val="none"/>
          <w14:textFill>
            <w14:solidFill>
              <w14:schemeClr w14:val="tx1"/>
            </w14:solidFill>
          </w14:textFill>
        </w:rPr>
        <w:t>，或以司法、仲裁机构等出具的生效文件予以认定,时间以认定文件的落款时间为准</w:t>
      </w:r>
      <w:r>
        <w:rPr>
          <w:rFonts w:ascii="宋体" w:hAnsi="宋体" w:eastAsia="宋体" w:cs="Times New Roman"/>
          <w:b/>
          <w:color w:val="000000" w:themeColor="text1"/>
          <w:szCs w:val="21"/>
          <w:highlight w:val="none"/>
          <w14:textFill>
            <w14:solidFill>
              <w14:schemeClr w14:val="tx1"/>
            </w14:solidFill>
          </w14:textFill>
        </w:rPr>
        <w:t>。开标结束后，有关投标单位的行政处罚信息，以</w:t>
      </w:r>
      <w:r>
        <w:rPr>
          <w:rFonts w:hint="eastAsia" w:ascii="宋体" w:hAnsi="宋体" w:eastAsia="宋体" w:cs="Times New Roman"/>
          <w:b/>
          <w:color w:val="000000" w:themeColor="text1"/>
          <w:szCs w:val="21"/>
          <w:highlight w:val="none"/>
          <w14:textFill>
            <w14:solidFill>
              <w14:schemeClr w14:val="tx1"/>
            </w14:solidFill>
          </w14:textFill>
        </w:rPr>
        <w:t>开标当天查询</w:t>
      </w:r>
      <w:r>
        <w:rPr>
          <w:rFonts w:ascii="宋体" w:hAnsi="宋体" w:eastAsia="宋体" w:cs="Times New Roman"/>
          <w:b/>
          <w:color w:val="000000" w:themeColor="text1"/>
          <w:szCs w:val="21"/>
          <w:highlight w:val="none"/>
          <w14:textFill>
            <w14:solidFill>
              <w14:schemeClr w14:val="tx1"/>
            </w14:solidFill>
          </w14:textFill>
        </w:rPr>
        <w:t>结果为准；结果公示期间，如投标人对有关投标单位的行政处罚信息存在异议，但不涉及第一中标候选人的，视为对中标结果没有造成实质影响。</w:t>
      </w:r>
    </w:p>
    <w:p w14:paraId="7868E1DF">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6AAE0F30">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14:textFill>
            <w14:solidFill>
              <w14:schemeClr w14:val="tx1"/>
            </w14:solidFill>
          </w14:textFill>
        </w:rPr>
      </w:pPr>
      <w:bookmarkStart w:id="383" w:name="_Toc13471"/>
      <w:bookmarkStart w:id="384" w:name="OLE_LINK510"/>
      <w:bookmarkStart w:id="385" w:name="OLE_LINK505"/>
      <w:r>
        <w:rPr>
          <w:rFonts w:hint="eastAsia" w:ascii="宋体" w:hAnsi="宋体" w:eastAsia="宋体" w:cs="宋体"/>
          <w:b/>
          <w:color w:val="000000" w:themeColor="text1"/>
          <w:szCs w:val="21"/>
          <w:highlight w:val="none"/>
          <w14:textFill>
            <w14:solidFill>
              <w14:schemeClr w14:val="tx1"/>
            </w14:solidFill>
          </w14:textFill>
        </w:rPr>
        <w:t>40 以</w:t>
      </w:r>
      <w:bookmarkStart w:id="386" w:name="OLE_LINK506"/>
      <w:r>
        <w:rPr>
          <w:rFonts w:hint="eastAsia" w:ascii="宋体" w:hAnsi="宋体" w:eastAsia="宋体" w:cs="宋体"/>
          <w:b/>
          <w:color w:val="000000" w:themeColor="text1"/>
          <w:szCs w:val="21"/>
          <w:highlight w:val="none"/>
          <w14:textFill>
            <w14:solidFill>
              <w14:schemeClr w14:val="tx1"/>
            </w14:solidFill>
          </w14:textFill>
        </w:rPr>
        <w:t>联合体形式</w:t>
      </w:r>
      <w:bookmarkEnd w:id="386"/>
      <w:r>
        <w:rPr>
          <w:rFonts w:hint="eastAsia" w:ascii="宋体" w:hAnsi="宋体" w:eastAsia="宋体" w:cs="宋体"/>
          <w:b/>
          <w:color w:val="000000" w:themeColor="text1"/>
          <w:szCs w:val="21"/>
          <w:highlight w:val="none"/>
          <w14:textFill>
            <w14:solidFill>
              <w14:schemeClr w14:val="tx1"/>
            </w14:solidFill>
          </w14:textFill>
        </w:rPr>
        <w:t>投标的，应符合以下规定：</w:t>
      </w:r>
      <w:bookmarkEnd w:id="383"/>
    </w:p>
    <w:bookmarkEnd w:id="384"/>
    <w:p w14:paraId="328982E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40.1 联合体各方均应当满足</w:t>
      </w:r>
      <w:bookmarkStart w:id="387" w:name="OLE_LINK503"/>
      <w:r>
        <w:rPr>
          <w:rFonts w:hint="eastAsia" w:ascii="宋体" w:hAnsi="宋体" w:eastAsia="宋体" w:cs="Times New Roman"/>
          <w:color w:val="000000" w:themeColor="text1"/>
          <w:kern w:val="0"/>
          <w:szCs w:val="21"/>
          <w:highlight w:val="none"/>
          <w14:textFill>
            <w14:solidFill>
              <w14:schemeClr w14:val="tx1"/>
            </w14:solidFill>
          </w14:textFill>
        </w:rPr>
        <w:t>第2条“合格的投标人”</w:t>
      </w:r>
      <w:bookmarkEnd w:id="387"/>
      <w:r>
        <w:rPr>
          <w:rFonts w:hint="eastAsia" w:ascii="宋体" w:hAnsi="宋体" w:eastAsia="宋体" w:cs="Times New Roman"/>
          <w:color w:val="000000" w:themeColor="text1"/>
          <w:kern w:val="0"/>
          <w:szCs w:val="21"/>
          <w:highlight w:val="none"/>
          <w14:textFill>
            <w14:solidFill>
              <w14:schemeClr w14:val="tx1"/>
            </w14:solidFill>
          </w14:textFill>
        </w:rPr>
        <w:t>规定的条件，并在投标文件中提供联合体各方的相关证明材料。</w:t>
      </w:r>
    </w:p>
    <w:p w14:paraId="6070737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40.2 联合体各方之间应签订共同投标协议书并在投标文件中提交，明确约定联合体各方承担的工作和相应的责任。联合体各方签订共同投标协议书后，不得再以自己名义单独在同一项目中投标，也不得组成新的联合体参加同一项目投标，若违反规定则其参与的所有投标将视为无效投标。</w:t>
      </w:r>
    </w:p>
    <w:p w14:paraId="5509C2D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40.3 联合体应以联合协议中确定的牵头方名义</w:t>
      </w:r>
      <w:bookmarkStart w:id="388" w:name="OLE_LINK502"/>
      <w:r>
        <w:rPr>
          <w:rFonts w:hint="eastAsia" w:ascii="宋体" w:hAnsi="宋体" w:eastAsia="宋体" w:cs="Times New Roman"/>
          <w:color w:val="000000" w:themeColor="text1"/>
          <w:kern w:val="0"/>
          <w:szCs w:val="21"/>
          <w:highlight w:val="none"/>
          <w14:textFill>
            <w14:solidFill>
              <w14:schemeClr w14:val="tx1"/>
            </w14:solidFill>
          </w14:textFill>
        </w:rPr>
        <w:t>进</w:t>
      </w:r>
      <w:bookmarkEnd w:id="388"/>
      <w:r>
        <w:rPr>
          <w:rFonts w:hint="eastAsia" w:ascii="宋体" w:hAnsi="宋体" w:eastAsia="宋体" w:cs="Times New Roman"/>
          <w:color w:val="000000" w:themeColor="text1"/>
          <w:kern w:val="0"/>
          <w:szCs w:val="21"/>
          <w:highlight w:val="none"/>
          <w14:textFill>
            <w14:solidFill>
              <w14:schemeClr w14:val="tx1"/>
            </w14:solidFill>
          </w14:textFill>
        </w:rPr>
        <w:t>行项目投标，联合体名称需与共同投标协议书签署方一致。对于需交投标保证金的，以牵头方名义缴纳。</w:t>
      </w:r>
    </w:p>
    <w:p w14:paraId="7284978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40.4 联合体成员存在不良信用记录的，视同联合体存在不良信用记录。</w:t>
      </w:r>
    </w:p>
    <w:p w14:paraId="63B7208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bookmarkStart w:id="389" w:name="OLE_LINK507"/>
      <w:r>
        <w:rPr>
          <w:rFonts w:hint="eastAsia" w:ascii="宋体" w:hAnsi="宋体" w:eastAsia="宋体" w:cs="Times New Roman"/>
          <w:color w:val="000000" w:themeColor="text1"/>
          <w:kern w:val="0"/>
          <w:szCs w:val="21"/>
          <w:highlight w:val="none"/>
          <w14:textFill>
            <w14:solidFill>
              <w14:schemeClr w14:val="tx1"/>
            </w14:solidFill>
          </w14:textFill>
        </w:rPr>
        <w:t>40.5 联合体各方均应</w:t>
      </w:r>
      <w:bookmarkStart w:id="390" w:name="OLE_LINK504"/>
      <w:r>
        <w:rPr>
          <w:rFonts w:hint="eastAsia" w:ascii="宋体" w:hAnsi="宋体" w:eastAsia="宋体" w:cs="Times New Roman"/>
          <w:color w:val="000000" w:themeColor="text1"/>
          <w:kern w:val="0"/>
          <w:szCs w:val="21"/>
          <w:highlight w:val="none"/>
          <w14:textFill>
            <w14:solidFill>
              <w14:schemeClr w14:val="tx1"/>
            </w14:solidFill>
          </w14:textFill>
        </w:rPr>
        <w:t>满足</w:t>
      </w:r>
      <w:bookmarkEnd w:id="390"/>
      <w:r>
        <w:rPr>
          <w:rFonts w:hint="eastAsia" w:ascii="宋体" w:hAnsi="宋体" w:eastAsia="宋体" w:cs="Times New Roman"/>
          <w:color w:val="000000" w:themeColor="text1"/>
          <w:kern w:val="0"/>
          <w:szCs w:val="21"/>
          <w:highlight w:val="none"/>
          <w14:textFill>
            <w14:solidFill>
              <w14:schemeClr w14:val="tx1"/>
            </w14:solidFill>
          </w14:textFill>
        </w:rPr>
        <w:t>第2条“合格的投标人”规定的条件。联合体中有同类资质的供应商按照联合体分工承担相同工作的，应当按照资质等级较低的供应商确定资质等级。</w:t>
      </w:r>
    </w:p>
    <w:p w14:paraId="0368350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40.6 联合体各方应当共同与招标人签订采购合同，就合同约定的事项对招标人承担连带责任。</w:t>
      </w:r>
    </w:p>
    <w:bookmarkEnd w:id="385"/>
    <w:bookmarkEnd w:id="389"/>
    <w:p w14:paraId="4FC676A0">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0BC1BD5B">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14:textFill>
            <w14:solidFill>
              <w14:schemeClr w14:val="tx1"/>
            </w14:solidFill>
          </w14:textFill>
        </w:rPr>
      </w:pPr>
      <w:bookmarkStart w:id="391" w:name="_Toc27425"/>
      <w:bookmarkStart w:id="392" w:name="OLE_LINK508"/>
      <w:r>
        <w:rPr>
          <w:rFonts w:hint="eastAsia" w:ascii="宋体" w:hAnsi="宋体" w:eastAsia="宋体" w:cs="宋体"/>
          <w:b/>
          <w:color w:val="000000" w:themeColor="text1"/>
          <w:szCs w:val="21"/>
          <w:highlight w:val="none"/>
          <w14:textFill>
            <w14:solidFill>
              <w14:schemeClr w14:val="tx1"/>
            </w14:solidFill>
          </w14:textFill>
        </w:rPr>
        <w:t>41 以联合体形式投标的企业说明</w:t>
      </w:r>
      <w:bookmarkEnd w:id="391"/>
    </w:p>
    <w:p w14:paraId="228A0EB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41.1 除联合体外，投标人负责人为同一人或者存在控股、管理关系的不同投标人，不得参加同一项目投标。</w:t>
      </w:r>
      <w:bookmarkStart w:id="393" w:name="OLE_LINK509"/>
      <w:r>
        <w:rPr>
          <w:rFonts w:hint="eastAsia" w:ascii="宋体" w:hAnsi="宋体" w:eastAsia="宋体" w:cs="Times New Roman"/>
          <w:color w:val="000000" w:themeColor="text1"/>
          <w:kern w:val="0"/>
          <w:szCs w:val="21"/>
          <w:highlight w:val="none"/>
          <w14:textFill>
            <w14:solidFill>
              <w14:schemeClr w14:val="tx1"/>
            </w14:solidFill>
          </w14:textFill>
        </w:rPr>
        <w:t>上述情况一经发现，相关投标均无效</w:t>
      </w:r>
      <w:bookmarkEnd w:id="393"/>
      <w:r>
        <w:rPr>
          <w:rFonts w:hint="eastAsia" w:ascii="宋体" w:hAnsi="宋体" w:eastAsia="宋体" w:cs="Times New Roman"/>
          <w:color w:val="000000" w:themeColor="text1"/>
          <w:kern w:val="0"/>
          <w:szCs w:val="21"/>
          <w:highlight w:val="none"/>
          <w14:textFill>
            <w14:solidFill>
              <w14:schemeClr w14:val="tx1"/>
            </w14:solidFill>
          </w14:textFill>
        </w:rPr>
        <w:t>。</w:t>
      </w:r>
    </w:p>
    <w:bookmarkEnd w:id="392"/>
    <w:p w14:paraId="25648231">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1BE34C3F">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14:textFill>
            <w14:solidFill>
              <w14:schemeClr w14:val="tx1"/>
            </w14:solidFill>
          </w14:textFill>
        </w:rPr>
      </w:pPr>
      <w:bookmarkStart w:id="394" w:name="_Toc10908"/>
      <w:bookmarkStart w:id="395" w:name="_Toc26725"/>
      <w:bookmarkStart w:id="396" w:name="_Toc142508357"/>
      <w:r>
        <w:rPr>
          <w:rFonts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2 本次招标活动的最终解释权归招标代理机构及招标人所有。</w:t>
      </w:r>
      <w:bookmarkEnd w:id="377"/>
      <w:bookmarkEnd w:id="378"/>
      <w:bookmarkEnd w:id="394"/>
      <w:bookmarkEnd w:id="395"/>
      <w:bookmarkEnd w:id="396"/>
    </w:p>
    <w:p w14:paraId="79F0DA6F">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397" w:name="_Toc486167706"/>
      <w:bookmarkStart w:id="398" w:name="_Toc142508358"/>
      <w:bookmarkStart w:id="399" w:name="_Toc28218"/>
      <w:bookmarkStart w:id="400" w:name="_Toc450662891"/>
      <w:bookmarkStart w:id="401" w:name="_Toc19867"/>
      <w:bookmarkStart w:id="402" w:name="_Toc27939_WPSOffice_Level1"/>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第三篇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用户需求书</w:t>
      </w:r>
      <w:bookmarkEnd w:id="397"/>
      <w:bookmarkEnd w:id="398"/>
      <w:bookmarkEnd w:id="399"/>
      <w:bookmarkEnd w:id="400"/>
      <w:bookmarkEnd w:id="401"/>
      <w:bookmarkEnd w:id="402"/>
    </w:p>
    <w:p w14:paraId="27F8D474">
      <w:pPr>
        <w:numPr>
          <w:ilvl w:val="0"/>
          <w:numId w:val="2"/>
        </w:numPr>
        <w:spacing w:line="360" w:lineRule="auto"/>
        <w:rPr>
          <w:rFonts w:ascii="宋体" w:hAnsi="宋体" w:eastAsia="宋体" w:cs="宋体"/>
          <w:b/>
          <w:bCs/>
          <w:color w:val="000000" w:themeColor="text1"/>
          <w:szCs w:val="21"/>
          <w:highlight w:val="none"/>
          <w14:textFill>
            <w14:solidFill>
              <w14:schemeClr w14:val="tx1"/>
            </w14:solidFill>
          </w14:textFill>
        </w:rPr>
      </w:pPr>
      <w:bookmarkStart w:id="403" w:name="OLE_LINK319"/>
      <w:r>
        <w:rPr>
          <w:rFonts w:hint="eastAsia" w:ascii="宋体" w:hAnsi="宋体" w:eastAsia="宋体" w:cs="宋体"/>
          <w:b/>
          <w:bCs/>
          <w:color w:val="000000" w:themeColor="text1"/>
          <w:szCs w:val="21"/>
          <w:highlight w:val="none"/>
          <w14:textFill>
            <w14:solidFill>
              <w14:schemeClr w14:val="tx1"/>
            </w14:solidFill>
          </w14:textFill>
        </w:rPr>
        <w:t>项目概况</w:t>
      </w:r>
    </w:p>
    <w:bookmarkEnd w:id="403"/>
    <w:p w14:paraId="0FFB30FF">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1、项目地址：</w:t>
      </w:r>
      <w:bookmarkStart w:id="404" w:name="OLE_LINK413"/>
      <w:r>
        <w:rPr>
          <w:rFonts w:hint="eastAsia" w:ascii="宋体" w:hAnsi="宋体" w:eastAsia="宋体" w:cs="宋体"/>
          <w:color w:val="000000" w:themeColor="text1"/>
          <w:szCs w:val="21"/>
          <w:highlight w:val="none"/>
          <w14:textFill>
            <w14:solidFill>
              <w14:schemeClr w14:val="tx1"/>
            </w14:solidFill>
          </w14:textFill>
        </w:rPr>
        <w:t>第四水厂和第六水厂</w:t>
      </w:r>
      <w:bookmarkEnd w:id="404"/>
      <w:r>
        <w:rPr>
          <w:rFonts w:hint="eastAsia" w:ascii="宋体" w:hAnsi="宋体" w:eastAsia="宋体" w:cs="宋体"/>
          <w:color w:val="000000" w:themeColor="text1"/>
          <w:szCs w:val="21"/>
          <w:highlight w:val="none"/>
          <w14:textFill>
            <w14:solidFill>
              <w14:schemeClr w14:val="tx1"/>
            </w14:solidFill>
          </w14:textFill>
        </w:rPr>
        <w:t>综合楼、宿舍等屋顶。第四水厂地址：东莞市高埗镇高埗沿江南路150号；第六水厂地址：东莞市东城街道莞龙路东城段21号；屋顶总面积：</w:t>
      </w:r>
      <w:r>
        <w:rPr>
          <w:rFonts w:hint="eastAsia" w:ascii="宋体" w:hAnsi="宋体" w:eastAsia="宋体" w:cs="宋体"/>
          <w:color w:val="000000" w:themeColor="text1"/>
          <w:kern w:val="0"/>
          <w:szCs w:val="21"/>
          <w:highlight w:val="none"/>
          <w:lang w:bidi="ar"/>
          <w14:textFill>
            <w14:solidFill>
              <w14:schemeClr w14:val="tx1"/>
            </w14:solidFill>
          </w14:textFill>
        </w:rPr>
        <w:t xml:space="preserve">23576.89 </w:t>
      </w:r>
      <w:r>
        <w:rPr>
          <w:rFonts w:hint="eastAsia" w:ascii="宋体" w:hAnsi="宋体" w:eastAsia="宋体" w:cs="宋体"/>
          <w:color w:val="000000" w:themeColor="text1"/>
          <w:szCs w:val="21"/>
          <w:highlight w:val="none"/>
          <w14:textFill>
            <w14:solidFill>
              <w14:schemeClr w14:val="tx1"/>
            </w14:solidFill>
          </w14:textFill>
        </w:rPr>
        <w:t>㎡。</w:t>
      </w:r>
    </w:p>
    <w:p w14:paraId="32936BB9">
      <w:pPr>
        <w:pStyle w:val="36"/>
        <w:spacing w:after="0" w:line="360" w:lineRule="auto"/>
        <w:ind w:left="420" w:leftChars="200" w:firstLine="0" w:firstLineChars="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2、装机容量：4.46MWp（其中第四水厂1.86MWp，第六水厂2.6MWp）。</w:t>
      </w:r>
    </w:p>
    <w:p w14:paraId="5C985DD0">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3、安装方式：阳光棚（包含垃圾清理、防水、配电房改造）、自发自用，余电上网。</w:t>
      </w:r>
    </w:p>
    <w:p w14:paraId="5C53EAF3">
      <w:pPr>
        <w:widowControl/>
        <w:numPr>
          <w:ilvl w:val="255"/>
          <w:numId w:val="0"/>
        </w:numPr>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4、变压器容量：第四水厂：共10台变压器（5台主用5台备用），变压器容量共4760</w:t>
      </w:r>
      <w:bookmarkStart w:id="405" w:name="OLE_LINK145"/>
      <w:r>
        <w:rPr>
          <w:rFonts w:hint="eastAsia" w:ascii="宋体" w:hAnsi="宋体" w:eastAsia="宋体" w:cs="宋体"/>
          <w:color w:val="000000" w:themeColor="text1"/>
          <w:szCs w:val="21"/>
          <w:highlight w:val="none"/>
          <w14:textFill>
            <w14:solidFill>
              <w14:schemeClr w14:val="tx1"/>
            </w14:solidFill>
          </w14:textFill>
        </w:rPr>
        <w:t>KV</w:t>
      </w:r>
      <w:bookmarkEnd w:id="405"/>
      <w:r>
        <w:rPr>
          <w:rFonts w:hint="eastAsia" w:ascii="宋体" w:hAnsi="宋体" w:eastAsia="宋体" w:cs="宋体"/>
          <w:color w:val="000000" w:themeColor="text1"/>
          <w:szCs w:val="21"/>
          <w:highlight w:val="none"/>
          <w14:textFill>
            <w14:solidFill>
              <w14:schemeClr w14:val="tx1"/>
            </w14:solidFill>
          </w14:textFill>
        </w:rPr>
        <w:t>A；第六水厂：共10台变压器（5台主用5台备用），变压器容量共10600</w:t>
      </w:r>
      <w:bookmarkStart w:id="406" w:name="OLE_LINK18"/>
      <w:r>
        <w:rPr>
          <w:rFonts w:hint="eastAsia" w:ascii="宋体" w:hAnsi="宋体" w:eastAsia="宋体" w:cs="宋体"/>
          <w:color w:val="000000" w:themeColor="text1"/>
          <w:szCs w:val="21"/>
          <w:highlight w:val="none"/>
          <w14:textFill>
            <w14:solidFill>
              <w14:schemeClr w14:val="tx1"/>
            </w14:solidFill>
          </w14:textFill>
        </w:rPr>
        <w:t>KVA</w:t>
      </w:r>
      <w:bookmarkEnd w:id="406"/>
      <w:r>
        <w:rPr>
          <w:rFonts w:hint="eastAsia" w:ascii="宋体" w:hAnsi="宋体" w:eastAsia="宋体" w:cs="宋体"/>
          <w:color w:val="000000" w:themeColor="text1"/>
          <w:szCs w:val="21"/>
          <w:highlight w:val="none"/>
          <w14:textFill>
            <w14:solidFill>
              <w14:schemeClr w14:val="tx1"/>
            </w14:solidFill>
          </w14:textFill>
        </w:rPr>
        <w:t>。</w:t>
      </w:r>
    </w:p>
    <w:p w14:paraId="1A6945D2">
      <w:pPr>
        <w:numPr>
          <w:ilvl w:val="0"/>
          <w:numId w:val="2"/>
        </w:numPr>
        <w:spacing w:line="360" w:lineRule="auto"/>
        <w:rPr>
          <w:rFonts w:ascii="宋体" w:hAnsi="宋体" w:eastAsia="宋体" w:cs="宋体"/>
          <w:b/>
          <w:bCs/>
          <w:color w:val="000000" w:themeColor="text1"/>
          <w:szCs w:val="21"/>
          <w:highlight w:val="none"/>
          <w14:textFill>
            <w14:solidFill>
              <w14:schemeClr w14:val="tx1"/>
            </w14:solidFill>
          </w14:textFill>
        </w:rPr>
      </w:pPr>
      <w:bookmarkStart w:id="407" w:name="OLE_LINK320"/>
      <w:r>
        <w:rPr>
          <w:rFonts w:hint="eastAsia" w:ascii="宋体" w:hAnsi="宋体" w:eastAsia="宋体" w:cs="宋体"/>
          <w:b/>
          <w:bCs/>
          <w:color w:val="000000" w:themeColor="text1"/>
          <w:szCs w:val="21"/>
          <w:highlight w:val="none"/>
          <w14:textFill>
            <w14:solidFill>
              <w14:schemeClr w14:val="tx1"/>
            </w14:solidFill>
          </w14:textFill>
        </w:rPr>
        <w:t>采购范围</w:t>
      </w:r>
    </w:p>
    <w:bookmarkEnd w:id="407"/>
    <w:p w14:paraId="53A83F16">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bookmarkStart w:id="408" w:name="OLE_LINK17"/>
      <w:bookmarkStart w:id="409" w:name="OLE_LINK21"/>
      <w:r>
        <w:rPr>
          <w:rFonts w:hint="eastAsia" w:ascii="宋体" w:hAnsi="宋体" w:eastAsia="宋体" w:cs="宋体"/>
          <w:color w:val="000000" w:themeColor="text1"/>
          <w:szCs w:val="21"/>
          <w:highlight w:val="none"/>
          <w14:textFill>
            <w14:solidFill>
              <w14:schemeClr w14:val="tx1"/>
            </w14:solidFill>
          </w14:textFill>
        </w:rPr>
        <w:t>分布式光伏</w:t>
      </w:r>
      <w:bookmarkEnd w:id="408"/>
      <w:r>
        <w:rPr>
          <w:rFonts w:hint="eastAsia" w:ascii="宋体" w:hAnsi="宋体" w:eastAsia="宋体" w:cs="宋体"/>
          <w:color w:val="000000" w:themeColor="text1"/>
          <w:szCs w:val="21"/>
          <w:highlight w:val="none"/>
          <w14:textFill>
            <w14:solidFill>
              <w14:schemeClr w14:val="tx1"/>
            </w14:solidFill>
          </w14:textFill>
        </w:rPr>
        <w:t>产品采购和配套的设计、接入并网点相应改造（含二期变压器增容），并网、验收手续的办理和1年运维</w:t>
      </w:r>
      <w:bookmarkEnd w:id="409"/>
      <w:r>
        <w:rPr>
          <w:rFonts w:hint="eastAsia" w:ascii="宋体" w:hAnsi="宋体" w:eastAsia="宋体" w:cs="宋体"/>
          <w:color w:val="000000" w:themeColor="text1"/>
          <w:szCs w:val="21"/>
          <w:highlight w:val="none"/>
          <w14:textFill>
            <w14:solidFill>
              <w14:schemeClr w14:val="tx1"/>
            </w14:solidFill>
          </w14:textFill>
        </w:rPr>
        <w:t xml:space="preserve">； </w:t>
      </w:r>
    </w:p>
    <w:p w14:paraId="788918DD">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2、项目设备制造、设备及材料采购、设备监造、设备验收、运输及储存、建设、安装、培训、试验和管理；</w:t>
      </w:r>
    </w:p>
    <w:p w14:paraId="3E8BC960">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3、项目各</w:t>
      </w:r>
      <w:bookmarkStart w:id="410" w:name="OLE_LINK19"/>
      <w:r>
        <w:rPr>
          <w:rFonts w:hint="eastAsia" w:ascii="宋体" w:hAnsi="宋体" w:eastAsia="宋体" w:cs="宋体"/>
          <w:color w:val="000000" w:themeColor="text1"/>
          <w:szCs w:val="21"/>
          <w:highlight w:val="none"/>
          <w14:textFill>
            <w14:solidFill>
              <w14:schemeClr w14:val="tx1"/>
            </w14:solidFill>
          </w14:textFill>
        </w:rPr>
        <w:t>系统供货安装和其他配套的设计、供货、安装、调试、试运行、质量监督、项目验收（含</w:t>
      </w:r>
      <w:bookmarkStart w:id="411" w:name="OLE_LINK357"/>
      <w:r>
        <w:rPr>
          <w:rFonts w:hint="eastAsia" w:ascii="宋体" w:hAnsi="宋体" w:eastAsia="宋体" w:cs="宋体"/>
          <w:color w:val="000000" w:themeColor="text1"/>
          <w:szCs w:val="21"/>
          <w:highlight w:val="none"/>
          <w14:textFill>
            <w14:solidFill>
              <w14:schemeClr w14:val="tx1"/>
            </w14:solidFill>
          </w14:textFill>
        </w:rPr>
        <w:t>交接验收、初步验收、并网验收和最终验收</w:t>
      </w:r>
      <w:bookmarkEnd w:id="411"/>
      <w:r>
        <w:rPr>
          <w:rFonts w:hint="eastAsia" w:ascii="宋体" w:hAnsi="宋体" w:eastAsia="宋体" w:cs="宋体"/>
          <w:color w:val="000000" w:themeColor="text1"/>
          <w:szCs w:val="21"/>
          <w:highlight w:val="none"/>
          <w14:textFill>
            <w14:solidFill>
              <w14:schemeClr w14:val="tx1"/>
            </w14:solidFill>
          </w14:textFill>
        </w:rPr>
        <w:t>）</w:t>
      </w:r>
      <w:bookmarkEnd w:id="410"/>
      <w:r>
        <w:rPr>
          <w:rFonts w:hint="eastAsia" w:ascii="宋体" w:hAnsi="宋体" w:eastAsia="宋体" w:cs="宋体"/>
          <w:color w:val="000000" w:themeColor="text1"/>
          <w:szCs w:val="21"/>
          <w:highlight w:val="none"/>
          <w14:textFill>
            <w14:solidFill>
              <w14:schemeClr w14:val="tx1"/>
            </w14:solidFill>
          </w14:textFill>
        </w:rPr>
        <w:t xml:space="preserve">一体化总承包； </w:t>
      </w:r>
    </w:p>
    <w:p w14:paraId="13B941B8">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4、项目最终验收移交后质保期服务，实现消防、安全设施、劳动安全卫生、环境保护“三同时”等； </w:t>
      </w:r>
    </w:p>
    <w:p w14:paraId="451ADB27">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5、安装协调、安装产生的政策处理及临时用地、技术培训以及其他服务等均包含在本项目范围内； </w:t>
      </w:r>
    </w:p>
    <w:p w14:paraId="3256408F">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6、本项目作为分布式光伏发电产品及设计服务采购，不论本技术文件是否提及，凡涉及本项目设计、供货、安装、采购、</w:t>
      </w:r>
      <w:bookmarkStart w:id="412" w:name="OLE_LINK20"/>
      <w:r>
        <w:rPr>
          <w:rFonts w:hint="eastAsia" w:ascii="宋体" w:hAnsi="宋体" w:eastAsia="宋体" w:cs="宋体"/>
          <w:color w:val="000000" w:themeColor="text1"/>
          <w:szCs w:val="21"/>
          <w:highlight w:val="none"/>
          <w14:textFill>
            <w14:solidFill>
              <w14:schemeClr w14:val="tx1"/>
            </w14:solidFill>
          </w14:textFill>
        </w:rPr>
        <w:t>项目</w:t>
      </w:r>
      <w:bookmarkEnd w:id="412"/>
      <w:r>
        <w:rPr>
          <w:rFonts w:hint="eastAsia" w:ascii="宋体" w:hAnsi="宋体" w:eastAsia="宋体" w:cs="宋体"/>
          <w:color w:val="000000" w:themeColor="text1"/>
          <w:szCs w:val="21"/>
          <w:highlight w:val="none"/>
          <w14:textFill>
            <w14:solidFill>
              <w14:schemeClr w14:val="tx1"/>
            </w14:solidFill>
          </w14:textFill>
        </w:rPr>
        <w:t xml:space="preserve">投产、检查、档案验收、项目结算、交接验收、初步验收、并网验收和整体项目最终验收等各种验收的工作内容及相关费用均属于投标人的工作范围； </w:t>
      </w:r>
    </w:p>
    <w:p w14:paraId="31F77C2D">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7、投标人负责光伏发电系统安装调试、</w:t>
      </w:r>
      <w:bookmarkStart w:id="413" w:name="OLE_LINK449"/>
      <w:bookmarkStart w:id="414" w:name="OLE_LINK447"/>
      <w:bookmarkStart w:id="415" w:name="OLE_LINK448"/>
      <w:r>
        <w:rPr>
          <w:rFonts w:hint="eastAsia" w:ascii="宋体" w:hAnsi="宋体" w:eastAsia="宋体" w:cs="宋体"/>
          <w:color w:val="000000" w:themeColor="text1"/>
          <w:szCs w:val="21"/>
          <w:highlight w:val="none"/>
          <w14:textFill>
            <w14:solidFill>
              <w14:schemeClr w14:val="tx1"/>
            </w14:solidFill>
          </w14:textFill>
        </w:rPr>
        <w:t>质保期内的维修保养服务</w:t>
      </w:r>
      <w:bookmarkEnd w:id="413"/>
      <w:bookmarkEnd w:id="414"/>
      <w:bookmarkEnd w:id="415"/>
      <w:r>
        <w:rPr>
          <w:rFonts w:hint="eastAsia" w:ascii="宋体" w:hAnsi="宋体" w:eastAsia="宋体" w:cs="宋体"/>
          <w:color w:val="000000" w:themeColor="text1"/>
          <w:szCs w:val="21"/>
          <w:highlight w:val="none"/>
          <w14:textFill>
            <w14:solidFill>
              <w14:schemeClr w14:val="tx1"/>
            </w14:solidFill>
          </w14:textFill>
        </w:rPr>
        <w:t>，各投标方需根据</w:t>
      </w:r>
      <w:bookmarkStart w:id="416" w:name="OLE_LINK22"/>
      <w:r>
        <w:rPr>
          <w:rFonts w:hint="eastAsia" w:ascii="宋体" w:hAnsi="宋体" w:eastAsia="宋体" w:cs="宋体"/>
          <w:color w:val="000000" w:themeColor="text1"/>
          <w:szCs w:val="21"/>
          <w:highlight w:val="none"/>
          <w14:textFill>
            <w14:solidFill>
              <w14:schemeClr w14:val="tx1"/>
            </w14:solidFill>
          </w14:textFill>
        </w:rPr>
        <w:t>实际情况</w:t>
      </w:r>
      <w:bookmarkEnd w:id="416"/>
      <w:r>
        <w:rPr>
          <w:rFonts w:hint="eastAsia" w:ascii="宋体" w:hAnsi="宋体" w:eastAsia="宋体" w:cs="宋体"/>
          <w:color w:val="000000" w:themeColor="text1"/>
          <w:szCs w:val="21"/>
          <w:highlight w:val="none"/>
          <w14:textFill>
            <w14:solidFill>
              <w14:schemeClr w14:val="tx1"/>
            </w14:solidFill>
          </w14:textFill>
        </w:rPr>
        <w:t>，合理布局，提高屋顶利用率并给出合理的</w:t>
      </w:r>
      <w:bookmarkStart w:id="417" w:name="OLE_LINK24"/>
      <w:r>
        <w:rPr>
          <w:rFonts w:hint="eastAsia" w:ascii="宋体" w:hAnsi="宋体" w:eastAsia="宋体" w:cs="宋体"/>
          <w:color w:val="000000" w:themeColor="text1"/>
          <w:szCs w:val="21"/>
          <w:highlight w:val="none"/>
          <w14:textFill>
            <w14:solidFill>
              <w14:schemeClr w14:val="tx1"/>
            </w14:solidFill>
          </w14:textFill>
        </w:rPr>
        <w:t>设计容量</w:t>
      </w:r>
      <w:bookmarkEnd w:id="417"/>
      <w:r>
        <w:rPr>
          <w:rFonts w:hint="eastAsia" w:ascii="宋体" w:hAnsi="宋体" w:eastAsia="宋体" w:cs="宋体"/>
          <w:color w:val="000000" w:themeColor="text1"/>
          <w:szCs w:val="21"/>
          <w:highlight w:val="none"/>
          <w14:textFill>
            <w14:solidFill>
              <w14:schemeClr w14:val="tx1"/>
            </w14:solidFill>
          </w14:textFill>
        </w:rPr>
        <w:t>；</w:t>
      </w:r>
    </w:p>
    <w:p w14:paraId="7E639619">
      <w:pPr>
        <w:widowControl/>
        <w:tabs>
          <w:tab w:val="center" w:pos="3125"/>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8、报价包含项目</w:t>
      </w:r>
      <w:bookmarkStart w:id="418" w:name="OLE_LINK358"/>
      <w:r>
        <w:rPr>
          <w:rFonts w:hint="eastAsia" w:ascii="宋体" w:hAnsi="宋体" w:eastAsia="宋体" w:cs="宋体"/>
          <w:color w:val="000000" w:themeColor="text1"/>
          <w:szCs w:val="21"/>
          <w:highlight w:val="none"/>
          <w14:textFill>
            <w14:solidFill>
              <w14:schemeClr w14:val="tx1"/>
            </w14:solidFill>
          </w14:textFill>
        </w:rPr>
        <w:t>最终</w:t>
      </w:r>
      <w:bookmarkEnd w:id="418"/>
      <w:r>
        <w:rPr>
          <w:rFonts w:hint="eastAsia" w:ascii="宋体" w:hAnsi="宋体" w:eastAsia="宋体" w:cs="宋体"/>
          <w:color w:val="000000" w:themeColor="text1"/>
          <w:szCs w:val="21"/>
          <w:highlight w:val="none"/>
          <w14:textFill>
            <w14:solidFill>
              <w14:schemeClr w14:val="tx1"/>
            </w14:solidFill>
          </w14:textFill>
        </w:rPr>
        <w:t>验收合格，并网送电后，1年的运维费，包括但不限于运维的人工、材料、成本、利润、机械设备使用费、措施费、税费、日常办公费用、巡检费、设备设施维修养护/清洗费、设备运营所需的维修及耗材费用、员工保险等一切费用等；</w:t>
      </w:r>
    </w:p>
    <w:p w14:paraId="4D822F6C">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9、投标人实施光伏项目时，以不影响项目现场正常生产运营为前提；</w:t>
      </w:r>
    </w:p>
    <w:p w14:paraId="16622345">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10、在安装阶段，投标人应根据项目现场提前做好组件清洗上水管道的预留、屋顶电站检修通道及楼梯等设施。</w:t>
      </w:r>
    </w:p>
    <w:p w14:paraId="4DEFCA29">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11、现场图片</w:t>
      </w:r>
    </w:p>
    <w:p w14:paraId="032B544D">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图 1-1 现场航拍图</w:t>
      </w:r>
    </w:p>
    <w:p w14:paraId="304DB370">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drawing>
          <wp:inline distT="0" distB="0" distL="114300" distR="114300">
            <wp:extent cx="5010150" cy="2966720"/>
            <wp:effectExtent l="0" t="0" r="0" b="5080"/>
            <wp:docPr id="8" name="图片 8" descr="DJI_20240812101741_0041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JI_20240812101741_0041_D"/>
                    <pic:cNvPicPr>
                      <a:picLocks noChangeAspect="1"/>
                    </pic:cNvPicPr>
                  </pic:nvPicPr>
                  <pic:blipFill>
                    <a:blip r:embed="rId9"/>
                    <a:srcRect r="5008"/>
                    <a:stretch>
                      <a:fillRect/>
                    </a:stretch>
                  </pic:blipFill>
                  <pic:spPr>
                    <a:xfrm>
                      <a:off x="0" y="0"/>
                      <a:ext cx="5010150" cy="2966720"/>
                    </a:xfrm>
                    <a:prstGeom prst="rect">
                      <a:avLst/>
                    </a:prstGeom>
                  </pic:spPr>
                </pic:pic>
              </a:graphicData>
            </a:graphic>
          </wp:inline>
        </w:drawing>
      </w:r>
    </w:p>
    <w:p w14:paraId="2FE9A2A3">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第四水厂现场航拍图</w:t>
      </w:r>
    </w:p>
    <w:p w14:paraId="3111149E">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drawing>
          <wp:inline distT="0" distB="0" distL="114300" distR="114300">
            <wp:extent cx="5036185" cy="2966720"/>
            <wp:effectExtent l="0" t="0" r="12065" b="5080"/>
            <wp:docPr id="9" name="图片 9" descr="DJI_20240812160207_0026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JI_20240812160207_0026_D"/>
                    <pic:cNvPicPr>
                      <a:picLocks noChangeAspect="1"/>
                    </pic:cNvPicPr>
                  </pic:nvPicPr>
                  <pic:blipFill>
                    <a:blip r:embed="rId10"/>
                    <a:srcRect l="4515"/>
                    <a:stretch>
                      <a:fillRect/>
                    </a:stretch>
                  </pic:blipFill>
                  <pic:spPr>
                    <a:xfrm>
                      <a:off x="0" y="0"/>
                      <a:ext cx="5036185" cy="2966720"/>
                    </a:xfrm>
                    <a:prstGeom prst="rect">
                      <a:avLst/>
                    </a:prstGeom>
                  </pic:spPr>
                </pic:pic>
              </a:graphicData>
            </a:graphic>
          </wp:inline>
        </w:drawing>
      </w:r>
    </w:p>
    <w:p w14:paraId="7750BD39">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第六水厂现场航拍图</w:t>
      </w:r>
    </w:p>
    <w:p w14:paraId="6F782D03">
      <w:pPr>
        <w:spacing w:line="360" w:lineRule="auto"/>
        <w:jc w:val="center"/>
        <w:rPr>
          <w:rFonts w:ascii="宋体" w:hAnsi="宋体" w:eastAsia="宋体" w:cs="宋体"/>
          <w:color w:val="000000" w:themeColor="text1"/>
          <w:szCs w:val="21"/>
          <w:highlight w:val="none"/>
          <w14:textFill>
            <w14:solidFill>
              <w14:schemeClr w14:val="tx1"/>
            </w14:solidFill>
          </w14:textFill>
        </w:rPr>
      </w:pPr>
    </w:p>
    <w:p w14:paraId="7063CF49">
      <w:pPr>
        <w:spacing w:line="360" w:lineRule="auto"/>
        <w:rPr>
          <w:rFonts w:ascii="宋体" w:hAnsi="宋体" w:eastAsia="宋体" w:cs="宋体"/>
          <w:color w:val="000000" w:themeColor="text1"/>
          <w:szCs w:val="21"/>
          <w:highlight w:val="none"/>
          <w14:textFill>
            <w14:solidFill>
              <w14:schemeClr w14:val="tx1"/>
            </w14:solidFill>
          </w14:textFill>
        </w:rPr>
      </w:pPr>
    </w:p>
    <w:p w14:paraId="401425D2">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图 1-2 光伏板布置图</w:t>
      </w:r>
    </w:p>
    <w:p w14:paraId="5FFBBE55">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drawing>
          <wp:inline distT="0" distB="0" distL="114300" distR="114300">
            <wp:extent cx="5273675" cy="4032250"/>
            <wp:effectExtent l="0" t="0" r="3175" b="6350"/>
            <wp:docPr id="10" name="图片 10" descr="1726112540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26112540975"/>
                    <pic:cNvPicPr>
                      <a:picLocks noChangeAspect="1"/>
                    </pic:cNvPicPr>
                  </pic:nvPicPr>
                  <pic:blipFill>
                    <a:blip r:embed="rId11"/>
                    <a:stretch>
                      <a:fillRect/>
                    </a:stretch>
                  </pic:blipFill>
                  <pic:spPr>
                    <a:xfrm>
                      <a:off x="0" y="0"/>
                      <a:ext cx="5273675" cy="4032250"/>
                    </a:xfrm>
                    <a:prstGeom prst="rect">
                      <a:avLst/>
                    </a:prstGeom>
                  </pic:spPr>
                </pic:pic>
              </a:graphicData>
            </a:graphic>
          </wp:inline>
        </w:drawing>
      </w:r>
      <w:r>
        <w:rPr>
          <w:rFonts w:hint="eastAsia" w:ascii="宋体" w:hAnsi="宋体" w:eastAsia="宋体" w:cs="宋体"/>
          <w:color w:val="000000" w:themeColor="text1"/>
          <w:szCs w:val="21"/>
          <w:highlight w:val="none"/>
          <w14:textFill>
            <w14:solidFill>
              <w14:schemeClr w14:val="tx1"/>
            </w14:solidFill>
          </w14:textFill>
        </w:rPr>
        <w:drawing>
          <wp:inline distT="0" distB="0" distL="114300" distR="114300">
            <wp:extent cx="5271770" cy="3721100"/>
            <wp:effectExtent l="0" t="0" r="5080" b="12700"/>
            <wp:docPr id="11" name="图片 11" descr="1726112582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26112582693"/>
                    <pic:cNvPicPr>
                      <a:picLocks noChangeAspect="1"/>
                    </pic:cNvPicPr>
                  </pic:nvPicPr>
                  <pic:blipFill>
                    <a:blip r:embed="rId12"/>
                    <a:stretch>
                      <a:fillRect/>
                    </a:stretch>
                  </pic:blipFill>
                  <pic:spPr>
                    <a:xfrm>
                      <a:off x="0" y="0"/>
                      <a:ext cx="5271770" cy="3721100"/>
                    </a:xfrm>
                    <a:prstGeom prst="rect">
                      <a:avLst/>
                    </a:prstGeom>
                  </pic:spPr>
                </pic:pic>
              </a:graphicData>
            </a:graphic>
          </wp:inline>
        </w:drawing>
      </w:r>
    </w:p>
    <w:p w14:paraId="57C1A2F0">
      <w:pPr>
        <w:keepNext/>
        <w:keepLines/>
        <w:spacing w:line="360" w:lineRule="auto"/>
        <w:outlineLvl w:val="3"/>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w:t>
      </w:r>
      <w:bookmarkStart w:id="419" w:name="OLE_LINK322"/>
      <w:r>
        <w:rPr>
          <w:rFonts w:hint="eastAsia" w:ascii="宋体" w:hAnsi="宋体" w:eastAsia="宋体" w:cs="宋体"/>
          <w:b/>
          <w:bCs/>
          <w:color w:val="000000" w:themeColor="text1"/>
          <w:szCs w:val="21"/>
          <w:highlight w:val="none"/>
          <w14:textFill>
            <w14:solidFill>
              <w14:schemeClr w14:val="tx1"/>
            </w14:solidFill>
          </w14:textFill>
        </w:rPr>
        <w:t>光伏发电设施技术要求</w:t>
      </w:r>
      <w:bookmarkEnd w:id="419"/>
    </w:p>
    <w:p w14:paraId="3A94A5C8">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1.光伏支架、基础技术要求</w:t>
      </w:r>
    </w:p>
    <w:p w14:paraId="73A8C644">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（1）如需进行深化设计时的设计要求</w:t>
      </w:r>
    </w:p>
    <w:p w14:paraId="2CCB0C06">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①本项目光伏系统的支架应按照国家规范所规定的50年一遇风压进行支架结构及基础设计。</w:t>
      </w:r>
    </w:p>
    <w:p w14:paraId="04991C9F">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bookmarkStart w:id="420" w:name="OLE_LINK146"/>
      <w:r>
        <w:rPr>
          <w:rFonts w:hint="eastAsia" w:ascii="宋体" w:hAnsi="宋体" w:eastAsia="宋体" w:cs="宋体"/>
          <w:color w:val="000000" w:themeColor="text1"/>
          <w:szCs w:val="21"/>
          <w:highlight w:val="none"/>
          <w14:textFill>
            <w14:solidFill>
              <w14:schemeClr w14:val="tx1"/>
            </w14:solidFill>
          </w14:textFill>
        </w:rPr>
        <w:t>②原设计方案中的光伏棚敷设样式、钢结构要求、光伏组件参数、逆变器参数、电缆材质、规格等原则上不得调整，若需要调整，必须经招标人同意方可实施。</w:t>
      </w:r>
    </w:p>
    <w:bookmarkEnd w:id="420"/>
    <w:p w14:paraId="00EBBC75">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bookmarkStart w:id="421" w:name="OLE_LINK148"/>
      <w:r>
        <w:rPr>
          <w:rFonts w:hint="eastAsia" w:ascii="宋体" w:hAnsi="宋体" w:eastAsia="宋体" w:cs="宋体"/>
          <w:color w:val="000000" w:themeColor="text1"/>
          <w:szCs w:val="21"/>
          <w:highlight w:val="none"/>
          <w14:textFill>
            <w14:solidFill>
              <w14:schemeClr w14:val="tx1"/>
            </w14:solidFill>
          </w14:textFill>
        </w:rPr>
        <w:t>③混凝土屋面光伏系统安装后的总荷载原则上必须≤150kG/m</w:t>
      </w:r>
      <w:bookmarkStart w:id="422" w:name="OLE_LINK27"/>
      <w:r>
        <w:rPr>
          <w:rFonts w:hint="eastAsia" w:ascii="宋体" w:hAnsi="宋体" w:eastAsia="宋体" w:cs="宋体"/>
          <w:color w:val="000000" w:themeColor="text1"/>
          <w:szCs w:val="21"/>
          <w:highlight w:val="none"/>
          <w:vertAlign w:val="superscript"/>
          <w14:textFill>
            <w14:solidFill>
              <w14:schemeClr w14:val="tx1"/>
            </w14:solidFill>
          </w14:textFill>
        </w:rPr>
        <w:t>2</w:t>
      </w:r>
      <w:bookmarkEnd w:id="422"/>
      <w:r>
        <w:rPr>
          <w:rFonts w:hint="eastAsia" w:ascii="宋体" w:hAnsi="宋体" w:eastAsia="宋体" w:cs="宋体"/>
          <w:color w:val="000000" w:themeColor="text1"/>
          <w:szCs w:val="21"/>
          <w:highlight w:val="none"/>
          <w14:textFill>
            <w14:solidFill>
              <w14:schemeClr w14:val="tx1"/>
            </w14:solidFill>
          </w14:textFill>
        </w:rPr>
        <w:t>。</w:t>
      </w:r>
    </w:p>
    <w:bookmarkEnd w:id="421"/>
    <w:p w14:paraId="6EA98CEC">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④混凝土屋顶支架形式采用固定式钢支架，用Q235B及以上钢材，钢材防腐采用热浸锌和镀镁铝锌两种方式。若采用热浸锌防腐，锌层平均厚度不低于65um；若采用镀镁铝锌防腐，双面镀层重量不少于275g/m</w:t>
      </w:r>
      <w:bookmarkStart w:id="423" w:name="OLE_LINK28"/>
      <w:r>
        <w:rPr>
          <w:rFonts w:hint="eastAsia" w:ascii="宋体" w:hAnsi="宋体" w:eastAsia="宋体" w:cs="宋体"/>
          <w:color w:val="000000" w:themeColor="text1"/>
          <w:szCs w:val="21"/>
          <w:highlight w:val="none"/>
          <w:vertAlign w:val="superscript"/>
          <w14:textFill>
            <w14:solidFill>
              <w14:schemeClr w14:val="tx1"/>
            </w14:solidFill>
          </w14:textFill>
        </w:rPr>
        <w:t>2</w:t>
      </w:r>
      <w:bookmarkEnd w:id="423"/>
      <w:r>
        <w:rPr>
          <w:rFonts w:hint="eastAsia" w:ascii="宋体" w:hAnsi="宋体" w:eastAsia="宋体" w:cs="宋体"/>
          <w:color w:val="000000" w:themeColor="text1"/>
          <w:szCs w:val="21"/>
          <w:highlight w:val="none"/>
          <w14:textFill>
            <w14:solidFill>
              <w14:schemeClr w14:val="tx1"/>
            </w14:solidFill>
          </w14:textFill>
        </w:rPr>
        <w:t>。主梁和立柱的厚度不小于2.5mm，用于次梁的板厚不小于2.0mm，用于主次构件连接的钢板和构件厚度不得小于3mm。为防止混凝土开裂，按规范要求配置钢筋，</w:t>
      </w:r>
      <w:bookmarkStart w:id="424" w:name="OLE_LINK29"/>
      <w:r>
        <w:rPr>
          <w:rFonts w:hint="eastAsia" w:ascii="宋体" w:hAnsi="宋体" w:eastAsia="宋体" w:cs="宋体"/>
          <w:color w:val="000000" w:themeColor="text1"/>
          <w:szCs w:val="21"/>
          <w:highlight w:val="none"/>
          <w14:textFill>
            <w14:solidFill>
              <w14:schemeClr w14:val="tx1"/>
            </w14:solidFill>
          </w14:textFill>
        </w:rPr>
        <w:t>混凝土强度等级用C25</w:t>
      </w:r>
      <w:bookmarkEnd w:id="424"/>
      <w:r>
        <w:rPr>
          <w:rFonts w:hint="eastAsia" w:ascii="宋体" w:hAnsi="宋体" w:eastAsia="宋体" w:cs="宋体"/>
          <w:color w:val="000000" w:themeColor="text1"/>
          <w:szCs w:val="21"/>
          <w:highlight w:val="none"/>
          <w14:textFill>
            <w14:solidFill>
              <w14:schemeClr w14:val="tx1"/>
            </w14:solidFill>
          </w14:textFill>
        </w:rPr>
        <w:t>以上。</w:t>
      </w:r>
    </w:p>
    <w:p w14:paraId="79903151">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⑤棚架结构采用固定式钢支架，用Q235B及以上型钢(特殊要求除外)，锌层厚度不低于65um。棚架的檐口高度不得低于2.5m，最高点不得高于2.8m，安装倾角经模拟后判断后确定，整体棚架设计必须通过城管部门和供电部门验收。</w:t>
      </w:r>
    </w:p>
    <w:p w14:paraId="2BC0F846">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⑥混凝土屋面不得采用膨胀螺栓固定支架的方式，而应采用混凝土支墩基础（形状要求：圆柱形）的方案来达到抗风荷载的要求；若因光伏项目造成屋面漏水的，由投标人负责处理完好。</w:t>
      </w:r>
    </w:p>
    <w:p w14:paraId="2501550C">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⑦光伏支架设计应满足10年内可拆卸再利用和25年内安全使用的要求。</w:t>
      </w:r>
    </w:p>
    <w:p w14:paraId="3F286901">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⑧设计时，整个支架结构的强度、挠度、稳定性应符合国家结构设计相关规范的安全性要求；同时，支架结构的的节点连接也应满足国家结构设计规范的结构安全性的要求。</w:t>
      </w:r>
    </w:p>
    <w:p w14:paraId="0C511552">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（3）安装要求</w:t>
      </w:r>
    </w:p>
    <w:p w14:paraId="1DABA8FB">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①光伏组件安装时必须在天窗周边、天沟周边、</w:t>
      </w:r>
      <w:bookmarkStart w:id="425" w:name="OLE_LINK31"/>
      <w:r>
        <w:rPr>
          <w:rFonts w:hint="eastAsia" w:ascii="宋体" w:hAnsi="宋体" w:eastAsia="宋体" w:cs="宋体"/>
          <w:color w:val="000000" w:themeColor="text1"/>
          <w:szCs w:val="21"/>
          <w:highlight w:val="none"/>
          <w14:textFill>
            <w14:solidFill>
              <w14:schemeClr w14:val="tx1"/>
            </w14:solidFill>
          </w14:textFill>
        </w:rPr>
        <w:t>女儿墙边</w:t>
      </w:r>
      <w:bookmarkEnd w:id="425"/>
      <w:r>
        <w:rPr>
          <w:rFonts w:hint="eastAsia" w:ascii="宋体" w:hAnsi="宋体" w:eastAsia="宋体" w:cs="宋体"/>
          <w:color w:val="000000" w:themeColor="text1"/>
          <w:szCs w:val="21"/>
          <w:highlight w:val="none"/>
          <w14:textFill>
            <w14:solidFill>
              <w14:schemeClr w14:val="tx1"/>
            </w14:solidFill>
          </w14:textFill>
        </w:rPr>
        <w:t>、出屋面风管等设备周边、采光带周边、高低跨交界面边等位置设置检修维护通道和空间，检修通道宽度、尺寸必须满足检修人员及工具正常通行和作业，并利于紧急情况下快速撤离。</w:t>
      </w:r>
    </w:p>
    <w:p w14:paraId="5D7E75E1">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光伏组件安装时，投标人必须对招标人屋面做好相应的保护措施，避免安装过程中对招标人屋面造成损坏(尤其是屋面的防水层、油漆层)。如不慎造成损坏，投标人必须无条件维修好并承担所需全部费用。若由此造成屋面漏水的，投标人应</w:t>
      </w:r>
      <w:bookmarkStart w:id="426" w:name="OLE_LINK84"/>
      <w:r>
        <w:rPr>
          <w:rFonts w:hint="eastAsia" w:ascii="宋体" w:hAnsi="宋体" w:eastAsia="宋体" w:cs="宋体"/>
          <w:color w:val="000000" w:themeColor="text1"/>
          <w:szCs w:val="21"/>
          <w:highlight w:val="none"/>
          <w14:textFill>
            <w14:solidFill>
              <w14:schemeClr w14:val="tx1"/>
            </w14:solidFill>
          </w14:textFill>
        </w:rPr>
        <w:t>按照招标人遭受的连带损失统一进行</w:t>
      </w:r>
      <w:bookmarkStart w:id="427" w:name="OLE_LINK38"/>
      <w:r>
        <w:rPr>
          <w:rFonts w:hint="eastAsia" w:ascii="宋体" w:hAnsi="宋体" w:eastAsia="宋体" w:cs="宋体"/>
          <w:color w:val="000000" w:themeColor="text1"/>
          <w:szCs w:val="21"/>
          <w:highlight w:val="none"/>
          <w14:textFill>
            <w14:solidFill>
              <w14:schemeClr w14:val="tx1"/>
            </w14:solidFill>
          </w14:textFill>
        </w:rPr>
        <w:t>赔偿</w:t>
      </w:r>
      <w:bookmarkEnd w:id="426"/>
      <w:bookmarkEnd w:id="427"/>
      <w:r>
        <w:rPr>
          <w:rFonts w:hint="eastAsia" w:ascii="宋体" w:hAnsi="宋体" w:eastAsia="宋体" w:cs="宋体"/>
          <w:color w:val="000000" w:themeColor="text1"/>
          <w:szCs w:val="21"/>
          <w:highlight w:val="none"/>
          <w14:textFill>
            <w14:solidFill>
              <w14:schemeClr w14:val="tx1"/>
            </w14:solidFill>
          </w14:textFill>
        </w:rPr>
        <w:t>。</w:t>
      </w:r>
    </w:p>
    <w:p w14:paraId="577D2AA1">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③安装螺栓选用不锈钢304及以上材质，表面需钝化，安装前须点胶或采用防松动螺母。</w:t>
      </w:r>
    </w:p>
    <w:p w14:paraId="77D93FEC">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④本项目的部分屋面的利用率，各投标人在投标前认真查看图纸核算。</w:t>
      </w:r>
    </w:p>
    <w:p w14:paraId="64762DFA">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2.光伏系统的电气接入(并网)技术要求</w:t>
      </w:r>
    </w:p>
    <w:p w14:paraId="24CEC9BB">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（1）投标人需完成项目接入系统部分供电部门的备案、报装、相关报验流程、验收手续及装表并网手续，同时在并网后前期做好相关供售电手续交接事宜。</w:t>
      </w:r>
    </w:p>
    <w:p w14:paraId="2C1DD2B7">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分布式光伏发电系统的电气接入电压等级、接线等应满足国标及南方电网有关的技术规程规范的要求，须考虑单个并网点装机容量、接入条件、变压器容量、功率因数及负荷情况。应根据有关光伏系统接入规程规范做接入系统的技术经济研究，确定最优的、满足当地南方电网公司相关要求的电气接入系统方案，并需得到当地供电部门的批准。</w:t>
      </w:r>
    </w:p>
    <w:p w14:paraId="0F2990C6">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（3）分布式光伏发电系统接入后应不得降低招标人原有供配电系统的供电稳定性、可靠性，应把对原供配电系统的影响降低到最小限度，同时不得影响供电部门停电检修。</w:t>
      </w:r>
    </w:p>
    <w:p w14:paraId="48A3AAAF">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（4）分布式光伏发电系统必须在逆变器输出汇总点设置易于操作、可闭锁、且具有明显断开点的并网总断路器，以保证电力设备检修维护人员的人身安全。</w:t>
      </w:r>
    </w:p>
    <w:p w14:paraId="49D7E29A">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（5）分布式光伏发电系统和并网点设备的防雷和接地应符合南方电网公司规定要求，接地电阻合格，并按规定周期进行测试。</w:t>
      </w:r>
    </w:p>
    <w:p w14:paraId="7A1CFE6A">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分布式光伏发电系统或电网异常、故障时为保护设备和人身安全，应具有相应继电保护功能，保护电网和光伏设备的安全运行，确保维护人员和公众人身安全。光伏电站的保护应符合南方电网规定的可靠性、选择性、灵活性和速动性的要求。</w:t>
      </w:r>
    </w:p>
    <w:p w14:paraId="45592BDB">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（7）分布式光伏发电系统的过流与短路保护、防孤岛能力、逆变器保护、恢复并网等应满足南方电网规定的要求。</w:t>
      </w:r>
    </w:p>
    <w:p w14:paraId="08F45A70">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（8）分布式光伏发电系统的电能质量满足规程要求，电压谐波和波形畸变、电压偏差、电压波动和闪变、电压不平衡度、直流分量在南方电网规定的范围内，保证功率因素在0.98以上。</w:t>
      </w:r>
    </w:p>
    <w:p w14:paraId="213E210E">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（9）分布式光伏发电系统的安全自动装置应按国家规定配置齐全。</w:t>
      </w:r>
    </w:p>
    <w:p w14:paraId="6786C98F">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3.光伏组件技术要求</w:t>
      </w:r>
    </w:p>
    <w:p w14:paraId="38EF6AFC">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（1）采用高效率</w:t>
      </w:r>
      <w:bookmarkStart w:id="428" w:name="OLE_LINK41"/>
      <w:r>
        <w:rPr>
          <w:rFonts w:hint="eastAsia" w:ascii="宋体" w:hAnsi="宋体" w:eastAsia="宋体" w:cs="宋体"/>
          <w:color w:val="000000" w:themeColor="text1"/>
          <w:szCs w:val="21"/>
          <w:highlight w:val="none"/>
          <w14:textFill>
            <w14:solidFill>
              <w14:schemeClr w14:val="tx1"/>
            </w14:solidFill>
          </w14:textFill>
        </w:rPr>
        <w:t>单晶硅590Wp</w:t>
      </w:r>
      <w:bookmarkEnd w:id="428"/>
      <w:r>
        <w:rPr>
          <w:rFonts w:hint="eastAsia" w:ascii="宋体" w:hAnsi="宋体" w:eastAsia="宋体" w:cs="宋体"/>
          <w:color w:val="000000" w:themeColor="text1"/>
          <w:szCs w:val="21"/>
          <w:highlight w:val="none"/>
          <w14:textFill>
            <w14:solidFill>
              <w14:schemeClr w14:val="tx1"/>
            </w14:solidFill>
          </w14:textFill>
        </w:rPr>
        <w:t>及以上的太阳能光伏组件，使用寿命不低于30年，不少于15年材料工艺质保和25年线性功率质保，投标文件中提供质保说明书，具体技术参数要求严格按下表执行：</w:t>
      </w:r>
    </w:p>
    <w:p w14:paraId="53E81EEF">
      <w:pPr>
        <w:wordWrap w:val="0"/>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pacing w:val="13"/>
          <w:szCs w:val="21"/>
          <w:highlight w:val="none"/>
          <w14:textFill>
            <w14:solidFill>
              <w14:schemeClr w14:val="tx1"/>
            </w14:solidFill>
          </w14:textFill>
        </w:rPr>
        <w:t>光伏组</w:t>
      </w:r>
      <w:r>
        <w:rPr>
          <w:rFonts w:hint="eastAsia" w:ascii="宋体" w:hAnsi="宋体" w:eastAsia="宋体" w:cs="宋体"/>
          <w:b/>
          <w:bCs/>
          <w:color w:val="000000" w:themeColor="text1"/>
          <w:spacing w:val="8"/>
          <w:szCs w:val="21"/>
          <w:highlight w:val="none"/>
          <w14:textFill>
            <w14:solidFill>
              <w14:schemeClr w14:val="tx1"/>
            </w14:solidFill>
          </w14:textFill>
        </w:rPr>
        <w:t>件主要技术参数表</w:t>
      </w:r>
    </w:p>
    <w:tbl>
      <w:tblPr>
        <w:tblStyle w:val="202"/>
        <w:tblW w:w="502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874"/>
        <w:gridCol w:w="5333"/>
      </w:tblGrid>
      <w:tr w14:paraId="410A4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387" w:type="pct"/>
            <w:vAlign w:val="bottom"/>
          </w:tcPr>
          <w:p w14:paraId="0AF7AB6B">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型号规</w:t>
            </w:r>
            <w:r>
              <w:rPr>
                <w:rFonts w:hint="eastAsia" w:ascii="宋体" w:hAnsi="宋体" w:eastAsia="宋体" w:cs="宋体"/>
                <w:color w:val="000000" w:themeColor="text1"/>
                <w:spacing w:val="5"/>
                <w:szCs w:val="21"/>
                <w:highlight w:val="none"/>
                <w14:textFill>
                  <w14:solidFill>
                    <w14:schemeClr w14:val="tx1"/>
                  </w14:solidFill>
                </w14:textFill>
              </w:rPr>
              <w:t>格</w:t>
            </w:r>
          </w:p>
        </w:tc>
        <w:tc>
          <w:tcPr>
            <w:tcW w:w="2612" w:type="pct"/>
            <w:vAlign w:val="bottom"/>
          </w:tcPr>
          <w:p w14:paraId="5A77CD42">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单晶硅单面</w:t>
            </w:r>
            <w:r>
              <w:rPr>
                <w:rFonts w:hint="eastAsia" w:ascii="宋体" w:hAnsi="宋体" w:eastAsia="宋体" w:cs="宋体"/>
                <w:color w:val="000000" w:themeColor="text1"/>
                <w:spacing w:val="-2"/>
                <w:szCs w:val="21"/>
                <w:highlight w:val="none"/>
                <w14:textFill>
                  <w14:solidFill>
                    <w14:schemeClr w14:val="tx1"/>
                  </w14:solidFill>
                </w14:textFill>
              </w:rPr>
              <w:t>590Wp以上</w:t>
            </w:r>
          </w:p>
        </w:tc>
      </w:tr>
      <w:tr w14:paraId="46F10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4391B74F">
            <w:pPr>
              <w:spacing w:line="360" w:lineRule="auto"/>
              <w:jc w:val="center"/>
              <w:rPr>
                <w:rFonts w:ascii="宋体" w:hAnsi="宋体" w:eastAsia="宋体" w:cs="宋体"/>
                <w:color w:val="000000" w:themeColor="text1"/>
                <w:szCs w:val="21"/>
                <w:highlight w:val="none"/>
                <w14:textFill>
                  <w14:solidFill>
                    <w14:schemeClr w14:val="tx1"/>
                  </w14:solidFill>
                </w14:textFill>
              </w:rPr>
            </w:pPr>
            <w:bookmarkStart w:id="429" w:name="OLE_LINK42"/>
            <w:r>
              <w:rPr>
                <w:rFonts w:hint="eastAsia" w:ascii="宋体" w:hAnsi="宋体" w:eastAsia="宋体" w:cs="宋体"/>
                <w:color w:val="000000" w:themeColor="text1"/>
                <w:spacing w:val="1"/>
                <w:szCs w:val="21"/>
                <w:highlight w:val="none"/>
                <w14:textFill>
                  <w14:solidFill>
                    <w14:schemeClr w14:val="tx1"/>
                  </w14:solidFill>
                </w14:textFill>
              </w:rPr>
              <w:t>标称功率</w:t>
            </w:r>
            <w:bookmarkEnd w:id="429"/>
            <w:r>
              <w:rPr>
                <w:rFonts w:hint="eastAsia" w:ascii="宋体" w:hAnsi="宋体" w:eastAsia="宋体" w:cs="宋体"/>
                <w:color w:val="000000" w:themeColor="text1"/>
                <w:szCs w:val="21"/>
                <w:highlight w:val="none"/>
                <w14:textFill>
                  <w14:solidFill>
                    <w14:schemeClr w14:val="tx1"/>
                  </w14:solidFill>
                </w14:textFill>
              </w:rPr>
              <w:t>(W)</w:t>
            </w:r>
          </w:p>
        </w:tc>
        <w:tc>
          <w:tcPr>
            <w:tcW w:w="2612" w:type="pct"/>
            <w:vAlign w:val="bottom"/>
          </w:tcPr>
          <w:p w14:paraId="48322638">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≥590</w:t>
            </w:r>
          </w:p>
        </w:tc>
      </w:tr>
      <w:tr w14:paraId="1072A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27CC3FFD">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组</w:t>
            </w:r>
            <w:r>
              <w:rPr>
                <w:rFonts w:hint="eastAsia" w:ascii="宋体" w:hAnsi="宋体" w:eastAsia="宋体" w:cs="宋体"/>
                <w:color w:val="000000" w:themeColor="text1"/>
                <w:spacing w:val="-5"/>
                <w:szCs w:val="21"/>
                <w:highlight w:val="none"/>
                <w14:textFill>
                  <w14:solidFill>
                    <w14:schemeClr w14:val="tx1"/>
                  </w14:solidFill>
                </w14:textFill>
              </w:rPr>
              <w:t>件效率(</w:t>
            </w:r>
            <w:r>
              <w:rPr>
                <w:rFonts w:hint="eastAsia" w:ascii="宋体" w:hAnsi="宋体" w:eastAsia="宋体" w:cs="宋体"/>
                <w:color w:val="000000" w:themeColor="text1"/>
                <w:spacing w:val="2"/>
                <w:position w:val="-1"/>
                <w:szCs w:val="21"/>
                <w:highlight w:val="none"/>
                <w14:textFill>
                  <w14:solidFill>
                    <w14:schemeClr w14:val="tx1"/>
                  </w14:solidFill>
                </w14:textFill>
              </w:rPr>
              <w:t>%</w:t>
            </w:r>
            <w:r>
              <w:rPr>
                <w:rFonts w:hint="eastAsia" w:ascii="宋体" w:hAnsi="宋体" w:eastAsia="宋体" w:cs="宋体"/>
                <w:color w:val="000000" w:themeColor="text1"/>
                <w:spacing w:val="-5"/>
                <w:szCs w:val="21"/>
                <w:highlight w:val="none"/>
                <w14:textFill>
                  <w14:solidFill>
                    <w14:schemeClr w14:val="tx1"/>
                  </w14:solidFill>
                </w14:textFill>
              </w:rPr>
              <w:t>)</w:t>
            </w:r>
          </w:p>
        </w:tc>
        <w:tc>
          <w:tcPr>
            <w:tcW w:w="2612" w:type="pct"/>
            <w:vAlign w:val="bottom"/>
          </w:tcPr>
          <w:p w14:paraId="61BFA6E6">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pacing w:val="-2"/>
                <w:szCs w:val="21"/>
                <w:highlight w:val="none"/>
                <w14:textFill>
                  <w14:solidFill>
                    <w14:schemeClr w14:val="tx1"/>
                  </w14:solidFill>
                </w14:textFill>
              </w:rPr>
              <w:t>22.4</w:t>
            </w:r>
          </w:p>
        </w:tc>
      </w:tr>
      <w:tr w14:paraId="4F246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19370D68">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首年功率衰减率</w:t>
            </w:r>
            <w:r>
              <w:rPr>
                <w:rFonts w:hint="eastAsia" w:ascii="宋体" w:hAnsi="宋体" w:eastAsia="宋体" w:cs="宋体"/>
                <w:color w:val="000000" w:themeColor="text1"/>
                <w:spacing w:val="-5"/>
                <w:szCs w:val="21"/>
                <w:highlight w:val="none"/>
                <w14:textFill>
                  <w14:solidFill>
                    <w14:schemeClr w14:val="tx1"/>
                  </w14:solidFill>
                </w14:textFill>
              </w:rPr>
              <w:t>(</w:t>
            </w:r>
            <w:r>
              <w:rPr>
                <w:rFonts w:hint="eastAsia" w:ascii="宋体" w:hAnsi="宋体" w:eastAsia="宋体" w:cs="宋体"/>
                <w:color w:val="000000" w:themeColor="text1"/>
                <w:spacing w:val="2"/>
                <w:position w:val="-1"/>
                <w:szCs w:val="21"/>
                <w:highlight w:val="none"/>
                <w14:textFill>
                  <w14:solidFill>
                    <w14:schemeClr w14:val="tx1"/>
                  </w14:solidFill>
                </w14:textFill>
              </w:rPr>
              <w:t>%</w:t>
            </w:r>
            <w:r>
              <w:rPr>
                <w:rFonts w:hint="eastAsia" w:ascii="宋体" w:hAnsi="宋体" w:eastAsia="宋体" w:cs="宋体"/>
                <w:color w:val="000000" w:themeColor="text1"/>
                <w:spacing w:val="-5"/>
                <w:szCs w:val="21"/>
                <w:highlight w:val="none"/>
                <w14:textFill>
                  <w14:solidFill>
                    <w14:schemeClr w14:val="tx1"/>
                  </w14:solidFill>
                </w14:textFill>
              </w:rPr>
              <w:t>)</w:t>
            </w:r>
          </w:p>
        </w:tc>
        <w:tc>
          <w:tcPr>
            <w:tcW w:w="2612" w:type="pct"/>
            <w:vAlign w:val="bottom"/>
          </w:tcPr>
          <w:p w14:paraId="700A1DC1">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w:t>
            </w:r>
          </w:p>
        </w:tc>
      </w:tr>
      <w:tr w14:paraId="2783D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418ADAA5">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次年后每年功率衰减率</w:t>
            </w:r>
            <w:r>
              <w:rPr>
                <w:rFonts w:hint="eastAsia" w:ascii="宋体" w:hAnsi="宋体" w:eastAsia="宋体" w:cs="宋体"/>
                <w:color w:val="000000" w:themeColor="text1"/>
                <w:spacing w:val="-5"/>
                <w:szCs w:val="21"/>
                <w:highlight w:val="none"/>
                <w14:textFill>
                  <w14:solidFill>
                    <w14:schemeClr w14:val="tx1"/>
                  </w14:solidFill>
                </w14:textFill>
              </w:rPr>
              <w:t>(</w:t>
            </w:r>
            <w:r>
              <w:rPr>
                <w:rFonts w:hint="eastAsia" w:ascii="宋体" w:hAnsi="宋体" w:eastAsia="宋体" w:cs="宋体"/>
                <w:color w:val="000000" w:themeColor="text1"/>
                <w:spacing w:val="2"/>
                <w:position w:val="-1"/>
                <w:szCs w:val="21"/>
                <w:highlight w:val="none"/>
                <w14:textFill>
                  <w14:solidFill>
                    <w14:schemeClr w14:val="tx1"/>
                  </w14:solidFill>
                </w14:textFill>
              </w:rPr>
              <w:t>%</w:t>
            </w:r>
            <w:r>
              <w:rPr>
                <w:rFonts w:hint="eastAsia" w:ascii="宋体" w:hAnsi="宋体" w:eastAsia="宋体" w:cs="宋体"/>
                <w:color w:val="000000" w:themeColor="text1"/>
                <w:spacing w:val="-5"/>
                <w:szCs w:val="21"/>
                <w:highlight w:val="none"/>
                <w14:textFill>
                  <w14:solidFill>
                    <w14:schemeClr w14:val="tx1"/>
                  </w14:solidFill>
                </w14:textFill>
              </w:rPr>
              <w:t>)</w:t>
            </w:r>
          </w:p>
        </w:tc>
        <w:tc>
          <w:tcPr>
            <w:tcW w:w="2612" w:type="pct"/>
            <w:vAlign w:val="bottom"/>
          </w:tcPr>
          <w:p w14:paraId="06F2B12E">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pacing w:val="-2"/>
                <w:szCs w:val="21"/>
                <w:highlight w:val="none"/>
                <w14:textFill>
                  <w14:solidFill>
                    <w14:schemeClr w14:val="tx1"/>
                  </w14:solidFill>
                </w14:textFill>
              </w:rPr>
              <w:t>0.4</w:t>
            </w:r>
          </w:p>
        </w:tc>
      </w:tr>
      <w:tr w14:paraId="3853E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090ABEFA">
            <w:pPr>
              <w:spacing w:line="360" w:lineRule="auto"/>
              <w:jc w:val="center"/>
              <w:rPr>
                <w:rFonts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25年后</w:t>
            </w:r>
            <w:r>
              <w:rPr>
                <w:rFonts w:hint="eastAsia" w:ascii="宋体" w:hAnsi="宋体" w:eastAsia="宋体" w:cs="宋体"/>
                <w:color w:val="000000" w:themeColor="text1"/>
                <w:szCs w:val="21"/>
                <w:highlight w:val="none"/>
                <w14:textFill>
                  <w14:solidFill>
                    <w14:schemeClr w14:val="tx1"/>
                  </w14:solidFill>
                </w14:textFill>
              </w:rPr>
              <w:t>功率衰减率</w:t>
            </w:r>
            <w:r>
              <w:rPr>
                <w:rFonts w:hint="eastAsia" w:ascii="宋体" w:hAnsi="宋体" w:eastAsia="宋体" w:cs="宋体"/>
                <w:color w:val="000000" w:themeColor="text1"/>
                <w:spacing w:val="-5"/>
                <w:szCs w:val="21"/>
                <w:highlight w:val="none"/>
                <w14:textFill>
                  <w14:solidFill>
                    <w14:schemeClr w14:val="tx1"/>
                  </w14:solidFill>
                </w14:textFill>
              </w:rPr>
              <w:t>(</w:t>
            </w:r>
            <w:r>
              <w:rPr>
                <w:rFonts w:hint="eastAsia" w:ascii="宋体" w:hAnsi="宋体" w:eastAsia="宋体" w:cs="宋体"/>
                <w:color w:val="000000" w:themeColor="text1"/>
                <w:spacing w:val="2"/>
                <w:position w:val="-1"/>
                <w:szCs w:val="21"/>
                <w:highlight w:val="none"/>
                <w14:textFill>
                  <w14:solidFill>
                    <w14:schemeClr w14:val="tx1"/>
                  </w14:solidFill>
                </w14:textFill>
              </w:rPr>
              <w:t>%</w:t>
            </w:r>
            <w:r>
              <w:rPr>
                <w:rFonts w:hint="eastAsia" w:ascii="宋体" w:hAnsi="宋体" w:eastAsia="宋体" w:cs="宋体"/>
                <w:color w:val="000000" w:themeColor="text1"/>
                <w:spacing w:val="-5"/>
                <w:szCs w:val="21"/>
                <w:highlight w:val="none"/>
                <w14:textFill>
                  <w14:solidFill>
                    <w14:schemeClr w14:val="tx1"/>
                  </w14:solidFill>
                </w14:textFill>
              </w:rPr>
              <w:t>)</w:t>
            </w:r>
          </w:p>
        </w:tc>
        <w:tc>
          <w:tcPr>
            <w:tcW w:w="2612" w:type="pct"/>
            <w:vAlign w:val="bottom"/>
          </w:tcPr>
          <w:p w14:paraId="7C4D30BE">
            <w:pPr>
              <w:spacing w:line="360" w:lineRule="auto"/>
              <w:jc w:val="center"/>
              <w:rPr>
                <w:rFonts w:ascii="宋体" w:hAnsi="宋体" w:eastAsia="宋体" w:cs="宋体"/>
                <w:color w:val="000000" w:themeColor="text1"/>
                <w:spacing w:val="-12"/>
                <w:position w:val="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pacing w:val="-2"/>
                <w:szCs w:val="21"/>
                <w:highlight w:val="none"/>
                <w14:textFill>
                  <w14:solidFill>
                    <w14:schemeClr w14:val="tx1"/>
                  </w14:solidFill>
                </w14:textFill>
              </w:rPr>
              <w:t>11.1</w:t>
            </w:r>
          </w:p>
        </w:tc>
      </w:tr>
      <w:tr w14:paraId="210C5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05720FE5">
            <w:pPr>
              <w:spacing w:line="360" w:lineRule="auto"/>
              <w:jc w:val="center"/>
              <w:rPr>
                <w:rFonts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功率公差(</w:t>
            </w:r>
            <w:r>
              <w:rPr>
                <w:rFonts w:hint="eastAsia" w:ascii="宋体" w:hAnsi="宋体" w:eastAsia="宋体" w:cs="宋体"/>
                <w:color w:val="000000" w:themeColor="text1"/>
                <w:spacing w:val="2"/>
                <w:position w:val="-1"/>
                <w:szCs w:val="21"/>
                <w:highlight w:val="none"/>
                <w14:textFill>
                  <w14:solidFill>
                    <w14:schemeClr w14:val="tx1"/>
                  </w14:solidFill>
                </w14:textFill>
              </w:rPr>
              <w:t>%</w:t>
            </w:r>
            <w:r>
              <w:rPr>
                <w:rFonts w:hint="eastAsia" w:ascii="宋体" w:hAnsi="宋体" w:eastAsia="宋体" w:cs="宋体"/>
                <w:color w:val="000000" w:themeColor="text1"/>
                <w:spacing w:val="5"/>
                <w:szCs w:val="21"/>
                <w:highlight w:val="none"/>
                <w14:textFill>
                  <w14:solidFill>
                    <w14:schemeClr w14:val="tx1"/>
                  </w14:solidFill>
                </w14:textFill>
              </w:rPr>
              <w:t>)</w:t>
            </w:r>
          </w:p>
        </w:tc>
        <w:tc>
          <w:tcPr>
            <w:tcW w:w="2612" w:type="pct"/>
            <w:vAlign w:val="bottom"/>
          </w:tcPr>
          <w:p w14:paraId="03D86E4E">
            <w:pPr>
              <w:spacing w:line="360" w:lineRule="auto"/>
              <w:jc w:val="center"/>
              <w:rPr>
                <w:rFonts w:ascii="宋体" w:hAnsi="宋体" w:eastAsia="宋体" w:cs="宋体"/>
                <w:color w:val="000000" w:themeColor="text1"/>
                <w:spacing w:val="-12"/>
                <w:position w:val="1"/>
                <w:szCs w:val="21"/>
                <w:highlight w:val="none"/>
                <w14:textFill>
                  <w14:solidFill>
                    <w14:schemeClr w14:val="tx1"/>
                  </w14:solidFill>
                </w14:textFill>
              </w:rPr>
            </w:pPr>
            <w:r>
              <w:rPr>
                <w:rFonts w:hint="eastAsia" w:ascii="宋体" w:hAnsi="宋体" w:eastAsia="宋体" w:cs="宋体"/>
                <w:color w:val="000000" w:themeColor="text1"/>
                <w:spacing w:val="2"/>
                <w:position w:val="-1"/>
                <w:szCs w:val="21"/>
                <w:highlight w:val="none"/>
                <w14:textFill>
                  <w14:solidFill>
                    <w14:schemeClr w14:val="tx1"/>
                  </w14:solidFill>
                </w14:textFill>
              </w:rPr>
              <w:t>0</w:t>
            </w:r>
            <w:r>
              <w:rPr>
                <w:rFonts w:hint="eastAsia" w:ascii="宋体" w:hAnsi="宋体" w:eastAsia="宋体" w:cs="宋体"/>
                <w:color w:val="000000" w:themeColor="text1"/>
                <w:spacing w:val="5"/>
                <w:szCs w:val="21"/>
                <w:highlight w:val="none"/>
                <w14:textFill>
                  <w14:solidFill>
                    <w14:schemeClr w14:val="tx1"/>
                  </w14:solidFill>
                </w14:textFill>
              </w:rPr>
              <w:t>⁓+</w:t>
            </w:r>
            <w:r>
              <w:rPr>
                <w:rFonts w:hint="eastAsia" w:ascii="宋体" w:hAnsi="宋体" w:eastAsia="宋体" w:cs="宋体"/>
                <w:color w:val="000000" w:themeColor="text1"/>
                <w:spacing w:val="2"/>
                <w:position w:val="-1"/>
                <w:szCs w:val="21"/>
                <w:highlight w:val="none"/>
                <w14:textFill>
                  <w14:solidFill>
                    <w14:schemeClr w14:val="tx1"/>
                  </w14:solidFill>
                </w14:textFill>
              </w:rPr>
              <w:t>3</w:t>
            </w:r>
          </w:p>
        </w:tc>
      </w:tr>
      <w:tr w14:paraId="728AA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72570CCD">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功</w:t>
            </w:r>
            <w:r>
              <w:rPr>
                <w:rFonts w:hint="eastAsia" w:ascii="宋体" w:hAnsi="宋体" w:eastAsia="宋体" w:cs="宋体"/>
                <w:color w:val="000000" w:themeColor="text1"/>
                <w:spacing w:val="5"/>
                <w:szCs w:val="21"/>
                <w:highlight w:val="none"/>
                <w14:textFill>
                  <w14:solidFill>
                    <w14:schemeClr w14:val="tx1"/>
                  </w14:solidFill>
                </w14:textFill>
              </w:rPr>
              <w:t>率误差(%)</w:t>
            </w:r>
          </w:p>
        </w:tc>
        <w:tc>
          <w:tcPr>
            <w:tcW w:w="2612" w:type="pct"/>
            <w:vAlign w:val="bottom"/>
          </w:tcPr>
          <w:p w14:paraId="10930099">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12"/>
                <w:position w:val="1"/>
                <w:szCs w:val="21"/>
                <w:highlight w:val="none"/>
                <w14:textFill>
                  <w14:solidFill>
                    <w14:schemeClr w14:val="tx1"/>
                  </w14:solidFill>
                </w14:textFill>
              </w:rPr>
              <w:t>±</w:t>
            </w:r>
            <w:r>
              <w:rPr>
                <w:rFonts w:hint="eastAsia" w:ascii="宋体" w:hAnsi="宋体" w:eastAsia="宋体" w:cs="宋体"/>
                <w:color w:val="000000" w:themeColor="text1"/>
                <w:spacing w:val="-11"/>
                <w:position w:val="1"/>
                <w:szCs w:val="21"/>
                <w:highlight w:val="none"/>
                <w14:textFill>
                  <w14:solidFill>
                    <w14:schemeClr w14:val="tx1"/>
                  </w14:solidFill>
                </w14:textFill>
              </w:rPr>
              <w:t>3</w:t>
            </w:r>
          </w:p>
        </w:tc>
      </w:tr>
      <w:tr w14:paraId="0CCA6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4BF286E1">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7"/>
                <w:szCs w:val="21"/>
                <w:highlight w:val="none"/>
                <w14:textFill>
                  <w14:solidFill>
                    <w14:schemeClr w14:val="tx1"/>
                  </w14:solidFill>
                </w14:textFill>
              </w:rPr>
              <w:t>短路电流温度系数(%/℃</w:t>
            </w:r>
            <w:r>
              <w:rPr>
                <w:rFonts w:hint="eastAsia" w:ascii="宋体" w:hAnsi="宋体" w:eastAsia="宋体" w:cs="宋体"/>
                <w:color w:val="000000" w:themeColor="text1"/>
                <w:spacing w:val="6"/>
                <w:szCs w:val="21"/>
                <w:highlight w:val="none"/>
                <w14:textFill>
                  <w14:solidFill>
                    <w14:schemeClr w14:val="tx1"/>
                  </w14:solidFill>
                </w14:textFill>
              </w:rPr>
              <w:t>)</w:t>
            </w:r>
          </w:p>
        </w:tc>
        <w:tc>
          <w:tcPr>
            <w:tcW w:w="2612" w:type="pct"/>
            <w:vAlign w:val="bottom"/>
          </w:tcPr>
          <w:p w14:paraId="322D3EAE">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3"/>
                <w:position w:val="1"/>
                <w:szCs w:val="21"/>
                <w:highlight w:val="none"/>
                <w14:textFill>
                  <w14:solidFill>
                    <w14:schemeClr w14:val="tx1"/>
                  </w14:solidFill>
                </w14:textFill>
              </w:rPr>
              <w:t>+0.0</w:t>
            </w:r>
            <w:r>
              <w:rPr>
                <w:rFonts w:hint="eastAsia" w:ascii="宋体" w:hAnsi="宋体" w:eastAsia="宋体" w:cs="宋体"/>
                <w:color w:val="000000" w:themeColor="text1"/>
                <w:spacing w:val="2"/>
                <w:position w:val="1"/>
                <w:szCs w:val="21"/>
                <w:highlight w:val="none"/>
                <w14:textFill>
                  <w14:solidFill>
                    <w14:schemeClr w14:val="tx1"/>
                  </w14:solidFill>
                </w14:textFill>
              </w:rPr>
              <w:t>5</w:t>
            </w:r>
          </w:p>
        </w:tc>
      </w:tr>
      <w:tr w14:paraId="18CFA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4B6AC563">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开</w:t>
            </w:r>
            <w:r>
              <w:rPr>
                <w:rFonts w:hint="eastAsia" w:ascii="宋体" w:hAnsi="宋体" w:eastAsia="宋体" w:cs="宋体"/>
                <w:color w:val="000000" w:themeColor="text1"/>
                <w:spacing w:val="7"/>
                <w:szCs w:val="21"/>
                <w:highlight w:val="none"/>
                <w14:textFill>
                  <w14:solidFill>
                    <w14:schemeClr w14:val="tx1"/>
                  </w14:solidFill>
                </w14:textFill>
              </w:rPr>
              <w:t>路电压温度系数(%/℃)</w:t>
            </w:r>
          </w:p>
        </w:tc>
        <w:tc>
          <w:tcPr>
            <w:tcW w:w="2612" w:type="pct"/>
            <w:vAlign w:val="bottom"/>
          </w:tcPr>
          <w:p w14:paraId="5A23570E">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5"/>
                <w:szCs w:val="21"/>
                <w:highlight w:val="none"/>
                <w14:textFill>
                  <w14:solidFill>
                    <w14:schemeClr w14:val="tx1"/>
                  </w14:solidFill>
                </w14:textFill>
              </w:rPr>
              <w:t>-</w:t>
            </w:r>
            <w:r>
              <w:rPr>
                <w:rFonts w:hint="eastAsia" w:ascii="宋体" w:hAnsi="宋体" w:eastAsia="宋体" w:cs="宋体"/>
                <w:color w:val="000000" w:themeColor="text1"/>
                <w:spacing w:val="3"/>
                <w:szCs w:val="21"/>
                <w:highlight w:val="none"/>
                <w14:textFill>
                  <w14:solidFill>
                    <w14:schemeClr w14:val="tx1"/>
                  </w14:solidFill>
                </w14:textFill>
              </w:rPr>
              <w:t>0.23</w:t>
            </w:r>
          </w:p>
        </w:tc>
      </w:tr>
      <w:tr w14:paraId="6788F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71BD5E24">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7"/>
                <w:szCs w:val="21"/>
                <w:highlight w:val="none"/>
                <w14:textFill>
                  <w14:solidFill>
                    <w14:schemeClr w14:val="tx1"/>
                  </w14:solidFill>
                </w14:textFill>
              </w:rPr>
              <w:t>最大功率温度系数(%/℃</w:t>
            </w:r>
            <w:r>
              <w:rPr>
                <w:rFonts w:hint="eastAsia" w:ascii="宋体" w:hAnsi="宋体" w:eastAsia="宋体" w:cs="宋体"/>
                <w:color w:val="000000" w:themeColor="text1"/>
                <w:spacing w:val="6"/>
                <w:szCs w:val="21"/>
                <w:highlight w:val="none"/>
                <w14:textFill>
                  <w14:solidFill>
                    <w14:schemeClr w14:val="tx1"/>
                  </w14:solidFill>
                </w14:textFill>
              </w:rPr>
              <w:t>)</w:t>
            </w:r>
          </w:p>
        </w:tc>
        <w:tc>
          <w:tcPr>
            <w:tcW w:w="2612" w:type="pct"/>
            <w:vAlign w:val="bottom"/>
          </w:tcPr>
          <w:p w14:paraId="08D17BD9">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5"/>
                <w:szCs w:val="21"/>
                <w:highlight w:val="none"/>
                <w14:textFill>
                  <w14:solidFill>
                    <w14:schemeClr w14:val="tx1"/>
                  </w14:solidFill>
                </w14:textFill>
              </w:rPr>
              <w:t>-</w:t>
            </w:r>
            <w:r>
              <w:rPr>
                <w:rFonts w:hint="eastAsia" w:ascii="宋体" w:hAnsi="宋体" w:eastAsia="宋体" w:cs="宋体"/>
                <w:color w:val="000000" w:themeColor="text1"/>
                <w:spacing w:val="3"/>
                <w:szCs w:val="21"/>
                <w:highlight w:val="none"/>
                <w14:textFill>
                  <w14:solidFill>
                    <w14:schemeClr w14:val="tx1"/>
                  </w14:solidFill>
                </w14:textFill>
              </w:rPr>
              <w:t>0.29</w:t>
            </w:r>
          </w:p>
        </w:tc>
      </w:tr>
      <w:tr w14:paraId="1D4FF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387" w:type="pct"/>
            <w:vAlign w:val="bottom"/>
          </w:tcPr>
          <w:p w14:paraId="0C40BACD">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最大系统电</w:t>
            </w:r>
            <w:r>
              <w:rPr>
                <w:rFonts w:hint="eastAsia" w:ascii="宋体" w:hAnsi="宋体" w:eastAsia="宋体" w:cs="宋体"/>
                <w:color w:val="000000" w:themeColor="text1"/>
                <w:spacing w:val="7"/>
                <w:szCs w:val="21"/>
                <w:highlight w:val="none"/>
                <w14:textFill>
                  <w14:solidFill>
                    <w14:schemeClr w14:val="tx1"/>
                  </w14:solidFill>
                </w14:textFill>
              </w:rPr>
              <w:t>压</w:t>
            </w:r>
          </w:p>
        </w:tc>
        <w:tc>
          <w:tcPr>
            <w:tcW w:w="2612" w:type="pct"/>
            <w:vAlign w:val="bottom"/>
          </w:tcPr>
          <w:p w14:paraId="2A4B1421">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DC</w:t>
            </w:r>
            <w:r>
              <w:rPr>
                <w:rFonts w:hint="eastAsia" w:ascii="宋体" w:hAnsi="宋体" w:eastAsia="宋体" w:cs="宋体"/>
                <w:color w:val="000000" w:themeColor="text1"/>
                <w:spacing w:val="9"/>
                <w:szCs w:val="21"/>
                <w:highlight w:val="none"/>
                <w14:textFill>
                  <w14:solidFill>
                    <w14:schemeClr w14:val="tx1"/>
                  </w14:solidFill>
                </w14:textFill>
              </w:rPr>
              <w:t>1</w:t>
            </w:r>
            <w:r>
              <w:rPr>
                <w:rFonts w:hint="eastAsia" w:ascii="宋体" w:hAnsi="宋体" w:eastAsia="宋体" w:cs="宋体"/>
                <w:color w:val="000000" w:themeColor="text1"/>
                <w:spacing w:val="7"/>
                <w:szCs w:val="21"/>
                <w:highlight w:val="none"/>
                <w14:textFill>
                  <w14:solidFill>
                    <w14:schemeClr w14:val="tx1"/>
                  </w14:solidFill>
                </w14:textFill>
              </w:rPr>
              <w:t>500</w:t>
            </w:r>
            <w:r>
              <w:rPr>
                <w:rFonts w:hint="eastAsia" w:ascii="宋体" w:hAnsi="宋体" w:eastAsia="宋体" w:cs="宋体"/>
                <w:color w:val="000000" w:themeColor="text1"/>
                <w:szCs w:val="21"/>
                <w:highlight w:val="none"/>
                <w14:textFill>
                  <w14:solidFill>
                    <w14:schemeClr w14:val="tx1"/>
                  </w14:solidFill>
                </w14:textFill>
              </w:rPr>
              <w:t>V（IEC）</w:t>
            </w:r>
          </w:p>
        </w:tc>
      </w:tr>
      <w:tr w14:paraId="7D936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20E9C74E">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7"/>
                <w:szCs w:val="21"/>
                <w:highlight w:val="none"/>
                <w14:textFill>
                  <w14:solidFill>
                    <w14:schemeClr w14:val="tx1"/>
                  </w14:solidFill>
                </w14:textFill>
              </w:rPr>
              <w:t>工作温度范围</w:t>
            </w:r>
            <w:r>
              <w:rPr>
                <w:rFonts w:hint="eastAsia" w:ascii="宋体" w:hAnsi="宋体" w:eastAsia="宋体" w:cs="宋体"/>
                <w:color w:val="000000" w:themeColor="text1"/>
                <w:spacing w:val="6"/>
                <w:szCs w:val="21"/>
                <w:highlight w:val="none"/>
                <w14:textFill>
                  <w14:solidFill>
                    <w14:schemeClr w14:val="tx1"/>
                  </w14:solidFill>
                </w14:textFill>
              </w:rPr>
              <w:t>(</w:t>
            </w:r>
            <w:r>
              <w:rPr>
                <w:rFonts w:hint="eastAsia" w:ascii="宋体" w:hAnsi="宋体" w:eastAsia="宋体" w:cs="宋体"/>
                <w:color w:val="000000" w:themeColor="text1"/>
                <w:spacing w:val="5"/>
                <w:szCs w:val="21"/>
                <w:highlight w:val="none"/>
                <w14:textFill>
                  <w14:solidFill>
                    <w14:schemeClr w14:val="tx1"/>
                  </w14:solidFill>
                </w14:textFill>
              </w:rPr>
              <w:t>℃)</w:t>
            </w:r>
          </w:p>
        </w:tc>
        <w:tc>
          <w:tcPr>
            <w:tcW w:w="2612" w:type="pct"/>
            <w:vAlign w:val="bottom"/>
          </w:tcPr>
          <w:p w14:paraId="438FC55D">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7"/>
                <w:szCs w:val="21"/>
                <w:highlight w:val="none"/>
                <w14:textFill>
                  <w14:solidFill>
                    <w14:schemeClr w14:val="tx1"/>
                  </w14:solidFill>
                </w14:textFill>
              </w:rPr>
              <w:t>-</w:t>
            </w:r>
            <w:r>
              <w:rPr>
                <w:rFonts w:hint="eastAsia" w:ascii="宋体" w:hAnsi="宋体" w:eastAsia="宋体" w:cs="宋体"/>
                <w:color w:val="000000" w:themeColor="text1"/>
                <w:spacing w:val="5"/>
                <w:szCs w:val="21"/>
                <w:highlight w:val="none"/>
                <w14:textFill>
                  <w14:solidFill>
                    <w14:schemeClr w14:val="tx1"/>
                  </w14:solidFill>
                </w14:textFill>
              </w:rPr>
              <w:t>40 ⁓+85</w:t>
            </w:r>
          </w:p>
        </w:tc>
      </w:tr>
      <w:tr w14:paraId="251AB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387" w:type="pct"/>
            <w:vAlign w:val="bottom"/>
          </w:tcPr>
          <w:p w14:paraId="1BAEDF47">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9"/>
                <w:szCs w:val="21"/>
                <w:highlight w:val="none"/>
                <w14:textFill>
                  <w14:solidFill>
                    <w14:schemeClr w14:val="tx1"/>
                  </w14:solidFill>
                </w14:textFill>
              </w:rPr>
              <w:t>接</w:t>
            </w:r>
            <w:r>
              <w:rPr>
                <w:rFonts w:hint="eastAsia" w:ascii="宋体" w:hAnsi="宋体" w:eastAsia="宋体" w:cs="宋体"/>
                <w:color w:val="000000" w:themeColor="text1"/>
                <w:spacing w:val="8"/>
                <w:szCs w:val="21"/>
                <w:highlight w:val="none"/>
                <w14:textFill>
                  <w14:solidFill>
                    <w14:schemeClr w14:val="tx1"/>
                  </w14:solidFill>
                </w14:textFill>
              </w:rPr>
              <w:t>线盒类型</w:t>
            </w:r>
          </w:p>
        </w:tc>
        <w:tc>
          <w:tcPr>
            <w:tcW w:w="2612" w:type="pct"/>
            <w:vAlign w:val="bottom"/>
          </w:tcPr>
          <w:p w14:paraId="1EB872D9">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4"/>
                <w:szCs w:val="21"/>
                <w:highlight w:val="none"/>
                <w14:textFill>
                  <w14:solidFill>
                    <w14:schemeClr w14:val="tx1"/>
                  </w14:solidFill>
                </w14:textFill>
              </w:rPr>
              <w:t>密封防水型 防护等级</w:t>
            </w:r>
            <w:r>
              <w:rPr>
                <w:rFonts w:hint="eastAsia" w:ascii="宋体" w:hAnsi="宋体" w:eastAsia="宋体" w:cs="宋体"/>
                <w:color w:val="000000" w:themeColor="text1"/>
                <w:szCs w:val="21"/>
                <w:highlight w:val="none"/>
                <w14:textFill>
                  <w14:solidFill>
                    <w14:schemeClr w14:val="tx1"/>
                  </w14:solidFill>
                </w14:textFill>
              </w:rPr>
              <w:t>IP</w:t>
            </w:r>
            <w:r>
              <w:rPr>
                <w:rFonts w:hint="eastAsia" w:ascii="宋体" w:hAnsi="宋体" w:eastAsia="宋体" w:cs="宋体"/>
                <w:color w:val="000000" w:themeColor="text1"/>
                <w:spacing w:val="4"/>
                <w:szCs w:val="21"/>
                <w:highlight w:val="none"/>
                <w14:textFill>
                  <w14:solidFill>
                    <w14:schemeClr w14:val="tx1"/>
                  </w14:solidFill>
                </w14:textFill>
              </w:rPr>
              <w:t>6</w:t>
            </w:r>
            <w:r>
              <w:rPr>
                <w:rFonts w:hint="eastAsia" w:ascii="宋体" w:hAnsi="宋体" w:eastAsia="宋体" w:cs="宋体"/>
                <w:color w:val="000000" w:themeColor="text1"/>
                <w:spacing w:val="1"/>
                <w:szCs w:val="21"/>
                <w:highlight w:val="none"/>
                <w14:textFill>
                  <w14:solidFill>
                    <w14:schemeClr w14:val="tx1"/>
                  </w14:solidFill>
                </w14:textFill>
              </w:rPr>
              <w:t>8</w:t>
            </w:r>
          </w:p>
        </w:tc>
      </w:tr>
      <w:tr w14:paraId="425BB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0BEB0A31">
            <w:pPr>
              <w:spacing w:line="360" w:lineRule="auto"/>
              <w:jc w:val="center"/>
              <w:rPr>
                <w:rFonts w:ascii="宋体" w:hAnsi="宋体" w:eastAsia="宋体" w:cs="宋体"/>
                <w:color w:val="000000" w:themeColor="text1"/>
                <w:spacing w:val="5"/>
                <w:szCs w:val="21"/>
                <w:highlight w:val="none"/>
                <w14:textFill>
                  <w14:solidFill>
                    <w14:schemeClr w14:val="tx1"/>
                  </w14:solidFill>
                </w14:textFill>
              </w:rPr>
            </w:pPr>
            <w:r>
              <w:rPr>
                <w:rFonts w:hint="eastAsia" w:ascii="宋体" w:hAnsi="宋体" w:eastAsia="宋体" w:cs="宋体"/>
                <w:color w:val="000000" w:themeColor="text1"/>
                <w:spacing w:val="5"/>
                <w:szCs w:val="21"/>
                <w:highlight w:val="none"/>
                <w14:textFill>
                  <w14:solidFill>
                    <w14:schemeClr w14:val="tx1"/>
                  </w14:solidFill>
                </w14:textFill>
              </w:rPr>
              <w:t>边框</w:t>
            </w:r>
            <w:r>
              <w:rPr>
                <w:rFonts w:hint="eastAsia" w:ascii="宋体" w:hAnsi="宋体" w:eastAsia="宋体" w:cs="宋体"/>
                <w:color w:val="000000" w:themeColor="text1"/>
                <w:spacing w:val="8"/>
                <w:szCs w:val="21"/>
                <w:highlight w:val="none"/>
                <w14:textFill>
                  <w14:solidFill>
                    <w14:schemeClr w14:val="tx1"/>
                  </w14:solidFill>
                </w14:textFill>
              </w:rPr>
              <w:t>类型</w:t>
            </w:r>
          </w:p>
        </w:tc>
        <w:tc>
          <w:tcPr>
            <w:tcW w:w="2612" w:type="pct"/>
            <w:vAlign w:val="bottom"/>
          </w:tcPr>
          <w:p w14:paraId="52F2A974">
            <w:pPr>
              <w:spacing w:line="360" w:lineRule="auto"/>
              <w:jc w:val="center"/>
              <w:rPr>
                <w:rFonts w:ascii="宋体" w:hAnsi="宋体" w:eastAsia="宋体" w:cs="宋体"/>
                <w:color w:val="000000" w:themeColor="text1"/>
                <w:spacing w:val="5"/>
                <w:position w:val="1"/>
                <w:szCs w:val="21"/>
                <w:highlight w:val="none"/>
                <w14:textFill>
                  <w14:solidFill>
                    <w14:schemeClr w14:val="tx1"/>
                  </w14:solidFill>
                </w14:textFill>
              </w:rPr>
            </w:pPr>
            <w:r>
              <w:rPr>
                <w:rFonts w:hint="eastAsia" w:ascii="宋体" w:hAnsi="宋体" w:eastAsia="宋体" w:cs="宋体"/>
                <w:color w:val="000000" w:themeColor="text1"/>
                <w:spacing w:val="5"/>
                <w:position w:val="1"/>
                <w:szCs w:val="21"/>
                <w:highlight w:val="none"/>
                <w14:textFill>
                  <w14:solidFill>
                    <w14:schemeClr w14:val="tx1"/>
                  </w14:solidFill>
                </w14:textFill>
              </w:rPr>
              <w:t>阳极氧化铝合金 防积灰设计（可加装导流器）</w:t>
            </w:r>
          </w:p>
        </w:tc>
      </w:tr>
      <w:tr w14:paraId="1E806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533DEC32">
            <w:pPr>
              <w:spacing w:line="360" w:lineRule="auto"/>
              <w:jc w:val="center"/>
              <w:rPr>
                <w:rFonts w:ascii="宋体" w:hAnsi="宋体" w:eastAsia="宋体" w:cs="宋体"/>
                <w:color w:val="000000" w:themeColor="text1"/>
                <w:spacing w:val="5"/>
                <w:szCs w:val="21"/>
                <w:highlight w:val="none"/>
                <w14:textFill>
                  <w14:solidFill>
                    <w14:schemeClr w14:val="tx1"/>
                  </w14:solidFill>
                </w14:textFill>
              </w:rPr>
            </w:pPr>
            <w:r>
              <w:rPr>
                <w:rFonts w:hint="eastAsia" w:ascii="宋体" w:hAnsi="宋体" w:eastAsia="宋体" w:cs="宋体"/>
                <w:color w:val="000000" w:themeColor="text1"/>
                <w:spacing w:val="5"/>
                <w:szCs w:val="21"/>
                <w:highlight w:val="none"/>
                <w14:textFill>
                  <w14:solidFill>
                    <w14:schemeClr w14:val="tx1"/>
                  </w14:solidFill>
                </w14:textFill>
              </w:rPr>
              <w:t>安全防护等级</w:t>
            </w:r>
          </w:p>
        </w:tc>
        <w:tc>
          <w:tcPr>
            <w:tcW w:w="2612" w:type="pct"/>
            <w:vAlign w:val="bottom"/>
          </w:tcPr>
          <w:p w14:paraId="099B1BA6">
            <w:pPr>
              <w:spacing w:line="360" w:lineRule="auto"/>
              <w:jc w:val="center"/>
              <w:rPr>
                <w:rFonts w:ascii="宋体" w:hAnsi="宋体" w:eastAsia="宋体" w:cs="宋体"/>
                <w:color w:val="000000" w:themeColor="text1"/>
                <w:spacing w:val="5"/>
                <w:position w:val="1"/>
                <w:szCs w:val="21"/>
                <w:highlight w:val="none"/>
                <w14:textFill>
                  <w14:solidFill>
                    <w14:schemeClr w14:val="tx1"/>
                  </w14:solidFill>
                </w14:textFill>
              </w:rPr>
            </w:pPr>
            <w:r>
              <w:rPr>
                <w:rFonts w:hint="eastAsia" w:ascii="宋体" w:hAnsi="宋体" w:eastAsia="宋体" w:cs="宋体"/>
                <w:color w:val="000000" w:themeColor="text1"/>
                <w:spacing w:val="5"/>
                <w:position w:val="1"/>
                <w:szCs w:val="21"/>
                <w:highlight w:val="none"/>
                <w14:textFill>
                  <w14:solidFill>
                    <w14:schemeClr w14:val="tx1"/>
                  </w14:solidFill>
                </w14:textFill>
              </w:rPr>
              <w:t>ClassⅡ</w:t>
            </w:r>
          </w:p>
        </w:tc>
      </w:tr>
    </w:tbl>
    <w:p w14:paraId="40292F82">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（2）光伏组件型号获得抗PID认证、抗盐雾腐蚀认证、载荷认证、产品定型认证(金太阳认证或是TUV、CSA、UL、SGS、VDE、JET等国际认证)并附试验报告、认证证书全部内容。</w:t>
      </w:r>
    </w:p>
    <w:p w14:paraId="07105C4E">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光伏组件进场后投标人需安排抽样进行开箱检查与EL检测，抽检数量≥总量*3%，且抽检数量最低不得少于32块，如EL检测中一旦发现有不合格的光伏组件，投标人必须无条件一律进行更换并承担更换所需全部费用。</w:t>
      </w:r>
    </w:p>
    <w:p w14:paraId="19B1DA28">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（4）投标人负责光伏组件运输、卸货、吊装及保管，保管过程中按原包装存放并做好相应的防雨防倒防误撞等保护措施，如开箱时有破损则需现场拍照取证，如有损坏需承担更换所需全部费用。</w:t>
      </w:r>
    </w:p>
    <w:p w14:paraId="570ADE63">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（5）光伏组件的布置方案需兼顾发电量、抗风、</w:t>
      </w:r>
      <w:bookmarkStart w:id="430" w:name="OLE_LINK47"/>
      <w:r>
        <w:rPr>
          <w:rFonts w:hint="eastAsia" w:ascii="宋体" w:hAnsi="宋体" w:eastAsia="宋体" w:cs="宋体"/>
          <w:color w:val="000000" w:themeColor="text1"/>
          <w:szCs w:val="21"/>
          <w:highlight w:val="none"/>
          <w14:textFill>
            <w14:solidFill>
              <w14:schemeClr w14:val="tx1"/>
            </w14:solidFill>
          </w14:textFill>
        </w:rPr>
        <w:t>签约总容量</w:t>
      </w:r>
      <w:bookmarkEnd w:id="430"/>
      <w:r>
        <w:rPr>
          <w:rFonts w:hint="eastAsia" w:ascii="宋体" w:hAnsi="宋体" w:eastAsia="宋体" w:cs="宋体"/>
          <w:color w:val="000000" w:themeColor="text1"/>
          <w:szCs w:val="21"/>
          <w:highlight w:val="none"/>
          <w14:textFill>
            <w14:solidFill>
              <w14:schemeClr w14:val="tx1"/>
            </w14:solidFill>
          </w14:textFill>
        </w:rPr>
        <w:t>等因素，同时在安装过程中要求光伏组件全年每天上午9点</w:t>
      </w:r>
      <w:r>
        <w:rPr>
          <w:rFonts w:hint="eastAsia" w:ascii="宋体" w:hAnsi="宋体" w:eastAsia="宋体" w:cs="宋体"/>
          <w:color w:val="000000" w:themeColor="text1"/>
          <w:spacing w:val="5"/>
          <w:szCs w:val="21"/>
          <w:highlight w:val="none"/>
          <w14:textFill>
            <w14:solidFill>
              <w14:schemeClr w14:val="tx1"/>
            </w14:solidFill>
          </w14:textFill>
        </w:rPr>
        <w:t>至</w:t>
      </w:r>
      <w:r>
        <w:rPr>
          <w:rFonts w:hint="eastAsia" w:ascii="宋体" w:hAnsi="宋体" w:eastAsia="宋体" w:cs="宋体"/>
          <w:color w:val="000000" w:themeColor="text1"/>
          <w:szCs w:val="21"/>
          <w:highlight w:val="none"/>
          <w14:textFill>
            <w14:solidFill>
              <w14:schemeClr w14:val="tx1"/>
            </w14:solidFill>
          </w14:textFill>
        </w:rPr>
        <w:t>下午15点不得出现任何阴影遮挡，如一旦发现在要求的时间段内有光伏组件出现阴影遮挡，投标人必须无条件采取相应措施解决阴影遮挡问题并承担所需全部费用。</w:t>
      </w:r>
    </w:p>
    <w:p w14:paraId="57025C19">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（6）在安装过程中严禁直接踩踏光伏组件（包括边框），一经发现除进行相应</w:t>
      </w:r>
      <w:bookmarkStart w:id="431" w:name="OLE_LINK49"/>
      <w:r>
        <w:rPr>
          <w:rFonts w:hint="eastAsia" w:ascii="宋体" w:hAnsi="宋体" w:eastAsia="宋体" w:cs="宋体"/>
          <w:color w:val="000000" w:themeColor="text1"/>
          <w:szCs w:val="21"/>
          <w:highlight w:val="none"/>
          <w14:textFill>
            <w14:solidFill>
              <w14:schemeClr w14:val="tx1"/>
            </w14:solidFill>
          </w14:textFill>
        </w:rPr>
        <w:t>罚款</w:t>
      </w:r>
      <w:bookmarkEnd w:id="431"/>
      <w:r>
        <w:rPr>
          <w:rFonts w:hint="eastAsia" w:ascii="宋体" w:hAnsi="宋体" w:eastAsia="宋体" w:cs="宋体"/>
          <w:color w:val="000000" w:themeColor="text1"/>
          <w:szCs w:val="21"/>
          <w:highlight w:val="none"/>
          <w14:textFill>
            <w14:solidFill>
              <w14:schemeClr w14:val="tx1"/>
            </w14:solidFill>
          </w14:textFill>
        </w:rPr>
        <w:t>外，如有损坏还需无条件进行更换并承担所需全部费用。</w:t>
      </w:r>
    </w:p>
    <w:p w14:paraId="109406A6">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（7）光伏组件在整体项目通电并网前投标人需在晴天对接入逆变器的所有组串进行开路电压检测，保证项目投运前光伏组件所有组串开路电压读数与理论值偏差控制在</w:t>
      </w:r>
      <w:r>
        <w:rPr>
          <w:rFonts w:hint="eastAsia" w:ascii="宋体" w:hAnsi="宋体" w:eastAsia="宋体" w:cs="宋体"/>
          <w:color w:val="000000" w:themeColor="text1"/>
          <w:spacing w:val="-12"/>
          <w:position w:val="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5％以内，如一</w:t>
      </w:r>
      <w:bookmarkStart w:id="432" w:name="OLE_LINK450"/>
      <w:r>
        <w:rPr>
          <w:rFonts w:hint="eastAsia" w:ascii="宋体" w:hAnsi="宋体" w:eastAsia="宋体" w:cs="宋体"/>
          <w:color w:val="000000" w:themeColor="text1"/>
          <w:szCs w:val="21"/>
          <w:highlight w:val="none"/>
          <w14:textFill>
            <w14:solidFill>
              <w14:schemeClr w14:val="tx1"/>
            </w14:solidFill>
          </w14:textFill>
        </w:rPr>
        <w:t>旦发现超出偏差，投标人必须无条件采取相应措施进行检查并解决组串开路电压偏差问题并承担所需全部</w:t>
      </w:r>
      <w:bookmarkEnd w:id="432"/>
      <w:r>
        <w:rPr>
          <w:rFonts w:hint="eastAsia" w:ascii="宋体" w:hAnsi="宋体" w:eastAsia="宋体" w:cs="宋体"/>
          <w:color w:val="000000" w:themeColor="text1"/>
          <w:szCs w:val="21"/>
          <w:highlight w:val="none"/>
          <w14:textFill>
            <w14:solidFill>
              <w14:schemeClr w14:val="tx1"/>
            </w14:solidFill>
          </w14:textFill>
        </w:rPr>
        <w:t>费用。</w:t>
      </w:r>
    </w:p>
    <w:p w14:paraId="19CFC06F">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（8）光伏组件在整体项目通电并网后投标人需组织进行一次全体清洗，保证项目投运时所有光伏组件表面干净无污渍，如有污渍无法清除立刻更换并承担所需全部费用。</w:t>
      </w:r>
    </w:p>
    <w:p w14:paraId="521629A8">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（9）光伏组件安装过程中每块组件必须有6处进行压块固定，以此增强抗台风能力。</w:t>
      </w:r>
    </w:p>
    <w:p w14:paraId="3748E8E0">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4.并网逆变器技术要求</w:t>
      </w:r>
    </w:p>
    <w:p w14:paraId="031AA0DC">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（1）根据安装场景合理采用匹配的高效率110kW及以下组串型并网逆变器，使用寿命不低于15年，不少于5年产品</w:t>
      </w:r>
      <w:bookmarkStart w:id="433" w:name="OLE_LINK53"/>
      <w:r>
        <w:rPr>
          <w:rFonts w:hint="eastAsia" w:ascii="宋体" w:hAnsi="宋体" w:eastAsia="宋体" w:cs="宋体"/>
          <w:color w:val="000000" w:themeColor="text1"/>
          <w:szCs w:val="21"/>
          <w:highlight w:val="none"/>
          <w14:textFill>
            <w14:solidFill>
              <w14:schemeClr w14:val="tx1"/>
            </w14:solidFill>
          </w14:textFill>
        </w:rPr>
        <w:t>质保，在投标文件中提供质保说明书</w:t>
      </w:r>
      <w:bookmarkEnd w:id="433"/>
      <w:r>
        <w:rPr>
          <w:rFonts w:hint="eastAsia" w:ascii="宋体" w:hAnsi="宋体" w:eastAsia="宋体" w:cs="宋体"/>
          <w:color w:val="000000" w:themeColor="text1"/>
          <w:szCs w:val="21"/>
          <w:highlight w:val="none"/>
          <w14:textFill>
            <w14:solidFill>
              <w14:schemeClr w14:val="tx1"/>
            </w14:solidFill>
          </w14:textFill>
        </w:rPr>
        <w:t>，若采用110kW组串型并网逆变器，具体技术参数要求严格按下表执行：</w:t>
      </w:r>
    </w:p>
    <w:p w14:paraId="2F99D657">
      <w:pPr>
        <w:wordWrap w:val="0"/>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并网逆变器主要技术参数表</w:t>
      </w:r>
    </w:p>
    <w:tbl>
      <w:tblPr>
        <w:tblStyle w:val="202"/>
        <w:tblW w:w="504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75"/>
        <w:gridCol w:w="3838"/>
        <w:gridCol w:w="4330"/>
      </w:tblGrid>
      <w:tr w14:paraId="44468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1013" w:type="pct"/>
            <w:vMerge w:val="restart"/>
            <w:tcBorders>
              <w:bottom w:val="nil"/>
            </w:tcBorders>
            <w:vAlign w:val="center"/>
          </w:tcPr>
          <w:p w14:paraId="3BC086D9">
            <w:pPr>
              <w:spacing w:line="360" w:lineRule="auto"/>
              <w:jc w:val="center"/>
              <w:rPr>
                <w:rFonts w:ascii="宋体" w:hAnsi="宋体" w:eastAsia="宋体" w:cs="宋体"/>
                <w:color w:val="000000" w:themeColor="text1"/>
                <w:spacing w:val="7"/>
                <w:szCs w:val="21"/>
                <w:highlight w:val="none"/>
                <w14:textFill>
                  <w14:solidFill>
                    <w14:schemeClr w14:val="tx1"/>
                  </w14:solidFill>
                </w14:textFill>
              </w:rPr>
            </w:pPr>
            <w:r>
              <w:rPr>
                <w:rFonts w:hint="eastAsia" w:ascii="宋体" w:hAnsi="宋体" w:eastAsia="宋体" w:cs="宋体"/>
                <w:color w:val="000000" w:themeColor="text1"/>
                <w:spacing w:val="10"/>
                <w:szCs w:val="21"/>
                <w:highlight w:val="none"/>
                <w14:textFill>
                  <w14:solidFill>
                    <w14:schemeClr w14:val="tx1"/>
                  </w14:solidFill>
                </w14:textFill>
              </w:rPr>
              <w:t>直</w:t>
            </w:r>
            <w:r>
              <w:rPr>
                <w:rFonts w:hint="eastAsia" w:ascii="宋体" w:hAnsi="宋体" w:eastAsia="宋体" w:cs="宋体"/>
                <w:color w:val="000000" w:themeColor="text1"/>
                <w:spacing w:val="7"/>
                <w:szCs w:val="21"/>
                <w:highlight w:val="none"/>
                <w14:textFill>
                  <w14:solidFill>
                    <w14:schemeClr w14:val="tx1"/>
                  </w14:solidFill>
                </w14:textFill>
              </w:rPr>
              <w:t>流侧参数</w:t>
            </w:r>
          </w:p>
          <w:p w14:paraId="640208FF">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7"/>
                <w:szCs w:val="21"/>
                <w:highlight w:val="none"/>
                <w14:textFill>
                  <w14:solidFill>
                    <w14:schemeClr w14:val="tx1"/>
                  </w14:solidFill>
                </w14:textFill>
              </w:rPr>
              <w:t>（输入）</w:t>
            </w:r>
          </w:p>
        </w:tc>
        <w:tc>
          <w:tcPr>
            <w:tcW w:w="1873" w:type="pct"/>
            <w:vAlign w:val="bottom"/>
          </w:tcPr>
          <w:p w14:paraId="3D201A7E">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最大输入电压(V)</w:t>
            </w:r>
          </w:p>
        </w:tc>
        <w:tc>
          <w:tcPr>
            <w:tcW w:w="2113" w:type="pct"/>
            <w:vAlign w:val="bottom"/>
          </w:tcPr>
          <w:p w14:paraId="13A53748">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2"/>
                <w:szCs w:val="21"/>
                <w:highlight w:val="none"/>
                <w14:textFill>
                  <w14:solidFill>
                    <w14:schemeClr w14:val="tx1"/>
                  </w14:solidFill>
                </w14:textFill>
              </w:rPr>
              <w:t>1100</w:t>
            </w:r>
          </w:p>
        </w:tc>
      </w:tr>
      <w:tr w14:paraId="34043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013" w:type="pct"/>
            <w:vMerge w:val="continue"/>
            <w:tcBorders>
              <w:top w:val="nil"/>
              <w:bottom w:val="nil"/>
            </w:tcBorders>
            <w:vAlign w:val="center"/>
          </w:tcPr>
          <w:p w14:paraId="5FD0A20A">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873" w:type="pct"/>
            <w:vAlign w:val="bottom"/>
          </w:tcPr>
          <w:p w14:paraId="61E531D2">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额定输入电压(V)</w:t>
            </w:r>
          </w:p>
        </w:tc>
        <w:tc>
          <w:tcPr>
            <w:tcW w:w="2113" w:type="pct"/>
            <w:vAlign w:val="bottom"/>
          </w:tcPr>
          <w:p w14:paraId="30B53D7A">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1"/>
                <w:szCs w:val="21"/>
                <w:highlight w:val="none"/>
                <w14:textFill>
                  <w14:solidFill>
                    <w14:schemeClr w14:val="tx1"/>
                  </w14:solidFill>
                </w14:textFill>
              </w:rPr>
              <w:t>600</w:t>
            </w:r>
          </w:p>
        </w:tc>
      </w:tr>
      <w:tr w14:paraId="0B1BD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continue"/>
            <w:tcBorders>
              <w:top w:val="nil"/>
              <w:bottom w:val="nil"/>
            </w:tcBorders>
            <w:vAlign w:val="center"/>
          </w:tcPr>
          <w:p w14:paraId="2009E081">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873" w:type="pct"/>
            <w:vAlign w:val="bottom"/>
          </w:tcPr>
          <w:p w14:paraId="35F6815E">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3"/>
                <w:szCs w:val="21"/>
                <w:highlight w:val="none"/>
                <w14:textFill>
                  <w14:solidFill>
                    <w14:schemeClr w14:val="tx1"/>
                  </w14:solidFill>
                </w14:textFill>
              </w:rPr>
              <w:t>MPPT电压范围</w:t>
            </w:r>
            <w:r>
              <w:rPr>
                <w:rFonts w:hint="eastAsia" w:ascii="宋体" w:hAnsi="宋体" w:eastAsia="宋体" w:cs="宋体"/>
                <w:color w:val="000000" w:themeColor="text1"/>
                <w:szCs w:val="21"/>
                <w:highlight w:val="none"/>
                <w14:textFill>
                  <w14:solidFill>
                    <w14:schemeClr w14:val="tx1"/>
                  </w14:solidFill>
                </w14:textFill>
              </w:rPr>
              <w:t>(V)</w:t>
            </w:r>
          </w:p>
        </w:tc>
        <w:tc>
          <w:tcPr>
            <w:tcW w:w="2113" w:type="pct"/>
            <w:vAlign w:val="bottom"/>
          </w:tcPr>
          <w:p w14:paraId="4CCDB815">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2</w:t>
            </w:r>
            <w:r>
              <w:rPr>
                <w:rFonts w:hint="eastAsia" w:ascii="宋体" w:hAnsi="宋体" w:eastAsia="宋体" w:cs="宋体"/>
                <w:color w:val="000000" w:themeColor="text1"/>
                <w:spacing w:val="3"/>
                <w:szCs w:val="21"/>
                <w:highlight w:val="none"/>
                <w14:textFill>
                  <w14:solidFill>
                    <w14:schemeClr w14:val="tx1"/>
                  </w14:solidFill>
                </w14:textFill>
              </w:rPr>
              <w:t xml:space="preserve">00 </w:t>
            </w:r>
            <w:r>
              <w:rPr>
                <w:rFonts w:hint="eastAsia" w:ascii="宋体" w:hAnsi="宋体" w:eastAsia="宋体" w:cs="宋体"/>
                <w:color w:val="000000" w:themeColor="text1"/>
                <w:spacing w:val="5"/>
                <w:szCs w:val="21"/>
                <w:highlight w:val="none"/>
                <w14:textFill>
                  <w14:solidFill>
                    <w14:schemeClr w14:val="tx1"/>
                  </w14:solidFill>
                </w14:textFill>
              </w:rPr>
              <w:t>⁓</w:t>
            </w:r>
            <w:r>
              <w:rPr>
                <w:rFonts w:hint="eastAsia" w:ascii="宋体" w:hAnsi="宋体" w:eastAsia="宋体" w:cs="宋体"/>
                <w:color w:val="000000" w:themeColor="text1"/>
                <w:spacing w:val="3"/>
                <w:szCs w:val="21"/>
                <w:highlight w:val="none"/>
                <w14:textFill>
                  <w14:solidFill>
                    <w14:schemeClr w14:val="tx1"/>
                  </w14:solidFill>
                </w14:textFill>
              </w:rPr>
              <w:t>1000</w:t>
            </w:r>
          </w:p>
        </w:tc>
      </w:tr>
      <w:tr w14:paraId="43EF9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013" w:type="pct"/>
            <w:vMerge w:val="continue"/>
            <w:tcBorders>
              <w:top w:val="nil"/>
            </w:tcBorders>
            <w:vAlign w:val="center"/>
          </w:tcPr>
          <w:p w14:paraId="46C6E106">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873" w:type="pct"/>
            <w:vAlign w:val="bottom"/>
          </w:tcPr>
          <w:p w14:paraId="56B37BF8">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最大输入路</w:t>
            </w:r>
            <w:r>
              <w:rPr>
                <w:rFonts w:hint="eastAsia" w:ascii="宋体" w:hAnsi="宋体" w:eastAsia="宋体" w:cs="宋体"/>
                <w:color w:val="000000" w:themeColor="text1"/>
                <w:spacing w:val="7"/>
                <w:szCs w:val="21"/>
                <w:highlight w:val="none"/>
                <w14:textFill>
                  <w14:solidFill>
                    <w14:schemeClr w14:val="tx1"/>
                  </w14:solidFill>
                </w14:textFill>
              </w:rPr>
              <w:t>数</w:t>
            </w:r>
          </w:p>
        </w:tc>
        <w:tc>
          <w:tcPr>
            <w:tcW w:w="2113" w:type="pct"/>
            <w:vAlign w:val="bottom"/>
          </w:tcPr>
          <w:p w14:paraId="3EA7BC4D">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3"/>
                <w:szCs w:val="21"/>
                <w:highlight w:val="none"/>
                <w14:textFill>
                  <w14:solidFill>
                    <w14:schemeClr w14:val="tx1"/>
                  </w14:solidFill>
                </w14:textFill>
              </w:rPr>
              <w:t>10</w:t>
            </w:r>
          </w:p>
        </w:tc>
      </w:tr>
      <w:tr w14:paraId="0EE28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restart"/>
            <w:tcBorders>
              <w:bottom w:val="nil"/>
            </w:tcBorders>
            <w:vAlign w:val="center"/>
          </w:tcPr>
          <w:p w14:paraId="5A4D31DC">
            <w:pPr>
              <w:spacing w:line="360" w:lineRule="auto"/>
              <w:jc w:val="center"/>
              <w:rPr>
                <w:rFonts w:ascii="宋体" w:hAnsi="宋体" w:eastAsia="宋体" w:cs="宋体"/>
                <w:color w:val="000000" w:themeColor="text1"/>
                <w:spacing w:val="7"/>
                <w:szCs w:val="21"/>
                <w:highlight w:val="none"/>
                <w14:textFill>
                  <w14:solidFill>
                    <w14:schemeClr w14:val="tx1"/>
                  </w14:solidFill>
                </w14:textFill>
              </w:rPr>
            </w:pPr>
            <w:r>
              <w:rPr>
                <w:rFonts w:hint="eastAsia" w:ascii="宋体" w:hAnsi="宋体" w:eastAsia="宋体" w:cs="宋体"/>
                <w:color w:val="000000" w:themeColor="text1"/>
                <w:spacing w:val="7"/>
                <w:szCs w:val="21"/>
                <w:highlight w:val="none"/>
                <w14:textFill>
                  <w14:solidFill>
                    <w14:schemeClr w14:val="tx1"/>
                  </w14:solidFill>
                </w14:textFill>
              </w:rPr>
              <w:t>交流侧参数</w:t>
            </w:r>
          </w:p>
          <w:p w14:paraId="5E7E9B9D">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7"/>
                <w:szCs w:val="21"/>
                <w:highlight w:val="none"/>
                <w14:textFill>
                  <w14:solidFill>
                    <w14:schemeClr w14:val="tx1"/>
                  </w14:solidFill>
                </w14:textFill>
              </w:rPr>
              <w:t>（输出）</w:t>
            </w:r>
          </w:p>
        </w:tc>
        <w:tc>
          <w:tcPr>
            <w:tcW w:w="1873" w:type="pct"/>
            <w:vAlign w:val="bottom"/>
          </w:tcPr>
          <w:p w14:paraId="3A24B5F2">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额定输出功率(kW)</w:t>
            </w:r>
          </w:p>
        </w:tc>
        <w:tc>
          <w:tcPr>
            <w:tcW w:w="2113" w:type="pct"/>
            <w:vAlign w:val="bottom"/>
          </w:tcPr>
          <w:p w14:paraId="2D64CB93">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5"/>
                <w:szCs w:val="21"/>
                <w:highlight w:val="none"/>
                <w14:textFill>
                  <w14:solidFill>
                    <w14:schemeClr w14:val="tx1"/>
                  </w14:solidFill>
                </w14:textFill>
              </w:rPr>
              <w:t>1</w:t>
            </w:r>
            <w:r>
              <w:rPr>
                <w:rFonts w:hint="eastAsia" w:ascii="宋体" w:hAnsi="宋体" w:eastAsia="宋体" w:cs="宋体"/>
                <w:color w:val="000000" w:themeColor="text1"/>
                <w:spacing w:val="-4"/>
                <w:szCs w:val="21"/>
                <w:highlight w:val="none"/>
                <w14:textFill>
                  <w14:solidFill>
                    <w14:schemeClr w14:val="tx1"/>
                  </w14:solidFill>
                </w14:textFill>
              </w:rPr>
              <w:t>10</w:t>
            </w:r>
          </w:p>
        </w:tc>
      </w:tr>
      <w:tr w14:paraId="793F0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013" w:type="pct"/>
            <w:vMerge w:val="continue"/>
            <w:tcBorders>
              <w:top w:val="nil"/>
              <w:bottom w:val="nil"/>
            </w:tcBorders>
            <w:vAlign w:val="center"/>
          </w:tcPr>
          <w:p w14:paraId="23110B67">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873" w:type="pct"/>
            <w:vAlign w:val="bottom"/>
          </w:tcPr>
          <w:p w14:paraId="5FEF2976">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最大输出功率(kW)</w:t>
            </w:r>
          </w:p>
        </w:tc>
        <w:tc>
          <w:tcPr>
            <w:tcW w:w="2113" w:type="pct"/>
            <w:vAlign w:val="bottom"/>
          </w:tcPr>
          <w:p w14:paraId="751672CC">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5"/>
                <w:szCs w:val="21"/>
                <w:highlight w:val="none"/>
                <w14:textFill>
                  <w14:solidFill>
                    <w14:schemeClr w14:val="tx1"/>
                  </w14:solidFill>
                </w14:textFill>
              </w:rPr>
              <w:t>1</w:t>
            </w:r>
            <w:r>
              <w:rPr>
                <w:rFonts w:hint="eastAsia" w:ascii="宋体" w:hAnsi="宋体" w:eastAsia="宋体" w:cs="宋体"/>
                <w:color w:val="000000" w:themeColor="text1"/>
                <w:spacing w:val="-4"/>
                <w:szCs w:val="21"/>
                <w:highlight w:val="none"/>
                <w14:textFill>
                  <w14:solidFill>
                    <w14:schemeClr w14:val="tx1"/>
                  </w14:solidFill>
                </w14:textFill>
              </w:rPr>
              <w:t>21</w:t>
            </w:r>
          </w:p>
        </w:tc>
      </w:tr>
      <w:tr w14:paraId="71BF4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continue"/>
            <w:tcBorders>
              <w:top w:val="nil"/>
              <w:bottom w:val="nil"/>
            </w:tcBorders>
            <w:vAlign w:val="center"/>
          </w:tcPr>
          <w:p w14:paraId="012E71B5">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873" w:type="pct"/>
            <w:vAlign w:val="bottom"/>
          </w:tcPr>
          <w:p w14:paraId="6DCCD5BD">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额定输出电压(V)</w:t>
            </w:r>
          </w:p>
        </w:tc>
        <w:tc>
          <w:tcPr>
            <w:tcW w:w="2113" w:type="pct"/>
            <w:vAlign w:val="bottom"/>
          </w:tcPr>
          <w:p w14:paraId="66309B36">
            <w:pPr>
              <w:spacing w:line="360" w:lineRule="auto"/>
              <w:jc w:val="center"/>
              <w:rPr>
                <w:rFonts w:ascii="宋体" w:hAnsi="宋体" w:eastAsia="宋体" w:cs="宋体"/>
                <w:color w:val="000000" w:themeColor="text1"/>
                <w:spacing w:val="1"/>
                <w:szCs w:val="21"/>
                <w:highlight w:val="none"/>
                <w14:textFill>
                  <w14:solidFill>
                    <w14:schemeClr w14:val="tx1"/>
                  </w14:solidFill>
                </w14:textFill>
              </w:rPr>
            </w:pPr>
            <w:r>
              <w:rPr>
                <w:rFonts w:hint="eastAsia" w:ascii="宋体" w:hAnsi="宋体" w:eastAsia="宋体" w:cs="宋体"/>
                <w:color w:val="000000" w:themeColor="text1"/>
                <w:spacing w:val="-5"/>
                <w:szCs w:val="21"/>
                <w:highlight w:val="none"/>
                <w14:textFill>
                  <w14:solidFill>
                    <w14:schemeClr w14:val="tx1"/>
                  </w14:solidFill>
                </w14:textFill>
              </w:rPr>
              <w:t>380/400 3W+N+PE</w:t>
            </w:r>
          </w:p>
        </w:tc>
      </w:tr>
      <w:tr w14:paraId="67A12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continue"/>
            <w:tcBorders>
              <w:top w:val="nil"/>
              <w:bottom w:val="nil"/>
            </w:tcBorders>
            <w:vAlign w:val="center"/>
          </w:tcPr>
          <w:p w14:paraId="52FB8473">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873" w:type="pct"/>
            <w:vAlign w:val="bottom"/>
          </w:tcPr>
          <w:p w14:paraId="16150785">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1"/>
                <w:szCs w:val="21"/>
                <w:highlight w:val="none"/>
                <w14:textFill>
                  <w14:solidFill>
                    <w14:schemeClr w14:val="tx1"/>
                  </w14:solidFill>
                </w14:textFill>
              </w:rPr>
              <w:t>允许电网电压</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pacing w:val="-1"/>
                <w:szCs w:val="21"/>
                <w:highlight w:val="none"/>
                <w14:textFill>
                  <w14:solidFill>
                    <w14:schemeClr w14:val="tx1"/>
                  </w14:solidFill>
                </w14:textFill>
              </w:rPr>
              <w:t>V</w:t>
            </w:r>
            <w:r>
              <w:rPr>
                <w:rFonts w:hint="eastAsia" w:ascii="宋体" w:hAnsi="宋体" w:eastAsia="宋体" w:cs="宋体"/>
                <w:color w:val="000000" w:themeColor="text1"/>
                <w:szCs w:val="21"/>
                <w:highlight w:val="none"/>
                <w14:textFill>
                  <w14:solidFill>
                    <w14:schemeClr w14:val="tx1"/>
                  </w14:solidFill>
                </w14:textFill>
              </w:rPr>
              <w:t>)</w:t>
            </w:r>
          </w:p>
        </w:tc>
        <w:tc>
          <w:tcPr>
            <w:tcW w:w="2113" w:type="pct"/>
            <w:vAlign w:val="bottom"/>
          </w:tcPr>
          <w:p w14:paraId="3FCE47B1">
            <w:pPr>
              <w:spacing w:line="360" w:lineRule="auto"/>
              <w:jc w:val="center"/>
              <w:rPr>
                <w:rFonts w:ascii="宋体" w:hAnsi="宋体" w:eastAsia="宋体" w:cs="宋体"/>
                <w:color w:val="000000" w:themeColor="text1"/>
                <w:spacing w:val="1"/>
                <w:szCs w:val="21"/>
                <w:highlight w:val="none"/>
                <w14:textFill>
                  <w14:solidFill>
                    <w14:schemeClr w14:val="tx1"/>
                  </w14:solidFill>
                </w14:textFill>
              </w:rPr>
            </w:pPr>
            <w:r>
              <w:rPr>
                <w:rFonts w:hint="eastAsia" w:ascii="宋体" w:hAnsi="宋体" w:eastAsia="宋体" w:cs="宋体"/>
                <w:color w:val="000000" w:themeColor="text1"/>
                <w:spacing w:val="3"/>
                <w:szCs w:val="21"/>
                <w:highlight w:val="none"/>
                <w14:textFill>
                  <w14:solidFill>
                    <w14:schemeClr w14:val="tx1"/>
                  </w14:solidFill>
                </w14:textFill>
              </w:rPr>
              <w:t>320~48</w:t>
            </w:r>
            <w:r>
              <w:rPr>
                <w:rFonts w:hint="eastAsia" w:ascii="宋体" w:hAnsi="宋体" w:eastAsia="宋体" w:cs="宋体"/>
                <w:color w:val="000000" w:themeColor="text1"/>
                <w:spacing w:val="2"/>
                <w:szCs w:val="21"/>
                <w:highlight w:val="none"/>
                <w14:textFill>
                  <w14:solidFill>
                    <w14:schemeClr w14:val="tx1"/>
                  </w14:solidFill>
                </w14:textFill>
              </w:rPr>
              <w:t>0</w:t>
            </w:r>
          </w:p>
        </w:tc>
      </w:tr>
      <w:tr w14:paraId="5C825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continue"/>
            <w:tcBorders>
              <w:top w:val="nil"/>
              <w:bottom w:val="nil"/>
            </w:tcBorders>
            <w:vAlign w:val="center"/>
          </w:tcPr>
          <w:p w14:paraId="2CFB1603">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873" w:type="pct"/>
            <w:vAlign w:val="bottom"/>
          </w:tcPr>
          <w:p w14:paraId="37882C5C">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额定输出电流(A)</w:t>
            </w:r>
          </w:p>
        </w:tc>
        <w:tc>
          <w:tcPr>
            <w:tcW w:w="2113" w:type="pct"/>
            <w:vAlign w:val="bottom"/>
          </w:tcPr>
          <w:p w14:paraId="7E1A92E5">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1"/>
                <w:szCs w:val="21"/>
                <w:highlight w:val="none"/>
                <w14:textFill>
                  <w14:solidFill>
                    <w14:schemeClr w14:val="tx1"/>
                  </w14:solidFill>
                </w14:textFill>
              </w:rPr>
              <w:t>167.2/158.8</w:t>
            </w:r>
          </w:p>
        </w:tc>
      </w:tr>
      <w:tr w14:paraId="44E3C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013" w:type="pct"/>
            <w:vMerge w:val="continue"/>
            <w:tcBorders>
              <w:top w:val="nil"/>
              <w:bottom w:val="nil"/>
            </w:tcBorders>
            <w:vAlign w:val="center"/>
          </w:tcPr>
          <w:p w14:paraId="0EEACF99">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873" w:type="pct"/>
            <w:vAlign w:val="bottom"/>
          </w:tcPr>
          <w:p w14:paraId="612ADE52">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1"/>
                <w:szCs w:val="21"/>
                <w:highlight w:val="none"/>
                <w14:textFill>
                  <w14:solidFill>
                    <w14:schemeClr w14:val="tx1"/>
                  </w14:solidFill>
                </w14:textFill>
              </w:rPr>
              <w:t>最大输</w:t>
            </w:r>
            <w:r>
              <w:rPr>
                <w:rFonts w:hint="eastAsia" w:ascii="宋体" w:hAnsi="宋体" w:eastAsia="宋体" w:cs="宋体"/>
                <w:color w:val="000000" w:themeColor="text1"/>
                <w:szCs w:val="21"/>
                <w:highlight w:val="none"/>
                <w14:textFill>
                  <w14:solidFill>
                    <w14:schemeClr w14:val="tx1"/>
                  </w14:solidFill>
                </w14:textFill>
              </w:rPr>
              <w:t>出电流(A)</w:t>
            </w:r>
          </w:p>
        </w:tc>
        <w:tc>
          <w:tcPr>
            <w:tcW w:w="2113" w:type="pct"/>
            <w:vAlign w:val="bottom"/>
          </w:tcPr>
          <w:p w14:paraId="449FE367">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2"/>
                <w:szCs w:val="21"/>
                <w:highlight w:val="none"/>
                <w14:textFill>
                  <w14:solidFill>
                    <w14:schemeClr w14:val="tx1"/>
                  </w14:solidFill>
                </w14:textFill>
              </w:rPr>
              <w:t>185</w:t>
            </w:r>
            <w:r>
              <w:rPr>
                <w:rFonts w:hint="eastAsia" w:ascii="宋体" w:hAnsi="宋体" w:eastAsia="宋体" w:cs="宋体"/>
                <w:color w:val="000000" w:themeColor="text1"/>
                <w:spacing w:val="1"/>
                <w:szCs w:val="21"/>
                <w:highlight w:val="none"/>
                <w14:textFill>
                  <w14:solidFill>
                    <w14:schemeClr w14:val="tx1"/>
                  </w14:solidFill>
                </w14:textFill>
              </w:rPr>
              <w:t>.7/176.4</w:t>
            </w:r>
          </w:p>
        </w:tc>
      </w:tr>
      <w:tr w14:paraId="7333C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continue"/>
            <w:tcBorders>
              <w:top w:val="nil"/>
              <w:bottom w:val="nil"/>
            </w:tcBorders>
            <w:vAlign w:val="center"/>
          </w:tcPr>
          <w:p w14:paraId="71E303AB">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873" w:type="pct"/>
            <w:vAlign w:val="bottom"/>
          </w:tcPr>
          <w:p w14:paraId="2D10B97F">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额定输出频率(Hz)</w:t>
            </w:r>
          </w:p>
        </w:tc>
        <w:tc>
          <w:tcPr>
            <w:tcW w:w="2113" w:type="pct"/>
            <w:vAlign w:val="bottom"/>
          </w:tcPr>
          <w:p w14:paraId="75A91912">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3"/>
                <w:szCs w:val="21"/>
                <w:highlight w:val="none"/>
                <w14:textFill>
                  <w14:solidFill>
                    <w14:schemeClr w14:val="tx1"/>
                  </w14:solidFill>
                </w14:textFill>
              </w:rPr>
              <w:t>5</w:t>
            </w:r>
            <w:r>
              <w:rPr>
                <w:rFonts w:hint="eastAsia" w:ascii="宋体" w:hAnsi="宋体" w:eastAsia="宋体" w:cs="宋体"/>
                <w:color w:val="000000" w:themeColor="text1"/>
                <w:spacing w:val="-2"/>
                <w:szCs w:val="21"/>
                <w:highlight w:val="none"/>
                <w14:textFill>
                  <w14:solidFill>
                    <w14:schemeClr w14:val="tx1"/>
                  </w14:solidFill>
                </w14:textFill>
              </w:rPr>
              <w:t>0</w:t>
            </w:r>
          </w:p>
        </w:tc>
      </w:tr>
      <w:tr w14:paraId="6FC02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013" w:type="pct"/>
            <w:vMerge w:val="continue"/>
            <w:tcBorders>
              <w:top w:val="nil"/>
            </w:tcBorders>
            <w:vAlign w:val="center"/>
          </w:tcPr>
          <w:p w14:paraId="23C7BE41">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873" w:type="pct"/>
            <w:vAlign w:val="bottom"/>
          </w:tcPr>
          <w:p w14:paraId="40DA83FA">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功</w:t>
            </w:r>
            <w:r>
              <w:rPr>
                <w:rFonts w:hint="eastAsia" w:ascii="宋体" w:hAnsi="宋体" w:eastAsia="宋体" w:cs="宋体"/>
                <w:color w:val="000000" w:themeColor="text1"/>
                <w:spacing w:val="6"/>
                <w:szCs w:val="21"/>
                <w:highlight w:val="none"/>
                <w14:textFill>
                  <w14:solidFill>
                    <w14:schemeClr w14:val="tx1"/>
                  </w14:solidFill>
                </w14:textFill>
              </w:rPr>
              <w:t>率因数</w:t>
            </w:r>
          </w:p>
        </w:tc>
        <w:tc>
          <w:tcPr>
            <w:tcW w:w="2113" w:type="pct"/>
            <w:vAlign w:val="bottom"/>
          </w:tcPr>
          <w:p w14:paraId="1A05E8C9">
            <w:pPr>
              <w:spacing w:line="360" w:lineRule="auto"/>
              <w:jc w:val="center"/>
              <w:rPr>
                <w:rFonts w:ascii="宋体" w:hAnsi="宋体" w:eastAsia="宋体" w:cs="宋体"/>
                <w:color w:val="000000" w:themeColor="text1"/>
                <w:szCs w:val="21"/>
                <w:highlight w:val="none"/>
                <w14:textFill>
                  <w14:solidFill>
                    <w14:schemeClr w14:val="tx1"/>
                  </w14:solidFill>
                </w14:textFill>
              </w:rPr>
            </w:pPr>
            <w:bookmarkStart w:id="434" w:name="OLE_LINK54"/>
            <w:r>
              <w:rPr>
                <w:rFonts w:hint="eastAsia" w:ascii="宋体" w:hAnsi="宋体" w:eastAsia="宋体" w:cs="宋体"/>
                <w:color w:val="000000" w:themeColor="text1"/>
                <w:spacing w:val="-2"/>
                <w:szCs w:val="21"/>
                <w:highlight w:val="none"/>
                <w14:textFill>
                  <w14:solidFill>
                    <w14:schemeClr w14:val="tx1"/>
                  </w14:solidFill>
                </w14:textFill>
              </w:rPr>
              <w:t>0</w:t>
            </w:r>
            <w:r>
              <w:rPr>
                <w:rFonts w:hint="eastAsia" w:ascii="宋体" w:hAnsi="宋体" w:eastAsia="宋体" w:cs="宋体"/>
                <w:color w:val="000000" w:themeColor="text1"/>
                <w:spacing w:val="-1"/>
                <w:szCs w:val="21"/>
                <w:highlight w:val="none"/>
                <w14:textFill>
                  <w14:solidFill>
                    <w14:schemeClr w14:val="tx1"/>
                  </w14:solidFill>
                </w14:textFill>
              </w:rPr>
              <w:t>.8超前...0.8滞后</w:t>
            </w:r>
            <w:bookmarkEnd w:id="434"/>
          </w:p>
        </w:tc>
      </w:tr>
      <w:tr w14:paraId="66CF7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013" w:type="pct"/>
            <w:vMerge w:val="restart"/>
            <w:tcBorders>
              <w:bottom w:val="nil"/>
            </w:tcBorders>
            <w:vAlign w:val="center"/>
          </w:tcPr>
          <w:p w14:paraId="3AB669ED">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7"/>
                <w:szCs w:val="21"/>
                <w:highlight w:val="none"/>
                <w14:textFill>
                  <w14:solidFill>
                    <w14:schemeClr w14:val="tx1"/>
                  </w14:solidFill>
                </w14:textFill>
              </w:rPr>
              <w:t>系</w:t>
            </w:r>
            <w:r>
              <w:rPr>
                <w:rFonts w:hint="eastAsia" w:ascii="宋体" w:hAnsi="宋体" w:eastAsia="宋体" w:cs="宋体"/>
                <w:color w:val="000000" w:themeColor="text1"/>
                <w:spacing w:val="6"/>
                <w:szCs w:val="21"/>
                <w:highlight w:val="none"/>
                <w14:textFill>
                  <w14:solidFill>
                    <w14:schemeClr w14:val="tx1"/>
                  </w14:solidFill>
                </w14:textFill>
              </w:rPr>
              <w:t>统特性</w:t>
            </w:r>
          </w:p>
        </w:tc>
        <w:tc>
          <w:tcPr>
            <w:tcW w:w="1873" w:type="pct"/>
            <w:vAlign w:val="bottom"/>
          </w:tcPr>
          <w:p w14:paraId="030A7CF2">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最大效率(</w:t>
            </w:r>
            <w:r>
              <w:rPr>
                <w:rFonts w:hint="eastAsia" w:ascii="宋体" w:hAnsi="宋体" w:eastAsia="宋体" w:cs="宋体"/>
                <w:color w:val="000000" w:themeColor="text1"/>
                <w:spacing w:val="6"/>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tc>
        <w:tc>
          <w:tcPr>
            <w:tcW w:w="2113" w:type="pct"/>
            <w:vAlign w:val="bottom"/>
          </w:tcPr>
          <w:p w14:paraId="44680D35">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4"/>
                <w:szCs w:val="21"/>
                <w:highlight w:val="none"/>
                <w14:textFill>
                  <w14:solidFill>
                    <w14:schemeClr w14:val="tx1"/>
                  </w14:solidFill>
                </w14:textFill>
              </w:rPr>
              <w:t>98.</w:t>
            </w:r>
            <w:r>
              <w:rPr>
                <w:rFonts w:hint="eastAsia" w:ascii="宋体" w:hAnsi="宋体" w:eastAsia="宋体" w:cs="宋体"/>
                <w:color w:val="000000" w:themeColor="text1"/>
                <w:spacing w:val="3"/>
                <w:szCs w:val="21"/>
                <w:highlight w:val="none"/>
                <w14:textFill>
                  <w14:solidFill>
                    <w14:schemeClr w14:val="tx1"/>
                  </w14:solidFill>
                </w14:textFill>
              </w:rPr>
              <w:t>6</w:t>
            </w:r>
          </w:p>
        </w:tc>
      </w:tr>
      <w:tr w14:paraId="46F4F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continue"/>
            <w:tcBorders>
              <w:top w:val="nil"/>
              <w:bottom w:val="nil"/>
            </w:tcBorders>
            <w:vAlign w:val="center"/>
          </w:tcPr>
          <w:p w14:paraId="3FA45112">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873" w:type="pct"/>
            <w:vAlign w:val="bottom"/>
          </w:tcPr>
          <w:p w14:paraId="1DC6EF6A">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4"/>
                <w:szCs w:val="21"/>
                <w:highlight w:val="none"/>
                <w14:textFill>
                  <w14:solidFill>
                    <w14:schemeClr w14:val="tx1"/>
                  </w14:solidFill>
                </w14:textFill>
              </w:rPr>
              <w:t>中</w:t>
            </w:r>
            <w:r>
              <w:rPr>
                <w:rFonts w:hint="eastAsia" w:ascii="宋体" w:hAnsi="宋体" w:eastAsia="宋体" w:cs="宋体"/>
                <w:color w:val="000000" w:themeColor="text1"/>
                <w:spacing w:val="3"/>
                <w:szCs w:val="21"/>
                <w:highlight w:val="none"/>
                <w14:textFill>
                  <w14:solidFill>
                    <w14:schemeClr w14:val="tx1"/>
                  </w14:solidFill>
                </w14:textFill>
              </w:rPr>
              <w:t>国</w:t>
            </w:r>
            <w:r>
              <w:rPr>
                <w:rFonts w:hint="eastAsia" w:ascii="宋体" w:hAnsi="宋体" w:eastAsia="宋体" w:cs="宋体"/>
                <w:color w:val="000000" w:themeColor="text1"/>
                <w:spacing w:val="2"/>
                <w:szCs w:val="21"/>
                <w:highlight w:val="none"/>
                <w14:textFill>
                  <w14:solidFill>
                    <w14:schemeClr w14:val="tx1"/>
                  </w14:solidFill>
                </w14:textFill>
              </w:rPr>
              <w:t>效率</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pacing w:val="2"/>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tc>
        <w:tc>
          <w:tcPr>
            <w:tcW w:w="2113" w:type="pct"/>
            <w:vAlign w:val="bottom"/>
          </w:tcPr>
          <w:p w14:paraId="73DB811C">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4"/>
                <w:szCs w:val="21"/>
                <w:highlight w:val="none"/>
                <w14:textFill>
                  <w14:solidFill>
                    <w14:schemeClr w14:val="tx1"/>
                  </w14:solidFill>
                </w14:textFill>
              </w:rPr>
              <w:t>98.</w:t>
            </w:r>
            <w:r>
              <w:rPr>
                <w:rFonts w:hint="eastAsia" w:ascii="宋体" w:hAnsi="宋体" w:eastAsia="宋体" w:cs="宋体"/>
                <w:color w:val="000000" w:themeColor="text1"/>
                <w:spacing w:val="3"/>
                <w:szCs w:val="21"/>
                <w:highlight w:val="none"/>
                <w14:textFill>
                  <w14:solidFill>
                    <w14:schemeClr w14:val="tx1"/>
                  </w14:solidFill>
                </w14:textFill>
              </w:rPr>
              <w:t>1</w:t>
            </w:r>
          </w:p>
        </w:tc>
      </w:tr>
      <w:tr w14:paraId="287D5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013" w:type="pct"/>
            <w:vMerge w:val="continue"/>
            <w:tcBorders>
              <w:top w:val="nil"/>
              <w:bottom w:val="nil"/>
            </w:tcBorders>
            <w:vAlign w:val="center"/>
          </w:tcPr>
          <w:p w14:paraId="3E313787">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873" w:type="pct"/>
            <w:vAlign w:val="bottom"/>
          </w:tcPr>
          <w:p w14:paraId="012C09D1">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4"/>
                <w:szCs w:val="21"/>
                <w:highlight w:val="none"/>
                <w14:textFill>
                  <w14:solidFill>
                    <w14:schemeClr w14:val="tx1"/>
                  </w14:solidFill>
                </w14:textFill>
              </w:rPr>
              <w:t>防护等</w:t>
            </w:r>
            <w:r>
              <w:rPr>
                <w:rFonts w:hint="eastAsia" w:ascii="宋体" w:hAnsi="宋体" w:eastAsia="宋体" w:cs="宋体"/>
                <w:color w:val="000000" w:themeColor="text1"/>
                <w:spacing w:val="3"/>
                <w:szCs w:val="21"/>
                <w:highlight w:val="none"/>
                <w14:textFill>
                  <w14:solidFill>
                    <w14:schemeClr w14:val="tx1"/>
                  </w14:solidFill>
                </w14:textFill>
              </w:rPr>
              <w:t>级</w:t>
            </w:r>
          </w:p>
        </w:tc>
        <w:tc>
          <w:tcPr>
            <w:tcW w:w="2113" w:type="pct"/>
            <w:vAlign w:val="bottom"/>
          </w:tcPr>
          <w:p w14:paraId="11814D41">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1"/>
                <w:szCs w:val="21"/>
                <w:highlight w:val="none"/>
                <w14:textFill>
                  <w14:solidFill>
                    <w14:schemeClr w14:val="tx1"/>
                  </w14:solidFill>
                </w14:textFill>
              </w:rPr>
              <w:t>I</w:t>
            </w:r>
            <w:r>
              <w:rPr>
                <w:rFonts w:hint="eastAsia" w:ascii="宋体" w:hAnsi="宋体" w:eastAsia="宋体" w:cs="宋体"/>
                <w:color w:val="000000" w:themeColor="text1"/>
                <w:szCs w:val="21"/>
                <w:highlight w:val="none"/>
                <w14:textFill>
                  <w14:solidFill>
                    <w14:schemeClr w14:val="tx1"/>
                  </w14:solidFill>
                </w14:textFill>
              </w:rPr>
              <w:t>P</w:t>
            </w:r>
            <w:r>
              <w:rPr>
                <w:rFonts w:hint="eastAsia" w:ascii="宋体" w:hAnsi="宋体" w:eastAsia="宋体" w:cs="宋体"/>
                <w:color w:val="000000" w:themeColor="text1"/>
                <w:spacing w:val="-1"/>
                <w:szCs w:val="21"/>
                <w:highlight w:val="none"/>
                <w14:textFill>
                  <w14:solidFill>
                    <w14:schemeClr w14:val="tx1"/>
                  </w14:solidFill>
                </w14:textFill>
              </w:rPr>
              <w:t>66</w:t>
            </w:r>
          </w:p>
        </w:tc>
      </w:tr>
      <w:tr w14:paraId="3724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continue"/>
            <w:tcBorders>
              <w:top w:val="nil"/>
              <w:bottom w:val="nil"/>
            </w:tcBorders>
            <w:vAlign w:val="center"/>
          </w:tcPr>
          <w:p w14:paraId="6C92C617">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873" w:type="pct"/>
            <w:vAlign w:val="bottom"/>
          </w:tcPr>
          <w:p w14:paraId="55C64B77">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2"/>
                <w:szCs w:val="21"/>
                <w:highlight w:val="none"/>
                <w14:textFill>
                  <w14:solidFill>
                    <w14:schemeClr w14:val="tx1"/>
                  </w14:solidFill>
                </w14:textFill>
              </w:rPr>
              <w:t>夜间自耗电</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pacing w:val="-2"/>
                <w:szCs w:val="21"/>
                <w:highlight w:val="none"/>
                <w14:textFill>
                  <w14:solidFill>
                    <w14:schemeClr w14:val="tx1"/>
                  </w14:solidFill>
                </w14:textFill>
              </w:rPr>
              <w:t>W</w:t>
            </w:r>
            <w:r>
              <w:rPr>
                <w:rFonts w:hint="eastAsia" w:ascii="宋体" w:hAnsi="宋体" w:eastAsia="宋体" w:cs="宋体"/>
                <w:color w:val="000000" w:themeColor="text1"/>
                <w:szCs w:val="21"/>
                <w:highlight w:val="none"/>
                <w14:textFill>
                  <w14:solidFill>
                    <w14:schemeClr w14:val="tx1"/>
                  </w14:solidFill>
                </w14:textFill>
              </w:rPr>
              <w:t>)</w:t>
            </w:r>
          </w:p>
        </w:tc>
        <w:tc>
          <w:tcPr>
            <w:tcW w:w="2113" w:type="pct"/>
            <w:vAlign w:val="bottom"/>
          </w:tcPr>
          <w:p w14:paraId="3349F411">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7"/>
                <w:position w:val="1"/>
                <w:szCs w:val="21"/>
                <w:highlight w:val="none"/>
                <w14:textFill>
                  <w14:solidFill>
                    <w14:schemeClr w14:val="tx1"/>
                  </w14:solidFill>
                </w14:textFill>
              </w:rPr>
              <w:t>≤</w:t>
            </w:r>
            <w:r>
              <w:rPr>
                <w:rFonts w:hint="eastAsia" w:ascii="宋体" w:hAnsi="宋体" w:eastAsia="宋体" w:cs="宋体"/>
                <w:color w:val="000000" w:themeColor="text1"/>
                <w:spacing w:val="-5"/>
                <w:position w:val="1"/>
                <w:szCs w:val="21"/>
                <w:highlight w:val="none"/>
                <w14:textFill>
                  <w14:solidFill>
                    <w14:schemeClr w14:val="tx1"/>
                  </w14:solidFill>
                </w14:textFill>
              </w:rPr>
              <w:t>4</w:t>
            </w:r>
          </w:p>
        </w:tc>
      </w:tr>
      <w:tr w14:paraId="25D37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013" w:type="pct"/>
            <w:vMerge w:val="continue"/>
            <w:tcBorders>
              <w:top w:val="nil"/>
              <w:bottom w:val="nil"/>
            </w:tcBorders>
            <w:vAlign w:val="center"/>
          </w:tcPr>
          <w:p w14:paraId="1F12DA43">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873" w:type="pct"/>
            <w:vAlign w:val="bottom"/>
          </w:tcPr>
          <w:p w14:paraId="314C022D">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环境温度</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pacing w:val="8"/>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tc>
        <w:tc>
          <w:tcPr>
            <w:tcW w:w="2113" w:type="pct"/>
            <w:vAlign w:val="bottom"/>
          </w:tcPr>
          <w:p w14:paraId="4BFC36EA">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4"/>
                <w:position w:val="1"/>
                <w:szCs w:val="21"/>
                <w:highlight w:val="none"/>
                <w14:textFill>
                  <w14:solidFill>
                    <w14:schemeClr w14:val="tx1"/>
                  </w14:solidFill>
                </w14:textFill>
              </w:rPr>
              <w:t xml:space="preserve">-25 </w:t>
            </w:r>
            <w:r>
              <w:rPr>
                <w:rFonts w:hint="eastAsia" w:ascii="宋体" w:hAnsi="宋体" w:eastAsia="宋体" w:cs="宋体"/>
                <w:color w:val="000000" w:themeColor="text1"/>
                <w:spacing w:val="5"/>
                <w:szCs w:val="21"/>
                <w:highlight w:val="none"/>
                <w14:textFill>
                  <w14:solidFill>
                    <w14:schemeClr w14:val="tx1"/>
                  </w14:solidFill>
                </w14:textFill>
              </w:rPr>
              <w:t>⁓</w:t>
            </w:r>
            <w:r>
              <w:rPr>
                <w:rFonts w:hint="eastAsia" w:ascii="宋体" w:hAnsi="宋体" w:eastAsia="宋体" w:cs="宋体"/>
                <w:color w:val="000000" w:themeColor="text1"/>
                <w:spacing w:val="4"/>
                <w:position w:val="1"/>
                <w:szCs w:val="21"/>
                <w:highlight w:val="none"/>
                <w14:textFill>
                  <w14:solidFill>
                    <w14:schemeClr w14:val="tx1"/>
                  </w14:solidFill>
                </w14:textFill>
              </w:rPr>
              <w:t>6</w:t>
            </w:r>
            <w:r>
              <w:rPr>
                <w:rFonts w:hint="eastAsia" w:ascii="宋体" w:hAnsi="宋体" w:eastAsia="宋体" w:cs="宋体"/>
                <w:color w:val="000000" w:themeColor="text1"/>
                <w:spacing w:val="3"/>
                <w:position w:val="1"/>
                <w:szCs w:val="21"/>
                <w:highlight w:val="none"/>
                <w14:textFill>
                  <w14:solidFill>
                    <w14:schemeClr w14:val="tx1"/>
                  </w14:solidFill>
                </w14:textFill>
              </w:rPr>
              <w:t>0</w:t>
            </w:r>
          </w:p>
        </w:tc>
      </w:tr>
      <w:tr w14:paraId="1D882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continue"/>
            <w:tcBorders>
              <w:top w:val="nil"/>
              <w:bottom w:val="nil"/>
            </w:tcBorders>
            <w:vAlign w:val="center"/>
          </w:tcPr>
          <w:p w14:paraId="3D4FF45C">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873" w:type="pct"/>
            <w:vAlign w:val="bottom"/>
          </w:tcPr>
          <w:p w14:paraId="3F5E4CBB">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7"/>
                <w:szCs w:val="21"/>
                <w:highlight w:val="none"/>
                <w14:textFill>
                  <w14:solidFill>
                    <w14:schemeClr w14:val="tx1"/>
                  </w14:solidFill>
                </w14:textFill>
              </w:rPr>
              <w:t>冷却方式</w:t>
            </w:r>
          </w:p>
        </w:tc>
        <w:tc>
          <w:tcPr>
            <w:tcW w:w="2113" w:type="pct"/>
            <w:vAlign w:val="bottom"/>
          </w:tcPr>
          <w:p w14:paraId="1FB27D93">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智能风冷</w:t>
            </w:r>
          </w:p>
        </w:tc>
      </w:tr>
      <w:tr w14:paraId="78A83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continue"/>
            <w:tcBorders>
              <w:top w:val="nil"/>
            </w:tcBorders>
            <w:vAlign w:val="center"/>
          </w:tcPr>
          <w:p w14:paraId="0BACD6B7">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873" w:type="pct"/>
            <w:vAlign w:val="bottom"/>
          </w:tcPr>
          <w:p w14:paraId="00B5DB57">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7"/>
                <w:szCs w:val="21"/>
                <w:highlight w:val="none"/>
                <w14:textFill>
                  <w14:solidFill>
                    <w14:schemeClr w14:val="tx1"/>
                  </w14:solidFill>
                </w14:textFill>
              </w:rPr>
              <w:t>允许相对湿度</w:t>
            </w:r>
          </w:p>
        </w:tc>
        <w:tc>
          <w:tcPr>
            <w:tcW w:w="2113" w:type="pct"/>
            <w:vAlign w:val="bottom"/>
          </w:tcPr>
          <w:p w14:paraId="5BAC3633">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 xml:space="preserve">0 </w:t>
            </w:r>
            <w:r>
              <w:rPr>
                <w:rFonts w:hint="eastAsia" w:ascii="宋体" w:hAnsi="宋体" w:eastAsia="宋体" w:cs="宋体"/>
                <w:color w:val="000000" w:themeColor="text1"/>
                <w:spacing w:val="5"/>
                <w:szCs w:val="21"/>
                <w:highlight w:val="none"/>
                <w14:textFill>
                  <w14:solidFill>
                    <w14:schemeClr w14:val="tx1"/>
                  </w14:solidFill>
                </w14:textFill>
              </w:rPr>
              <w:t>⁓100% 无冷凝</w:t>
            </w:r>
          </w:p>
        </w:tc>
      </w:tr>
      <w:tr w14:paraId="0F884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013" w:type="pct"/>
            <w:vMerge w:val="restart"/>
            <w:tcBorders>
              <w:bottom w:val="nil"/>
            </w:tcBorders>
            <w:vAlign w:val="center"/>
          </w:tcPr>
          <w:p w14:paraId="68A20DC0">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7"/>
                <w:szCs w:val="21"/>
                <w:highlight w:val="none"/>
                <w14:textFill>
                  <w14:solidFill>
                    <w14:schemeClr w14:val="tx1"/>
                  </w14:solidFill>
                </w14:textFill>
              </w:rPr>
              <w:t>显示与通</w:t>
            </w:r>
            <w:r>
              <w:rPr>
                <w:rFonts w:hint="eastAsia" w:ascii="宋体" w:hAnsi="宋体" w:eastAsia="宋体" w:cs="宋体"/>
                <w:color w:val="000000" w:themeColor="text1"/>
                <w:spacing w:val="6"/>
                <w:szCs w:val="21"/>
                <w:highlight w:val="none"/>
                <w14:textFill>
                  <w14:solidFill>
                    <w14:schemeClr w14:val="tx1"/>
                  </w14:solidFill>
                </w14:textFill>
              </w:rPr>
              <w:t>讯</w:t>
            </w:r>
          </w:p>
        </w:tc>
        <w:tc>
          <w:tcPr>
            <w:tcW w:w="1873" w:type="pct"/>
            <w:vAlign w:val="bottom"/>
          </w:tcPr>
          <w:p w14:paraId="2BF6712B">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2"/>
                <w:szCs w:val="21"/>
                <w:highlight w:val="none"/>
                <w14:textFill>
                  <w14:solidFill>
                    <w14:schemeClr w14:val="tx1"/>
                  </w14:solidFill>
                </w14:textFill>
              </w:rPr>
              <w:t>显示</w:t>
            </w:r>
          </w:p>
        </w:tc>
        <w:tc>
          <w:tcPr>
            <w:tcW w:w="2113" w:type="pct"/>
            <w:vAlign w:val="bottom"/>
          </w:tcPr>
          <w:p w14:paraId="2860401C">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LED</w:t>
            </w:r>
            <w:r>
              <w:rPr>
                <w:rFonts w:hint="eastAsia" w:ascii="宋体" w:hAnsi="宋体" w:eastAsia="宋体" w:cs="宋体"/>
                <w:color w:val="000000" w:themeColor="text1"/>
                <w:spacing w:val="4"/>
                <w:szCs w:val="21"/>
                <w:highlight w:val="none"/>
                <w14:textFill>
                  <w14:solidFill>
                    <w14:schemeClr w14:val="tx1"/>
                  </w14:solidFill>
                </w14:textFill>
              </w:rPr>
              <w:t>指示灯、蓝牙+</w:t>
            </w:r>
            <w:r>
              <w:rPr>
                <w:rFonts w:hint="eastAsia" w:ascii="宋体" w:hAnsi="宋体" w:eastAsia="宋体" w:cs="宋体"/>
                <w:color w:val="000000" w:themeColor="text1"/>
                <w:szCs w:val="21"/>
                <w:highlight w:val="none"/>
                <w14:textFill>
                  <w14:solidFill>
                    <w14:schemeClr w14:val="tx1"/>
                  </w14:solidFill>
                </w14:textFill>
              </w:rPr>
              <w:t>APP</w:t>
            </w:r>
          </w:p>
        </w:tc>
      </w:tr>
      <w:tr w14:paraId="2BE87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continue"/>
            <w:tcBorders>
              <w:top w:val="nil"/>
            </w:tcBorders>
            <w:vAlign w:val="center"/>
          </w:tcPr>
          <w:p w14:paraId="796EB10E">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1873" w:type="pct"/>
            <w:vAlign w:val="bottom"/>
          </w:tcPr>
          <w:p w14:paraId="268B5402">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9"/>
                <w:szCs w:val="21"/>
                <w:highlight w:val="none"/>
                <w14:textFill>
                  <w14:solidFill>
                    <w14:schemeClr w14:val="tx1"/>
                  </w14:solidFill>
                </w14:textFill>
              </w:rPr>
              <w:t>通</w:t>
            </w:r>
            <w:r>
              <w:rPr>
                <w:rFonts w:hint="eastAsia" w:ascii="宋体" w:hAnsi="宋体" w:eastAsia="宋体" w:cs="宋体"/>
                <w:color w:val="000000" w:themeColor="text1"/>
                <w:spacing w:val="7"/>
                <w:szCs w:val="21"/>
                <w:highlight w:val="none"/>
                <w14:textFill>
                  <w14:solidFill>
                    <w14:schemeClr w14:val="tx1"/>
                  </w14:solidFill>
                </w14:textFill>
              </w:rPr>
              <w:t>讯方式</w:t>
            </w:r>
          </w:p>
        </w:tc>
        <w:tc>
          <w:tcPr>
            <w:tcW w:w="2113" w:type="pct"/>
            <w:vAlign w:val="bottom"/>
          </w:tcPr>
          <w:p w14:paraId="4A22962F">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RS</w:t>
            </w:r>
            <w:r>
              <w:rPr>
                <w:rFonts w:hint="eastAsia" w:ascii="宋体" w:hAnsi="宋体" w:eastAsia="宋体" w:cs="宋体"/>
                <w:color w:val="000000" w:themeColor="text1"/>
                <w:spacing w:val="17"/>
                <w:szCs w:val="21"/>
                <w:highlight w:val="none"/>
                <w14:textFill>
                  <w14:solidFill>
                    <w14:schemeClr w14:val="tx1"/>
                  </w14:solidFill>
                </w14:textFill>
              </w:rPr>
              <w:t>4</w:t>
            </w:r>
            <w:r>
              <w:rPr>
                <w:rFonts w:hint="eastAsia" w:ascii="宋体" w:hAnsi="宋体" w:eastAsia="宋体" w:cs="宋体"/>
                <w:color w:val="000000" w:themeColor="text1"/>
                <w:spacing w:val="15"/>
                <w:szCs w:val="21"/>
                <w:highlight w:val="none"/>
                <w14:textFill>
                  <w14:solidFill>
                    <w14:schemeClr w14:val="tx1"/>
                  </w14:solidFill>
                </w14:textFill>
              </w:rPr>
              <w:t>85、4</w:t>
            </w:r>
            <w:r>
              <w:rPr>
                <w:rFonts w:hint="eastAsia" w:ascii="宋体" w:hAnsi="宋体" w:eastAsia="宋体" w:cs="宋体"/>
                <w:color w:val="000000" w:themeColor="text1"/>
                <w:szCs w:val="21"/>
                <w:highlight w:val="none"/>
                <w14:textFill>
                  <w14:solidFill>
                    <w14:schemeClr w14:val="tx1"/>
                  </w14:solidFill>
                </w14:textFill>
              </w:rPr>
              <w:t>G</w:t>
            </w:r>
          </w:p>
        </w:tc>
      </w:tr>
    </w:tbl>
    <w:p w14:paraId="0F580377">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配置的并网逆变器必须具备最大功率跟踪、绝缘阻抗检测、组串故障检测、残余电流检测、交直流浪涌II级保护、直流反接保护、交流短路保护、漏电流保护、过电流保护、并网保护、温度保护、防孤岛保护、直流开关、电网监控等基本功能并可发出告警信号，需具备良好的电气隔离性，整机符合国家相关标准。</w:t>
      </w:r>
    </w:p>
    <w:p w14:paraId="3E89A148">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（3）配置的并网逆变器须可进行高精度组串检测及智能I-V曲线扫描诊断，可精确定位异常组串，方便后期运维。</w:t>
      </w:r>
    </w:p>
    <w:p w14:paraId="40FD11B6">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（4）并网逆变器与光伏组件布置采用就近原则，并网逆变器对应的最近距离的光伏组串不能超过5m，接入光伏组串容量与配置并网逆变器功率之间的容配比不得超过1.1。</w:t>
      </w:r>
    </w:p>
    <w:p w14:paraId="479D42B1">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投标人负责并网逆变器运输、卸货、吊装及保管，保管过程中按原包装存放并做好相应的防雨防倒防误撞等保护措施，确保并网逆变器完好，如开箱时有破损则需现场拍照取证，如有损坏需承担更换所需全部费用。</w:t>
      </w:r>
    </w:p>
    <w:p w14:paraId="77145664">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并网逆变器的布置方案须提前与招标人进行确认，需兼顾安全运维、操作方便、避晒通风、抗台风等因素；若是室外安装，并网逆变器上面须加装304不锈钢挡雨遮阳蓬，避免烈日直射暴晒和雨水浸泡；若安装在经常有人员进出的场所，并网逆变器须加装镀锌网格围屏，防止非专业人员误碰导致触电。</w:t>
      </w:r>
    </w:p>
    <w:p w14:paraId="62432F37">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（7）并网逆变器的布置要留有足够的空间以便后期更换，上下留有50cm空间距离，两侧留有100cm以上空间距离，同时离地安装高度要合适，以便观察读取LED显示与运维操作。</w:t>
      </w:r>
    </w:p>
    <w:p w14:paraId="4677389B">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（8）每台并网逆变器必须配置两瓶干粉灭火器和两桶消防沙。</w:t>
      </w:r>
    </w:p>
    <w:p w14:paraId="66C3742A">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（9）支持PLC通讯，项目通电并网后投标人必须负责为安全运维部技术员注册APP监控软件，并将光伏电站现场实时监测数据联通传送至东莞市水务集团科技发展有限公司指定的数据控制中心PC端。</w:t>
      </w:r>
    </w:p>
    <w:p w14:paraId="734C51A3">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5.交流汇流箱技术要求</w:t>
      </w:r>
    </w:p>
    <w:p w14:paraId="51E4C703">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（1）产品质保</w:t>
      </w:r>
      <w:bookmarkStart w:id="435" w:name="OLE_LINK58"/>
      <w:r>
        <w:rPr>
          <w:rFonts w:hint="eastAsia" w:ascii="宋体" w:hAnsi="宋体" w:eastAsia="宋体" w:cs="宋体"/>
          <w:color w:val="000000" w:themeColor="text1"/>
          <w:szCs w:val="21"/>
          <w:highlight w:val="none"/>
          <w14:textFill>
            <w14:solidFill>
              <w14:schemeClr w14:val="tx1"/>
            </w14:solidFill>
          </w14:textFill>
        </w:rPr>
        <w:t>不少于2年，在投标文件中提供质保说明书</w:t>
      </w:r>
      <w:bookmarkEnd w:id="435"/>
      <w:r>
        <w:rPr>
          <w:rFonts w:hint="eastAsia" w:ascii="宋体" w:hAnsi="宋体" w:eastAsia="宋体" w:cs="宋体"/>
          <w:color w:val="000000" w:themeColor="text1"/>
          <w:szCs w:val="21"/>
          <w:highlight w:val="none"/>
          <w14:textFill>
            <w14:solidFill>
              <w14:schemeClr w14:val="tx1"/>
            </w14:solidFill>
          </w14:textFill>
        </w:rPr>
        <w:t>。</w:t>
      </w:r>
    </w:p>
    <w:p w14:paraId="50B38E0A">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（2）电气元件应使用国际国内知名品牌，汇流箱与电气元件均具备国内3C认证。</w:t>
      </w:r>
    </w:p>
    <w:p w14:paraId="135CE835">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（3）内置漏电保护和浪涌保护，采用交直II级防雷保护，整体符合国家相关标准。</w:t>
      </w:r>
    </w:p>
    <w:p w14:paraId="6E44F32C">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（4）箱体的防护等级不低于IP65，适合户外安装，满足防水、防尘、防紫外线、防盐雾、耐腐蚀等，安装位置干燥、通风良好。</w:t>
      </w:r>
    </w:p>
    <w:p w14:paraId="6631C87B">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（5）箱体采用冷扎钢板制作，钢板的厚度≥1.5mm，经过静电喷塑处理，内部全部的金属结构都需经过防腐处理，内外表面平整、光洁，无锈蚀、涂层脱落和磕碰损伤现象。</w:t>
      </w:r>
    </w:p>
    <w:p w14:paraId="1EE50D4C">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（6）箱体内部结构具有足够的机械强度，保证元器件安装后及操作时无摇晃、不变形；元器件安装走线应整齐、可靠、合理布置；电器间绝缘应符合国家有关标准，进出线必须通过接线端子。</w:t>
      </w:r>
    </w:p>
    <w:p w14:paraId="543BE4B1">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（7）箱体内应该针对接入的设备及线路，拥有明显的电气开断元件，能够确保检修时能够逐级断开系统，每个汇流箱必须给出一次及二次接线图。</w:t>
      </w:r>
    </w:p>
    <w:p w14:paraId="18C12A1A">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（8）为避免烈日暴晒或雨淋，交流汇流箱须安装遮阳棚。</w:t>
      </w:r>
    </w:p>
    <w:p w14:paraId="4578EC14">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（9）交流汇流箱的布置要留有足够的空间同时离地安装高度要合适，以便运维操作。</w:t>
      </w:r>
    </w:p>
    <w:p w14:paraId="4B05A3CA">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6.光伏并网柜技术要求</w:t>
      </w:r>
    </w:p>
    <w:p w14:paraId="32696522">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bookmarkStart w:id="436" w:name="OLE_LINK59"/>
      <w:r>
        <w:rPr>
          <w:rFonts w:hint="eastAsia" w:ascii="宋体" w:hAnsi="宋体" w:eastAsia="宋体" w:cs="宋体"/>
          <w:color w:val="000000" w:themeColor="text1"/>
          <w:szCs w:val="21"/>
          <w:highlight w:val="none"/>
          <w14:textFill>
            <w14:solidFill>
              <w14:schemeClr w14:val="tx1"/>
            </w14:solidFill>
          </w14:textFill>
        </w:rPr>
        <w:t>产品质保不少于2年，在投标文件中提供质保说明书</w:t>
      </w:r>
      <w:bookmarkEnd w:id="436"/>
      <w:r>
        <w:rPr>
          <w:rFonts w:hint="eastAsia" w:ascii="宋体" w:hAnsi="宋体" w:eastAsia="宋体" w:cs="宋体"/>
          <w:color w:val="000000" w:themeColor="text1"/>
          <w:szCs w:val="21"/>
          <w:highlight w:val="none"/>
          <w14:textFill>
            <w14:solidFill>
              <w14:schemeClr w14:val="tx1"/>
            </w14:solidFill>
          </w14:textFill>
        </w:rPr>
        <w:t>。</w:t>
      </w:r>
    </w:p>
    <w:p w14:paraId="1059A0A5">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（2）光伏并网柜与电气元件均具备国内3C认证。</w:t>
      </w:r>
    </w:p>
    <w:p w14:paraId="5974A4DE">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光伏并网柜具备被动孤岛检测、有压自动重合闸、失压脱扣、过欠压保护、过电流保护、防雷保护、短路保护、高低频保护、防孤岛保护等基本功能，同时需要加装电气连锁。若当地供电部门要求，还需配置逆功率保护。</w:t>
      </w:r>
    </w:p>
    <w:p w14:paraId="6AE5CB10">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光伏并网柜可以加装计量仓，计量仓带铅封装置，可以有效防止窃电。计量仓内可以安装计量装置和负控装置(一般当地供电局提供)，能很好的记录发电量情况，计量表具备双向计量功能，计量电表数据均接入到监控系统后台。</w:t>
      </w:r>
    </w:p>
    <w:p w14:paraId="0CAC0CAB">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（5）柜体的防护等级不低于IP30，配电房内安装，柜型按照原有配电房开关柜定做，整体符合国家相关标准并通过当地供电部门验收。</w:t>
      </w:r>
    </w:p>
    <w:p w14:paraId="3F6EA64E">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（6）光伏并网柜必须加装镀锌槽钢底座，安装处必须留有足够的运维检修空间且光线充足，方便后期运维操作。</w:t>
      </w:r>
    </w:p>
    <w:p w14:paraId="12EEE24B">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（7）柜体采用冷扎钢板制作，钢板的厚度≥1.5mm，经过静电喷塑处理，内部全部的金属结构都需经过防腐处理，内外表面平整、光洁，无锈蚀、涂层脱落和磕碰损伤现象。</w:t>
      </w:r>
    </w:p>
    <w:p w14:paraId="716C168F">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（8）柜体内部结构具有足够的机械强度，保证元器件安装后及操作时无摇晃、不变形；元器件安装走线应整齐、可靠、合理布置；电器间绝缘应符合国家有关标准，进出线必须通过接线端子。</w:t>
      </w:r>
    </w:p>
    <w:p w14:paraId="5AAA5872">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（9）光伏并网柜每个光伏出线回路需电流表、电压表。</w:t>
      </w:r>
    </w:p>
    <w:p w14:paraId="540FE7DA">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（10）单个光伏并网柜并网容量是否能超过400kW请与当地供电部门确认清楚，当光伏并网柜并网容量超过800kW时，除铜排拼柜外必须采用封闭式铜母线槽，严禁采用电缆；</w:t>
      </w:r>
    </w:p>
    <w:p w14:paraId="013E7941">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（11）柜体内应该针对接入的设备及线路，拥有明显的电气开断元件，能够确保检修时能够逐级断开系统，每个光伏并网柜必须给出一次及二次接线图。</w:t>
      </w:r>
    </w:p>
    <w:p w14:paraId="54BE6B09">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（12）有光伏系统接入的配电房需配置含有光伏并网柜的电力系统图版。</w:t>
      </w:r>
    </w:p>
    <w:p w14:paraId="281D097F">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（13）所有电气设备安装完成后，应进行电气交接试验，并形成记录。</w:t>
      </w:r>
    </w:p>
    <w:p w14:paraId="7D02082D">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7.直流电缆、交流电缆技术要求</w:t>
      </w:r>
    </w:p>
    <w:p w14:paraId="5200ABA5">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（1）本项目涉及的所有线缆（包含但不限于直流电缆、交流电缆、电源线、信号线等）均属投标人承包范围。</w:t>
      </w:r>
    </w:p>
    <w:p w14:paraId="7EC5B82C">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直流侧电缆要以减少线损并防止外界干扰的原则选型，选用双绝缘防紫外线阻燃铜芯光伏专用电缆，电缆性能符合GB/T18950-2003性能测试的要求；交流侧需要考虑敷设的形式和安全来选择，采用5芯阻燃绝缘护套铜芯电缆，若涉及埋管电缆须采用铠装。</w:t>
      </w:r>
    </w:p>
    <w:p w14:paraId="02376B05">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（3）直流部分和交流低压部分的总线路损耗应控制在2%以内。</w:t>
      </w:r>
    </w:p>
    <w:p w14:paraId="23115C2F">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（4）光伏线缆MC4插头制作应严格按规范进行，所有直流电缆做好套管或其他防护措施，防止直流电缆裸露。</w:t>
      </w:r>
    </w:p>
    <w:p w14:paraId="6C0A47D9">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交直流电缆、配线线管和桥架在建筑物、光伏棚结构上的布置应美观，与整个建筑、棚架协调一致，布线应隐蔽，从底部不能明显的看到线缆。各方阵的线缆便于连接，并有足够的强度，线缆连接附件应防水、抗老化。</w:t>
      </w:r>
    </w:p>
    <w:p w14:paraId="61733954">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（6）各类线缆通过TUV、UL、VDE 认证，</w:t>
      </w:r>
      <w:bookmarkStart w:id="437" w:name="OLE_LINK62"/>
      <w:r>
        <w:rPr>
          <w:rFonts w:hint="eastAsia" w:ascii="宋体" w:hAnsi="宋体" w:eastAsia="宋体" w:cs="宋体"/>
          <w:color w:val="000000" w:themeColor="text1"/>
          <w:szCs w:val="21"/>
          <w:highlight w:val="none"/>
          <w14:textFill>
            <w14:solidFill>
              <w14:schemeClr w14:val="tx1"/>
            </w14:solidFill>
          </w14:textFill>
        </w:rPr>
        <w:t>能满足室外30年的使用年限</w:t>
      </w:r>
      <w:bookmarkEnd w:id="437"/>
      <w:r>
        <w:rPr>
          <w:rFonts w:hint="eastAsia" w:ascii="宋体" w:hAnsi="宋体" w:eastAsia="宋体" w:cs="宋体"/>
          <w:color w:val="000000" w:themeColor="text1"/>
          <w:szCs w:val="21"/>
          <w:highlight w:val="none"/>
          <w14:textFill>
            <w14:solidFill>
              <w14:schemeClr w14:val="tx1"/>
            </w14:solidFill>
          </w14:textFill>
        </w:rPr>
        <w:t>。</w:t>
      </w:r>
    </w:p>
    <w:p w14:paraId="1C6B4221">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（7）所有线缆敷设完成后，应进行直流电阻、绝缘电阻、直流耐压/交流耐压试验，并形成记录。</w:t>
      </w:r>
    </w:p>
    <w:p w14:paraId="59D4B411">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8.电缆桥架、电缆管道技术要求</w:t>
      </w:r>
    </w:p>
    <w:p w14:paraId="500CE656">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（1）本项目涉及的所有电缆走廊（包含但不限于电缆桥架、破复路面开挖埋管、顶管、电缆井等）均属投标人承包范围。</w:t>
      </w:r>
    </w:p>
    <w:p w14:paraId="19ED5C3E">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所有电缆桥架必须采用喷涂镀锌桥架，壁厚不少于国标要求，每隔一定距离（支架间距不大于1500mm）必须加装镀锌金属托架（抱箍）固定并做好防锈处理，避免桥架上下部分变形与移位。桥架结合处用非自攻螺钉连接，所有联接件为镀锌材料。所有电缆桥架均密闭，不能看到电缆及接头外露，且保证桥架内的通风、散热，电缆在桥架里占的空间不超过40%。</w:t>
      </w:r>
    </w:p>
    <w:p w14:paraId="41F878AF">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（3）汇流箱和并网逆变器线缆进出线也需考虑转弯半径，预留操作空间，同时PVC管进入桥架采用杯梳固定，电缆进入桥架请做好保护。</w:t>
      </w:r>
    </w:p>
    <w:p w14:paraId="743ABA52">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所有电缆管道均采用套电缆保护管埋管，严禁采用电缆直埋，所有电缆保护管应采用HDPE管，管道直径不低于电缆直径1.5倍，增加C15混凝土垫层并进行混凝土包封，按C30混凝土进行路面恢复至与路面平齐，管道每隔50米和转弯处设电缆井，每隔15米左右设置电缆标志牌。</w:t>
      </w:r>
    </w:p>
    <w:p w14:paraId="0C0AD973">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（5）所有电缆井四周需预埋镀锌角铁包边，内空深度不低于600mm，且电缆井内具备排水措施，以防止积水，井盖板统一采用预制镀锌包边砼盖板并设置电缆标志牌。</w:t>
      </w:r>
    </w:p>
    <w:p w14:paraId="1744B56C">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（6）位于经常有车辆出入得场所，所有电缆管道、电缆井应按行车标准进行设计并安装（有车辆经过的道路电缆井盖厚度不得少于150mm）。</w:t>
      </w:r>
    </w:p>
    <w:p w14:paraId="41F09CE4">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9.防雷系统、接地系统技术要求</w:t>
      </w:r>
    </w:p>
    <w:p w14:paraId="46BFBA8F">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（1）光伏系统应独立设计防雷接地系统,满足雷电防护分区、分级确定的防雷等级要求。各连接点的连接电阻应小于4Ω。接地网的制作应符合国家相关规范要求。屋顶必须有等电位接地地网作为接地连接。</w:t>
      </w:r>
    </w:p>
    <w:p w14:paraId="4464D0B9">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（2）提供的并网逆变器安全可靠，</w:t>
      </w:r>
      <w:bookmarkStart w:id="438" w:name="OLE_LINK64"/>
      <w:r>
        <w:rPr>
          <w:rFonts w:hint="eastAsia" w:ascii="宋体" w:hAnsi="宋体" w:eastAsia="宋体" w:cs="宋体"/>
          <w:color w:val="000000" w:themeColor="text1"/>
          <w:szCs w:val="21"/>
          <w:highlight w:val="none"/>
          <w14:textFill>
            <w14:solidFill>
              <w14:schemeClr w14:val="tx1"/>
            </w14:solidFill>
          </w14:textFill>
        </w:rPr>
        <w:t>能确保25年内有效防止光伏组件PID现象的发生</w:t>
      </w:r>
      <w:bookmarkEnd w:id="438"/>
      <w:r>
        <w:rPr>
          <w:rFonts w:hint="eastAsia" w:ascii="宋体" w:hAnsi="宋体" w:eastAsia="宋体" w:cs="宋体"/>
          <w:color w:val="000000" w:themeColor="text1"/>
          <w:szCs w:val="21"/>
          <w:highlight w:val="none"/>
          <w14:textFill>
            <w14:solidFill>
              <w14:schemeClr w14:val="tx1"/>
            </w14:solidFill>
          </w14:textFill>
        </w:rPr>
        <w:t>。</w:t>
      </w:r>
    </w:p>
    <w:p w14:paraId="6AA81BB3">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（3）带边框的光伏组件防雷接地要牢靠，并网逆变器将外壳可靠接地，避雷扁铁、接地线及接地级要符合规范要求，保障每年防雷接地检测合格。</w:t>
      </w:r>
    </w:p>
    <w:p w14:paraId="4E3BA1B4">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（4）避雷接地网统一采用40*4热镀锌扁钢，垂直接地级统一采用∠40*4热镀锌角钢，连接处严禁采用螺栓固定。</w:t>
      </w:r>
    </w:p>
    <w:p w14:paraId="60B76402">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（5）光伏组件与光伏组件之间、光伏组件与导轨、排水槽之间、排水槽与光伏结构棚架之间、桥架与桥架之间做好不少于</w:t>
      </w:r>
      <w:bookmarkStart w:id="439" w:name="OLE_LINK65"/>
      <w:r>
        <w:rPr>
          <w:rFonts w:hint="eastAsia" w:ascii="宋体" w:hAnsi="宋体" w:eastAsia="宋体" w:cs="宋体"/>
          <w:color w:val="000000" w:themeColor="text1"/>
          <w:szCs w:val="21"/>
          <w:highlight w:val="none"/>
          <w14:textFill>
            <w14:solidFill>
              <w14:schemeClr w14:val="tx1"/>
            </w14:solidFill>
          </w14:textFill>
        </w:rPr>
        <w:t>4mm</w:t>
      </w:r>
      <w:r>
        <w:rPr>
          <w:rFonts w:hint="eastAsia" w:ascii="宋体" w:hAnsi="宋体" w:eastAsia="宋体" w:cs="宋体"/>
          <w:color w:val="000000" w:themeColor="text1"/>
          <w:szCs w:val="21"/>
          <w:highlight w:val="none"/>
          <w:vertAlign w:val="superscript"/>
          <w14:textFill>
            <w14:solidFill>
              <w14:schemeClr w14:val="tx1"/>
            </w14:solidFill>
          </w14:textFill>
        </w:rPr>
        <w:t>2</w:t>
      </w:r>
      <w:bookmarkEnd w:id="439"/>
      <w:r>
        <w:rPr>
          <w:rFonts w:hint="eastAsia" w:ascii="宋体" w:hAnsi="宋体" w:eastAsia="宋体" w:cs="宋体"/>
          <w:color w:val="000000" w:themeColor="text1"/>
          <w:szCs w:val="21"/>
          <w:highlight w:val="none"/>
          <w14:textFill>
            <w14:solidFill>
              <w14:schemeClr w14:val="tx1"/>
            </w14:solidFill>
          </w14:textFill>
        </w:rPr>
        <w:t>的铜线绝缘接地线跨接、等电位连接与接地。</w:t>
      </w:r>
    </w:p>
    <w:p w14:paraId="768496F6">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光伏组件作为建筑一部分，本身要具备很好的防雷措施，与建筑物的防雷带必须进行可靠连接（或与增设的防雷接闪网、接闪带可靠连接）。在并网逆变器、交流汇流箱，光伏并网柜都应该有分级别的防雷防浪涌保护模块，保护相关的电气设备和线路。</w:t>
      </w:r>
    </w:p>
    <w:p w14:paraId="57A04D55">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（7）安装组件的屋面，必须设置接闪网、接闪带进行保护，并应在整个屋面组成不大于20m×20m或24 m×16m的网格。</w:t>
      </w:r>
    </w:p>
    <w:p w14:paraId="3BC39A5C">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（8）防雷设施安装必须符合《建筑物防雷设计规范》GB50057及国家相关规范要求。</w:t>
      </w:r>
    </w:p>
    <w:p w14:paraId="5A058526">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10.视频监控系统技术要求</w:t>
      </w:r>
    </w:p>
    <w:p w14:paraId="20D1F8D2">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人提供整套光伏项目的智能型综合自动化系统，实时监测系统的运行情况；该系统集电站设备视频监控、电站发电量整体分析、生产报表等于一体，使光伏电站实现安全、规范、高效、智能的运行，保证电站获得持续稳定的发电收益。本项目中系统监控管理由投标人提供，投标人负责安装调试及配合招标人后期维护。</w:t>
      </w:r>
    </w:p>
    <w:p w14:paraId="324346FD">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bookmarkStart w:id="440" w:name="OLE_LINK174"/>
      <w:r>
        <w:rPr>
          <w:rFonts w:hint="eastAsia" w:ascii="宋体" w:hAnsi="宋体" w:eastAsia="宋体" w:cs="宋体"/>
          <w:color w:val="000000" w:themeColor="text1"/>
          <w:szCs w:val="21"/>
          <w:highlight w:val="none"/>
          <w14:textFill>
            <w14:solidFill>
              <w14:schemeClr w14:val="tx1"/>
            </w14:solidFill>
          </w14:textFill>
        </w:rPr>
        <w:t>视频监控</w:t>
      </w:r>
      <w:bookmarkEnd w:id="440"/>
      <w:r>
        <w:rPr>
          <w:rFonts w:hint="eastAsia" w:ascii="宋体" w:hAnsi="宋体" w:eastAsia="宋体" w:cs="宋体"/>
          <w:color w:val="000000" w:themeColor="text1"/>
          <w:szCs w:val="21"/>
          <w:highlight w:val="none"/>
          <w14:textFill>
            <w14:solidFill>
              <w14:schemeClr w14:val="tx1"/>
            </w14:solidFill>
          </w14:textFill>
        </w:rPr>
        <w:t>采用</w:t>
      </w:r>
      <w:bookmarkStart w:id="441" w:name="OLE_LINK175"/>
      <w:r>
        <w:rPr>
          <w:rFonts w:hint="eastAsia" w:ascii="宋体" w:hAnsi="宋体" w:eastAsia="宋体" w:cs="宋体"/>
          <w:color w:val="000000" w:themeColor="text1"/>
          <w:szCs w:val="21"/>
          <w:highlight w:val="none"/>
          <w14:textFill>
            <w14:solidFill>
              <w14:schemeClr w14:val="tx1"/>
            </w14:solidFill>
          </w14:textFill>
        </w:rPr>
        <w:t>高清光口网络</w:t>
      </w:r>
      <w:bookmarkStart w:id="442" w:name="OLE_LINK176"/>
      <w:r>
        <w:rPr>
          <w:rFonts w:hint="eastAsia" w:ascii="宋体" w:hAnsi="宋体" w:eastAsia="宋体" w:cs="宋体"/>
          <w:color w:val="000000" w:themeColor="text1"/>
          <w:szCs w:val="21"/>
          <w:highlight w:val="none"/>
          <w14:textFill>
            <w14:solidFill>
              <w14:schemeClr w14:val="tx1"/>
            </w14:solidFill>
          </w14:textFill>
        </w:rPr>
        <w:t>摄像机</w:t>
      </w:r>
      <w:bookmarkEnd w:id="442"/>
      <w:r>
        <w:rPr>
          <w:rFonts w:hint="eastAsia" w:ascii="宋体" w:hAnsi="宋体" w:eastAsia="宋体" w:cs="宋体"/>
          <w:color w:val="000000" w:themeColor="text1"/>
          <w:szCs w:val="21"/>
          <w:highlight w:val="none"/>
          <w14:textFill>
            <w14:solidFill>
              <w14:schemeClr w14:val="tx1"/>
            </w14:solidFill>
          </w14:textFill>
        </w:rPr>
        <w:t>加光口高速摄像机</w:t>
      </w:r>
      <w:bookmarkEnd w:id="441"/>
      <w:r>
        <w:rPr>
          <w:rFonts w:hint="eastAsia" w:ascii="宋体" w:hAnsi="宋体" w:eastAsia="宋体" w:cs="宋体"/>
          <w:color w:val="000000" w:themeColor="text1"/>
          <w:szCs w:val="21"/>
          <w:highlight w:val="none"/>
          <w14:textFill>
            <w14:solidFill>
              <w14:schemeClr w14:val="tx1"/>
            </w14:solidFill>
          </w14:textFill>
        </w:rPr>
        <w:t>的模式，招标人能通过投标人提供的网络地址或软件对光伏电站进行实时远程监控，</w:t>
      </w:r>
      <w:bookmarkStart w:id="443" w:name="OLE_LINK180"/>
      <w:r>
        <w:rPr>
          <w:rFonts w:hint="eastAsia" w:ascii="宋体" w:hAnsi="宋体" w:eastAsia="宋体" w:cs="宋体"/>
          <w:color w:val="000000" w:themeColor="text1"/>
          <w:szCs w:val="21"/>
          <w:highlight w:val="none"/>
          <w14:textFill>
            <w14:solidFill>
              <w14:schemeClr w14:val="tx1"/>
            </w14:solidFill>
          </w14:textFill>
        </w:rPr>
        <w:t>图像分辨率</w:t>
      </w:r>
      <w:bookmarkEnd w:id="443"/>
      <w:r>
        <w:rPr>
          <w:rFonts w:hint="eastAsia" w:ascii="宋体" w:hAnsi="宋体" w:eastAsia="宋体" w:cs="宋体"/>
          <w:color w:val="000000" w:themeColor="text1"/>
          <w:szCs w:val="21"/>
          <w:highlight w:val="none"/>
          <w14:textFill>
            <w14:solidFill>
              <w14:schemeClr w14:val="tx1"/>
            </w14:solidFill>
          </w14:textFill>
        </w:rPr>
        <w:t>达到1280*960以上，</w:t>
      </w:r>
      <w:bookmarkStart w:id="444" w:name="OLE_LINK181"/>
      <w:r>
        <w:rPr>
          <w:rFonts w:hint="eastAsia" w:ascii="宋体" w:hAnsi="宋体" w:eastAsia="宋体" w:cs="宋体"/>
          <w:color w:val="000000" w:themeColor="text1"/>
          <w:szCs w:val="21"/>
          <w:highlight w:val="none"/>
          <w14:textFill>
            <w14:solidFill>
              <w14:schemeClr w14:val="tx1"/>
            </w14:solidFill>
          </w14:textFill>
        </w:rPr>
        <w:t>镜头变倍</w:t>
      </w:r>
      <w:bookmarkEnd w:id="444"/>
      <w:r>
        <w:rPr>
          <w:rFonts w:hint="eastAsia" w:ascii="宋体" w:hAnsi="宋体" w:eastAsia="宋体" w:cs="宋体"/>
          <w:color w:val="000000" w:themeColor="text1"/>
          <w:szCs w:val="21"/>
          <w:highlight w:val="none"/>
          <w14:textFill>
            <w14:solidFill>
              <w14:schemeClr w14:val="tx1"/>
            </w14:solidFill>
          </w14:textFill>
        </w:rPr>
        <w:t>≥20 倍光学变焦，能够分辨出设备的外观及运行状态、识别出人员车辆等，防护等级要求达到IP67，</w:t>
      </w:r>
      <w:bookmarkStart w:id="445" w:name="OLE_LINK74"/>
      <w:r>
        <w:rPr>
          <w:rFonts w:hint="eastAsia" w:ascii="宋体" w:hAnsi="宋体" w:eastAsia="宋体" w:cs="宋体"/>
          <w:color w:val="000000" w:themeColor="text1"/>
          <w:szCs w:val="21"/>
          <w:highlight w:val="none"/>
          <w14:textFill>
            <w14:solidFill>
              <w14:schemeClr w14:val="tx1"/>
            </w14:solidFill>
          </w14:textFill>
        </w:rPr>
        <w:t>TVS 8000V防雷</w:t>
      </w:r>
      <w:bookmarkEnd w:id="445"/>
      <w:r>
        <w:rPr>
          <w:rFonts w:hint="eastAsia" w:ascii="宋体" w:hAnsi="宋体" w:eastAsia="宋体" w:cs="宋体"/>
          <w:color w:val="000000" w:themeColor="text1"/>
          <w:szCs w:val="21"/>
          <w:highlight w:val="none"/>
          <w14:textFill>
            <w14:solidFill>
              <w14:schemeClr w14:val="tx1"/>
            </w14:solidFill>
          </w14:textFill>
        </w:rPr>
        <w:t>、防浪涌、防突波，具有红外夜视功能，夜视距离≥150 米，使用先进的压缩编码技术，视频图像直接在前端进行压缩，通过网络传输回电站监控室，避免外界电磁场对图像的影响。</w:t>
      </w:r>
    </w:p>
    <w:p w14:paraId="5A072250">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视频监控系统既支持光伏电站全景展示又能进行细节展示，对于重要设备还具有从多个摄像机进行多角度监视的功能，同时实时图像自动复位，即可对发电阵列内可旋转的摄像机设定默认监视位置，正常状态下摄像机保持默认位置；在控制完成后自动恢复到默认监视位置。</w:t>
      </w:r>
    </w:p>
    <w:p w14:paraId="5EBC3F10">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项目通电并网后投标人必须负责为安全运维部技术员注册APP视频监控软件，并将光伏电站现场实时监测数据联通传送至东莞水务集团科技发展有限公司指定的数据控制中心PC端，实现集中监控，具体要求如下：</w:t>
      </w:r>
    </w:p>
    <w:tbl>
      <w:tblPr>
        <w:tblStyle w:val="202"/>
        <w:tblW w:w="504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75"/>
        <w:gridCol w:w="2679"/>
        <w:gridCol w:w="6299"/>
      </w:tblGrid>
      <w:tr w14:paraId="4CC9E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622" w:type="pct"/>
            <w:vAlign w:val="center"/>
          </w:tcPr>
          <w:p w14:paraId="76CC2725">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pacing w:val="-5"/>
                <w:szCs w:val="21"/>
                <w:highlight w:val="none"/>
                <w14:textFill>
                  <w14:solidFill>
                    <w14:schemeClr w14:val="tx1"/>
                  </w14:solidFill>
                </w14:textFill>
              </w:rPr>
              <w:t>区</w:t>
            </w:r>
            <w:r>
              <w:rPr>
                <w:rFonts w:hint="eastAsia" w:ascii="宋体" w:hAnsi="宋体" w:eastAsia="宋体" w:cs="宋体"/>
                <w:b/>
                <w:bCs/>
                <w:color w:val="000000" w:themeColor="text1"/>
                <w:spacing w:val="-3"/>
                <w:szCs w:val="21"/>
                <w:highlight w:val="none"/>
                <w14:textFill>
                  <w14:solidFill>
                    <w14:schemeClr w14:val="tx1"/>
                  </w14:solidFill>
                </w14:textFill>
              </w:rPr>
              <w:t>域</w:t>
            </w:r>
          </w:p>
        </w:tc>
        <w:tc>
          <w:tcPr>
            <w:tcW w:w="1306" w:type="pct"/>
            <w:vAlign w:val="center"/>
          </w:tcPr>
          <w:p w14:paraId="1106AA95">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pacing w:val="8"/>
                <w:szCs w:val="21"/>
                <w:highlight w:val="none"/>
                <w14:textFill>
                  <w14:solidFill>
                    <w14:schemeClr w14:val="tx1"/>
                  </w14:solidFill>
                </w14:textFill>
              </w:rPr>
              <w:t>摄像头数量</w:t>
            </w:r>
          </w:p>
        </w:tc>
        <w:tc>
          <w:tcPr>
            <w:tcW w:w="3071" w:type="pct"/>
            <w:vAlign w:val="center"/>
          </w:tcPr>
          <w:p w14:paraId="47CADE96">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pacing w:val="4"/>
                <w:szCs w:val="21"/>
                <w:highlight w:val="none"/>
                <w14:textFill>
                  <w14:solidFill>
                    <w14:schemeClr w14:val="tx1"/>
                  </w14:solidFill>
                </w14:textFill>
              </w:rPr>
              <w:t>技术</w:t>
            </w:r>
          </w:p>
        </w:tc>
      </w:tr>
      <w:tr w14:paraId="06B1E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jc w:val="center"/>
        </w:trPr>
        <w:tc>
          <w:tcPr>
            <w:tcW w:w="622" w:type="pct"/>
            <w:vAlign w:val="center"/>
          </w:tcPr>
          <w:p w14:paraId="798D17F5">
            <w:pPr>
              <w:spacing w:line="360" w:lineRule="auto"/>
              <w:jc w:val="center"/>
              <w:rPr>
                <w:rFonts w:ascii="宋体" w:hAnsi="宋体" w:eastAsia="宋体" w:cs="宋体"/>
                <w:color w:val="000000" w:themeColor="text1"/>
                <w:spacing w:val="4"/>
                <w:szCs w:val="21"/>
                <w:highlight w:val="none"/>
                <w14:textFill>
                  <w14:solidFill>
                    <w14:schemeClr w14:val="tx1"/>
                  </w14:solidFill>
                </w14:textFill>
              </w:rPr>
            </w:pPr>
            <w:r>
              <w:rPr>
                <w:rFonts w:hint="eastAsia" w:ascii="宋体" w:hAnsi="宋体" w:eastAsia="宋体" w:cs="宋体"/>
                <w:color w:val="000000" w:themeColor="text1"/>
                <w:spacing w:val="4"/>
                <w:szCs w:val="21"/>
                <w:highlight w:val="none"/>
                <w14:textFill>
                  <w14:solidFill>
                    <w14:schemeClr w14:val="tx1"/>
                  </w14:solidFill>
                </w14:textFill>
              </w:rPr>
              <w:t>光伏</w:t>
            </w:r>
          </w:p>
          <w:p w14:paraId="34DCFC67">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4"/>
                <w:szCs w:val="21"/>
                <w:highlight w:val="none"/>
                <w14:textFill>
                  <w14:solidFill>
                    <w14:schemeClr w14:val="tx1"/>
                  </w14:solidFill>
                </w14:textFill>
              </w:rPr>
              <w:t>组件</w:t>
            </w:r>
          </w:p>
        </w:tc>
        <w:tc>
          <w:tcPr>
            <w:tcW w:w="1306" w:type="pct"/>
            <w:vMerge w:val="restart"/>
            <w:vAlign w:val="center"/>
          </w:tcPr>
          <w:p w14:paraId="1CCBD290">
            <w:pPr>
              <w:spacing w:line="360" w:lineRule="auto"/>
              <w:jc w:val="center"/>
              <w:rPr>
                <w:rFonts w:ascii="宋体" w:hAnsi="宋体" w:eastAsia="宋体" w:cs="宋体"/>
                <w:color w:val="000000" w:themeColor="text1"/>
                <w:szCs w:val="21"/>
                <w:highlight w:val="none"/>
                <w14:textFill>
                  <w14:solidFill>
                    <w14:schemeClr w14:val="tx1"/>
                  </w14:solidFill>
                </w14:textFill>
              </w:rPr>
            </w:pPr>
          </w:p>
          <w:p w14:paraId="52599B4E">
            <w:pPr>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4"/>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根据现场及招标人意见调整；</w:t>
            </w:r>
          </w:p>
          <w:p w14:paraId="52A7D3A1">
            <w:pPr>
              <w:spacing w:line="360" w:lineRule="auto"/>
              <w:ind w:right="203"/>
              <w:rPr>
                <w:rFonts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2.视频监控画面必须覆盖所有光伏组件、逆变器区域，不得存在盲区；</w:t>
            </w:r>
          </w:p>
          <w:p w14:paraId="0B6EAE98">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3071" w:type="pct"/>
            <w:vMerge w:val="restart"/>
            <w:tcBorders>
              <w:bottom w:val="nil"/>
            </w:tcBorders>
            <w:vAlign w:val="center"/>
          </w:tcPr>
          <w:p w14:paraId="302CAE4C">
            <w:pPr>
              <w:spacing w:line="360" w:lineRule="auto"/>
              <w:ind w:right="203"/>
              <w:rPr>
                <w:rFonts w:ascii="宋体" w:hAnsi="宋体" w:eastAsia="宋体" w:cs="宋体"/>
                <w:color w:val="000000" w:themeColor="text1"/>
                <w:spacing w:val="-2"/>
                <w:szCs w:val="21"/>
                <w:highlight w:val="none"/>
                <w14:textFill>
                  <w14:solidFill>
                    <w14:schemeClr w14:val="tx1"/>
                  </w14:solidFill>
                </w14:textFill>
              </w:rPr>
            </w:pPr>
            <w:r>
              <w:rPr>
                <w:rFonts w:hint="eastAsia" w:ascii="宋体" w:hAnsi="宋体" w:eastAsia="宋体" w:cs="宋体"/>
                <w:color w:val="000000" w:themeColor="text1"/>
                <w:spacing w:val="-4"/>
                <w:szCs w:val="21"/>
                <w:highlight w:val="none"/>
                <w14:textFill>
                  <w14:solidFill>
                    <w14:schemeClr w14:val="tx1"/>
                  </w14:solidFill>
                </w14:textFill>
              </w:rPr>
              <w:t>1.直接</w:t>
            </w:r>
            <w:r>
              <w:rPr>
                <w:rFonts w:hint="eastAsia" w:ascii="宋体" w:hAnsi="宋体" w:eastAsia="宋体" w:cs="宋体"/>
                <w:color w:val="000000" w:themeColor="text1"/>
                <w:spacing w:val="-2"/>
                <w:szCs w:val="21"/>
                <w:highlight w:val="none"/>
                <w14:textFill>
                  <w14:solidFill>
                    <w14:schemeClr w14:val="tx1"/>
                  </w14:solidFill>
                </w14:textFill>
              </w:rPr>
              <w:t>插移动1年流量包4G手机卡；</w:t>
            </w:r>
          </w:p>
          <w:p w14:paraId="3D27727A">
            <w:pPr>
              <w:spacing w:line="360" w:lineRule="auto"/>
              <w:ind w:right="203"/>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1"/>
                <w:szCs w:val="21"/>
                <w:highlight w:val="none"/>
                <w14:textFill>
                  <w14:solidFill>
                    <w14:schemeClr w14:val="tx1"/>
                  </w14:solidFill>
                </w14:textFill>
              </w:rPr>
              <w:t>2.支持手机远程监控，</w:t>
            </w:r>
            <w:r>
              <w:rPr>
                <w:rFonts w:hint="eastAsia" w:ascii="宋体" w:hAnsi="宋体" w:eastAsia="宋体" w:cs="宋体"/>
                <w:color w:val="000000" w:themeColor="text1"/>
                <w:szCs w:val="21"/>
                <w:highlight w:val="none"/>
                <w14:textFill>
                  <w14:solidFill>
                    <w14:schemeClr w14:val="tx1"/>
                  </w14:solidFill>
                </w14:textFill>
              </w:rPr>
              <w:t>TF卡容量不小于256G，所有监控数据要保留1个月以上；</w:t>
            </w:r>
          </w:p>
          <w:p w14:paraId="2D5F7622">
            <w:pPr>
              <w:spacing w:line="360" w:lineRule="auto"/>
              <w:ind w:right="203"/>
              <w:rPr>
                <w:rFonts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11"/>
                <w:szCs w:val="21"/>
                <w:highlight w:val="none"/>
                <w14:textFill>
                  <w14:solidFill>
                    <w14:schemeClr w14:val="tx1"/>
                  </w14:solidFill>
                </w14:textFill>
              </w:rPr>
              <w:t>3</w:t>
            </w:r>
            <w:r>
              <w:rPr>
                <w:rFonts w:hint="eastAsia" w:ascii="宋体" w:hAnsi="宋体" w:eastAsia="宋体" w:cs="宋体"/>
                <w:color w:val="000000" w:themeColor="text1"/>
                <w:spacing w:val="8"/>
                <w:szCs w:val="21"/>
                <w:highlight w:val="none"/>
                <w14:textFill>
                  <w14:solidFill>
                    <w14:schemeClr w14:val="tx1"/>
                  </w14:solidFill>
                </w14:textFill>
              </w:rPr>
              <w:t>.视频</w:t>
            </w:r>
            <w:r>
              <w:rPr>
                <w:rFonts w:hint="eastAsia" w:ascii="宋体" w:hAnsi="宋体" w:eastAsia="宋体" w:cs="宋体"/>
                <w:color w:val="000000" w:themeColor="text1"/>
                <w:szCs w:val="21"/>
                <w:highlight w:val="none"/>
                <w14:textFill>
                  <w14:solidFill>
                    <w14:schemeClr w14:val="tx1"/>
                  </w14:solidFill>
                </w14:textFill>
              </w:rPr>
              <w:t>摄像头为高清、</w:t>
            </w:r>
            <w:r>
              <w:rPr>
                <w:rFonts w:hint="eastAsia" w:ascii="宋体" w:hAnsi="宋体" w:eastAsia="宋体" w:cs="宋体"/>
                <w:color w:val="000000" w:themeColor="text1"/>
                <w:spacing w:val="8"/>
                <w:szCs w:val="21"/>
                <w:highlight w:val="none"/>
                <w14:textFill>
                  <w14:solidFill>
                    <w14:schemeClr w14:val="tx1"/>
                  </w14:solidFill>
                </w14:textFill>
              </w:rPr>
              <w:t>具有夜视功能，支持移动侦测报警；</w:t>
            </w:r>
          </w:p>
          <w:p w14:paraId="4243B897">
            <w:pPr>
              <w:spacing w:line="360" w:lineRule="auto"/>
              <w:ind w:right="203"/>
              <w:rPr>
                <w:rFonts w:ascii="宋体" w:hAnsi="宋体" w:eastAsia="宋体" w:cs="宋体"/>
                <w:color w:val="000000" w:themeColor="text1"/>
                <w:spacing w:val="8"/>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4.视频监控</w:t>
            </w:r>
            <w:r>
              <w:rPr>
                <w:rFonts w:hint="eastAsia" w:ascii="宋体" w:hAnsi="宋体" w:eastAsia="宋体" w:cs="宋体"/>
                <w:color w:val="000000" w:themeColor="text1"/>
                <w:szCs w:val="21"/>
                <w:highlight w:val="none"/>
                <w14:textFill>
                  <w14:solidFill>
                    <w14:schemeClr w14:val="tx1"/>
                  </w14:solidFill>
                </w14:textFill>
              </w:rPr>
              <w:t>电源需引自市电，</w:t>
            </w:r>
            <w:r>
              <w:rPr>
                <w:rFonts w:hint="eastAsia" w:ascii="宋体" w:hAnsi="宋体" w:eastAsia="宋体" w:cs="宋体"/>
                <w:color w:val="000000" w:themeColor="text1"/>
                <w:spacing w:val="8"/>
                <w:szCs w:val="21"/>
                <w:highlight w:val="none"/>
                <w14:textFill>
                  <w14:solidFill>
                    <w14:schemeClr w14:val="tx1"/>
                  </w14:solidFill>
                </w14:textFill>
              </w:rPr>
              <w:t>若配置室外立杆需可靠接地并不造成光伏组件阴影遮挡；</w:t>
            </w:r>
          </w:p>
          <w:p w14:paraId="3B0D4236">
            <w:pPr>
              <w:spacing w:line="360" w:lineRule="auto"/>
              <w:ind w:right="203"/>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所有摄像头均可360°自由转动巡检</w:t>
            </w:r>
            <w:r>
              <w:rPr>
                <w:rFonts w:hint="eastAsia" w:ascii="宋体" w:hAnsi="宋体" w:eastAsia="宋体" w:cs="宋体"/>
                <w:color w:val="000000" w:themeColor="text1"/>
                <w:spacing w:val="8"/>
                <w:szCs w:val="21"/>
                <w:highlight w:val="none"/>
                <w14:textFill>
                  <w14:solidFill>
                    <w14:schemeClr w14:val="tx1"/>
                  </w14:solidFill>
                </w14:textFill>
              </w:rPr>
              <w:t>；</w:t>
            </w:r>
          </w:p>
        </w:tc>
      </w:tr>
      <w:tr w14:paraId="4BF59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8" w:hRule="atLeast"/>
          <w:jc w:val="center"/>
        </w:trPr>
        <w:tc>
          <w:tcPr>
            <w:tcW w:w="622" w:type="pct"/>
            <w:vAlign w:val="center"/>
          </w:tcPr>
          <w:p w14:paraId="71A2E4AF">
            <w:pPr>
              <w:spacing w:line="360" w:lineRule="auto"/>
              <w:jc w:val="center"/>
              <w:rPr>
                <w:rFonts w:ascii="宋体" w:hAnsi="宋体" w:eastAsia="宋体" w:cs="宋体"/>
                <w:color w:val="000000" w:themeColor="text1"/>
                <w:spacing w:val="7"/>
                <w:szCs w:val="21"/>
                <w:highlight w:val="none"/>
                <w14:textFill>
                  <w14:solidFill>
                    <w14:schemeClr w14:val="tx1"/>
                  </w14:solidFill>
                </w14:textFill>
              </w:rPr>
            </w:pPr>
            <w:r>
              <w:rPr>
                <w:rFonts w:hint="eastAsia" w:ascii="宋体" w:hAnsi="宋体" w:eastAsia="宋体" w:cs="宋体"/>
                <w:color w:val="000000" w:themeColor="text1"/>
                <w:spacing w:val="7"/>
                <w:szCs w:val="21"/>
                <w:highlight w:val="none"/>
                <w14:textFill>
                  <w14:solidFill>
                    <w14:schemeClr w14:val="tx1"/>
                  </w14:solidFill>
                </w14:textFill>
              </w:rPr>
              <w:t>并网</w:t>
            </w:r>
          </w:p>
          <w:p w14:paraId="112BFC79">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7"/>
                <w:szCs w:val="21"/>
                <w:highlight w:val="none"/>
                <w14:textFill>
                  <w14:solidFill>
                    <w14:schemeClr w14:val="tx1"/>
                  </w14:solidFill>
                </w14:textFill>
              </w:rPr>
              <w:t>逆变器</w:t>
            </w:r>
          </w:p>
        </w:tc>
        <w:tc>
          <w:tcPr>
            <w:tcW w:w="1306" w:type="pct"/>
            <w:vMerge w:val="continue"/>
            <w:vAlign w:val="center"/>
          </w:tcPr>
          <w:p w14:paraId="5F815AD6">
            <w:pPr>
              <w:spacing w:line="360" w:lineRule="auto"/>
              <w:jc w:val="center"/>
              <w:rPr>
                <w:rFonts w:ascii="宋体" w:hAnsi="宋体" w:eastAsia="宋体" w:cs="宋体"/>
                <w:color w:val="000000" w:themeColor="text1"/>
                <w:szCs w:val="21"/>
                <w:highlight w:val="none"/>
                <w14:textFill>
                  <w14:solidFill>
                    <w14:schemeClr w14:val="tx1"/>
                  </w14:solidFill>
                </w14:textFill>
              </w:rPr>
            </w:pPr>
          </w:p>
        </w:tc>
        <w:tc>
          <w:tcPr>
            <w:tcW w:w="3071" w:type="pct"/>
            <w:vMerge w:val="continue"/>
            <w:tcBorders>
              <w:top w:val="nil"/>
            </w:tcBorders>
            <w:vAlign w:val="center"/>
          </w:tcPr>
          <w:p w14:paraId="0086BC62">
            <w:pPr>
              <w:spacing w:line="360" w:lineRule="auto"/>
              <w:jc w:val="center"/>
              <w:rPr>
                <w:rFonts w:ascii="宋体" w:hAnsi="宋体" w:eastAsia="宋体" w:cs="宋体"/>
                <w:color w:val="000000" w:themeColor="text1"/>
                <w:szCs w:val="21"/>
                <w:highlight w:val="none"/>
                <w14:textFill>
                  <w14:solidFill>
                    <w14:schemeClr w14:val="tx1"/>
                  </w14:solidFill>
                </w14:textFill>
              </w:rPr>
            </w:pPr>
          </w:p>
        </w:tc>
      </w:tr>
    </w:tbl>
    <w:p w14:paraId="281448ED">
      <w:pPr>
        <w:keepNext/>
        <w:keepLines/>
        <w:spacing w:line="360" w:lineRule="auto"/>
        <w:outlineLvl w:val="3"/>
        <w:rPr>
          <w:rFonts w:ascii="宋体" w:hAnsi="宋体" w:eastAsia="宋体" w:cs="宋体"/>
          <w:b/>
          <w:bCs/>
          <w:color w:val="000000" w:themeColor="text1"/>
          <w:szCs w:val="21"/>
          <w:highlight w:val="none"/>
          <w14:textFill>
            <w14:solidFill>
              <w14:schemeClr w14:val="tx1"/>
            </w14:solidFill>
          </w14:textFill>
        </w:rPr>
      </w:pPr>
    </w:p>
    <w:p w14:paraId="2D3E8650">
      <w:pPr>
        <w:keepNext/>
        <w:keepLines/>
        <w:spacing w:line="360" w:lineRule="auto"/>
        <w:outlineLvl w:val="3"/>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四、</w:t>
      </w:r>
      <w:bookmarkStart w:id="446" w:name="OLE_LINK323"/>
      <w:r>
        <w:rPr>
          <w:rFonts w:hint="eastAsia" w:ascii="宋体" w:hAnsi="宋体" w:eastAsia="宋体" w:cs="宋体"/>
          <w:b/>
          <w:bCs/>
          <w:color w:val="000000" w:themeColor="text1"/>
          <w:szCs w:val="21"/>
          <w:highlight w:val="none"/>
          <w14:textFill>
            <w14:solidFill>
              <w14:schemeClr w14:val="tx1"/>
            </w14:solidFill>
          </w14:textFill>
        </w:rPr>
        <w:t>技术要求</w:t>
      </w:r>
      <w:bookmarkEnd w:id="446"/>
    </w:p>
    <w:p w14:paraId="52B37936">
      <w:pPr>
        <w:wordWrap w:val="0"/>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 执行的标准和规范</w:t>
      </w:r>
    </w:p>
    <w:p w14:paraId="4A3DF7C4">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《光伏发电工程验收规范》 GB 50796-2012</w:t>
      </w:r>
    </w:p>
    <w:p w14:paraId="4656EA4D">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《屋面工程质量验收规范》 GB 50207-2012</w:t>
      </w:r>
    </w:p>
    <w:p w14:paraId="0F676C7C">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《建筑结构加固工程施工质量验收规范》 GB 50550-2010</w:t>
      </w:r>
    </w:p>
    <w:p w14:paraId="0DB982BA">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《建筑工程施工质量验收统一标准》 GB 50300-2013</w:t>
      </w:r>
    </w:p>
    <w:p w14:paraId="20D8DD75">
      <w:pPr>
        <w:pStyle w:val="17"/>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《光伏系统性能监测测量、数据交换和分析导则》(GB20513-2006)</w:t>
      </w:r>
    </w:p>
    <w:p w14:paraId="3AB49AB6">
      <w:pPr>
        <w:pStyle w:val="17"/>
        <w:ind w:firstLine="420" w:firstLineChars="200"/>
        <w:rPr>
          <w:color w:val="000000" w:themeColor="text1"/>
          <w:highlight w:val="none"/>
          <w14:textFill>
            <w14:solidFill>
              <w14:schemeClr w14:val="tx1"/>
            </w14:solidFill>
          </w14:textFill>
        </w:rPr>
      </w:pPr>
    </w:p>
    <w:p w14:paraId="3D9FFD5A">
      <w:pPr>
        <w:pStyle w:val="17"/>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光伏系统并网技术要求》(GB/T 19939-2005)</w:t>
      </w:r>
    </w:p>
    <w:p w14:paraId="3DC7393E">
      <w:pPr>
        <w:pStyle w:val="17"/>
        <w:ind w:firstLine="420" w:firstLineChars="200"/>
        <w:rPr>
          <w:color w:val="000000" w:themeColor="text1"/>
          <w:highlight w:val="none"/>
          <w14:textFill>
            <w14:solidFill>
              <w14:schemeClr w14:val="tx1"/>
            </w14:solidFill>
          </w14:textFill>
        </w:rPr>
      </w:pPr>
    </w:p>
    <w:p w14:paraId="1EEBC74F">
      <w:pPr>
        <w:pStyle w:val="17"/>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《光伏（PV）系统电网接口特性》(GB/T 20046-2006)</w:t>
      </w:r>
    </w:p>
    <w:p w14:paraId="5649D5A0">
      <w:pPr>
        <w:pStyle w:val="17"/>
        <w:ind w:firstLine="420" w:firstLineChars="200"/>
        <w:rPr>
          <w:color w:val="000000" w:themeColor="text1"/>
          <w:highlight w:val="none"/>
          <w14:textFill>
            <w14:solidFill>
              <w14:schemeClr w14:val="tx1"/>
            </w14:solidFill>
          </w14:textFill>
        </w:rPr>
      </w:pPr>
    </w:p>
    <w:p w14:paraId="6995303E">
      <w:pPr>
        <w:pStyle w:val="17"/>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《光伏发电站接入电力系统技术规定》(GB/Z 19964-2012)</w:t>
      </w:r>
    </w:p>
    <w:p w14:paraId="1B68A18D">
      <w:pPr>
        <w:pStyle w:val="17"/>
        <w:ind w:firstLine="420" w:firstLineChars="200"/>
        <w:rPr>
          <w:color w:val="000000" w:themeColor="text1"/>
          <w:highlight w:val="none"/>
          <w14:textFill>
            <w14:solidFill>
              <w14:schemeClr w14:val="tx1"/>
            </w14:solidFill>
          </w14:textFill>
        </w:rPr>
      </w:pPr>
    </w:p>
    <w:p w14:paraId="180A6EB3">
      <w:pPr>
        <w:pStyle w:val="17"/>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《光伏发电工程验收规范》(GB/T 50796-2012)</w:t>
      </w:r>
    </w:p>
    <w:p w14:paraId="63457FA6">
      <w:pPr>
        <w:pStyle w:val="17"/>
        <w:ind w:firstLine="420" w:firstLineChars="200"/>
        <w:rPr>
          <w:color w:val="000000" w:themeColor="text1"/>
          <w:highlight w:val="none"/>
          <w14:textFill>
            <w14:solidFill>
              <w14:schemeClr w14:val="tx1"/>
            </w14:solidFill>
          </w14:textFill>
        </w:rPr>
      </w:pPr>
    </w:p>
    <w:p w14:paraId="7C3EED1A">
      <w:pPr>
        <w:pStyle w:val="17"/>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《光伏发电站设计规范》(GB/T 50797-2012)</w:t>
      </w:r>
    </w:p>
    <w:p w14:paraId="151AEA92">
      <w:pPr>
        <w:pStyle w:val="17"/>
        <w:ind w:firstLine="420" w:firstLineChars="200"/>
        <w:rPr>
          <w:color w:val="000000" w:themeColor="text1"/>
          <w:highlight w:val="none"/>
          <w14:textFill>
            <w14:solidFill>
              <w14:schemeClr w14:val="tx1"/>
            </w14:solidFill>
          </w14:textFill>
        </w:rPr>
      </w:pPr>
    </w:p>
    <w:p w14:paraId="44A59AB6">
      <w:pPr>
        <w:pStyle w:val="17"/>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《光伏组件安全鉴定第1部分：结构要求》(GB/T20047.1-2006)</w:t>
      </w:r>
    </w:p>
    <w:p w14:paraId="202D1063">
      <w:pPr>
        <w:pStyle w:val="17"/>
        <w:ind w:firstLine="420" w:firstLineChars="200"/>
        <w:rPr>
          <w:color w:val="000000" w:themeColor="text1"/>
          <w:highlight w:val="none"/>
          <w14:textFill>
            <w14:solidFill>
              <w14:schemeClr w14:val="tx1"/>
            </w14:solidFill>
          </w14:textFill>
        </w:rPr>
      </w:pPr>
    </w:p>
    <w:p w14:paraId="7BDA5863">
      <w:pPr>
        <w:pStyle w:val="17"/>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《民用建筑电气设计标准》GB51348-2019</w:t>
      </w:r>
    </w:p>
    <w:p w14:paraId="027DD78A">
      <w:pPr>
        <w:pStyle w:val="17"/>
        <w:ind w:firstLine="420" w:firstLineChars="200"/>
        <w:rPr>
          <w:color w:val="000000" w:themeColor="text1"/>
          <w:highlight w:val="none"/>
          <w14:textFill>
            <w14:solidFill>
              <w14:schemeClr w14:val="tx1"/>
            </w14:solidFill>
          </w14:textFill>
        </w:rPr>
      </w:pPr>
    </w:p>
    <w:p w14:paraId="30C26921">
      <w:pPr>
        <w:pStyle w:val="17"/>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《低压配电设计规范》GB50054-2011 </w:t>
      </w:r>
    </w:p>
    <w:p w14:paraId="2D47DFF9">
      <w:pPr>
        <w:pStyle w:val="17"/>
        <w:rPr>
          <w:color w:val="000000" w:themeColor="text1"/>
          <w:highlight w:val="none"/>
          <w14:textFill>
            <w14:solidFill>
              <w14:schemeClr w14:val="tx1"/>
            </w14:solidFill>
          </w14:textFill>
        </w:rPr>
      </w:pPr>
    </w:p>
    <w:p w14:paraId="39681ACA">
      <w:pPr>
        <w:pStyle w:val="17"/>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《供配电系统设计规范》GB50052-2009 </w:t>
      </w:r>
    </w:p>
    <w:p w14:paraId="69D88E39">
      <w:pPr>
        <w:pStyle w:val="17"/>
        <w:ind w:firstLine="420" w:firstLineChars="200"/>
        <w:rPr>
          <w:color w:val="000000" w:themeColor="text1"/>
          <w:highlight w:val="none"/>
          <w14:textFill>
            <w14:solidFill>
              <w14:schemeClr w14:val="tx1"/>
            </w14:solidFill>
          </w14:textFill>
        </w:rPr>
      </w:pPr>
    </w:p>
    <w:p w14:paraId="33D50E8E">
      <w:pPr>
        <w:pStyle w:val="17"/>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《电力工程电缆设计规范》GB50217-2018 </w:t>
      </w:r>
    </w:p>
    <w:p w14:paraId="0F9C1C01">
      <w:pPr>
        <w:pStyle w:val="17"/>
        <w:ind w:firstLine="420" w:firstLineChars="200"/>
        <w:rPr>
          <w:color w:val="000000" w:themeColor="text1"/>
          <w:highlight w:val="none"/>
          <w14:textFill>
            <w14:solidFill>
              <w14:schemeClr w14:val="tx1"/>
            </w14:solidFill>
          </w14:textFill>
        </w:rPr>
      </w:pPr>
    </w:p>
    <w:p w14:paraId="72EB119A">
      <w:pPr>
        <w:pStyle w:val="17"/>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《建筑物防雷设计规范》 GB 50057-2019 </w:t>
      </w:r>
    </w:p>
    <w:p w14:paraId="3F0F2679">
      <w:pPr>
        <w:pStyle w:val="17"/>
        <w:ind w:firstLine="420" w:firstLineChars="200"/>
        <w:rPr>
          <w:color w:val="000000" w:themeColor="text1"/>
          <w:highlight w:val="none"/>
          <w14:textFill>
            <w14:solidFill>
              <w14:schemeClr w14:val="tx1"/>
            </w14:solidFill>
          </w14:textFill>
        </w:rPr>
      </w:pPr>
    </w:p>
    <w:p w14:paraId="4343CE97">
      <w:pPr>
        <w:pStyle w:val="17"/>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《光伏系统并网技术要求》GB/T 19939-2005</w:t>
      </w:r>
    </w:p>
    <w:p w14:paraId="1B596082">
      <w:pPr>
        <w:pStyle w:val="17"/>
        <w:ind w:firstLine="420" w:firstLineChars="200"/>
        <w:rPr>
          <w:color w:val="000000" w:themeColor="text1"/>
          <w:highlight w:val="none"/>
          <w14:textFill>
            <w14:solidFill>
              <w14:schemeClr w14:val="tx1"/>
            </w14:solidFill>
          </w14:textFill>
        </w:rPr>
      </w:pPr>
    </w:p>
    <w:p w14:paraId="4ED8130C">
      <w:pPr>
        <w:pStyle w:val="17"/>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《光伏发电接入配电网设计规范》GB/T50865-2013 </w:t>
      </w:r>
    </w:p>
    <w:p w14:paraId="525F9990">
      <w:pPr>
        <w:pStyle w:val="17"/>
        <w:rPr>
          <w:color w:val="000000" w:themeColor="text1"/>
          <w:highlight w:val="none"/>
          <w14:textFill>
            <w14:solidFill>
              <w14:schemeClr w14:val="tx1"/>
            </w14:solidFill>
          </w14:textFill>
        </w:rPr>
      </w:pPr>
    </w:p>
    <w:p w14:paraId="3892F9DC">
      <w:pPr>
        <w:pStyle w:val="17"/>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《电能质量 电压波动和闪变》GB12326-2008 </w:t>
      </w:r>
    </w:p>
    <w:p w14:paraId="798850DF">
      <w:pPr>
        <w:pStyle w:val="17"/>
        <w:ind w:firstLine="420" w:firstLineChars="200"/>
        <w:rPr>
          <w:color w:val="000000" w:themeColor="text1"/>
          <w:highlight w:val="none"/>
          <w14:textFill>
            <w14:solidFill>
              <w14:schemeClr w14:val="tx1"/>
            </w14:solidFill>
          </w14:textFill>
        </w:rPr>
      </w:pPr>
    </w:p>
    <w:p w14:paraId="7D93870D">
      <w:pPr>
        <w:pStyle w:val="17"/>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《电能质量三相电压不平衡》GB12325-2008</w:t>
      </w:r>
    </w:p>
    <w:p w14:paraId="1FB0EA4C">
      <w:pPr>
        <w:pStyle w:val="17"/>
        <w:ind w:firstLine="420" w:firstLineChars="200"/>
        <w:rPr>
          <w:color w:val="000000" w:themeColor="text1"/>
          <w:highlight w:val="none"/>
          <w14:textFill>
            <w14:solidFill>
              <w14:schemeClr w14:val="tx1"/>
            </w14:solidFill>
          </w14:textFill>
        </w:rPr>
      </w:pPr>
    </w:p>
    <w:p w14:paraId="611920BA">
      <w:pPr>
        <w:pStyle w:val="17"/>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2018年版 中国南方电网《10KV及以下业扩受电工程典型设计图集》</w:t>
      </w:r>
    </w:p>
    <w:p w14:paraId="1C09657A">
      <w:pPr>
        <w:pStyle w:val="17"/>
        <w:ind w:firstLine="420" w:firstLineChars="200"/>
        <w:rPr>
          <w:color w:val="000000" w:themeColor="text1"/>
          <w:highlight w:val="none"/>
          <w14:textFill>
            <w14:solidFill>
              <w14:schemeClr w14:val="tx1"/>
            </w14:solidFill>
          </w14:textFill>
        </w:rPr>
      </w:pPr>
    </w:p>
    <w:p w14:paraId="2F86ADFF">
      <w:pPr>
        <w:pStyle w:val="17"/>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2018年版中国南方电网《10KV及以下业扩受电工程技术导则》</w:t>
      </w:r>
    </w:p>
    <w:p w14:paraId="5CCDDDB6">
      <w:pPr>
        <w:pStyle w:val="17"/>
        <w:ind w:firstLine="420" w:firstLineChars="200"/>
        <w:rPr>
          <w:color w:val="000000" w:themeColor="text1"/>
          <w:highlight w:val="none"/>
          <w14:textFill>
            <w14:solidFill>
              <w14:schemeClr w14:val="tx1"/>
            </w14:solidFill>
          </w14:textFill>
        </w:rPr>
      </w:pPr>
    </w:p>
    <w:p w14:paraId="60BF734B">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且包含未明列但属国家或地方规定的其他强制执行标准或规范（条款）</w:t>
      </w:r>
    </w:p>
    <w:p w14:paraId="2BB6FED5">
      <w:pPr>
        <w:wordWrap w:val="0"/>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 项目实施组织布署</w:t>
      </w:r>
    </w:p>
    <w:p w14:paraId="265AEB27">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（1）建立项目管理组织机构，健全安全质量保证体系。</w:t>
      </w:r>
    </w:p>
    <w:p w14:paraId="08FBEC5F">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（2）组织建设所用的机械、劳动力等保障资源，以满足项目进度的要求。</w:t>
      </w:r>
    </w:p>
    <w:p w14:paraId="43A7AAA4">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（3）采购项目所需的组件等设备、支架等材料。</w:t>
      </w:r>
    </w:p>
    <w:p w14:paraId="124A1CEA">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（4）项目按照图纸、安装调试方案满足项目实施要求。</w:t>
      </w:r>
    </w:p>
    <w:p w14:paraId="4043ED7D">
      <w:pPr>
        <w:wordWrap w:val="0"/>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 质量要求</w:t>
      </w:r>
    </w:p>
    <w:p w14:paraId="08FA9BE5">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（1）达到国家或光伏、电力行业质量检验评定的</w:t>
      </w:r>
      <w:r>
        <w:rPr>
          <w:rFonts w:hint="eastAsia" w:ascii="宋体" w:hAnsi="宋体" w:eastAsia="宋体" w:cs="宋体"/>
          <w:color w:val="000000" w:themeColor="text1"/>
          <w:szCs w:val="21"/>
          <w:highlight w:val="none"/>
          <w:u w:val="single"/>
          <w14:textFill>
            <w14:solidFill>
              <w14:schemeClr w14:val="tx1"/>
            </w14:solidFill>
          </w14:textFill>
        </w:rPr>
        <w:t xml:space="preserve"> 合格 </w:t>
      </w:r>
      <w:r>
        <w:rPr>
          <w:rFonts w:hint="eastAsia" w:ascii="宋体" w:hAnsi="宋体" w:eastAsia="宋体" w:cs="宋体"/>
          <w:color w:val="000000" w:themeColor="text1"/>
          <w:szCs w:val="21"/>
          <w:highlight w:val="none"/>
          <w14:textFill>
            <w14:solidFill>
              <w14:schemeClr w14:val="tx1"/>
            </w14:solidFill>
          </w14:textFill>
        </w:rPr>
        <w:t>标准。</w:t>
      </w:r>
    </w:p>
    <w:p w14:paraId="113B5E9C">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（2）建立健全质量保证体系，并保证其正常运作。</w:t>
      </w:r>
    </w:p>
    <w:p w14:paraId="2DA945EA">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（3）加强安装调试过程控制，设专人对安装质量进行跟踪检查。</w:t>
      </w:r>
    </w:p>
    <w:p w14:paraId="51EBE12C">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（4）对项目质量的检查严格执行三检制（自检、互检、专检）。</w:t>
      </w:r>
    </w:p>
    <w:p w14:paraId="612A338B">
      <w:pPr>
        <w:wordWrap w:val="0"/>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4. 安全保证措施</w:t>
      </w:r>
    </w:p>
    <w:p w14:paraId="2B083E2E">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（1）建立安全生产体系，制定详细的安全保证措施，加强安全管理，保证安全生产无事故。</w:t>
      </w:r>
    </w:p>
    <w:p w14:paraId="764626A7">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（2）项目现场的布置符合防火、防爆、防雷电等安全规定及文明施工的要求。项目现场生活办公用房、仓库、材料堆放场按批准的总平面布置图进行布置。</w:t>
      </w:r>
    </w:p>
    <w:p w14:paraId="7C45BA7E">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（3）现场道路保持畅通，危险地点悬挂安全警示标牌，项目现场设置安全宣传标语。</w:t>
      </w:r>
    </w:p>
    <w:p w14:paraId="1A106E49">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（4）各类房屋、库棚、料场等安全消防距离符合有关规定，现场易燃杂物随时清理，严禁在有火种的场所或其近旁堆放易燃物品。</w:t>
      </w:r>
    </w:p>
    <w:p w14:paraId="03639966">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（5）成品保护措施：脆弱屋面在实施前应采集承载数据，经结构荷载计算光伏荷载≤0.71KN/m</w:t>
      </w:r>
      <w:r>
        <w:rPr>
          <w:rFonts w:hint="eastAsia" w:ascii="宋体" w:hAnsi="宋体" w:eastAsia="宋体" w:cs="宋体"/>
          <w:color w:val="000000" w:themeColor="text1"/>
          <w:szCs w:val="21"/>
          <w:highlight w:val="none"/>
          <w:vertAlign w:val="superscript"/>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符合承载要求才可进行安装；应采取避免集中受力的保证措施，如架设轻质木板或其他增大受力面积的保证措施，同时必须优先安装运维通道，避免屋面因集中受力变形破裂受损。如因保护措施不足，使原有屋面受损，投标人应承担维修责任及费用，情况严重的，招标人有权要求投标人按照招标人遭受的损失进行赔偿。</w:t>
      </w:r>
    </w:p>
    <w:p w14:paraId="1F009E58">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（6）项目现场的临时用电严格按照《施工现场临时用电安全技术规范》JGJ46-2005 的规定执行，严格按照三相五线制布设电线，做到二级保护，三级控制，一机一闸，同时需出专项方案。</w:t>
      </w:r>
    </w:p>
    <w:p w14:paraId="75C769F6">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（7）项目现场的高处作业严格按照《</w:t>
      </w:r>
      <w:bookmarkStart w:id="447" w:name="OLE_LINK126"/>
      <w:r>
        <w:rPr>
          <w:rFonts w:hint="eastAsia" w:ascii="宋体" w:hAnsi="宋体" w:eastAsia="宋体" w:cs="宋体"/>
          <w:color w:val="000000" w:themeColor="text1"/>
          <w:szCs w:val="21"/>
          <w:highlight w:val="none"/>
          <w14:textFill>
            <w14:solidFill>
              <w14:schemeClr w14:val="tx1"/>
            </w14:solidFill>
          </w14:textFill>
        </w:rPr>
        <w:t>建筑施工高处作业安全技术规范</w:t>
      </w:r>
      <w:bookmarkEnd w:id="447"/>
      <w:r>
        <w:rPr>
          <w:rFonts w:hint="eastAsia" w:ascii="宋体" w:hAnsi="宋体" w:eastAsia="宋体" w:cs="宋体"/>
          <w:color w:val="000000" w:themeColor="text1"/>
          <w:szCs w:val="21"/>
          <w:highlight w:val="none"/>
          <w14:textFill>
            <w14:solidFill>
              <w14:schemeClr w14:val="tx1"/>
            </w14:solidFill>
          </w14:textFill>
        </w:rPr>
        <w:t>》JGJ80-2016的规定落实安全措施，正确佩戴五点式安全带（绳）、安全帽，同时需出</w:t>
      </w:r>
      <w:bookmarkStart w:id="448" w:name="OLE_LINK85"/>
      <w:r>
        <w:rPr>
          <w:rFonts w:hint="eastAsia" w:ascii="宋体" w:hAnsi="宋体" w:eastAsia="宋体" w:cs="宋体"/>
          <w:color w:val="000000" w:themeColor="text1"/>
          <w:szCs w:val="21"/>
          <w:highlight w:val="none"/>
          <w14:textFill>
            <w14:solidFill>
              <w14:schemeClr w14:val="tx1"/>
            </w14:solidFill>
          </w14:textFill>
        </w:rPr>
        <w:t>专项方案</w:t>
      </w:r>
      <w:bookmarkEnd w:id="448"/>
      <w:r>
        <w:rPr>
          <w:rFonts w:hint="eastAsia" w:ascii="宋体" w:hAnsi="宋体" w:eastAsia="宋体" w:cs="宋体"/>
          <w:color w:val="000000" w:themeColor="text1"/>
          <w:szCs w:val="21"/>
          <w:highlight w:val="none"/>
          <w14:textFill>
            <w14:solidFill>
              <w14:schemeClr w14:val="tx1"/>
            </w14:solidFill>
          </w14:textFill>
        </w:rPr>
        <w:t>。</w:t>
      </w:r>
    </w:p>
    <w:p w14:paraId="7E38F3F4">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（8）项目现场的吊装作业必须设置警戒区域，禁止人员跟随物体起吊，禁止人员站在吊物作业范围内下方，同时需出</w:t>
      </w:r>
      <w:bookmarkStart w:id="449" w:name="OLE_LINK86"/>
      <w:r>
        <w:rPr>
          <w:rFonts w:hint="eastAsia" w:ascii="宋体" w:hAnsi="宋体" w:eastAsia="宋体" w:cs="宋体"/>
          <w:color w:val="000000" w:themeColor="text1"/>
          <w:szCs w:val="21"/>
          <w:highlight w:val="none"/>
          <w14:textFill>
            <w14:solidFill>
              <w14:schemeClr w14:val="tx1"/>
            </w14:solidFill>
          </w14:textFill>
        </w:rPr>
        <w:t>专项方案</w:t>
      </w:r>
      <w:bookmarkEnd w:id="449"/>
      <w:r>
        <w:rPr>
          <w:rFonts w:hint="eastAsia" w:ascii="宋体" w:hAnsi="宋体" w:eastAsia="宋体" w:cs="宋体"/>
          <w:color w:val="000000" w:themeColor="text1"/>
          <w:szCs w:val="21"/>
          <w:highlight w:val="none"/>
          <w14:textFill>
            <w14:solidFill>
              <w14:schemeClr w14:val="tx1"/>
            </w14:solidFill>
          </w14:textFill>
        </w:rPr>
        <w:t>。</w:t>
      </w:r>
    </w:p>
    <w:p w14:paraId="69F3E5ED">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（9）项目现场的动火作业点应落实消防安全措施，清理周边易燃、可燃物体，设置灭火毯、灭火器等设施，严禁在禁火区域进行动火，同时需出</w:t>
      </w:r>
      <w:bookmarkStart w:id="450" w:name="OLE_LINK87"/>
      <w:r>
        <w:rPr>
          <w:rFonts w:hint="eastAsia" w:ascii="宋体" w:hAnsi="宋体" w:eastAsia="宋体" w:cs="宋体"/>
          <w:color w:val="000000" w:themeColor="text1"/>
          <w:szCs w:val="21"/>
          <w:highlight w:val="none"/>
          <w14:textFill>
            <w14:solidFill>
              <w14:schemeClr w14:val="tx1"/>
            </w14:solidFill>
          </w14:textFill>
        </w:rPr>
        <w:t>专项方案</w:t>
      </w:r>
      <w:bookmarkEnd w:id="450"/>
      <w:r>
        <w:rPr>
          <w:rFonts w:hint="eastAsia" w:ascii="宋体" w:hAnsi="宋体" w:eastAsia="宋体" w:cs="宋体"/>
          <w:color w:val="000000" w:themeColor="text1"/>
          <w:szCs w:val="21"/>
          <w:highlight w:val="none"/>
          <w14:textFill>
            <w14:solidFill>
              <w14:schemeClr w14:val="tx1"/>
            </w14:solidFill>
          </w14:textFill>
        </w:rPr>
        <w:t>。</w:t>
      </w:r>
    </w:p>
    <w:p w14:paraId="4CC8B2E7">
      <w:pPr>
        <w:tabs>
          <w:tab w:val="left" w:pos="360"/>
        </w:tabs>
        <w:spacing w:line="360" w:lineRule="auto"/>
        <w:ind w:firstLine="420"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项目现场设立安全警示牌。危险区域必须悬挂“临边区域，当心坠落”、“高空作业，当心坠落”、“小心踏空，以防坠落”、“以防坠落，请勿攀爬”、“吊装作业，请勿靠近”、“高压有电，请勿靠近”、“当心触电”、“注意安全 ”、“严禁烟火”、“禁止通行”或“高空作业，系好安全带”、“必须系安全带”、“必须戴安全帽”等警示标志。</w:t>
      </w:r>
    </w:p>
    <w:p w14:paraId="4A8420C8">
      <w:pPr>
        <w:keepNext/>
        <w:keepLines/>
        <w:spacing w:line="360" w:lineRule="auto"/>
        <w:outlineLvl w:val="3"/>
        <w:rPr>
          <w:rFonts w:ascii="宋体" w:hAnsi="宋体" w:eastAsia="宋体" w:cs="宋体"/>
          <w:b/>
          <w:bCs/>
          <w:color w:val="000000" w:themeColor="text1"/>
          <w:szCs w:val="21"/>
          <w:highlight w:val="none"/>
          <w14:textFill>
            <w14:solidFill>
              <w14:schemeClr w14:val="tx1"/>
            </w14:solidFill>
          </w14:textFill>
        </w:rPr>
      </w:pPr>
    </w:p>
    <w:p w14:paraId="49EA82D4">
      <w:pPr>
        <w:keepNext/>
        <w:keepLines/>
        <w:spacing w:line="360" w:lineRule="auto"/>
        <w:outlineLvl w:val="3"/>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w:t>
      </w:r>
      <w:bookmarkStart w:id="451" w:name="OLE_LINK324"/>
      <w:r>
        <w:rPr>
          <w:rFonts w:hint="eastAsia" w:ascii="宋体" w:hAnsi="宋体" w:eastAsia="宋体" w:cs="宋体"/>
          <w:b/>
          <w:bCs/>
          <w:color w:val="000000" w:themeColor="text1"/>
          <w:szCs w:val="21"/>
          <w:highlight w:val="none"/>
          <w14:textFill>
            <w14:solidFill>
              <w14:schemeClr w14:val="tx1"/>
            </w14:solidFill>
          </w14:textFill>
        </w:rPr>
        <w:t>安全运维技术要求</w:t>
      </w:r>
      <w:bookmarkEnd w:id="451"/>
    </w:p>
    <w:p w14:paraId="44A9E79E">
      <w:pPr>
        <w:wordWrap w:val="0"/>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 安全运维要求</w:t>
      </w:r>
    </w:p>
    <w:p w14:paraId="452761C1">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bookmarkStart w:id="452" w:name="OLE_LINK109"/>
      <w:r>
        <w:rPr>
          <w:rFonts w:hint="eastAsia" w:ascii="宋体" w:hAnsi="宋体" w:eastAsia="宋体" w:cs="宋体"/>
          <w:color w:val="000000" w:themeColor="text1"/>
          <w:szCs w:val="21"/>
          <w:highlight w:val="none"/>
          <w14:textFill>
            <w14:solidFill>
              <w14:schemeClr w14:val="tx1"/>
            </w14:solidFill>
          </w14:textFill>
        </w:rPr>
        <w:t>光伏系统</w:t>
      </w:r>
      <w:bookmarkEnd w:id="452"/>
      <w:r>
        <w:rPr>
          <w:rFonts w:hint="eastAsia" w:ascii="宋体" w:hAnsi="宋体" w:eastAsia="宋体" w:cs="宋体"/>
          <w:color w:val="000000" w:themeColor="text1"/>
          <w:szCs w:val="21"/>
          <w:highlight w:val="none"/>
          <w14:textFill>
            <w14:solidFill>
              <w14:schemeClr w14:val="tx1"/>
            </w14:solidFill>
          </w14:textFill>
        </w:rPr>
        <w:t>并网成功后根据招标人要求时间内，投标人应当按投标文件及合同约定制定相应的运维制度，成立专门的管理团队，编制</w:t>
      </w:r>
      <w:bookmarkStart w:id="453" w:name="OLE_LINK89"/>
      <w:r>
        <w:rPr>
          <w:rFonts w:hint="eastAsia" w:ascii="宋体" w:hAnsi="宋体" w:eastAsia="宋体" w:cs="宋体"/>
          <w:color w:val="000000" w:themeColor="text1"/>
          <w:szCs w:val="21"/>
          <w:highlight w:val="none"/>
          <w14:textFill>
            <w14:solidFill>
              <w14:schemeClr w14:val="tx1"/>
            </w14:solidFill>
          </w14:textFill>
        </w:rPr>
        <w:t>运维方案</w:t>
      </w:r>
      <w:bookmarkEnd w:id="453"/>
      <w:r>
        <w:rPr>
          <w:rFonts w:hint="eastAsia" w:ascii="宋体" w:hAnsi="宋体" w:eastAsia="宋体" w:cs="宋体"/>
          <w:color w:val="000000" w:themeColor="text1"/>
          <w:szCs w:val="21"/>
          <w:highlight w:val="none"/>
          <w14:textFill>
            <w14:solidFill>
              <w14:schemeClr w14:val="tx1"/>
            </w14:solidFill>
          </w14:textFill>
        </w:rPr>
        <w:t>，确保光伏设施的安全运行；</w:t>
      </w:r>
      <w:bookmarkStart w:id="454" w:name="OLE_LINK9"/>
      <w:r>
        <w:rPr>
          <w:rFonts w:hint="eastAsia" w:ascii="宋体" w:hAnsi="宋体" w:eastAsia="宋体" w:cs="宋体"/>
          <w:color w:val="000000" w:themeColor="text1"/>
          <w:szCs w:val="21"/>
          <w:highlight w:val="none"/>
          <w14:textFill>
            <w14:solidFill>
              <w14:schemeClr w14:val="tx1"/>
            </w14:solidFill>
          </w14:textFill>
        </w:rPr>
        <w:t>投标人在质保期内需配合招标人安全运维部门进行运维管理。</w:t>
      </w:r>
    </w:p>
    <w:p w14:paraId="12DDFC49">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bookmarkStart w:id="455" w:name="OLE_LINK108"/>
      <w:r>
        <w:rPr>
          <w:rFonts w:hint="eastAsia" w:ascii="宋体" w:hAnsi="宋体" w:eastAsia="宋体" w:cs="宋体"/>
          <w:color w:val="000000" w:themeColor="text1"/>
          <w:szCs w:val="21"/>
          <w:highlight w:val="none"/>
          <w14:textFill>
            <w14:solidFill>
              <w14:schemeClr w14:val="tx1"/>
            </w14:solidFill>
          </w14:textFill>
        </w:rPr>
        <w:t>光伏系统</w:t>
      </w:r>
      <w:bookmarkEnd w:id="455"/>
      <w:r>
        <w:rPr>
          <w:rFonts w:hint="eastAsia" w:ascii="宋体" w:hAnsi="宋体" w:eastAsia="宋体" w:cs="宋体"/>
          <w:color w:val="000000" w:themeColor="text1"/>
          <w:szCs w:val="21"/>
          <w:highlight w:val="none"/>
          <w14:textFill>
            <w14:solidFill>
              <w14:schemeClr w14:val="tx1"/>
            </w14:solidFill>
          </w14:textFill>
        </w:rPr>
        <w:t>投入运行后经营期最高不得超过 25 年；最低不得低于 10 年；</w:t>
      </w:r>
    </w:p>
    <w:p w14:paraId="692447D2">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（3）质保期内投标人应确保光伏系统安全、稳定、可靠运行，定期派人检查、监管和记录项目的运行情况，并定期汇总给招标人安全运维部门。</w:t>
      </w:r>
    </w:p>
    <w:bookmarkEnd w:id="454"/>
    <w:p w14:paraId="2FE4322F">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（4）投标人对光伏系统提供一年的运营维护服务，负责项目照管责任并承担全部运营维护所需费用。</w:t>
      </w:r>
    </w:p>
    <w:p w14:paraId="60660851">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（5）投标人承诺对光伏系统提供质保期内</w:t>
      </w:r>
      <w:bookmarkStart w:id="456" w:name="OLE_LINK96"/>
      <w:r>
        <w:rPr>
          <w:rFonts w:hint="eastAsia" w:ascii="宋体" w:hAnsi="宋体" w:eastAsia="宋体" w:cs="宋体"/>
          <w:color w:val="000000" w:themeColor="text1"/>
          <w:szCs w:val="21"/>
          <w:highlight w:val="none"/>
          <w14:textFill>
            <w14:solidFill>
              <w14:schemeClr w14:val="tx1"/>
            </w14:solidFill>
          </w14:textFill>
        </w:rPr>
        <w:t>维修保养服务</w:t>
      </w:r>
      <w:bookmarkEnd w:id="456"/>
      <w:r>
        <w:rPr>
          <w:rFonts w:hint="eastAsia" w:ascii="宋体" w:hAnsi="宋体" w:eastAsia="宋体" w:cs="宋体"/>
          <w:color w:val="000000" w:themeColor="text1"/>
          <w:szCs w:val="21"/>
          <w:highlight w:val="none"/>
          <w14:textFill>
            <w14:solidFill>
              <w14:schemeClr w14:val="tx1"/>
            </w14:solidFill>
          </w14:textFill>
        </w:rPr>
        <w:t>，并承担维修保养费用。</w:t>
      </w:r>
    </w:p>
    <w:p w14:paraId="455A040F">
      <w:pPr>
        <w:wordWrap w:val="0"/>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 安全运维设施</w:t>
      </w:r>
    </w:p>
    <w:p w14:paraId="295A9E39">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（1）水清洗系统</w:t>
      </w:r>
    </w:p>
    <w:p w14:paraId="1474C454">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①考虑到后期光伏组件清洗，每个屋面光伏系统需设计水清洗系统，要求在光伏组件排布屋面安装水管，并在出水口加装水龙头，在每个接水口需要配置相应的计量水表。</w:t>
      </w:r>
    </w:p>
    <w:p w14:paraId="5E9C9944">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②水清洗系统冲洗端水压不足（压力小于0.2MPa时）需加装增压泵，出口压力可调节，最小出口压力保证每个终端同时开启时冲洗压力大于0.2MPa，泵入口设置可拆卸式滤网保证冲洗水不含杂质。</w:t>
      </w:r>
    </w:p>
    <w:p w14:paraId="38B09BDF">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③所有的冲洗水管采用PPR热熔管，清洗水管管网放在通道上，水管拖长不超过50米且不能放在光伏组件上，在棚架光伏组件面每25米设置一个水龙头，按只能走通道的原则来布置水龙头。</w:t>
      </w:r>
    </w:p>
    <w:p w14:paraId="6A588F81">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④水管、水龙头应安装整齐、牢固，外观无明显破损和质量问题。</w:t>
      </w:r>
    </w:p>
    <w:p w14:paraId="62862B5E">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（2）运维通道</w:t>
      </w:r>
    </w:p>
    <w:p w14:paraId="503A9761">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各项目根据组件排布设置合理的运维通道，确保方便运维人员进行运维。运维通道应连成一体，并和水管、桥架等统一布置。</w:t>
      </w:r>
    </w:p>
    <w:p w14:paraId="72CE4318">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A.混凝土屋面光伏结构棚面中间设置花纹钢板运维通道，通道能直达到检修楼梯平台且不影响光伏系统件的正常运行。运维花纹钢板要求如下：</w:t>
      </w:r>
    </w:p>
    <w:p w14:paraId="6DF0EE45">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①花纹钢板材质采用镀锌钢，花纹钢板的重量在15kg/m</w:t>
      </w:r>
      <w:bookmarkStart w:id="457" w:name="OLE_LINK97"/>
      <w:r>
        <w:rPr>
          <w:rFonts w:hint="eastAsia" w:ascii="宋体" w:hAnsi="宋体" w:eastAsia="宋体" w:cs="宋体"/>
          <w:color w:val="000000" w:themeColor="text1"/>
          <w:szCs w:val="21"/>
          <w:highlight w:val="none"/>
          <w:vertAlign w:val="superscript"/>
          <w14:textFill>
            <w14:solidFill>
              <w14:schemeClr w14:val="tx1"/>
            </w14:solidFill>
          </w14:textFill>
        </w:rPr>
        <w:t>2</w:t>
      </w:r>
      <w:bookmarkEnd w:id="457"/>
      <w:r>
        <w:rPr>
          <w:rFonts w:hint="eastAsia" w:ascii="宋体" w:hAnsi="宋体" w:eastAsia="宋体" w:cs="宋体"/>
          <w:color w:val="000000" w:themeColor="text1"/>
          <w:szCs w:val="21"/>
          <w:highlight w:val="none"/>
          <w14:textFill>
            <w14:solidFill>
              <w14:schemeClr w14:val="tx1"/>
            </w14:solidFill>
          </w14:textFill>
        </w:rPr>
        <w:t>以内，宽度不低于400mm；</w:t>
      </w:r>
    </w:p>
    <w:p w14:paraId="4EF1C553">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②花纹钢板能够满足并能覆盖整个屋面太阳能板区域运维过程中的清洗、检修等工作；</w:t>
      </w:r>
    </w:p>
    <w:p w14:paraId="2C2BEF86">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③花纹钢板与花纹钢板衔接处可靠固定，花纹钢板与光伏结构棚可靠连接；</w:t>
      </w:r>
    </w:p>
    <w:p w14:paraId="2C90B083">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④花纹钢板强度和质量，满足如下要求：确保花纹钢板不移位晃动，不下垂并满足踩踏强度要求，寿命要求25年以上；</w:t>
      </w:r>
    </w:p>
    <w:p w14:paraId="45D05A58">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⑤花纹钢板侧必须设置悬挂安全绳的牢固点，并参照《</w:t>
      </w:r>
      <w:bookmarkStart w:id="458" w:name="OLE_LINK98"/>
      <w:r>
        <w:rPr>
          <w:rFonts w:hint="eastAsia" w:ascii="宋体" w:hAnsi="宋体" w:eastAsia="宋体" w:cs="宋体"/>
          <w:color w:val="000000" w:themeColor="text1"/>
          <w:szCs w:val="21"/>
          <w:highlight w:val="none"/>
          <w14:textFill>
            <w14:solidFill>
              <w14:schemeClr w14:val="tx1"/>
            </w14:solidFill>
          </w14:textFill>
        </w:rPr>
        <w:t>坠落防护 水平生命线装置</w:t>
      </w:r>
      <w:bookmarkEnd w:id="458"/>
      <w:r>
        <w:rPr>
          <w:rFonts w:hint="eastAsia" w:ascii="宋体" w:hAnsi="宋体" w:eastAsia="宋体" w:cs="宋体"/>
          <w:color w:val="000000" w:themeColor="text1"/>
          <w:szCs w:val="21"/>
          <w:highlight w:val="none"/>
          <w14:textFill>
            <w14:solidFill>
              <w14:schemeClr w14:val="tx1"/>
            </w14:solidFill>
          </w14:textFill>
        </w:rPr>
        <w:t>》GB38454-2019沿着花纹钢板加装水平生命线，确保方便运维人员安全清洗、运维。</w:t>
      </w:r>
    </w:p>
    <w:p w14:paraId="6526CA1E">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（3）检修配电箱</w:t>
      </w:r>
    </w:p>
    <w:p w14:paraId="1C24CD2C">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为方便运维人员进行后期运维作业，安装光伏系统的屋面需加装检修配电箱，做法同逆变器一样，安装户外支架或挂墙安装,箱体采用厚度≥1.5mm的冷轧钢板制成，防护等级不低于IP65，可靠接地，电源由交流汇流箱、逆变器交流端就近引入，开关与线缆大小的选型需满足焊接要求，同时方便视频监控系统取电。</w:t>
      </w:r>
    </w:p>
    <w:p w14:paraId="4ADFD684">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（4）安全护栏、钢斜梯、采光带标识</w:t>
      </w:r>
    </w:p>
    <w:p w14:paraId="08357560">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安全护栏：若屋顶无护栏或女儿墙屋顶的屋顶临边、洞口处，需加装高度≥1200mm的永久热镀锌角钢、U型钢材质防护围栏，以保护人身安全，同时也要减少护栏对光伏组件阴影遮挡影响。护栏立柱之间的间距小于1.5m，横杆之间的间距小于0.6m，护栏按间隔可靠防雷接地。护栏安装应牢固、美观，符合《建筑施工高处作业安全技术规范》JGJ80-2016。</w:t>
      </w:r>
    </w:p>
    <w:p w14:paraId="05E49B2D">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扶手踏步钢斜梯：为方便运维和安全作业，未设置楼梯的屋面、棚架式光伏组件面，须设置扶手踏步镀锌钢斜梯，钢梯宽度≥0.8m，扶手高度≥0.9m，同时加装0.8m×1.2m运维操作平台并与运维通道进行连接，应符合《固定式钢梯及平台安全要求.第2部分:钢斜梯》GB4053.2-2009规定。钢斜梯入口要有带锁的活动门，钢斜梯旁边设置“非内部人员禁止进入”等安全警示牌。</w:t>
      </w:r>
    </w:p>
    <w:p w14:paraId="2E21C2C6">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③采光带周围用宽度不少于100mm黄色油漆标识（或贴警示带），并设置“禁止踩踏”警示牌；同时设置防坠落网进行保护，防止人员踩空。</w:t>
      </w:r>
    </w:p>
    <w:p w14:paraId="6039ECF6">
      <w:pPr>
        <w:keepNext/>
        <w:keepLines/>
        <w:spacing w:line="360" w:lineRule="auto"/>
        <w:outlineLvl w:val="3"/>
        <w:rPr>
          <w:rFonts w:ascii="宋体" w:hAnsi="宋体" w:eastAsia="宋体" w:cs="宋体"/>
          <w:b/>
          <w:bCs/>
          <w:color w:val="000000" w:themeColor="text1"/>
          <w:szCs w:val="21"/>
          <w:highlight w:val="none"/>
          <w14:textFill>
            <w14:solidFill>
              <w14:schemeClr w14:val="tx1"/>
            </w14:solidFill>
          </w14:textFill>
        </w:rPr>
      </w:pPr>
    </w:p>
    <w:p w14:paraId="29447AB3">
      <w:pPr>
        <w:keepNext/>
        <w:keepLines/>
        <w:spacing w:line="360" w:lineRule="auto"/>
        <w:outlineLvl w:val="3"/>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六、</w:t>
      </w:r>
      <w:bookmarkStart w:id="459" w:name="OLE_LINK325"/>
      <w:r>
        <w:rPr>
          <w:rFonts w:hint="eastAsia" w:ascii="宋体" w:hAnsi="宋体" w:eastAsia="宋体" w:cs="宋体"/>
          <w:b/>
          <w:bCs/>
          <w:color w:val="000000" w:themeColor="text1"/>
          <w:szCs w:val="21"/>
          <w:highlight w:val="none"/>
          <w14:textFill>
            <w14:solidFill>
              <w14:schemeClr w14:val="tx1"/>
            </w14:solidFill>
          </w14:textFill>
        </w:rPr>
        <w:t>设计规范和设计依据</w:t>
      </w:r>
      <w:bookmarkEnd w:id="459"/>
    </w:p>
    <w:p w14:paraId="4323FCFE">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（1）建筑平面、总平面；其他相关专业提出的要求。</w:t>
      </w:r>
    </w:p>
    <w:p w14:paraId="56AD7F8D">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（2）招标人所提供的设计任务委托书、设计要点、经批准的扩初设计文件、配电房管线资料等。</w:t>
      </w:r>
    </w:p>
    <w:p w14:paraId="590337E9">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（3）国家及省的有关规范、标准、规程：</w:t>
      </w:r>
    </w:p>
    <w:p w14:paraId="6B84D0DD">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《光伏发电站防雷技术规程》 DL/T 1364-2014(国家能源局)</w:t>
      </w:r>
    </w:p>
    <w:p w14:paraId="614DABB7">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《光伏发电并网逆变器技术规范》 NB/T 32004-2013(国家能源局)</w:t>
      </w:r>
    </w:p>
    <w:p w14:paraId="7BC16803">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《光伏发电站电能质量检测技术规程》 NB/T 32006-2013(国家能源局)</w:t>
      </w:r>
    </w:p>
    <w:p w14:paraId="45C047CE">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《光伏发电站功率预测系统技术要求》 NB/T 32011-2013(国家能源局)</w:t>
      </w:r>
    </w:p>
    <w:p w14:paraId="7C8F8878">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《光伏发电站防孤岛效应检测技术规程》 NB/T 32014-2013(国家能源局)</w:t>
      </w:r>
    </w:p>
    <w:p w14:paraId="29734D3F">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《并网光伏发电监控系统技术规范》 NB/T 32016-2013(国家能源局)</w:t>
      </w:r>
    </w:p>
    <w:p w14:paraId="476721DC">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《太阳能光伏系统防雷技术规范》 QX/T 263-2015(中国气象局)</w:t>
      </w:r>
    </w:p>
    <w:p w14:paraId="5A8AC2B2">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《光伏发电接入配电网设计规范》 GB/T 50865-2013</w:t>
      </w:r>
    </w:p>
    <w:p w14:paraId="185C1556">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《光伏发电站接入电力系统设计规范》 GB/T 50866-2013</w:t>
      </w:r>
    </w:p>
    <w:p w14:paraId="1FAB4296">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《光伏发电站继电保护技术规范》 GB/T_32900-2016</w:t>
      </w:r>
    </w:p>
    <w:p w14:paraId="08262CC4">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《分布式光伏发电系统接入电网技术规范》 Q/CSG_1211001-2014</w:t>
      </w:r>
    </w:p>
    <w:p w14:paraId="3B901E7D">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《光伏发电站接入电网技术规范》 Q/CSG_1211002-2014</w:t>
      </w:r>
    </w:p>
    <w:p w14:paraId="22EE7F99">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《光伏发电并网技术标准》 Q/CSG_1211006-2016</w:t>
      </w:r>
    </w:p>
    <w:p w14:paraId="32A1D06C">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《并网光伏发电站监控系统技术规范》 Q/CSG_1211011-2016</w:t>
      </w:r>
    </w:p>
    <w:p w14:paraId="04C58FC9">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《建筑结构荷载规范》 GB50009-2012</w:t>
      </w:r>
    </w:p>
    <w:p w14:paraId="2A29CF9D">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《建筑物防雷设计规范》 GB50057-2010</w:t>
      </w:r>
    </w:p>
    <w:p w14:paraId="210E795A">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且包含未明列但属国家或地方规定的其他强制执行标准或规范（条款）</w:t>
      </w:r>
    </w:p>
    <w:p w14:paraId="435237D4">
      <w:pPr>
        <w:keepNext/>
        <w:keepLines/>
        <w:spacing w:line="360" w:lineRule="auto"/>
        <w:outlineLvl w:val="3"/>
        <w:rPr>
          <w:rFonts w:ascii="宋体" w:hAnsi="宋体" w:eastAsia="宋体" w:cs="宋体"/>
          <w:b/>
          <w:bCs/>
          <w:color w:val="000000" w:themeColor="text1"/>
          <w:szCs w:val="21"/>
          <w:highlight w:val="none"/>
          <w14:textFill>
            <w14:solidFill>
              <w14:schemeClr w14:val="tx1"/>
            </w14:solidFill>
          </w14:textFill>
        </w:rPr>
      </w:pPr>
    </w:p>
    <w:p w14:paraId="44349A74">
      <w:pPr>
        <w:keepNext/>
        <w:keepLines/>
        <w:spacing w:line="360" w:lineRule="auto"/>
        <w:outlineLvl w:val="3"/>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七、</w:t>
      </w:r>
      <w:bookmarkStart w:id="460" w:name="OLE_LINK326"/>
      <w:r>
        <w:rPr>
          <w:rFonts w:hint="eastAsia" w:ascii="宋体" w:hAnsi="宋体" w:eastAsia="宋体" w:cs="宋体"/>
          <w:b/>
          <w:bCs/>
          <w:color w:val="000000" w:themeColor="text1"/>
          <w:szCs w:val="21"/>
          <w:highlight w:val="none"/>
          <w14:textFill>
            <w14:solidFill>
              <w14:schemeClr w14:val="tx1"/>
            </w14:solidFill>
          </w14:textFill>
        </w:rPr>
        <w:t>消防要求</w:t>
      </w:r>
      <w:bookmarkEnd w:id="460"/>
    </w:p>
    <w:p w14:paraId="31163732">
      <w:pPr>
        <w:wordWrap w:val="0"/>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 主要设计原则、功能及配置</w:t>
      </w:r>
    </w:p>
    <w:p w14:paraId="3C5057F3">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本项目依据国家有关消防条例、规范进行设计，本着“预防为主、防消结合 ”的消防工作方针，消防系统的设置以加强自身防范力量为主，立足于自救，同时与消防部门联防，做到“防患于未然 ”，从积极的方面预防火灾的发生及蔓延。变电站内电气设备较多，消防设计的重点是防止电气火灾。</w:t>
      </w:r>
    </w:p>
    <w:p w14:paraId="714AD67F">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（1）对设有电气仪表设备的房间，应配置移动式气体灭火器和手动火灾报警（警铃）。</w:t>
      </w:r>
    </w:p>
    <w:p w14:paraId="5F13C271">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（2）对光伏组件屋面应按方阵、逆变器数量配置干粉灭火器和消防沙，用于发电单元电气设备的灭火。</w:t>
      </w:r>
    </w:p>
    <w:p w14:paraId="14175015">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（3）根据“预防为主、防消结合 ”的原则，本着减少着火几率，阻止电缆着火延燃及窜燃的目的，结合现场实际情况，主要采取“封 ”“堵 ”“隔 ”“涂 ”等技术措施，封堵施工按照国家及行业有关标准和以往的电缆防火封堵措施并结合电站实际情况进行，交流电缆采用阻燃型 。安装主要达到《电气装置安装工程 电缆线路施工及验收标准》GB50168-2018。</w:t>
      </w:r>
    </w:p>
    <w:p w14:paraId="5D67DFBD">
      <w:pPr>
        <w:wordWrap w:val="0"/>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 消防设计及消防验收</w:t>
      </w:r>
    </w:p>
    <w:p w14:paraId="74FF32A5">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投标人须依据《中华人名共和国消防法》、《建设工程消防监督管理规定》等法律法规及当地消防管理部门的要求，完成如下事项（包括但不限于）:</w:t>
      </w:r>
    </w:p>
    <w:p w14:paraId="7D46CDBD">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（1）光伏发电项目的消防设计及备案；</w:t>
      </w:r>
    </w:p>
    <w:p w14:paraId="204FB7C9">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（2）委托有资质的第三方机构进行消防检测，并取得消防设施检测合格证明文件；</w:t>
      </w:r>
    </w:p>
    <w:p w14:paraId="2D4A51B1">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bookmarkStart w:id="461" w:name="OLE_LINK103"/>
      <w:r>
        <w:rPr>
          <w:rFonts w:hint="eastAsia" w:ascii="宋体" w:hAnsi="宋体" w:eastAsia="宋体" w:cs="宋体"/>
          <w:color w:val="000000" w:themeColor="text1"/>
          <w:szCs w:val="21"/>
          <w:highlight w:val="none"/>
          <w14:textFill>
            <w14:solidFill>
              <w14:schemeClr w14:val="tx1"/>
            </w14:solidFill>
          </w14:textFill>
        </w:rPr>
        <w:t>（3）</w:t>
      </w:r>
      <w:bookmarkStart w:id="462" w:name="OLE_LINK104"/>
      <w:r>
        <w:rPr>
          <w:rFonts w:hint="eastAsia" w:ascii="宋体" w:hAnsi="宋体" w:eastAsia="宋体" w:cs="宋体"/>
          <w:color w:val="000000" w:themeColor="text1"/>
          <w:szCs w:val="21"/>
          <w:highlight w:val="none"/>
          <w14:textFill>
            <w14:solidFill>
              <w14:schemeClr w14:val="tx1"/>
            </w14:solidFill>
          </w14:textFill>
        </w:rPr>
        <w:t>竣工</w:t>
      </w:r>
      <w:bookmarkEnd w:id="462"/>
      <w:r>
        <w:rPr>
          <w:rFonts w:hint="eastAsia" w:ascii="宋体" w:hAnsi="宋体" w:eastAsia="宋体" w:cs="宋体"/>
          <w:color w:val="000000" w:themeColor="text1"/>
          <w:szCs w:val="21"/>
          <w:highlight w:val="none"/>
          <w14:textFill>
            <w14:solidFill>
              <w14:schemeClr w14:val="tx1"/>
            </w14:solidFill>
          </w14:textFill>
        </w:rPr>
        <w:t>验收消防备案；</w:t>
      </w:r>
    </w:p>
    <w:bookmarkEnd w:id="461"/>
    <w:p w14:paraId="172CCB92">
      <w:pPr>
        <w:tabs>
          <w:tab w:val="left" w:pos="36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（4）如本项目被确定为抽查对象，须通过当地消防管理部门的检测检验。</w:t>
      </w:r>
    </w:p>
    <w:p w14:paraId="2C8A5278">
      <w:pPr>
        <w:keepNext/>
        <w:keepLines/>
        <w:spacing w:line="360" w:lineRule="auto"/>
        <w:ind w:firstLine="422" w:firstLineChars="200"/>
        <w:outlineLvl w:val="3"/>
        <w:rPr>
          <w:rFonts w:ascii="宋体" w:hAnsi="宋体" w:eastAsia="宋体" w:cs="宋体"/>
          <w:b/>
          <w:bCs/>
          <w:color w:val="000000" w:themeColor="text1"/>
          <w:szCs w:val="21"/>
          <w:highlight w:val="none"/>
          <w14:textFill>
            <w14:solidFill>
              <w14:schemeClr w14:val="tx1"/>
            </w14:solidFill>
          </w14:textFill>
        </w:rPr>
      </w:pPr>
    </w:p>
    <w:p w14:paraId="518A826F">
      <w:pPr>
        <w:keepNext/>
        <w:keepLines/>
        <w:spacing w:line="360" w:lineRule="auto"/>
        <w:outlineLvl w:val="3"/>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八、</w:t>
      </w:r>
      <w:bookmarkStart w:id="463" w:name="OLE_LINK327"/>
      <w:r>
        <w:rPr>
          <w:rFonts w:hint="eastAsia" w:ascii="宋体" w:hAnsi="宋体" w:eastAsia="宋体" w:cs="宋体"/>
          <w:b/>
          <w:bCs/>
          <w:color w:val="000000" w:themeColor="text1"/>
          <w:szCs w:val="21"/>
          <w:highlight w:val="none"/>
          <w14:textFill>
            <w14:solidFill>
              <w14:schemeClr w14:val="tx1"/>
            </w14:solidFill>
          </w14:textFill>
        </w:rPr>
        <w:t>其他</w:t>
      </w:r>
      <w:bookmarkEnd w:id="463"/>
    </w:p>
    <w:p w14:paraId="49BAC90B">
      <w:pPr>
        <w:keepNext/>
        <w:keepLines/>
        <w:spacing w:line="360" w:lineRule="auto"/>
        <w:ind w:firstLine="420" w:firstLineChars="200"/>
        <w:outlineLvl w:val="3"/>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1、完工期：自合同签订之日起，100日历天内完成全部服务内容（包括但不限于设计、报装、采购、安装及安装所需的一切配套施工、并网及相应安全、监控、清洗、运维设施安装</w:t>
      </w:r>
      <w:bookmarkStart w:id="464" w:name="OLE_LINK451"/>
      <w:r>
        <w:rPr>
          <w:rFonts w:hint="eastAsia" w:ascii="宋体" w:hAnsi="宋体" w:eastAsia="宋体" w:cs="宋体"/>
          <w:color w:val="000000" w:themeColor="text1"/>
          <w:szCs w:val="21"/>
          <w:highlight w:val="none"/>
          <w14:textFill>
            <w14:solidFill>
              <w14:schemeClr w14:val="tx1"/>
            </w14:solidFill>
          </w14:textFill>
        </w:rPr>
        <w:t>至实现并网送电审批通过</w:t>
      </w:r>
      <w:bookmarkEnd w:id="464"/>
      <w:r>
        <w:rPr>
          <w:rFonts w:hint="eastAsia" w:ascii="宋体" w:hAnsi="宋体" w:eastAsia="宋体" w:cs="宋体"/>
          <w:color w:val="000000" w:themeColor="text1"/>
          <w:szCs w:val="21"/>
          <w:highlight w:val="none"/>
          <w14:textFill>
            <w14:solidFill>
              <w14:schemeClr w14:val="tx1"/>
            </w14:solidFill>
          </w14:textFill>
        </w:rPr>
        <w:t>）。</w:t>
      </w:r>
      <w:bookmarkStart w:id="465" w:name="OLE_LINK511"/>
    </w:p>
    <w:p w14:paraId="1DBF9A58">
      <w:pPr>
        <w:keepNext/>
        <w:keepLines/>
        <w:spacing w:line="360" w:lineRule="auto"/>
        <w:ind w:firstLine="420" w:firstLineChars="200"/>
        <w:outlineLvl w:val="3"/>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2、运维期：1年，自项目全部并网审批通过开始正式送电之日起计算。</w:t>
      </w:r>
    </w:p>
    <w:bookmarkEnd w:id="465"/>
    <w:p w14:paraId="5A90D24C">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3、质保期：</w:t>
      </w:r>
      <w:bookmarkStart w:id="466" w:name="OLE_LINK421"/>
      <w:r>
        <w:rPr>
          <w:rFonts w:hint="eastAsia" w:ascii="宋体" w:hAnsi="宋体" w:eastAsia="宋体" w:cs="宋体"/>
          <w:color w:val="000000" w:themeColor="text1"/>
          <w:szCs w:val="21"/>
          <w:highlight w:val="none"/>
          <w14:textFill>
            <w14:solidFill>
              <w14:schemeClr w14:val="tx1"/>
            </w14:solidFill>
          </w14:textFill>
        </w:rPr>
        <w:t>质保期为</w:t>
      </w:r>
      <w:bookmarkStart w:id="467" w:name="OLE_LINK359"/>
      <w:r>
        <w:rPr>
          <w:rFonts w:hint="eastAsia" w:ascii="宋体" w:hAnsi="宋体" w:eastAsia="宋体" w:cs="宋体"/>
          <w:color w:val="000000" w:themeColor="text1"/>
          <w:szCs w:val="21"/>
          <w:highlight w:val="none"/>
          <w14:textFill>
            <w14:solidFill>
              <w14:schemeClr w14:val="tx1"/>
            </w14:solidFill>
          </w14:textFill>
        </w:rPr>
        <w:t>项目整体最终验收合格</w:t>
      </w:r>
      <w:bookmarkEnd w:id="467"/>
      <w:r>
        <w:rPr>
          <w:rFonts w:hint="eastAsia" w:ascii="宋体" w:hAnsi="宋体" w:eastAsia="宋体" w:cs="宋体"/>
          <w:color w:val="000000" w:themeColor="text1"/>
          <w:szCs w:val="21"/>
          <w:highlight w:val="none"/>
          <w14:textFill>
            <w14:solidFill>
              <w14:schemeClr w14:val="tx1"/>
            </w14:solidFill>
          </w14:textFill>
        </w:rPr>
        <w:t>后2年，如个体设备有更高要求的，遵循更高要求</w:t>
      </w:r>
      <w:bookmarkEnd w:id="466"/>
      <w:r>
        <w:rPr>
          <w:rFonts w:hint="eastAsia" w:ascii="宋体" w:hAnsi="宋体" w:eastAsia="宋体" w:cs="宋体"/>
          <w:color w:val="000000" w:themeColor="text1"/>
          <w:szCs w:val="21"/>
          <w:highlight w:val="none"/>
          <w14:textFill>
            <w14:solidFill>
              <w14:schemeClr w14:val="tx1"/>
            </w14:solidFill>
          </w14:textFill>
        </w:rPr>
        <w:t>。</w:t>
      </w:r>
    </w:p>
    <w:p w14:paraId="00E08D86">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4、报价要求：</w:t>
      </w:r>
    </w:p>
    <w:p w14:paraId="41A1EDF9">
      <w:pPr>
        <w:tabs>
          <w:tab w:val="center" w:pos="3125"/>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投标报价包括：</w:t>
      </w:r>
      <w:bookmarkStart w:id="468" w:name="OLE_LINK372"/>
      <w:r>
        <w:rPr>
          <w:rFonts w:hint="eastAsia" w:ascii="宋体" w:hAnsi="宋体" w:eastAsia="宋体" w:cs="宋体"/>
          <w:color w:val="000000" w:themeColor="text1"/>
          <w:szCs w:val="21"/>
          <w:highlight w:val="none"/>
          <w14:textFill>
            <w14:solidFill>
              <w14:schemeClr w14:val="tx1"/>
            </w14:solidFill>
          </w14:textFill>
        </w:rPr>
        <w:t>（1）</w:t>
      </w:r>
      <w:bookmarkStart w:id="469" w:name="OLE_LINK149"/>
      <w:r>
        <w:rPr>
          <w:rFonts w:hint="eastAsia" w:ascii="宋体" w:hAnsi="宋体" w:eastAsia="宋体" w:cs="宋体"/>
          <w:color w:val="000000" w:themeColor="text1"/>
          <w:szCs w:val="21"/>
          <w:highlight w:val="none"/>
          <w14:textFill>
            <w14:solidFill>
              <w14:schemeClr w14:val="tx1"/>
            </w14:solidFill>
          </w14:textFill>
        </w:rPr>
        <w:t>光伏系统的设计服务费</w:t>
      </w:r>
      <w:bookmarkEnd w:id="469"/>
      <w:r>
        <w:rPr>
          <w:rFonts w:hint="eastAsia" w:ascii="宋体" w:hAnsi="宋体" w:eastAsia="宋体" w:cs="宋体"/>
          <w:color w:val="000000" w:themeColor="text1"/>
          <w:szCs w:val="21"/>
          <w:highlight w:val="none"/>
          <w14:textFill>
            <w14:solidFill>
              <w14:schemeClr w14:val="tx1"/>
            </w14:solidFill>
          </w14:textFill>
        </w:rPr>
        <w:t>（包括深化设计费用）、货物及零配件成本费、运输费、包装费、装卸费、搬运（含二次搬运）费、保险费、安装费及安装设备所需的配件等费用、安装所需的一切配套施工费用、调试费、材料费、验收费（含验收所需的专家费、会务费、差旅费、验收材料费等）、人工费、技术培训费、技术服务（包括技术资料、图纸的提供等）、</w:t>
      </w:r>
      <w:bookmarkStart w:id="470" w:name="OLE_LINK112"/>
      <w:r>
        <w:rPr>
          <w:rFonts w:hint="eastAsia" w:ascii="宋体" w:hAnsi="宋体" w:eastAsia="宋体" w:cs="宋体"/>
          <w:color w:val="000000" w:themeColor="text1"/>
          <w:szCs w:val="21"/>
          <w:highlight w:val="none"/>
          <w14:textFill>
            <w14:solidFill>
              <w14:schemeClr w14:val="tx1"/>
            </w14:solidFill>
          </w14:textFill>
        </w:rPr>
        <w:t>其它保障光伏系统稳定运行所必须的相关工作费用、质保期设备保修保养费</w:t>
      </w:r>
      <w:bookmarkEnd w:id="470"/>
      <w:r>
        <w:rPr>
          <w:rFonts w:hint="eastAsia" w:ascii="宋体" w:hAnsi="宋体" w:eastAsia="宋体" w:cs="宋体"/>
          <w:color w:val="000000" w:themeColor="text1"/>
          <w:szCs w:val="21"/>
          <w:highlight w:val="none"/>
          <w14:textFill>
            <w14:solidFill>
              <w14:schemeClr w14:val="tx1"/>
            </w14:solidFill>
          </w14:textFill>
        </w:rPr>
        <w:t>等；（2）运维一年费用（含日常办公费用、巡检费、设备设施维修养护/清洗费、设备运营所需的维修及耗材费用、人员工资、员工保险、利润（管理酬金）等一切费用）；（3）供货货物及其工艺所有制造方、使用方应支付的对专有技术、商标权、专利权和版权、设计或其他知识产权而需要向其他方支付的版税；（4）日常技术指导，免费的质保服务，包括但不限于免费现场质量问题处理或更换失效产品；（5）合理利润、</w:t>
      </w:r>
      <w:bookmarkStart w:id="471" w:name="OLE_LINK110"/>
      <w:r>
        <w:rPr>
          <w:rFonts w:hint="eastAsia" w:ascii="宋体" w:hAnsi="宋体" w:eastAsia="宋体" w:cs="宋体"/>
          <w:color w:val="000000" w:themeColor="text1"/>
          <w:szCs w:val="21"/>
          <w:highlight w:val="none"/>
          <w14:textFill>
            <w14:solidFill>
              <w14:schemeClr w14:val="tx1"/>
            </w14:solidFill>
          </w14:textFill>
        </w:rPr>
        <w:t>乙方销项税额以外的税费</w:t>
      </w:r>
      <w:bookmarkEnd w:id="471"/>
      <w:r>
        <w:rPr>
          <w:rFonts w:hint="eastAsia" w:ascii="宋体" w:hAnsi="宋体" w:eastAsia="宋体" w:cs="宋体"/>
          <w:color w:val="000000" w:themeColor="text1"/>
          <w:szCs w:val="21"/>
          <w:highlight w:val="none"/>
          <w14:textFill>
            <w14:solidFill>
              <w14:schemeClr w14:val="tx1"/>
            </w14:solidFill>
          </w14:textFill>
        </w:rPr>
        <w:t>及合同实施过程中的应预见和不可预见费用等完成合同规定责任和义务、达到合同目的的一切费用等；（6）法律法规、商业公认、招标文件规定由乙方承担的其他直接及间接费用。</w:t>
      </w:r>
      <w:bookmarkEnd w:id="468"/>
    </w:p>
    <w:p w14:paraId="7C334E4F">
      <w:pPr>
        <w:tabs>
          <w:tab w:val="center" w:pos="3125"/>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5、合同价格形式</w:t>
      </w:r>
    </w:p>
    <w:p w14:paraId="575024BC">
      <w:pPr>
        <w:tabs>
          <w:tab w:val="center" w:pos="3125"/>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（1）关于合同价格形式的约定：以暂定总价、</w:t>
      </w:r>
      <w:bookmarkStart w:id="472" w:name="OLE_LINK39"/>
      <w:r>
        <w:rPr>
          <w:rFonts w:hint="eastAsia" w:ascii="宋体" w:hAnsi="宋体" w:eastAsia="宋体" w:cs="宋体"/>
          <w:color w:val="000000" w:themeColor="text1"/>
          <w:szCs w:val="21"/>
          <w:highlight w:val="none"/>
          <w14:textFill>
            <w14:solidFill>
              <w14:schemeClr w14:val="tx1"/>
            </w14:solidFill>
          </w14:textFill>
        </w:rPr>
        <w:t>固定每瓦单价</w:t>
      </w:r>
      <w:bookmarkEnd w:id="472"/>
      <w:r>
        <w:rPr>
          <w:rFonts w:hint="eastAsia" w:ascii="宋体" w:hAnsi="宋体" w:eastAsia="宋体" w:cs="宋体"/>
          <w:color w:val="000000" w:themeColor="text1"/>
          <w:szCs w:val="21"/>
          <w:highlight w:val="none"/>
          <w14:textFill>
            <w14:solidFill>
              <w14:schemeClr w14:val="tx1"/>
            </w14:solidFill>
          </w14:textFill>
        </w:rPr>
        <w:t>总承包的方式。</w:t>
      </w:r>
    </w:p>
    <w:p w14:paraId="389E19D6">
      <w:pPr>
        <w:tabs>
          <w:tab w:val="center" w:pos="3125"/>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（2）关于合同价格调整的约定：根据最终容量及</w:t>
      </w:r>
      <w:bookmarkStart w:id="473" w:name="OLE_LINK452"/>
      <w:r>
        <w:rPr>
          <w:rFonts w:hint="eastAsia" w:ascii="宋体" w:hAnsi="宋体" w:eastAsia="宋体" w:cs="宋体"/>
          <w:color w:val="000000" w:themeColor="text1"/>
          <w:szCs w:val="21"/>
          <w:highlight w:val="none"/>
          <w14:textFill>
            <w14:solidFill>
              <w14:schemeClr w14:val="tx1"/>
            </w14:solidFill>
          </w14:textFill>
        </w:rPr>
        <w:t>合同约定</w:t>
      </w:r>
      <w:bookmarkEnd w:id="473"/>
      <w:r>
        <w:rPr>
          <w:rFonts w:hint="eastAsia" w:ascii="宋体" w:hAnsi="宋体" w:eastAsia="宋体" w:cs="宋体"/>
          <w:color w:val="000000" w:themeColor="text1"/>
          <w:szCs w:val="21"/>
          <w:highlight w:val="none"/>
          <w14:textFill>
            <w14:solidFill>
              <w14:schemeClr w14:val="tx1"/>
            </w14:solidFill>
          </w14:textFill>
        </w:rPr>
        <w:t>相应调整。</w:t>
      </w:r>
    </w:p>
    <w:p w14:paraId="245202E8">
      <w:pPr>
        <w:tabs>
          <w:tab w:val="center" w:pos="3125"/>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w:t>
      </w:r>
      <w:bookmarkStart w:id="474" w:name="OLE_LINK453"/>
      <w:r>
        <w:rPr>
          <w:rFonts w:hint="eastAsia" w:ascii="宋体" w:hAnsi="宋体" w:eastAsia="宋体" w:cs="宋体"/>
          <w:color w:val="000000" w:themeColor="text1"/>
          <w:szCs w:val="21"/>
          <w:highlight w:val="none"/>
          <w14:textFill>
            <w14:solidFill>
              <w14:schemeClr w14:val="tx1"/>
            </w14:solidFill>
          </w14:textFill>
        </w:rPr>
        <w:t>①经招标人书面提出或确认组件及支架安装数量变化时，按照实际装机容量结算；</w:t>
      </w:r>
      <w:bookmarkEnd w:id="474"/>
      <w:r>
        <w:rPr>
          <w:rFonts w:hint="eastAsia" w:ascii="宋体" w:hAnsi="宋体" w:eastAsia="宋体" w:cs="宋体"/>
          <w:color w:val="000000" w:themeColor="text1"/>
          <w:szCs w:val="21"/>
          <w:highlight w:val="none"/>
          <w14:textFill>
            <w14:solidFill>
              <w14:schemeClr w14:val="tx1"/>
            </w14:solidFill>
          </w14:textFill>
        </w:rPr>
        <w:t>在组件及支架安装数量不变的情况下，如果因单块组件容量增大导致实际装机容量增大，仍按单块组件590Wp计算总装机容量来结算总价，如组件单块容量不变，安装组件数量增减，应按照实际装机容量结算。中标</w:t>
      </w:r>
      <w:bookmarkStart w:id="475" w:name="OLE_LINK44"/>
      <w:r>
        <w:rPr>
          <w:rFonts w:hint="eastAsia" w:ascii="宋体" w:hAnsi="宋体" w:eastAsia="宋体" w:cs="宋体"/>
          <w:color w:val="000000" w:themeColor="text1"/>
          <w:szCs w:val="21"/>
          <w:highlight w:val="none"/>
          <w14:textFill>
            <w14:solidFill>
              <w14:schemeClr w14:val="tx1"/>
            </w14:solidFill>
          </w14:textFill>
        </w:rPr>
        <w:t>固定每瓦单价=中标报价总价÷装机容量（四舍五入保留小数点后3位小数）</w:t>
      </w:r>
      <w:bookmarkEnd w:id="475"/>
      <w:r>
        <w:rPr>
          <w:rFonts w:hint="eastAsia" w:ascii="宋体" w:hAnsi="宋体" w:eastAsia="宋体" w:cs="宋体"/>
          <w:color w:val="000000" w:themeColor="text1"/>
          <w:szCs w:val="21"/>
          <w:highlight w:val="none"/>
          <w14:textFill>
            <w14:solidFill>
              <w14:schemeClr w14:val="tx1"/>
            </w14:solidFill>
          </w14:textFill>
        </w:rPr>
        <w:t>，投标人按中标固定每瓦单价×实际装机容量进行结算。</w:t>
      </w:r>
      <w:bookmarkStart w:id="476" w:name="OLE_LINK458"/>
      <w:bookmarkStart w:id="477" w:name="OLE_LINK454"/>
      <w:r>
        <w:rPr>
          <w:rFonts w:hint="eastAsia" w:ascii="宋体" w:hAnsi="宋体" w:eastAsia="宋体" w:cs="宋体"/>
          <w:color w:val="000000" w:themeColor="text1"/>
          <w:szCs w:val="21"/>
          <w:highlight w:val="none"/>
          <w14:textFill>
            <w14:solidFill>
              <w14:schemeClr w14:val="tx1"/>
            </w14:solidFill>
          </w14:textFill>
        </w:rPr>
        <w:t>②合同暂定价格仅为便于计算使用，不作为招标人最终采购实施数量的保证。招标人的实际需求数量以实际装机容量为准，按实结算。在履行期内，中标人不得因招标人实际采购实施数量的减少或增加而要求招标人作出任何形式的补偿或赔偿，或要求招标人按暂定数量采购相应货物</w:t>
      </w:r>
      <w:bookmarkEnd w:id="476"/>
      <w:r>
        <w:rPr>
          <w:rFonts w:hint="eastAsia" w:ascii="宋体" w:hAnsi="宋体" w:eastAsia="宋体" w:cs="宋体"/>
          <w:color w:val="000000" w:themeColor="text1"/>
          <w:szCs w:val="21"/>
          <w:highlight w:val="none"/>
          <w14:textFill>
            <w14:solidFill>
              <w14:schemeClr w14:val="tx1"/>
            </w14:solidFill>
          </w14:textFill>
        </w:rPr>
        <w:t xml:space="preserve">。 </w:t>
      </w:r>
      <w:bookmarkEnd w:id="477"/>
    </w:p>
    <w:p w14:paraId="794641CA">
      <w:pPr>
        <w:tabs>
          <w:tab w:val="center" w:pos="3125"/>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6、付款方式：</w:t>
      </w:r>
    </w:p>
    <w:p w14:paraId="1756D57A">
      <w:pPr>
        <w:tabs>
          <w:tab w:val="center" w:pos="3125"/>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（1）第一次付款：签订合同后15天内，支付暂定合同金额的30%；</w:t>
      </w:r>
    </w:p>
    <w:p w14:paraId="79485CCB">
      <w:pPr>
        <w:tabs>
          <w:tab w:val="center" w:pos="3125"/>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（2）第二次付款：办理完成</w:t>
      </w:r>
      <w:bookmarkStart w:id="478" w:name="OLE_LINK115"/>
      <w:r>
        <w:rPr>
          <w:rFonts w:hint="eastAsia" w:ascii="宋体" w:hAnsi="宋体" w:eastAsia="宋体" w:cs="宋体"/>
          <w:color w:val="000000" w:themeColor="text1"/>
          <w:szCs w:val="21"/>
          <w:highlight w:val="none"/>
          <w14:textFill>
            <w14:solidFill>
              <w14:schemeClr w14:val="tx1"/>
            </w14:solidFill>
          </w14:textFill>
        </w:rPr>
        <w:t>项目相关的</w:t>
      </w:r>
      <w:bookmarkEnd w:id="478"/>
      <w:r>
        <w:rPr>
          <w:rFonts w:hint="eastAsia" w:ascii="宋体" w:hAnsi="宋体" w:eastAsia="宋体" w:cs="宋体"/>
          <w:color w:val="000000" w:themeColor="text1"/>
          <w:szCs w:val="21"/>
          <w:highlight w:val="none"/>
          <w14:textFill>
            <w14:solidFill>
              <w14:schemeClr w14:val="tx1"/>
            </w14:solidFill>
          </w14:textFill>
        </w:rPr>
        <w:t>报批、报建、报装申报手续及施工所需许可、证件、批件，包括但不限于办理施工许可证（或临时施工许可或夜间施工）、报监手续、余泥排放证、排水手续、排水接驳、排水许可证等及交纳散装水泥专项资金等工作，完成监控系统（招标人负责人指定位置）安装并投运。提交</w:t>
      </w:r>
      <w:bookmarkStart w:id="479" w:name="OLE_LINK120"/>
      <w:r>
        <w:rPr>
          <w:rFonts w:hint="eastAsia" w:ascii="宋体" w:hAnsi="宋体" w:eastAsia="宋体" w:cs="宋体"/>
          <w:color w:val="000000" w:themeColor="text1"/>
          <w:szCs w:val="21"/>
          <w:highlight w:val="none"/>
          <w14:textFill>
            <w14:solidFill>
              <w14:schemeClr w14:val="tx1"/>
            </w14:solidFill>
          </w14:textFill>
        </w:rPr>
        <w:t>全套合同约定的</w:t>
      </w:r>
      <w:bookmarkStart w:id="480" w:name="OLE_LINK151"/>
      <w:r>
        <w:rPr>
          <w:rFonts w:hint="eastAsia" w:ascii="宋体" w:hAnsi="宋体" w:eastAsia="宋体" w:cs="宋体"/>
          <w:color w:val="000000" w:themeColor="text1"/>
          <w:szCs w:val="21"/>
          <w:highlight w:val="none"/>
          <w14:textFill>
            <w14:solidFill>
              <w14:schemeClr w14:val="tx1"/>
            </w14:solidFill>
          </w14:textFill>
        </w:rPr>
        <w:t>施工图设计文件</w:t>
      </w:r>
      <w:bookmarkEnd w:id="479"/>
      <w:bookmarkEnd w:id="480"/>
      <w:r>
        <w:rPr>
          <w:rFonts w:hint="eastAsia" w:ascii="宋体" w:hAnsi="宋体" w:eastAsia="宋体" w:cs="宋体"/>
          <w:color w:val="000000" w:themeColor="text1"/>
          <w:szCs w:val="21"/>
          <w:highlight w:val="none"/>
          <w14:textFill>
            <w14:solidFill>
              <w14:schemeClr w14:val="tx1"/>
            </w14:solidFill>
          </w14:textFill>
        </w:rPr>
        <w:t>、工程的主设备（组件、逆变器）全部进场并交接验收合格后，招标人向中标人支付至</w:t>
      </w:r>
      <w:bookmarkStart w:id="481" w:name="OLE_LINK123"/>
      <w:r>
        <w:rPr>
          <w:rFonts w:hint="eastAsia" w:ascii="宋体" w:hAnsi="宋体" w:eastAsia="宋体" w:cs="宋体"/>
          <w:color w:val="000000" w:themeColor="text1"/>
          <w:szCs w:val="21"/>
          <w:highlight w:val="none"/>
          <w14:textFill>
            <w14:solidFill>
              <w14:schemeClr w14:val="tx1"/>
            </w14:solidFill>
          </w14:textFill>
        </w:rPr>
        <w:t>暂定</w:t>
      </w:r>
      <w:bookmarkEnd w:id="481"/>
      <w:r>
        <w:rPr>
          <w:rFonts w:hint="eastAsia" w:ascii="宋体" w:hAnsi="宋体" w:eastAsia="宋体" w:cs="宋体"/>
          <w:color w:val="000000" w:themeColor="text1"/>
          <w:szCs w:val="21"/>
          <w:highlight w:val="none"/>
          <w14:textFill>
            <w14:solidFill>
              <w14:schemeClr w14:val="tx1"/>
            </w14:solidFill>
          </w14:textFill>
        </w:rPr>
        <w:t>合同金额的70%；</w:t>
      </w:r>
    </w:p>
    <w:p w14:paraId="681CCFC7">
      <w:pPr>
        <w:tabs>
          <w:tab w:val="center" w:pos="3125"/>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（3）第三次付款：项目现场安装施工完毕初步验收合格并经相关部门验收并网送电后，</w:t>
      </w:r>
      <w:bookmarkStart w:id="482" w:name="OLE_LINK127"/>
      <w:r>
        <w:rPr>
          <w:rFonts w:hint="eastAsia" w:ascii="宋体" w:hAnsi="宋体" w:eastAsia="宋体" w:cs="宋体"/>
          <w:color w:val="000000" w:themeColor="text1"/>
          <w:szCs w:val="21"/>
          <w:highlight w:val="none"/>
          <w14:textFill>
            <w14:solidFill>
              <w14:schemeClr w14:val="tx1"/>
            </w14:solidFill>
          </w14:textFill>
        </w:rPr>
        <w:t>招标人向中标人</w:t>
      </w:r>
      <w:bookmarkEnd w:id="482"/>
      <w:r>
        <w:rPr>
          <w:rFonts w:hint="eastAsia" w:ascii="宋体" w:hAnsi="宋体" w:eastAsia="宋体" w:cs="宋体"/>
          <w:color w:val="000000" w:themeColor="text1"/>
          <w:szCs w:val="21"/>
          <w:highlight w:val="none"/>
          <w14:textFill>
            <w14:solidFill>
              <w14:schemeClr w14:val="tx1"/>
            </w14:solidFill>
          </w14:textFill>
        </w:rPr>
        <w:t>支付至暂定合同金额的80%。</w:t>
      </w:r>
    </w:p>
    <w:p w14:paraId="345C0532">
      <w:pPr>
        <w:tabs>
          <w:tab w:val="center" w:pos="3125"/>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（4）第四次付款：本项目</w:t>
      </w:r>
      <w:bookmarkStart w:id="483" w:name="OLE_LINK480"/>
      <w:r>
        <w:rPr>
          <w:rFonts w:hint="eastAsia" w:ascii="宋体" w:hAnsi="宋体" w:eastAsia="宋体" w:cs="宋体"/>
          <w:color w:val="000000" w:themeColor="text1"/>
          <w:szCs w:val="21"/>
          <w:highlight w:val="none"/>
          <w14:textFill>
            <w14:solidFill>
              <w14:schemeClr w14:val="tx1"/>
            </w14:solidFill>
          </w14:textFill>
        </w:rPr>
        <w:t>验收并网送电</w:t>
      </w:r>
      <w:bookmarkEnd w:id="483"/>
      <w:bookmarkStart w:id="484" w:name="OLE_LINK465"/>
      <w:r>
        <w:rPr>
          <w:rFonts w:hint="eastAsia" w:ascii="宋体" w:hAnsi="宋体" w:eastAsia="宋体" w:cs="宋体"/>
          <w:color w:val="000000" w:themeColor="text1"/>
          <w:szCs w:val="21"/>
          <w:highlight w:val="none"/>
          <w14:textFill>
            <w14:solidFill>
              <w14:schemeClr w14:val="tx1"/>
            </w14:solidFill>
          </w14:textFill>
        </w:rPr>
        <w:t>后</w:t>
      </w:r>
      <w:bookmarkEnd w:id="484"/>
      <w:r>
        <w:rPr>
          <w:rFonts w:hint="eastAsia" w:ascii="宋体" w:hAnsi="宋体" w:eastAsia="宋体" w:cs="宋体"/>
          <w:color w:val="000000" w:themeColor="text1"/>
          <w:szCs w:val="21"/>
          <w:highlight w:val="none"/>
          <w14:textFill>
            <w14:solidFill>
              <w14:schemeClr w14:val="tx1"/>
            </w14:solidFill>
          </w14:textFill>
        </w:rPr>
        <w:t>递交全套竣工图设计文件及项目资料，经招标人最终验收合格确认后，招标人向中标人支付至合同总结算金额的90%；</w:t>
      </w:r>
    </w:p>
    <w:p w14:paraId="49402B53">
      <w:pPr>
        <w:widowControl/>
        <w:tabs>
          <w:tab w:val="center" w:pos="3125"/>
        </w:tabs>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（5）第五次付款：1年运维期结束后支付至合同总结算金额的97%，剩余合同总结算金额的3%为质保金。</w:t>
      </w:r>
    </w:p>
    <w:p w14:paraId="3DCAF907">
      <w:pPr>
        <w:widowControl/>
        <w:tabs>
          <w:tab w:val="center" w:pos="3125"/>
        </w:tabs>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注：结算价款的( 3% )留作质量保修金。在中标人按本项目合同约定</w:t>
      </w:r>
      <w:bookmarkStart w:id="485" w:name="OLE_LINK131"/>
      <w:r>
        <w:rPr>
          <w:rFonts w:hint="eastAsia" w:ascii="宋体" w:hAnsi="宋体" w:eastAsia="宋体" w:cs="宋体"/>
          <w:color w:val="000000" w:themeColor="text1"/>
          <w:szCs w:val="21"/>
          <w:highlight w:val="none"/>
          <w14:textFill>
            <w14:solidFill>
              <w14:schemeClr w14:val="tx1"/>
            </w14:solidFill>
          </w14:textFill>
        </w:rPr>
        <w:t>履行质量保修义务的前提下</w:t>
      </w:r>
      <w:bookmarkEnd w:id="485"/>
      <w:r>
        <w:rPr>
          <w:rFonts w:hint="eastAsia" w:ascii="宋体" w:hAnsi="宋体" w:eastAsia="宋体" w:cs="宋体"/>
          <w:color w:val="000000" w:themeColor="text1"/>
          <w:szCs w:val="21"/>
          <w:highlight w:val="none"/>
          <w14:textFill>
            <w14:solidFill>
              <w14:schemeClr w14:val="tx1"/>
            </w14:solidFill>
          </w14:textFill>
        </w:rPr>
        <w:t>，招标人于项目整体最终验收合格之日起届满二年且收到中标人提交的</w:t>
      </w:r>
      <w:bookmarkStart w:id="486" w:name="OLE_LINK134"/>
      <w:r>
        <w:rPr>
          <w:rFonts w:hint="eastAsia" w:ascii="宋体" w:hAnsi="宋体" w:eastAsia="宋体" w:cs="宋体"/>
          <w:color w:val="000000" w:themeColor="text1"/>
          <w:szCs w:val="21"/>
          <w:highlight w:val="none"/>
          <w14:textFill>
            <w14:solidFill>
              <w14:schemeClr w14:val="tx1"/>
            </w14:solidFill>
          </w14:textFill>
        </w:rPr>
        <w:t>质量保修保函</w:t>
      </w:r>
      <w:bookmarkEnd w:id="486"/>
      <w:r>
        <w:rPr>
          <w:rFonts w:hint="eastAsia" w:ascii="宋体" w:hAnsi="宋体" w:eastAsia="宋体" w:cs="宋体"/>
          <w:color w:val="000000" w:themeColor="text1"/>
          <w:szCs w:val="21"/>
          <w:highlight w:val="none"/>
          <w14:textFill>
            <w14:solidFill>
              <w14:schemeClr w14:val="tx1"/>
            </w14:solidFill>
          </w14:textFill>
        </w:rPr>
        <w:t>之后，招标人将剩余的质量保修金无息退还给中标人。如中标人未按本项目合同约定履行质量保修义务的，招标人有权不予或推迟向中标人退还质量保修金。招标人向中标人退还质量保修金前，中标人须向招标人提交担保金额为质量保修金同等金额的无条件、见索即付、不可撤销</w:t>
      </w:r>
      <w:bookmarkStart w:id="487" w:name="OLE_LINK15"/>
      <w:bookmarkStart w:id="488" w:name="OLE_LINK140"/>
      <w:r>
        <w:rPr>
          <w:rFonts w:hint="eastAsia" w:ascii="宋体" w:hAnsi="宋体" w:eastAsia="宋体" w:cs="宋体"/>
          <w:color w:val="000000" w:themeColor="text1"/>
          <w:szCs w:val="21"/>
          <w:highlight w:val="none"/>
          <w14:textFill>
            <w14:solidFill>
              <w14:schemeClr w14:val="tx1"/>
            </w14:solidFill>
          </w14:textFill>
        </w:rPr>
        <w:t>质量保修</w:t>
      </w:r>
      <w:bookmarkEnd w:id="487"/>
      <w:r>
        <w:rPr>
          <w:rFonts w:hint="eastAsia" w:ascii="宋体" w:hAnsi="宋体" w:eastAsia="宋体" w:cs="宋体"/>
          <w:color w:val="000000" w:themeColor="text1"/>
          <w:szCs w:val="21"/>
          <w:highlight w:val="none"/>
          <w14:textFill>
            <w14:solidFill>
              <w14:schemeClr w14:val="tx1"/>
            </w14:solidFill>
          </w14:textFill>
        </w:rPr>
        <w:t>保函</w:t>
      </w:r>
      <w:bookmarkEnd w:id="488"/>
      <w:r>
        <w:rPr>
          <w:rFonts w:hint="eastAsia" w:ascii="宋体" w:hAnsi="宋体" w:eastAsia="宋体" w:cs="宋体"/>
          <w:color w:val="000000" w:themeColor="text1"/>
          <w:szCs w:val="21"/>
          <w:highlight w:val="none"/>
          <w14:textFill>
            <w14:solidFill>
              <w14:schemeClr w14:val="tx1"/>
            </w14:solidFill>
          </w14:textFill>
        </w:rPr>
        <w:t>。质量保修保函的有效期为项目整体最终验收合格届满二年之日起 1 年。</w:t>
      </w:r>
    </w:p>
    <w:p w14:paraId="2EC04E45">
      <w:pPr>
        <w:widowControl/>
        <w:tabs>
          <w:tab w:val="center" w:pos="3125"/>
        </w:tabs>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7、投标人在涉及光伏发电系统并网验收及报批方面，必须充分与当地供电部门协调沟通，保证项目按工期并网投运。</w:t>
      </w:r>
    </w:p>
    <w:p w14:paraId="228786E8">
      <w:pPr>
        <w:tabs>
          <w:tab w:val="center" w:pos="3125"/>
        </w:tabs>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8、如涉及当地两违办、经发局、供电部门及其他相关部门协调工作及费用一切由投标人负责，</w:t>
      </w:r>
      <w:bookmarkStart w:id="489" w:name="OLE_LINK144"/>
      <w:r>
        <w:rPr>
          <w:rFonts w:hint="eastAsia" w:ascii="宋体" w:hAnsi="宋体" w:eastAsia="宋体" w:cs="宋体"/>
          <w:color w:val="000000" w:themeColor="text1"/>
          <w:kern w:val="0"/>
          <w:szCs w:val="21"/>
          <w:highlight w:val="none"/>
          <w14:textFill>
            <w14:solidFill>
              <w14:schemeClr w14:val="tx1"/>
            </w14:solidFill>
          </w14:textFill>
        </w:rPr>
        <w:t>在不增加装机容量的前提，</w:t>
      </w:r>
      <w:bookmarkEnd w:id="489"/>
      <w:r>
        <w:rPr>
          <w:rFonts w:hint="eastAsia" w:ascii="宋体" w:hAnsi="宋体" w:eastAsia="宋体" w:cs="宋体"/>
          <w:color w:val="000000" w:themeColor="text1"/>
          <w:kern w:val="0"/>
          <w:szCs w:val="21"/>
          <w:highlight w:val="none"/>
          <w14:textFill>
            <w14:solidFill>
              <w14:schemeClr w14:val="tx1"/>
            </w14:solidFill>
          </w14:textFill>
        </w:rPr>
        <w:t>不得额外增加费用。</w:t>
      </w:r>
      <w:bookmarkStart w:id="490" w:name="OLE_LINK150"/>
    </w:p>
    <w:p w14:paraId="444F43F4">
      <w:pPr>
        <w:tabs>
          <w:tab w:val="center" w:pos="3125"/>
        </w:tabs>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9、投标人须对本项目为单位的货物及服务进行整体投标，任何只对其中一部分内容进行的投标都被视为无效投标。</w:t>
      </w:r>
      <w:bookmarkStart w:id="491" w:name="OLE_LINK153"/>
      <w:r>
        <w:rPr>
          <w:rFonts w:hint="eastAsia" w:ascii="宋体" w:hAnsi="宋体" w:eastAsia="宋体" w:cs="宋体"/>
          <w:color w:val="000000" w:themeColor="text1"/>
          <w:kern w:val="0"/>
          <w:szCs w:val="21"/>
          <w:highlight w:val="none"/>
          <w14:textFill>
            <w14:solidFill>
              <w14:schemeClr w14:val="tx1"/>
            </w14:solidFill>
          </w14:textFill>
        </w:rPr>
        <w:t>如本项目的部分安装（实施）工程需要具有相应资质才能实施但投标人不具备该项资质的，投标人应在获得招标人的书面同意后，委托具有相应资质的单位实施。</w:t>
      </w:r>
    </w:p>
    <w:bookmarkEnd w:id="491"/>
    <w:p w14:paraId="2FEEC108">
      <w:pPr>
        <w:tabs>
          <w:tab w:val="center" w:pos="3125"/>
        </w:tabs>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10、质量要求</w:t>
      </w:r>
      <w:bookmarkStart w:id="492" w:name="OLE_LINK152"/>
    </w:p>
    <w:bookmarkEnd w:id="492"/>
    <w:p w14:paraId="75701E21">
      <w:pPr>
        <w:tabs>
          <w:tab w:val="center" w:pos="3125"/>
        </w:tabs>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（1）设计质量要求：</w:t>
      </w:r>
    </w:p>
    <w:p w14:paraId="6940CA1A">
      <w:pPr>
        <w:tabs>
          <w:tab w:val="center" w:pos="3125"/>
        </w:tabs>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项目的设计过程和成果必须符合国家、广东省、东莞市颁布的有关设计方面的现行标准、规范、规程、定额、办法，满足招标人的相关功能需求，并通过招标人及有关部门或专业审图机构的审查。在设计过程中，如果国家或有关部门颁发了新的技术标准或规范，应采用新的标准或规范进行设计。</w:t>
      </w:r>
    </w:p>
    <w:p w14:paraId="759639DC">
      <w:pPr>
        <w:tabs>
          <w:tab w:val="center" w:pos="3125"/>
        </w:tabs>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（2）安装所需的一切配套施工的质量标准：</w:t>
      </w:r>
    </w:p>
    <w:p w14:paraId="1F3694C6">
      <w:pPr>
        <w:rPr>
          <w:rFonts w:ascii="宋体" w:hAnsi="宋体" w:eastAsia="宋体" w:cs="Times New Roman"/>
          <w:b/>
          <w:color w:val="000000" w:themeColor="text1"/>
          <w:szCs w:val="21"/>
          <w:highlight w:val="none"/>
          <w14:textFill>
            <w14:solidFill>
              <w14:schemeClr w14:val="tx1"/>
            </w14:solidFill>
          </w14:textFill>
        </w:rPr>
      </w:pPr>
      <w:bookmarkStart w:id="493" w:name="OLE_LINK424"/>
      <w:r>
        <w:rPr>
          <w:rFonts w:hint="eastAsia" w:ascii="宋体" w:hAnsi="宋体" w:eastAsia="宋体" w:cs="宋体"/>
          <w:color w:val="000000" w:themeColor="text1"/>
          <w:kern w:val="0"/>
          <w:szCs w:val="21"/>
          <w:highlight w:val="none"/>
          <w14:textFill>
            <w14:solidFill>
              <w14:schemeClr w14:val="tx1"/>
            </w14:solidFill>
          </w14:textFill>
        </w:rPr>
        <w:t>执行</w:t>
      </w:r>
      <w:bookmarkStart w:id="494" w:name="OLE_LINK416"/>
      <w:r>
        <w:rPr>
          <w:rFonts w:hint="eastAsia" w:ascii="宋体" w:hAnsi="宋体" w:eastAsia="宋体" w:cs="宋体"/>
          <w:color w:val="000000" w:themeColor="text1"/>
          <w:kern w:val="0"/>
          <w:szCs w:val="21"/>
          <w:highlight w:val="none"/>
          <w14:textFill>
            <w14:solidFill>
              <w14:schemeClr w14:val="tx1"/>
            </w14:solidFill>
          </w14:textFill>
        </w:rPr>
        <w:t>国家、省或行业现行的</w:t>
      </w:r>
      <w:bookmarkEnd w:id="494"/>
      <w:r>
        <w:rPr>
          <w:rFonts w:hint="eastAsia" w:ascii="宋体" w:hAnsi="宋体" w:eastAsia="宋体" w:cs="宋体"/>
          <w:color w:val="000000" w:themeColor="text1"/>
          <w:kern w:val="0"/>
          <w:szCs w:val="21"/>
          <w:highlight w:val="none"/>
          <w14:textFill>
            <w14:solidFill>
              <w14:schemeClr w14:val="tx1"/>
            </w14:solidFill>
          </w14:textFill>
        </w:rPr>
        <w:t>质量</w:t>
      </w:r>
      <w:bookmarkStart w:id="495" w:name="OLE_LINK412"/>
      <w:r>
        <w:rPr>
          <w:rFonts w:hint="eastAsia" w:ascii="宋体" w:hAnsi="宋体" w:eastAsia="宋体" w:cs="宋体"/>
          <w:color w:val="000000" w:themeColor="text1"/>
          <w:kern w:val="0"/>
          <w:szCs w:val="21"/>
          <w:highlight w:val="none"/>
          <w14:textFill>
            <w14:solidFill>
              <w14:schemeClr w14:val="tx1"/>
            </w14:solidFill>
          </w14:textFill>
        </w:rPr>
        <w:t>验收</w:t>
      </w:r>
      <w:bookmarkEnd w:id="495"/>
      <w:r>
        <w:rPr>
          <w:rFonts w:hint="eastAsia" w:ascii="宋体" w:hAnsi="宋体" w:eastAsia="宋体" w:cs="宋体"/>
          <w:color w:val="000000" w:themeColor="text1"/>
          <w:kern w:val="0"/>
          <w:szCs w:val="21"/>
          <w:highlight w:val="none"/>
          <w14:textFill>
            <w14:solidFill>
              <w14:schemeClr w14:val="tx1"/>
            </w14:solidFill>
          </w14:textFill>
        </w:rPr>
        <w:t>标准及规范</w:t>
      </w:r>
      <w:bookmarkEnd w:id="493"/>
      <w:r>
        <w:rPr>
          <w:rFonts w:hint="eastAsia" w:ascii="宋体" w:hAnsi="宋体" w:eastAsia="宋体" w:cs="宋体"/>
          <w:color w:val="000000" w:themeColor="text1"/>
          <w:kern w:val="0"/>
          <w:szCs w:val="21"/>
          <w:highlight w:val="none"/>
          <w14:textFill>
            <w14:solidFill>
              <w14:schemeClr w14:val="tx1"/>
            </w14:solidFill>
          </w14:textFill>
        </w:rPr>
        <w:t>，须达到合格标准，并通过当地相关供电部门的并网验收。</w:t>
      </w:r>
      <w:bookmarkEnd w:id="490"/>
    </w:p>
    <w:p w14:paraId="0BF6407B">
      <w:pPr>
        <w:spacing w:line="360" w:lineRule="auto"/>
        <w:rPr>
          <w:rFonts w:ascii="宋体" w:hAnsi="宋体" w:eastAsia="宋体" w:cs="Times New Roman"/>
          <w:b/>
          <w:color w:val="000000" w:themeColor="text1"/>
          <w:szCs w:val="21"/>
          <w:highlight w:val="none"/>
          <w14:textFill>
            <w14:solidFill>
              <w14:schemeClr w14:val="tx1"/>
            </w14:solidFill>
          </w14:textFill>
        </w:rPr>
      </w:pPr>
    </w:p>
    <w:p w14:paraId="01146C47">
      <w:pPr>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br w:type="page"/>
      </w:r>
    </w:p>
    <w:p w14:paraId="078A9F1C">
      <w:pPr>
        <w:spacing w:line="360" w:lineRule="auto"/>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附件：采购清单</w:t>
      </w:r>
    </w:p>
    <w:p w14:paraId="6C06BB4E">
      <w:pPr>
        <w:spacing w:line="360" w:lineRule="auto"/>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（一）第四水厂屋顶分布式光伏发电项目-安装部分</w:t>
      </w:r>
    </w:p>
    <w:tbl>
      <w:tblPr>
        <w:tblStyle w:val="37"/>
        <w:tblW w:w="4998" w:type="pct"/>
        <w:tblInd w:w="0" w:type="dxa"/>
        <w:tblLayout w:type="autofit"/>
        <w:tblCellMar>
          <w:top w:w="0" w:type="dxa"/>
          <w:left w:w="108" w:type="dxa"/>
          <w:bottom w:w="0" w:type="dxa"/>
          <w:right w:w="108" w:type="dxa"/>
        </w:tblCellMar>
      </w:tblPr>
      <w:tblGrid>
        <w:gridCol w:w="952"/>
        <w:gridCol w:w="3144"/>
        <w:gridCol w:w="4019"/>
        <w:gridCol w:w="931"/>
        <w:gridCol w:w="1320"/>
      </w:tblGrid>
      <w:tr w14:paraId="322FA81C">
        <w:tblPrEx>
          <w:tblCellMar>
            <w:top w:w="0" w:type="dxa"/>
            <w:left w:w="108" w:type="dxa"/>
            <w:bottom w:w="0" w:type="dxa"/>
            <w:right w:w="108" w:type="dxa"/>
          </w:tblCellMar>
        </w:tblPrEx>
        <w:trPr>
          <w:trHeight w:val="360" w:hRule="atLeast"/>
        </w:trPr>
        <w:tc>
          <w:tcPr>
            <w:tcW w:w="459"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94C854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序号</w:t>
            </w:r>
          </w:p>
        </w:tc>
        <w:tc>
          <w:tcPr>
            <w:tcW w:w="151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7A1C03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项目名称</w:t>
            </w:r>
          </w:p>
        </w:tc>
        <w:tc>
          <w:tcPr>
            <w:tcW w:w="193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359075B">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项目特征描述</w:t>
            </w:r>
          </w:p>
        </w:tc>
        <w:tc>
          <w:tcPr>
            <w:tcW w:w="4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97BF91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计量</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单位</w:t>
            </w:r>
          </w:p>
        </w:tc>
        <w:tc>
          <w:tcPr>
            <w:tcW w:w="63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40EADD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工程量</w:t>
            </w:r>
          </w:p>
        </w:tc>
      </w:tr>
      <w:tr w14:paraId="0CD2101B">
        <w:tblPrEx>
          <w:tblCellMar>
            <w:top w:w="0" w:type="dxa"/>
            <w:left w:w="108" w:type="dxa"/>
            <w:bottom w:w="0" w:type="dxa"/>
            <w:right w:w="108" w:type="dxa"/>
          </w:tblCellMar>
        </w:tblPrEx>
        <w:trPr>
          <w:trHeight w:val="360" w:hRule="atLeast"/>
        </w:trPr>
        <w:tc>
          <w:tcPr>
            <w:tcW w:w="45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9510AF1">
            <w:pPr>
              <w:jc w:val="center"/>
              <w:rPr>
                <w:rFonts w:ascii="宋体" w:hAnsi="宋体" w:eastAsia="宋体" w:cs="宋体"/>
                <w:color w:val="000000" w:themeColor="text1"/>
                <w:sz w:val="20"/>
                <w:szCs w:val="20"/>
                <w:highlight w:val="none"/>
                <w14:textFill>
                  <w14:solidFill>
                    <w14:schemeClr w14:val="tx1"/>
                  </w14:solidFill>
                </w14:textFill>
              </w:rPr>
            </w:pPr>
          </w:p>
        </w:tc>
        <w:tc>
          <w:tcPr>
            <w:tcW w:w="151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51DB868">
            <w:pPr>
              <w:jc w:val="center"/>
              <w:rPr>
                <w:rFonts w:ascii="宋体" w:hAnsi="宋体" w:eastAsia="宋体" w:cs="宋体"/>
                <w:color w:val="000000" w:themeColor="text1"/>
                <w:sz w:val="20"/>
                <w:szCs w:val="20"/>
                <w:highlight w:val="none"/>
                <w14:textFill>
                  <w14:solidFill>
                    <w14:schemeClr w14:val="tx1"/>
                  </w14:solidFill>
                </w14:textFill>
              </w:rPr>
            </w:pPr>
          </w:p>
        </w:tc>
        <w:tc>
          <w:tcPr>
            <w:tcW w:w="193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0386D76">
            <w:pPr>
              <w:jc w:val="center"/>
              <w:rPr>
                <w:rFonts w:ascii="宋体" w:hAnsi="宋体" w:eastAsia="宋体" w:cs="宋体"/>
                <w:color w:val="000000" w:themeColor="text1"/>
                <w:sz w:val="20"/>
                <w:szCs w:val="20"/>
                <w:highlight w:val="none"/>
                <w14:textFill>
                  <w14:solidFill>
                    <w14:schemeClr w14:val="tx1"/>
                  </w14:solidFill>
                </w14:textFill>
              </w:rPr>
            </w:pPr>
          </w:p>
        </w:tc>
        <w:tc>
          <w:tcPr>
            <w:tcW w:w="44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FCC0F20">
            <w:pPr>
              <w:jc w:val="center"/>
              <w:rPr>
                <w:rFonts w:ascii="宋体" w:hAnsi="宋体" w:eastAsia="宋体" w:cs="宋体"/>
                <w:color w:val="000000" w:themeColor="text1"/>
                <w:sz w:val="20"/>
                <w:szCs w:val="20"/>
                <w:highlight w:val="none"/>
                <w14:textFill>
                  <w14:solidFill>
                    <w14:schemeClr w14:val="tx1"/>
                  </w14:solidFill>
                </w14:textFill>
              </w:rPr>
            </w:pPr>
          </w:p>
        </w:tc>
        <w:tc>
          <w:tcPr>
            <w:tcW w:w="63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26D0E7F">
            <w:pPr>
              <w:jc w:val="center"/>
              <w:rPr>
                <w:rFonts w:ascii="宋体" w:hAnsi="宋体" w:eastAsia="宋体" w:cs="宋体"/>
                <w:color w:val="000000" w:themeColor="text1"/>
                <w:sz w:val="20"/>
                <w:szCs w:val="20"/>
                <w:highlight w:val="none"/>
                <w14:textFill>
                  <w14:solidFill>
                    <w14:schemeClr w14:val="tx1"/>
                  </w14:solidFill>
                </w14:textFill>
              </w:rPr>
            </w:pPr>
          </w:p>
        </w:tc>
      </w:tr>
      <w:tr w14:paraId="66176198">
        <w:tblPrEx>
          <w:tblCellMar>
            <w:top w:w="0" w:type="dxa"/>
            <w:left w:w="108" w:type="dxa"/>
            <w:bottom w:w="0" w:type="dxa"/>
            <w:right w:w="108" w:type="dxa"/>
          </w:tblCellMar>
        </w:tblPrEx>
        <w:trPr>
          <w:trHeight w:val="184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C099D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DB02F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590Wp单晶硅光伏组件</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0D44D9">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1.名称:单晶硅光伏组件</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2.型号:590Wp,组件尺寸：2278*1134*30mm</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171C7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块</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ACB13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2835</w:t>
            </w:r>
          </w:p>
        </w:tc>
      </w:tr>
      <w:tr w14:paraId="32A43A30">
        <w:tblPrEx>
          <w:tblCellMar>
            <w:top w:w="0" w:type="dxa"/>
            <w:left w:w="108" w:type="dxa"/>
            <w:bottom w:w="0" w:type="dxa"/>
            <w:right w:w="108" w:type="dxa"/>
          </w:tblCellMar>
        </w:tblPrEx>
        <w:trPr>
          <w:trHeight w:val="210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08038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7BF67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光伏逆变器</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AACAF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1.名称:30kW逆变器</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2.规格、型号:最大输入电压：1100V 额定电网电压：400Vac</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39EF4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9D467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6</w:t>
            </w:r>
          </w:p>
        </w:tc>
      </w:tr>
      <w:tr w14:paraId="667AAB4E">
        <w:tblPrEx>
          <w:tblCellMar>
            <w:top w:w="0" w:type="dxa"/>
            <w:left w:w="108" w:type="dxa"/>
            <w:bottom w:w="0" w:type="dxa"/>
            <w:right w:w="108" w:type="dxa"/>
          </w:tblCellMar>
        </w:tblPrEx>
        <w:trPr>
          <w:trHeight w:val="210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5914C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802D14">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光伏逆变器</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E36FA">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1.名称:40kW逆变器</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2.规格、型号:最大输入电压：1100V 额定电网电压：400Vac</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9FDF1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3DB5F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w:t>
            </w:r>
          </w:p>
        </w:tc>
      </w:tr>
      <w:tr w14:paraId="0CAB01AC">
        <w:tblPrEx>
          <w:tblCellMar>
            <w:top w:w="0" w:type="dxa"/>
            <w:left w:w="108" w:type="dxa"/>
            <w:bottom w:w="0" w:type="dxa"/>
            <w:right w:w="108" w:type="dxa"/>
          </w:tblCellMar>
        </w:tblPrEx>
        <w:trPr>
          <w:trHeight w:val="210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0AC2C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E008CA">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光伏逆变器</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BE10D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1.名称:50kW逆变器</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2.规格、型号:最大输入电压：1100V 额定电网电压：400Vac</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97D6D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193FA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w:t>
            </w:r>
          </w:p>
        </w:tc>
      </w:tr>
      <w:tr w14:paraId="574AF06F">
        <w:tblPrEx>
          <w:tblCellMar>
            <w:top w:w="0" w:type="dxa"/>
            <w:left w:w="108" w:type="dxa"/>
            <w:bottom w:w="0" w:type="dxa"/>
            <w:right w:w="108" w:type="dxa"/>
          </w:tblCellMar>
        </w:tblPrEx>
        <w:trPr>
          <w:trHeight w:val="210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6BD27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75F4CD">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光伏逆变器</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3D209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1.名称:100kW逆变器</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2.规格、型号:最大输入电压：1100V 额定电网电压：400Vac</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17D23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E94D6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w:t>
            </w:r>
          </w:p>
        </w:tc>
      </w:tr>
      <w:tr w14:paraId="26C75B57">
        <w:tblPrEx>
          <w:tblCellMar>
            <w:top w:w="0" w:type="dxa"/>
            <w:left w:w="108" w:type="dxa"/>
            <w:bottom w:w="0" w:type="dxa"/>
            <w:right w:w="108" w:type="dxa"/>
          </w:tblCellMar>
        </w:tblPrEx>
        <w:trPr>
          <w:trHeight w:val="210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F6BCF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6</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BB7BF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光伏逆变器</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8F6382">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1.名称:110kW逆变器</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2.规格、型号:最大输入电压：1100V 额定电网电压：400Vac</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E9559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85096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7</w:t>
            </w:r>
          </w:p>
        </w:tc>
      </w:tr>
      <w:tr w14:paraId="04932FB9">
        <w:tblPrEx>
          <w:tblCellMar>
            <w:top w:w="0" w:type="dxa"/>
            <w:left w:w="108" w:type="dxa"/>
            <w:bottom w:w="0" w:type="dxa"/>
            <w:right w:w="108" w:type="dxa"/>
          </w:tblCellMar>
        </w:tblPrEx>
        <w:trPr>
          <w:trHeight w:val="133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07E0B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7</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438FBC">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汇流箱 2进1出</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EE0A4C">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1.名称:汇流箱 2进1出</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0DC7C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B5B95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w:t>
            </w:r>
          </w:p>
        </w:tc>
      </w:tr>
      <w:tr w14:paraId="2B9CABA3">
        <w:tblPrEx>
          <w:tblCellMar>
            <w:top w:w="0" w:type="dxa"/>
            <w:left w:w="108" w:type="dxa"/>
            <w:bottom w:w="0" w:type="dxa"/>
            <w:right w:w="108" w:type="dxa"/>
          </w:tblCellMar>
        </w:tblPrEx>
        <w:trPr>
          <w:trHeight w:val="133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9A70C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8</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E527F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汇流箱 3进1出</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3BB009">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1.名称:汇流箱 3进1出</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DD19A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2E8B2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w:t>
            </w:r>
          </w:p>
        </w:tc>
      </w:tr>
      <w:tr w14:paraId="48E90ED4">
        <w:tblPrEx>
          <w:tblCellMar>
            <w:top w:w="0" w:type="dxa"/>
            <w:left w:w="108" w:type="dxa"/>
            <w:bottom w:w="0" w:type="dxa"/>
            <w:right w:w="108" w:type="dxa"/>
          </w:tblCellMar>
        </w:tblPrEx>
        <w:trPr>
          <w:trHeight w:val="159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71519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9</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54531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039004">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1.名称:光伏电缆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2.规格、型号:PV1-F 1x4</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B89F0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B9A48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23760</w:t>
            </w:r>
          </w:p>
        </w:tc>
      </w:tr>
      <w:tr w14:paraId="7A9EE8C0">
        <w:tblPrEx>
          <w:tblCellMar>
            <w:top w:w="0" w:type="dxa"/>
            <w:left w:w="108" w:type="dxa"/>
            <w:bottom w:w="0" w:type="dxa"/>
            <w:right w:w="108" w:type="dxa"/>
          </w:tblCellMar>
        </w:tblPrEx>
        <w:trPr>
          <w:trHeight w:val="184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EAC1AB">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10</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14911D">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0FF721">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1.名称:电力电缆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2.规格、型号:ZC-YJV-3*16+2*10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886E8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05EE9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75</w:t>
            </w:r>
          </w:p>
        </w:tc>
      </w:tr>
      <w:tr w14:paraId="36CB9942">
        <w:tblPrEx>
          <w:tblCellMar>
            <w:top w:w="0" w:type="dxa"/>
            <w:left w:w="108" w:type="dxa"/>
            <w:bottom w:w="0" w:type="dxa"/>
            <w:right w:w="108" w:type="dxa"/>
          </w:tblCellMar>
        </w:tblPrEx>
        <w:trPr>
          <w:trHeight w:val="184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53FC0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11</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F91A38">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6FC99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1.名称:电力电缆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2.规格、型号:ZC-YJV-3*25+2*16</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9540E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E7CDB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10</w:t>
            </w:r>
          </w:p>
        </w:tc>
      </w:tr>
      <w:tr w14:paraId="59FE574F">
        <w:tblPrEx>
          <w:tblCellMar>
            <w:top w:w="0" w:type="dxa"/>
            <w:left w:w="108" w:type="dxa"/>
            <w:bottom w:w="0" w:type="dxa"/>
            <w:right w:w="108" w:type="dxa"/>
          </w:tblCellMar>
        </w:tblPrEx>
        <w:trPr>
          <w:trHeight w:val="184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C3403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840DAC">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0D4B17">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1.名称:电力电缆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2.规格、型号:ZC-YJV-3*35+2*25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066F6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EC5ED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10</w:t>
            </w:r>
          </w:p>
        </w:tc>
      </w:tr>
      <w:tr w14:paraId="0D987C9E">
        <w:tblPrEx>
          <w:tblCellMar>
            <w:top w:w="0" w:type="dxa"/>
            <w:left w:w="108" w:type="dxa"/>
            <w:bottom w:w="0" w:type="dxa"/>
            <w:right w:w="108" w:type="dxa"/>
          </w:tblCellMar>
        </w:tblPrEx>
        <w:trPr>
          <w:trHeight w:val="184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68546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13</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79EF8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E78D5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1.名称:电力电缆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2.规格、型号:ZC-YJV-3*70+2*35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257D4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44A5C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245</w:t>
            </w:r>
          </w:p>
        </w:tc>
      </w:tr>
      <w:tr w14:paraId="10E23D89">
        <w:tblPrEx>
          <w:tblCellMar>
            <w:top w:w="0" w:type="dxa"/>
            <w:left w:w="108" w:type="dxa"/>
            <w:bottom w:w="0" w:type="dxa"/>
            <w:right w:w="108" w:type="dxa"/>
          </w:tblCellMar>
        </w:tblPrEx>
        <w:trPr>
          <w:trHeight w:val="184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F16B2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14</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A8820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90E54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1.名称:电力电缆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2.规格、型号:ZC-YJV-3*95+2*50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B8275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C8F81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135</w:t>
            </w:r>
          </w:p>
        </w:tc>
      </w:tr>
      <w:tr w14:paraId="137E2195">
        <w:tblPrEx>
          <w:tblCellMar>
            <w:top w:w="0" w:type="dxa"/>
            <w:left w:w="108" w:type="dxa"/>
            <w:bottom w:w="0" w:type="dxa"/>
            <w:right w:w="108" w:type="dxa"/>
          </w:tblCellMar>
        </w:tblPrEx>
        <w:trPr>
          <w:trHeight w:val="184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5F669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15</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EEB28D">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4497F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1.名称:电力电缆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2.规格、型号:ZC-YJV-3*150+2*70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861F1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64939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355</w:t>
            </w:r>
          </w:p>
        </w:tc>
      </w:tr>
      <w:tr w14:paraId="083D26C1">
        <w:tblPrEx>
          <w:tblCellMar>
            <w:top w:w="0" w:type="dxa"/>
            <w:left w:w="108" w:type="dxa"/>
            <w:bottom w:w="0" w:type="dxa"/>
            <w:right w:w="108" w:type="dxa"/>
          </w:tblCellMar>
        </w:tblPrEx>
        <w:trPr>
          <w:trHeight w:val="184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DB06E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16</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A59BF9">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5D6C2F">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1.名称:电力电缆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2.规格、型号:ZC-YJV-3*185+2*95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C20E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5782A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140</w:t>
            </w:r>
          </w:p>
        </w:tc>
      </w:tr>
      <w:tr w14:paraId="62F4680C">
        <w:tblPrEx>
          <w:tblCellMar>
            <w:top w:w="0" w:type="dxa"/>
            <w:left w:w="108" w:type="dxa"/>
            <w:bottom w:w="0" w:type="dxa"/>
            <w:right w:w="108" w:type="dxa"/>
          </w:tblCellMar>
        </w:tblPrEx>
        <w:trPr>
          <w:trHeight w:val="184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046FE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17</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46278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66E60C">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1.名称:电力电缆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2.规格、型号:ZC-YJV-3*240+2*120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940DD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E39C6B">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200</w:t>
            </w:r>
          </w:p>
        </w:tc>
      </w:tr>
      <w:tr w14:paraId="20638852">
        <w:tblPrEx>
          <w:tblCellMar>
            <w:top w:w="0" w:type="dxa"/>
            <w:left w:w="108" w:type="dxa"/>
            <w:bottom w:w="0" w:type="dxa"/>
            <w:right w:w="108" w:type="dxa"/>
          </w:tblCellMar>
        </w:tblPrEx>
        <w:trPr>
          <w:trHeight w:val="133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48708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18</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11883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电力电缆头</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28C87">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1.名称:电缆终端头</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2.规格、型号:16mm2以下</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F5F0E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26DFC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14</w:t>
            </w:r>
          </w:p>
        </w:tc>
      </w:tr>
      <w:tr w14:paraId="5C87F28E">
        <w:tblPrEx>
          <w:tblCellMar>
            <w:top w:w="0" w:type="dxa"/>
            <w:left w:w="108" w:type="dxa"/>
            <w:bottom w:w="0" w:type="dxa"/>
            <w:right w:w="108" w:type="dxa"/>
          </w:tblCellMar>
        </w:tblPrEx>
        <w:trPr>
          <w:trHeight w:val="133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71800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19</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48E53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电力电缆头</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8DEE3C">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1.名称:电缆终端头</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2.规格、型号:35mm2以下</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F92E5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72ADF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8</w:t>
            </w:r>
          </w:p>
        </w:tc>
      </w:tr>
      <w:tr w14:paraId="3F51E872">
        <w:tblPrEx>
          <w:tblCellMar>
            <w:top w:w="0" w:type="dxa"/>
            <w:left w:w="108" w:type="dxa"/>
            <w:bottom w:w="0" w:type="dxa"/>
            <w:right w:w="108" w:type="dxa"/>
          </w:tblCellMar>
        </w:tblPrEx>
        <w:trPr>
          <w:trHeight w:val="133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71230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20</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599D89">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电力电缆头</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D4A0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1.名称:电缆终端头</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2.规格、型号:70mm2以下</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0D4C9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407EEB">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8</w:t>
            </w:r>
          </w:p>
        </w:tc>
      </w:tr>
      <w:tr w14:paraId="455F900B">
        <w:tblPrEx>
          <w:tblCellMar>
            <w:top w:w="0" w:type="dxa"/>
            <w:left w:w="108" w:type="dxa"/>
            <w:bottom w:w="0" w:type="dxa"/>
            <w:right w:w="108" w:type="dxa"/>
          </w:tblCellMar>
        </w:tblPrEx>
        <w:trPr>
          <w:trHeight w:val="133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4F268B">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21</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86872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电力电缆头</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FAAE4A">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1.名称:电缆终端头</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2.规格、型号:120mm2以下</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FD3AA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FF67B">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20</w:t>
            </w:r>
          </w:p>
        </w:tc>
      </w:tr>
      <w:tr w14:paraId="3C104D33">
        <w:tblPrEx>
          <w:tblCellMar>
            <w:top w:w="0" w:type="dxa"/>
            <w:left w:w="108" w:type="dxa"/>
            <w:bottom w:w="0" w:type="dxa"/>
            <w:right w:w="108" w:type="dxa"/>
          </w:tblCellMar>
        </w:tblPrEx>
        <w:trPr>
          <w:trHeight w:val="133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25DB2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22</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5522E4">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电力电缆头</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282F77">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1.名称:电缆终端头</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2.规格、型号:185mm2以下</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1A94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B7890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26</w:t>
            </w:r>
          </w:p>
        </w:tc>
      </w:tr>
      <w:tr w14:paraId="5DB9E2A9">
        <w:tblPrEx>
          <w:tblCellMar>
            <w:top w:w="0" w:type="dxa"/>
            <w:left w:w="108" w:type="dxa"/>
            <w:bottom w:w="0" w:type="dxa"/>
            <w:right w:w="108" w:type="dxa"/>
          </w:tblCellMar>
        </w:tblPrEx>
        <w:trPr>
          <w:trHeight w:val="133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6E62D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23</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D28642">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电力电缆头</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7555A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1.名称:电缆终端头</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2.规格、型号:240mm2以下</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6328E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24115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w:t>
            </w:r>
          </w:p>
        </w:tc>
      </w:tr>
      <w:tr w14:paraId="210EA502">
        <w:tblPrEx>
          <w:tblCellMar>
            <w:top w:w="0" w:type="dxa"/>
            <w:left w:w="108" w:type="dxa"/>
            <w:bottom w:w="0" w:type="dxa"/>
            <w:right w:w="108" w:type="dxa"/>
          </w:tblCellMar>
        </w:tblPrEx>
        <w:trPr>
          <w:trHeight w:val="159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39661B">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24</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0EE53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配管</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7B31F1">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1.名称:PVC电线管</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2.规格、型号:Φ25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7935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1B36B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881.5</w:t>
            </w:r>
          </w:p>
        </w:tc>
      </w:tr>
      <w:tr w14:paraId="32E5B1BD">
        <w:tblPrEx>
          <w:tblCellMar>
            <w:top w:w="0" w:type="dxa"/>
            <w:left w:w="108" w:type="dxa"/>
            <w:bottom w:w="0" w:type="dxa"/>
            <w:right w:w="108" w:type="dxa"/>
          </w:tblCellMar>
        </w:tblPrEx>
        <w:trPr>
          <w:trHeight w:val="159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DCFCB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25</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D8D5A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配管</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8905DD">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1.名称:PVC电线管</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2.规格、型号:Φ32</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B2D0D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02B4F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4060</w:t>
            </w:r>
          </w:p>
        </w:tc>
      </w:tr>
      <w:tr w14:paraId="0EAEB6BB">
        <w:tblPrEx>
          <w:tblCellMar>
            <w:top w:w="0" w:type="dxa"/>
            <w:left w:w="108" w:type="dxa"/>
            <w:bottom w:w="0" w:type="dxa"/>
            <w:right w:w="108" w:type="dxa"/>
          </w:tblCellMar>
        </w:tblPrEx>
        <w:trPr>
          <w:trHeight w:val="210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E06E1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26</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ED08D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防水桥架（含辅件）</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7892FF">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1.名称:防水桥架（含辅件）</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2.规格、型号:200×100×1.5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3.含支架等</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5.综合考虑完成该工艺的所有施工内容，详见设计图纸及相关规范等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ABFC4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FA201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102</w:t>
            </w:r>
          </w:p>
        </w:tc>
      </w:tr>
      <w:tr w14:paraId="08CA9AA1">
        <w:tblPrEx>
          <w:tblCellMar>
            <w:top w:w="0" w:type="dxa"/>
            <w:left w:w="108" w:type="dxa"/>
            <w:bottom w:w="0" w:type="dxa"/>
            <w:right w:w="108" w:type="dxa"/>
          </w:tblCellMar>
        </w:tblPrEx>
        <w:trPr>
          <w:trHeight w:val="184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A4CE4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27</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89F898">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防水桥架（含辅件）</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2BCA7">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1.名称:防水桥架（含辅150×100×1.5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3.含支架等</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5.综合考虑完成该工艺的所有施工内容，详见设计图纸及相关规范等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DC3FE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8CC76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161</w:t>
            </w:r>
          </w:p>
        </w:tc>
      </w:tr>
      <w:tr w14:paraId="1C3EEFD2">
        <w:tblPrEx>
          <w:tblCellMar>
            <w:top w:w="0" w:type="dxa"/>
            <w:left w:w="108" w:type="dxa"/>
            <w:bottom w:w="0" w:type="dxa"/>
            <w:right w:w="108" w:type="dxa"/>
          </w:tblCellMar>
        </w:tblPrEx>
        <w:trPr>
          <w:trHeight w:val="210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9ACEA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28</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F6D76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防水桥架（含辅件）</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B2522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1.名称:防水桥架（含辅件）</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2.规格、型号:100×100×1.5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3.含支架等</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5.综合考虑完成该工艺的所有施工内容，详见设计图纸及相关规范等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0568F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97E52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291.2</w:t>
            </w:r>
          </w:p>
        </w:tc>
      </w:tr>
      <w:tr w14:paraId="48C48618">
        <w:tblPrEx>
          <w:tblCellMar>
            <w:top w:w="0" w:type="dxa"/>
            <w:left w:w="108" w:type="dxa"/>
            <w:bottom w:w="0" w:type="dxa"/>
            <w:right w:w="108" w:type="dxa"/>
          </w:tblCellMar>
        </w:tblPrEx>
        <w:trPr>
          <w:trHeight w:val="159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831F4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29</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53FEC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接地母线</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0CD4F">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1.名称:接地扁钢</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2.规格、型号:热镀锌扁钢 -40×4</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B14D6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F45DE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2200.8</w:t>
            </w:r>
          </w:p>
        </w:tc>
      </w:tr>
      <w:tr w14:paraId="3A3F19D8">
        <w:tblPrEx>
          <w:tblCellMar>
            <w:top w:w="0" w:type="dxa"/>
            <w:left w:w="108" w:type="dxa"/>
            <w:bottom w:w="0" w:type="dxa"/>
            <w:right w:w="108" w:type="dxa"/>
          </w:tblCellMar>
        </w:tblPrEx>
        <w:trPr>
          <w:trHeight w:val="133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59329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30</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F7A07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接地线</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D35FCD">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1.名称:接地跨接线</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2.规格、型号:BVR-1×4</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0F174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处</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FC2C5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2835</w:t>
            </w:r>
          </w:p>
        </w:tc>
      </w:tr>
      <w:tr w14:paraId="6FC2027A">
        <w:tblPrEx>
          <w:tblCellMar>
            <w:top w:w="0" w:type="dxa"/>
            <w:left w:w="108" w:type="dxa"/>
            <w:bottom w:w="0" w:type="dxa"/>
            <w:right w:w="108" w:type="dxa"/>
          </w:tblCellMar>
        </w:tblPrEx>
        <w:trPr>
          <w:trHeight w:val="261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CF4B7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31</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8DC49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并网计量柜</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BC3BA2">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1.名称:并网计量柜</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2.规格、型号:固定式GGD 编号P10，屏柜尺寸：1000×1000×2200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3.计量装置供电局提供</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4.本体工程及附件安装和槽钢支架等</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5.综合考虑完成该工艺的所有施工内容，详见设计图纸及相关规范等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48A11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582CF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w:t>
            </w:r>
          </w:p>
        </w:tc>
      </w:tr>
      <w:tr w14:paraId="18DC3A0E">
        <w:tblPrEx>
          <w:tblCellMar>
            <w:top w:w="0" w:type="dxa"/>
            <w:left w:w="108" w:type="dxa"/>
            <w:bottom w:w="0" w:type="dxa"/>
            <w:right w:w="108" w:type="dxa"/>
          </w:tblCellMar>
        </w:tblPrEx>
        <w:trPr>
          <w:trHeight w:val="261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E6011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32</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C502D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并网计量柜</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99A2A">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1.名称:并网计量柜</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2.规格、型号:固定式GGD 编号P09，屏柜尺寸：1000×1000×2200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3.计量装置供电局提供</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4.本体工程及附件安装和槽钢支架等</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5.综合考虑完成该工艺的所有施工内容，详见设计图纸及相关规范等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6C0FD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A9883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w:t>
            </w:r>
          </w:p>
        </w:tc>
      </w:tr>
      <w:tr w14:paraId="70D4EBC1">
        <w:tblPrEx>
          <w:tblCellMar>
            <w:top w:w="0" w:type="dxa"/>
            <w:left w:w="108" w:type="dxa"/>
            <w:bottom w:w="0" w:type="dxa"/>
            <w:right w:w="108" w:type="dxa"/>
          </w:tblCellMar>
        </w:tblPrEx>
        <w:trPr>
          <w:trHeight w:val="261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ABFB8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33</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DD0A01">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并网计量柜</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D57AB7">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1.名称:并网计量柜</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2.规格、型号:固定式GGD 编号P17（四厂），屏柜尺寸：1000×1000×2200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3.计量装置供电局提供</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4.本体工程及附件安装和槽钢支架等</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5.综合考虑完成该工艺的所有施工内容，详见设计图纸及相关规范等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D19AB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294F5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w:t>
            </w:r>
          </w:p>
        </w:tc>
      </w:tr>
      <w:tr w14:paraId="017F7987">
        <w:tblPrEx>
          <w:tblCellMar>
            <w:top w:w="0" w:type="dxa"/>
            <w:left w:w="108" w:type="dxa"/>
            <w:bottom w:w="0" w:type="dxa"/>
            <w:right w:w="108" w:type="dxa"/>
          </w:tblCellMar>
        </w:tblPrEx>
        <w:trPr>
          <w:trHeight w:val="261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654BB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34</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15937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并网计量柜</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C68DEC">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1.名称:并网计量柜</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2.规格、型号:固定式GGD 编号P11，屏柜尺寸：1000×1000×2200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3.计量装置供电局提供</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4.本体工程及附件安装和槽钢支架等</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5.综合考虑完成该工艺的所有施工内容，详见设计图纸及相关规范等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3F8D3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1897A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w:t>
            </w:r>
          </w:p>
        </w:tc>
      </w:tr>
      <w:tr w14:paraId="030BCBB8">
        <w:tblPrEx>
          <w:tblCellMar>
            <w:top w:w="0" w:type="dxa"/>
            <w:left w:w="108" w:type="dxa"/>
            <w:bottom w:w="0" w:type="dxa"/>
            <w:right w:w="108" w:type="dxa"/>
          </w:tblCellMar>
        </w:tblPrEx>
        <w:trPr>
          <w:trHeight w:val="210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65F3E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35</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4BBAAA">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并网计量箱</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4502DC">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1.名称:并网计量箱</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2.规格、型号:M122，电箱尺寸：1250×1100×240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3.计量装置供电局提供</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5.综合考虑完成该工艺的所有施工内容，详见设计图纸及相关规范等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8B6DC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FFBD3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w:t>
            </w:r>
          </w:p>
        </w:tc>
      </w:tr>
      <w:tr w14:paraId="3EF33962">
        <w:tblPrEx>
          <w:tblCellMar>
            <w:top w:w="0" w:type="dxa"/>
            <w:left w:w="108" w:type="dxa"/>
            <w:bottom w:w="0" w:type="dxa"/>
            <w:right w:w="108" w:type="dxa"/>
          </w:tblCellMar>
        </w:tblPrEx>
        <w:trPr>
          <w:trHeight w:val="108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92FD4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36</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0C5A4E">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送配电装置系统</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F118F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1.名称:送配电装置系统</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5758C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系统</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6AA6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w:t>
            </w:r>
          </w:p>
        </w:tc>
      </w:tr>
      <w:tr w14:paraId="5E0D680F">
        <w:tblPrEx>
          <w:tblCellMar>
            <w:top w:w="0" w:type="dxa"/>
            <w:left w:w="108" w:type="dxa"/>
            <w:bottom w:w="0" w:type="dxa"/>
            <w:right w:w="108" w:type="dxa"/>
          </w:tblCellMar>
        </w:tblPrEx>
        <w:trPr>
          <w:trHeight w:val="133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ED3EE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37</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9285F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更换双向多功能电能表</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297BF2">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1.名称:更换双向多功能电能表</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849D0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88CC2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w:t>
            </w:r>
          </w:p>
        </w:tc>
      </w:tr>
      <w:tr w14:paraId="60260401">
        <w:tblPrEx>
          <w:tblCellMar>
            <w:top w:w="0" w:type="dxa"/>
            <w:left w:w="108" w:type="dxa"/>
            <w:bottom w:w="0" w:type="dxa"/>
            <w:right w:w="108" w:type="dxa"/>
          </w:tblCellMar>
        </w:tblPrEx>
        <w:trPr>
          <w:trHeight w:val="133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35DEA8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38</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FA35A7">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监控摄像设备</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E8F288">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1.名称:视频监控（360度24小时监控器，采用4G通讯）</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ACFAF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57C7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29</w:t>
            </w:r>
          </w:p>
        </w:tc>
      </w:tr>
      <w:tr w14:paraId="159BF2F2">
        <w:tblPrEx>
          <w:tblCellMar>
            <w:top w:w="0" w:type="dxa"/>
            <w:left w:w="108" w:type="dxa"/>
            <w:bottom w:w="0" w:type="dxa"/>
            <w:right w:w="108" w:type="dxa"/>
          </w:tblCellMar>
        </w:tblPrEx>
        <w:trPr>
          <w:trHeight w:val="184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747B7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39</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B19404">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球机大小杆</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884D18">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1.名称:球机大小杆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2.内容:含球机大小杆、基础、底座、防水箱、斜撑、防雷接地装置等</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2844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套</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99B40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29</w:t>
            </w:r>
          </w:p>
        </w:tc>
      </w:tr>
      <w:tr w14:paraId="6DD7F790">
        <w:tblPrEx>
          <w:tblCellMar>
            <w:top w:w="0" w:type="dxa"/>
            <w:left w:w="108" w:type="dxa"/>
            <w:bottom w:w="0" w:type="dxa"/>
            <w:right w:w="108" w:type="dxa"/>
          </w:tblCellMar>
        </w:tblPrEx>
        <w:trPr>
          <w:trHeight w:val="133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C3DA3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40</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96976A">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光缆</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3BA2E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1.名称:光缆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E4AF1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1DC9EB">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899.5</w:t>
            </w:r>
          </w:p>
        </w:tc>
      </w:tr>
      <w:tr w14:paraId="6C80EBB6">
        <w:tblPrEx>
          <w:tblCellMar>
            <w:top w:w="0" w:type="dxa"/>
            <w:left w:w="108" w:type="dxa"/>
            <w:bottom w:w="0" w:type="dxa"/>
            <w:right w:w="108" w:type="dxa"/>
          </w:tblCellMar>
        </w:tblPrEx>
        <w:trPr>
          <w:trHeight w:val="184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413C3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41</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AEAE12">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配线</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589798">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1.名称:配线</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2.规格型号:WDZC-RVSP-5X1.5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BC7EC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57987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899.5</w:t>
            </w:r>
          </w:p>
        </w:tc>
      </w:tr>
      <w:tr w14:paraId="3388C295">
        <w:tblPrEx>
          <w:tblCellMar>
            <w:top w:w="0" w:type="dxa"/>
            <w:left w:w="108" w:type="dxa"/>
            <w:bottom w:w="0" w:type="dxa"/>
            <w:right w:w="108" w:type="dxa"/>
          </w:tblCellMar>
        </w:tblPrEx>
        <w:trPr>
          <w:trHeight w:val="184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DFA73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42</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1DE93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配线</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893B8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1.名称:配线</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2.规格型号:防水电线BV-4mm2</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BD5B4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634CD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180</w:t>
            </w:r>
          </w:p>
        </w:tc>
      </w:tr>
      <w:tr w14:paraId="3764DF23">
        <w:tblPrEx>
          <w:tblCellMar>
            <w:top w:w="0" w:type="dxa"/>
            <w:left w:w="108" w:type="dxa"/>
            <w:bottom w:w="0" w:type="dxa"/>
            <w:right w:w="108" w:type="dxa"/>
          </w:tblCellMar>
        </w:tblPrEx>
        <w:trPr>
          <w:trHeight w:val="133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9D911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43</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D4EE3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配电箱</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C35DF1">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1.名称:检修配电箱</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2.安装方式:综合考虑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F7B59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FEA0A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w:t>
            </w:r>
          </w:p>
        </w:tc>
      </w:tr>
      <w:tr w14:paraId="623EB435">
        <w:tblPrEx>
          <w:tblCellMar>
            <w:top w:w="0" w:type="dxa"/>
            <w:left w:w="108" w:type="dxa"/>
            <w:bottom w:w="0" w:type="dxa"/>
            <w:right w:w="108" w:type="dxa"/>
          </w:tblCellMar>
        </w:tblPrEx>
        <w:trPr>
          <w:trHeight w:val="159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D1005B">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44</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7773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塑料管</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74DF0E">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1.名称:PVC排水管</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2.规格、型号:de110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3.连接形式:粘接</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9DFBEB">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D64C6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81</w:t>
            </w:r>
          </w:p>
        </w:tc>
      </w:tr>
      <w:tr w14:paraId="2F4F364D">
        <w:tblPrEx>
          <w:tblCellMar>
            <w:top w:w="0" w:type="dxa"/>
            <w:left w:w="108" w:type="dxa"/>
            <w:bottom w:w="0" w:type="dxa"/>
            <w:right w:w="108" w:type="dxa"/>
          </w:tblCellMar>
        </w:tblPrEx>
        <w:trPr>
          <w:trHeight w:val="159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94417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45</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9FBDB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塑料管</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3D95EE">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1.名称:PPR给水管</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2.规格、型号:DN25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3.连接形式:热熔</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ADA8B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2F86B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619.5</w:t>
            </w:r>
          </w:p>
        </w:tc>
      </w:tr>
      <w:tr w14:paraId="78DBA958">
        <w:tblPrEx>
          <w:tblCellMar>
            <w:top w:w="0" w:type="dxa"/>
            <w:left w:w="108" w:type="dxa"/>
            <w:bottom w:w="0" w:type="dxa"/>
            <w:right w:w="108" w:type="dxa"/>
          </w:tblCellMar>
        </w:tblPrEx>
        <w:trPr>
          <w:trHeight w:val="159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E3078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46</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A3D067">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塑料管</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7EF8E1">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1.名称:PPR给水管</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2.规格、型号:DN32</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3.连接形式:热熔</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1E942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26496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120</w:t>
            </w:r>
          </w:p>
        </w:tc>
      </w:tr>
      <w:tr w14:paraId="3BE212FE">
        <w:tblPrEx>
          <w:tblCellMar>
            <w:top w:w="0" w:type="dxa"/>
            <w:left w:w="108" w:type="dxa"/>
            <w:bottom w:w="0" w:type="dxa"/>
            <w:right w:w="108" w:type="dxa"/>
          </w:tblCellMar>
        </w:tblPrEx>
        <w:trPr>
          <w:trHeight w:val="210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FC918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47</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66B124">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水表</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A6A384">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1.名称:水表组</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2.规格、型号:DN32</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3.连接形式:热熔</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4.其他:包含1个水表，1个截止阀</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5.综合考虑完成该工艺的所有施工内容，详见设计图纸及相关规范等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DBFF7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组</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E3F2A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w:t>
            </w:r>
          </w:p>
        </w:tc>
      </w:tr>
      <w:tr w14:paraId="3D816449">
        <w:tblPrEx>
          <w:tblCellMar>
            <w:top w:w="0" w:type="dxa"/>
            <w:left w:w="108" w:type="dxa"/>
            <w:bottom w:w="0" w:type="dxa"/>
            <w:right w:w="108" w:type="dxa"/>
          </w:tblCellMar>
        </w:tblPrEx>
        <w:trPr>
          <w:trHeight w:val="133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FF77E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48</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A8E79C">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截止阀</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CA392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1.类型:截止阀</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2.规格、压力等级:DN25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FF026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0B171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64</w:t>
            </w:r>
          </w:p>
        </w:tc>
      </w:tr>
      <w:tr w14:paraId="62F271F0">
        <w:tblPrEx>
          <w:tblCellMar>
            <w:top w:w="0" w:type="dxa"/>
            <w:left w:w="108" w:type="dxa"/>
            <w:bottom w:w="0" w:type="dxa"/>
            <w:right w:w="108" w:type="dxa"/>
          </w:tblCellMar>
        </w:tblPrEx>
        <w:trPr>
          <w:trHeight w:val="133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F10E5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49</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BF5CC4">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截止阀</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56CA81">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1.类型:截止阀</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2.规格、压力等级:DN32</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A3A80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7112F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36</w:t>
            </w:r>
          </w:p>
        </w:tc>
      </w:tr>
      <w:tr w14:paraId="518F2AAC">
        <w:tblPrEx>
          <w:tblCellMar>
            <w:top w:w="0" w:type="dxa"/>
            <w:left w:w="108" w:type="dxa"/>
            <w:bottom w:w="0" w:type="dxa"/>
            <w:right w:w="108" w:type="dxa"/>
          </w:tblCellMar>
        </w:tblPrEx>
        <w:trPr>
          <w:trHeight w:val="133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09F1F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50</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9421D1">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止回阀</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E21249">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1.类型:止回阀</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2.规格、压力等级:DN32</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E45FAB">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372B9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w:t>
            </w:r>
          </w:p>
        </w:tc>
      </w:tr>
      <w:tr w14:paraId="37FFCDDB">
        <w:tblPrEx>
          <w:tblCellMar>
            <w:top w:w="0" w:type="dxa"/>
            <w:left w:w="108" w:type="dxa"/>
            <w:bottom w:w="0" w:type="dxa"/>
            <w:right w:w="108" w:type="dxa"/>
          </w:tblCellMar>
        </w:tblPrEx>
        <w:trPr>
          <w:trHeight w:val="133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64EFE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51</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53A46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止回阀</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D7655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1.类型:止回阀</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2.规格、压力等级:DN25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5713CB">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9F294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w:t>
            </w:r>
          </w:p>
        </w:tc>
      </w:tr>
      <w:tr w14:paraId="7B0F672A">
        <w:tblPrEx>
          <w:tblCellMar>
            <w:top w:w="0" w:type="dxa"/>
            <w:left w:w="108" w:type="dxa"/>
            <w:bottom w:w="0" w:type="dxa"/>
            <w:right w:w="108" w:type="dxa"/>
          </w:tblCellMar>
        </w:tblPrEx>
        <w:trPr>
          <w:trHeight w:val="108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89197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52</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A2819D">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其他泵</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530AEC">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1.类型:智能增压自吸冷水泵</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D6E3F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F53C1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w:t>
            </w:r>
          </w:p>
        </w:tc>
      </w:tr>
      <w:tr w14:paraId="1D5E27EE">
        <w:tblPrEx>
          <w:tblCellMar>
            <w:top w:w="0" w:type="dxa"/>
            <w:left w:w="108" w:type="dxa"/>
            <w:bottom w:w="0" w:type="dxa"/>
            <w:right w:w="108" w:type="dxa"/>
          </w:tblCellMar>
        </w:tblPrEx>
        <w:trPr>
          <w:trHeight w:val="1080"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F5BF8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53</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C16EE4">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压力仪表</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C7FA4A">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1.类型:压力表</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D9E47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1D8AA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w:t>
            </w:r>
          </w:p>
        </w:tc>
      </w:tr>
      <w:tr w14:paraId="42E743CC">
        <w:tblPrEx>
          <w:tblCellMar>
            <w:top w:w="0" w:type="dxa"/>
            <w:left w:w="108" w:type="dxa"/>
            <w:bottom w:w="0" w:type="dxa"/>
            <w:right w:w="108" w:type="dxa"/>
          </w:tblCellMar>
        </w:tblPrEx>
        <w:trPr>
          <w:trHeight w:val="1845" w:hRule="atLeast"/>
        </w:trPr>
        <w:tc>
          <w:tcPr>
            <w:tcW w:w="45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2E8C7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54</w:t>
            </w:r>
          </w:p>
        </w:tc>
        <w:tc>
          <w:tcPr>
            <w:tcW w:w="15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CF4AC8">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灭火器</w:t>
            </w:r>
          </w:p>
        </w:tc>
        <w:tc>
          <w:tcPr>
            <w:tcW w:w="19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74B22D">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1.名称:手提式干粉灭火器</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2.规格、型号:MFABC5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3.附件:包括不锈钢灭火器放置箱</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E421D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具</w:t>
            </w:r>
          </w:p>
        </w:tc>
        <w:tc>
          <w:tcPr>
            <w:tcW w:w="63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F234FB">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38</w:t>
            </w:r>
          </w:p>
        </w:tc>
      </w:tr>
    </w:tbl>
    <w:p w14:paraId="3D20AEF1">
      <w:pPr>
        <w:spacing w:line="360" w:lineRule="auto"/>
        <w:rPr>
          <w:rFonts w:ascii="宋体" w:hAnsi="宋体" w:eastAsia="宋体" w:cs="Times New Roman"/>
          <w:bCs/>
          <w:color w:val="000000" w:themeColor="text1"/>
          <w:szCs w:val="21"/>
          <w:highlight w:val="none"/>
          <w14:textFill>
            <w14:solidFill>
              <w14:schemeClr w14:val="tx1"/>
            </w14:solidFill>
          </w14:textFill>
        </w:rPr>
      </w:pPr>
    </w:p>
    <w:p w14:paraId="29E4387B">
      <w:pPr>
        <w:spacing w:line="360" w:lineRule="auto"/>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（二）第四水厂屋顶分布式光伏发电项目-装饰钢结构部分</w:t>
      </w:r>
    </w:p>
    <w:tbl>
      <w:tblPr>
        <w:tblStyle w:val="37"/>
        <w:tblW w:w="4999" w:type="pct"/>
        <w:tblInd w:w="0" w:type="dxa"/>
        <w:tblLayout w:type="autofit"/>
        <w:tblCellMar>
          <w:top w:w="0" w:type="dxa"/>
          <w:left w:w="108" w:type="dxa"/>
          <w:bottom w:w="0" w:type="dxa"/>
          <w:right w:w="108" w:type="dxa"/>
        </w:tblCellMar>
      </w:tblPr>
      <w:tblGrid>
        <w:gridCol w:w="944"/>
        <w:gridCol w:w="3149"/>
        <w:gridCol w:w="3952"/>
        <w:gridCol w:w="927"/>
        <w:gridCol w:w="1396"/>
      </w:tblGrid>
      <w:tr w14:paraId="14F2ADBF">
        <w:tblPrEx>
          <w:tblCellMar>
            <w:top w:w="0" w:type="dxa"/>
            <w:left w:w="108" w:type="dxa"/>
            <w:bottom w:w="0" w:type="dxa"/>
            <w:right w:w="108" w:type="dxa"/>
          </w:tblCellMar>
        </w:tblPrEx>
        <w:trPr>
          <w:trHeight w:val="360" w:hRule="atLeast"/>
        </w:trPr>
        <w:tc>
          <w:tcPr>
            <w:tcW w:w="45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35793D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序号</w:t>
            </w:r>
          </w:p>
        </w:tc>
        <w:tc>
          <w:tcPr>
            <w:tcW w:w="151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1D03C3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项目名称</w:t>
            </w:r>
          </w:p>
        </w:tc>
        <w:tc>
          <w:tcPr>
            <w:tcW w:w="190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CA29C8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项目特征描述</w:t>
            </w:r>
          </w:p>
        </w:tc>
        <w:tc>
          <w:tcPr>
            <w:tcW w:w="44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55D1BF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计量</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单位</w:t>
            </w:r>
          </w:p>
        </w:tc>
        <w:tc>
          <w:tcPr>
            <w:tcW w:w="67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00618C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工程量</w:t>
            </w:r>
          </w:p>
        </w:tc>
      </w:tr>
      <w:tr w14:paraId="6FFD5705">
        <w:tblPrEx>
          <w:tblCellMar>
            <w:top w:w="0" w:type="dxa"/>
            <w:left w:w="108" w:type="dxa"/>
            <w:bottom w:w="0" w:type="dxa"/>
            <w:right w:w="108" w:type="dxa"/>
          </w:tblCellMar>
        </w:tblPrEx>
        <w:trPr>
          <w:trHeight w:val="360" w:hRule="atLeast"/>
        </w:trPr>
        <w:tc>
          <w:tcPr>
            <w:tcW w:w="455"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D00251F">
            <w:pPr>
              <w:jc w:val="center"/>
              <w:rPr>
                <w:rFonts w:ascii="宋体" w:hAnsi="宋体" w:eastAsia="宋体" w:cs="宋体"/>
                <w:color w:val="000000" w:themeColor="text1"/>
                <w:sz w:val="20"/>
                <w:szCs w:val="20"/>
                <w:highlight w:val="none"/>
                <w14:textFill>
                  <w14:solidFill>
                    <w14:schemeClr w14:val="tx1"/>
                  </w14:solidFill>
                </w14:textFill>
              </w:rPr>
            </w:pPr>
          </w:p>
        </w:tc>
        <w:tc>
          <w:tcPr>
            <w:tcW w:w="151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99CDA99">
            <w:pPr>
              <w:jc w:val="center"/>
              <w:rPr>
                <w:rFonts w:ascii="宋体" w:hAnsi="宋体" w:eastAsia="宋体" w:cs="宋体"/>
                <w:color w:val="000000" w:themeColor="text1"/>
                <w:sz w:val="20"/>
                <w:szCs w:val="20"/>
                <w:highlight w:val="none"/>
                <w14:textFill>
                  <w14:solidFill>
                    <w14:schemeClr w14:val="tx1"/>
                  </w14:solidFill>
                </w14:textFill>
              </w:rPr>
            </w:pPr>
          </w:p>
        </w:tc>
        <w:tc>
          <w:tcPr>
            <w:tcW w:w="190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17AEC3C">
            <w:pPr>
              <w:jc w:val="center"/>
              <w:rPr>
                <w:rFonts w:ascii="宋体" w:hAnsi="宋体" w:eastAsia="宋体" w:cs="宋体"/>
                <w:color w:val="000000" w:themeColor="text1"/>
                <w:sz w:val="20"/>
                <w:szCs w:val="20"/>
                <w:highlight w:val="none"/>
                <w14:textFill>
                  <w14:solidFill>
                    <w14:schemeClr w14:val="tx1"/>
                  </w14:solidFill>
                </w14:textFill>
              </w:rPr>
            </w:pPr>
          </w:p>
        </w:tc>
        <w:tc>
          <w:tcPr>
            <w:tcW w:w="44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3C58CAC">
            <w:pPr>
              <w:jc w:val="center"/>
              <w:rPr>
                <w:rFonts w:ascii="宋体" w:hAnsi="宋体" w:eastAsia="宋体" w:cs="宋体"/>
                <w:color w:val="000000" w:themeColor="text1"/>
                <w:sz w:val="20"/>
                <w:szCs w:val="20"/>
                <w:highlight w:val="none"/>
                <w14:textFill>
                  <w14:solidFill>
                    <w14:schemeClr w14:val="tx1"/>
                  </w14:solidFill>
                </w14:textFill>
              </w:rPr>
            </w:pPr>
          </w:p>
        </w:tc>
        <w:tc>
          <w:tcPr>
            <w:tcW w:w="67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CB251EA">
            <w:pPr>
              <w:jc w:val="center"/>
              <w:rPr>
                <w:rFonts w:ascii="宋体" w:hAnsi="宋体" w:eastAsia="宋体" w:cs="宋体"/>
                <w:color w:val="000000" w:themeColor="text1"/>
                <w:sz w:val="20"/>
                <w:szCs w:val="20"/>
                <w:highlight w:val="none"/>
                <w14:textFill>
                  <w14:solidFill>
                    <w14:schemeClr w14:val="tx1"/>
                  </w14:solidFill>
                </w14:textFill>
              </w:rPr>
            </w:pPr>
          </w:p>
        </w:tc>
      </w:tr>
      <w:tr w14:paraId="4CCF1521">
        <w:tblPrEx>
          <w:tblCellMar>
            <w:top w:w="0" w:type="dxa"/>
            <w:left w:w="108" w:type="dxa"/>
            <w:bottom w:w="0" w:type="dxa"/>
            <w:right w:w="108" w:type="dxa"/>
          </w:tblCellMar>
        </w:tblPrEx>
        <w:trPr>
          <w:trHeight w:val="360"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0052ED">
            <w:pPr>
              <w:jc w:val="left"/>
              <w:rPr>
                <w:rFonts w:ascii="宋体" w:hAnsi="宋体" w:eastAsia="宋体" w:cs="宋体"/>
                <w:color w:val="000000" w:themeColor="text1"/>
                <w:sz w:val="20"/>
                <w:szCs w:val="20"/>
                <w:highlight w:val="none"/>
                <w14:textFill>
                  <w14:solidFill>
                    <w14:schemeClr w14:val="tx1"/>
                  </w14:solidFill>
                </w14:textFill>
              </w:rPr>
            </w:pPr>
          </w:p>
        </w:tc>
        <w:tc>
          <w:tcPr>
            <w:tcW w:w="34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7A2E8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 xml:space="preserve"> 金属结构工程</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57E87A">
            <w:pPr>
              <w:jc w:val="left"/>
              <w:rPr>
                <w:rFonts w:ascii="宋体" w:hAnsi="宋体" w:eastAsia="宋体" w:cs="宋体"/>
                <w:color w:val="000000" w:themeColor="text1"/>
                <w:sz w:val="20"/>
                <w:szCs w:val="20"/>
                <w:highlight w:val="none"/>
                <w14:textFill>
                  <w14:solidFill>
                    <w14:schemeClr w14:val="tx1"/>
                  </w14:solidFill>
                </w14:textFill>
              </w:rPr>
            </w:pP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7E7EB0">
            <w:pPr>
              <w:jc w:val="center"/>
              <w:rPr>
                <w:rFonts w:ascii="宋体" w:hAnsi="宋体" w:eastAsia="宋体" w:cs="宋体"/>
                <w:color w:val="000000" w:themeColor="text1"/>
                <w:sz w:val="20"/>
                <w:szCs w:val="20"/>
                <w:highlight w:val="none"/>
                <w14:textFill>
                  <w14:solidFill>
                    <w14:schemeClr w14:val="tx1"/>
                  </w14:solidFill>
                </w14:textFill>
              </w:rPr>
            </w:pPr>
          </w:p>
        </w:tc>
      </w:tr>
      <w:tr w14:paraId="469F0897">
        <w:tblPrEx>
          <w:tblCellMar>
            <w:top w:w="0" w:type="dxa"/>
            <w:left w:w="108" w:type="dxa"/>
            <w:bottom w:w="0" w:type="dxa"/>
            <w:right w:w="108" w:type="dxa"/>
          </w:tblCellMar>
        </w:tblPrEx>
        <w:trPr>
          <w:trHeight w:val="1335"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6A821B">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w:t>
            </w:r>
          </w:p>
        </w:tc>
        <w:tc>
          <w:tcPr>
            <w:tcW w:w="15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E2DF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空腹钢柱</w:t>
            </w:r>
          </w:p>
        </w:tc>
        <w:tc>
          <w:tcPr>
            <w:tcW w:w="19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05FC4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1.柱类型:100*100*3mm镀锌方通钢柱</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2.其他:按技术规范及设计图纸完成清单项目所需的一切相关工作</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ABF56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t</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F2407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14.966</w:t>
            </w:r>
          </w:p>
        </w:tc>
      </w:tr>
      <w:tr w14:paraId="731B68CC">
        <w:tblPrEx>
          <w:tblCellMar>
            <w:top w:w="0" w:type="dxa"/>
            <w:left w:w="108" w:type="dxa"/>
            <w:bottom w:w="0" w:type="dxa"/>
            <w:right w:w="108" w:type="dxa"/>
          </w:tblCellMar>
        </w:tblPrEx>
        <w:trPr>
          <w:trHeight w:val="1335"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19651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w:t>
            </w:r>
          </w:p>
        </w:tc>
        <w:tc>
          <w:tcPr>
            <w:tcW w:w="15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48143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钢梁</w:t>
            </w:r>
          </w:p>
        </w:tc>
        <w:tc>
          <w:tcPr>
            <w:tcW w:w="19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3BB122">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1.梁类型:100*100*3mm镀锌方通主梁</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2.其他:按技术规范及设计图纸完成清单项目所需的一切相关工作</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073F9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t</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1E6BD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23.697</w:t>
            </w:r>
          </w:p>
        </w:tc>
      </w:tr>
      <w:tr w14:paraId="16B17ECF">
        <w:tblPrEx>
          <w:tblCellMar>
            <w:top w:w="0" w:type="dxa"/>
            <w:left w:w="108" w:type="dxa"/>
            <w:bottom w:w="0" w:type="dxa"/>
            <w:right w:w="108" w:type="dxa"/>
          </w:tblCellMar>
        </w:tblPrEx>
        <w:trPr>
          <w:trHeight w:val="1335"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90509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w:t>
            </w:r>
          </w:p>
        </w:tc>
        <w:tc>
          <w:tcPr>
            <w:tcW w:w="15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6FD1A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钢梁</w:t>
            </w:r>
          </w:p>
        </w:tc>
        <w:tc>
          <w:tcPr>
            <w:tcW w:w="19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C99FD8">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1.梁类型:100*60*3mm镀锌方通次梁</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2.其他:按技术规范及设计图纸完成清单项目所需的一切相关工作</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060E9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t</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9962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44.165</w:t>
            </w:r>
          </w:p>
        </w:tc>
      </w:tr>
      <w:tr w14:paraId="7737474B">
        <w:tblPrEx>
          <w:tblCellMar>
            <w:top w:w="0" w:type="dxa"/>
            <w:left w:w="108" w:type="dxa"/>
            <w:bottom w:w="0" w:type="dxa"/>
            <w:right w:w="108" w:type="dxa"/>
          </w:tblCellMar>
        </w:tblPrEx>
        <w:trPr>
          <w:trHeight w:val="1335"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5A774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w:t>
            </w:r>
          </w:p>
        </w:tc>
        <w:tc>
          <w:tcPr>
            <w:tcW w:w="15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9DF152">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钢支撑、钢拉条</w:t>
            </w:r>
          </w:p>
        </w:tc>
        <w:tc>
          <w:tcPr>
            <w:tcW w:w="19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3FC887">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1.钢材品种、规格:镀锌钢支撑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2.其他:按技术规范及设计图纸完成清单项目所需的一切相关工作</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FCD8E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t</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1A0B7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2.97</w:t>
            </w:r>
          </w:p>
        </w:tc>
      </w:tr>
      <w:tr w14:paraId="1CE34F05">
        <w:tblPrEx>
          <w:tblCellMar>
            <w:top w:w="0" w:type="dxa"/>
            <w:left w:w="108" w:type="dxa"/>
            <w:bottom w:w="0" w:type="dxa"/>
            <w:right w:w="108" w:type="dxa"/>
          </w:tblCellMar>
        </w:tblPrEx>
        <w:trPr>
          <w:trHeight w:val="1080"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B711B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w:t>
            </w:r>
          </w:p>
        </w:tc>
        <w:tc>
          <w:tcPr>
            <w:tcW w:w="15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30657C">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地脚螺栓</w:t>
            </w:r>
          </w:p>
        </w:tc>
        <w:tc>
          <w:tcPr>
            <w:tcW w:w="19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B2407C">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1.螺栓种类:M16地脚螺栓</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2.其他:按技术规范及设计图纸完成清单项目所需的一切相关工作</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60810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套</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42DB4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3392.00</w:t>
            </w:r>
          </w:p>
        </w:tc>
      </w:tr>
      <w:tr w14:paraId="1A3DECEB">
        <w:tblPrEx>
          <w:tblCellMar>
            <w:top w:w="0" w:type="dxa"/>
            <w:left w:w="108" w:type="dxa"/>
            <w:bottom w:w="0" w:type="dxa"/>
            <w:right w:w="108" w:type="dxa"/>
          </w:tblCellMar>
        </w:tblPrEx>
        <w:trPr>
          <w:trHeight w:val="1845"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5B41F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6</w:t>
            </w:r>
          </w:p>
        </w:tc>
        <w:tc>
          <w:tcPr>
            <w:tcW w:w="15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FD8D32">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钢平台</w:t>
            </w:r>
          </w:p>
        </w:tc>
        <w:tc>
          <w:tcPr>
            <w:tcW w:w="19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1E9E6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1.盖板规格型号:镀锌花纹钢板</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2.规格尺寸:1134*600*2.0mm</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3.其他:按技术规范及设计图纸完成清单项目所需的一切相关工作</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B02DE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t</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DD2E1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5.213</w:t>
            </w:r>
          </w:p>
        </w:tc>
      </w:tr>
      <w:tr w14:paraId="0E9EB344">
        <w:tblPrEx>
          <w:tblCellMar>
            <w:top w:w="0" w:type="dxa"/>
            <w:left w:w="108" w:type="dxa"/>
            <w:bottom w:w="0" w:type="dxa"/>
            <w:right w:w="108" w:type="dxa"/>
          </w:tblCellMar>
        </w:tblPrEx>
        <w:trPr>
          <w:trHeight w:val="1080"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B6AE9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7</w:t>
            </w:r>
          </w:p>
        </w:tc>
        <w:tc>
          <w:tcPr>
            <w:tcW w:w="15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53B72E">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钢爬梯</w:t>
            </w:r>
          </w:p>
        </w:tc>
        <w:tc>
          <w:tcPr>
            <w:tcW w:w="19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A75CFE">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1.钢梯形式:钢爬梯</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2.其他:按技术规范及设计图纸完成清单项目所需的一切相关工作</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A74AB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t</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EA7BD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7.498</w:t>
            </w:r>
          </w:p>
        </w:tc>
      </w:tr>
      <w:tr w14:paraId="3B294399">
        <w:tblPrEx>
          <w:tblCellMar>
            <w:top w:w="0" w:type="dxa"/>
            <w:left w:w="108" w:type="dxa"/>
            <w:bottom w:w="0" w:type="dxa"/>
            <w:right w:w="108" w:type="dxa"/>
          </w:tblCellMar>
        </w:tblPrEx>
        <w:trPr>
          <w:trHeight w:val="1335"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4FF35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8</w:t>
            </w:r>
          </w:p>
        </w:tc>
        <w:tc>
          <w:tcPr>
            <w:tcW w:w="15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37674A">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纵向水槽</w:t>
            </w:r>
          </w:p>
        </w:tc>
        <w:tc>
          <w:tcPr>
            <w:tcW w:w="19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82402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1.名称:纵向水槽</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2.材质:镀铝镁锌钢板</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3.其他:按技术规范及设计图纸完成清单项目所需的一切相关工作</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E3C97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B4EE5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6300.65</w:t>
            </w:r>
          </w:p>
        </w:tc>
      </w:tr>
      <w:tr w14:paraId="7FF8070E">
        <w:tblPrEx>
          <w:tblCellMar>
            <w:top w:w="0" w:type="dxa"/>
            <w:left w:w="108" w:type="dxa"/>
            <w:bottom w:w="0" w:type="dxa"/>
            <w:right w:w="108" w:type="dxa"/>
          </w:tblCellMar>
        </w:tblPrEx>
        <w:trPr>
          <w:trHeight w:val="1335"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1307F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9</w:t>
            </w:r>
          </w:p>
        </w:tc>
        <w:tc>
          <w:tcPr>
            <w:tcW w:w="15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248DB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横向水槽</w:t>
            </w:r>
          </w:p>
        </w:tc>
        <w:tc>
          <w:tcPr>
            <w:tcW w:w="19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5D1478">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1.名称:横向水槽</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2.材质:铝合金钢板</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3.其他:按技术规范及设计图纸完成清单项目所需的一切相关工作</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E736E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31362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2402.4</w:t>
            </w:r>
          </w:p>
        </w:tc>
      </w:tr>
      <w:tr w14:paraId="429B4B7E">
        <w:tblPrEx>
          <w:tblCellMar>
            <w:top w:w="0" w:type="dxa"/>
            <w:left w:w="108" w:type="dxa"/>
            <w:bottom w:w="0" w:type="dxa"/>
            <w:right w:w="108" w:type="dxa"/>
          </w:tblCellMar>
        </w:tblPrEx>
        <w:trPr>
          <w:trHeight w:val="360"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339274">
            <w:pPr>
              <w:jc w:val="left"/>
              <w:rPr>
                <w:rFonts w:ascii="宋体" w:hAnsi="宋体" w:eastAsia="宋体" w:cs="宋体"/>
                <w:color w:val="000000" w:themeColor="text1"/>
                <w:sz w:val="20"/>
                <w:szCs w:val="20"/>
                <w:highlight w:val="none"/>
                <w14:textFill>
                  <w14:solidFill>
                    <w14:schemeClr w14:val="tx1"/>
                  </w14:solidFill>
                </w14:textFill>
              </w:rPr>
            </w:pPr>
          </w:p>
        </w:tc>
        <w:tc>
          <w:tcPr>
            <w:tcW w:w="34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865B6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 xml:space="preserve"> 混凝土及钢筋混凝土工程</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6D9ADF">
            <w:pPr>
              <w:jc w:val="left"/>
              <w:rPr>
                <w:rFonts w:ascii="宋体" w:hAnsi="宋体" w:eastAsia="宋体" w:cs="宋体"/>
                <w:color w:val="000000" w:themeColor="text1"/>
                <w:sz w:val="20"/>
                <w:szCs w:val="20"/>
                <w:highlight w:val="none"/>
                <w14:textFill>
                  <w14:solidFill>
                    <w14:schemeClr w14:val="tx1"/>
                  </w14:solidFill>
                </w14:textFill>
              </w:rPr>
            </w:pP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DB1AAD">
            <w:pPr>
              <w:jc w:val="center"/>
              <w:rPr>
                <w:rFonts w:ascii="宋体" w:hAnsi="宋体" w:eastAsia="宋体" w:cs="宋体"/>
                <w:color w:val="000000" w:themeColor="text1"/>
                <w:sz w:val="20"/>
                <w:szCs w:val="20"/>
                <w:highlight w:val="none"/>
                <w14:textFill>
                  <w14:solidFill>
                    <w14:schemeClr w14:val="tx1"/>
                  </w14:solidFill>
                </w14:textFill>
              </w:rPr>
            </w:pPr>
          </w:p>
        </w:tc>
      </w:tr>
      <w:tr w14:paraId="3C9F7E04">
        <w:tblPrEx>
          <w:tblCellMar>
            <w:top w:w="0" w:type="dxa"/>
            <w:left w:w="108" w:type="dxa"/>
            <w:bottom w:w="0" w:type="dxa"/>
            <w:right w:w="108" w:type="dxa"/>
          </w:tblCellMar>
        </w:tblPrEx>
        <w:trPr>
          <w:trHeight w:val="1335"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AC094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10</w:t>
            </w:r>
          </w:p>
        </w:tc>
        <w:tc>
          <w:tcPr>
            <w:tcW w:w="15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ED915D">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基础</w:t>
            </w:r>
          </w:p>
        </w:tc>
        <w:tc>
          <w:tcPr>
            <w:tcW w:w="19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EE4DB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1.混凝土种类:预拌</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2.混凝土强度等级:C25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3.其他:按技术规范及设计图纸完成清单项目所需的一切相关工作</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28306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m3</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D5F83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15.07</w:t>
            </w:r>
          </w:p>
        </w:tc>
      </w:tr>
      <w:tr w14:paraId="0713253B">
        <w:tblPrEx>
          <w:tblCellMar>
            <w:top w:w="0" w:type="dxa"/>
            <w:left w:w="108" w:type="dxa"/>
            <w:bottom w:w="0" w:type="dxa"/>
            <w:right w:w="108" w:type="dxa"/>
          </w:tblCellMar>
        </w:tblPrEx>
        <w:trPr>
          <w:trHeight w:val="1335"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B22FD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11</w:t>
            </w:r>
          </w:p>
        </w:tc>
        <w:tc>
          <w:tcPr>
            <w:tcW w:w="15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E2943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楼(地)面涂膜防水</w:t>
            </w:r>
          </w:p>
        </w:tc>
        <w:tc>
          <w:tcPr>
            <w:tcW w:w="19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5CC989">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1.部位:素混凝土基础</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2.沥青防水涂料两遍</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3.其他:按技术规范及设计图纸完成清单项目所需的一切相关工作</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AC788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m2</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98416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75.33</w:t>
            </w:r>
          </w:p>
        </w:tc>
      </w:tr>
      <w:tr w14:paraId="4247E01B">
        <w:tblPrEx>
          <w:tblCellMar>
            <w:top w:w="0" w:type="dxa"/>
            <w:left w:w="108" w:type="dxa"/>
            <w:bottom w:w="0" w:type="dxa"/>
            <w:right w:w="108" w:type="dxa"/>
          </w:tblCellMar>
        </w:tblPrEx>
        <w:trPr>
          <w:trHeight w:val="1590"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87FD1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w:t>
            </w:r>
          </w:p>
        </w:tc>
        <w:tc>
          <w:tcPr>
            <w:tcW w:w="15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05E93F">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楼(地)面卷材防水</w:t>
            </w:r>
          </w:p>
        </w:tc>
        <w:tc>
          <w:tcPr>
            <w:tcW w:w="19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D1FA11">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1.部位:素混凝土基础</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2.卷材品种、规格、厚度:SBS防水卷材两层</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3.其他:按技术规范及设计图纸完成清单项目所需的一切相关工作</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73327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m2</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40CB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283.14</w:t>
            </w:r>
          </w:p>
        </w:tc>
      </w:tr>
      <w:tr w14:paraId="2C25056D">
        <w:tblPrEx>
          <w:tblCellMar>
            <w:top w:w="0" w:type="dxa"/>
            <w:left w:w="108" w:type="dxa"/>
            <w:bottom w:w="0" w:type="dxa"/>
            <w:right w:w="108" w:type="dxa"/>
          </w:tblCellMar>
        </w:tblPrEx>
        <w:trPr>
          <w:trHeight w:val="360"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6D44AC">
            <w:pPr>
              <w:jc w:val="left"/>
              <w:rPr>
                <w:rFonts w:ascii="宋体" w:hAnsi="宋体" w:eastAsia="宋体" w:cs="宋体"/>
                <w:color w:val="000000" w:themeColor="text1"/>
                <w:sz w:val="20"/>
                <w:szCs w:val="20"/>
                <w:highlight w:val="none"/>
                <w14:textFill>
                  <w14:solidFill>
                    <w14:schemeClr w14:val="tx1"/>
                  </w14:solidFill>
                </w14:textFill>
              </w:rPr>
            </w:pPr>
          </w:p>
        </w:tc>
        <w:tc>
          <w:tcPr>
            <w:tcW w:w="342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F064A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 xml:space="preserve"> 屋面及防水工程</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5269A2">
            <w:pPr>
              <w:jc w:val="left"/>
              <w:rPr>
                <w:rFonts w:ascii="宋体" w:hAnsi="宋体" w:eastAsia="宋体" w:cs="宋体"/>
                <w:color w:val="000000" w:themeColor="text1"/>
                <w:sz w:val="20"/>
                <w:szCs w:val="20"/>
                <w:highlight w:val="none"/>
                <w14:textFill>
                  <w14:solidFill>
                    <w14:schemeClr w14:val="tx1"/>
                  </w14:solidFill>
                </w14:textFill>
              </w:rPr>
            </w:pP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AB3534">
            <w:pPr>
              <w:jc w:val="center"/>
              <w:rPr>
                <w:rFonts w:ascii="宋体" w:hAnsi="宋体" w:eastAsia="宋体" w:cs="宋体"/>
                <w:color w:val="000000" w:themeColor="text1"/>
                <w:sz w:val="20"/>
                <w:szCs w:val="20"/>
                <w:highlight w:val="none"/>
                <w14:textFill>
                  <w14:solidFill>
                    <w14:schemeClr w14:val="tx1"/>
                  </w14:solidFill>
                </w14:textFill>
              </w:rPr>
            </w:pPr>
          </w:p>
        </w:tc>
      </w:tr>
      <w:tr w14:paraId="467A55D3">
        <w:tblPrEx>
          <w:tblCellMar>
            <w:top w:w="0" w:type="dxa"/>
            <w:left w:w="108" w:type="dxa"/>
            <w:bottom w:w="0" w:type="dxa"/>
            <w:right w:w="108" w:type="dxa"/>
          </w:tblCellMar>
        </w:tblPrEx>
        <w:trPr>
          <w:trHeight w:val="1080"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4DF20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13</w:t>
            </w:r>
          </w:p>
        </w:tc>
        <w:tc>
          <w:tcPr>
            <w:tcW w:w="15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4BB332">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瓦屋面</w:t>
            </w:r>
          </w:p>
        </w:tc>
        <w:tc>
          <w:tcPr>
            <w:tcW w:w="19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2629CD">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1.瓦品种、规格:彩钢瓦封边</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2.其他:按技术规范及设计图纸完成清单项目所需的一切相关工作</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1E96D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m2</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8E41A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1037.05</w:t>
            </w:r>
          </w:p>
        </w:tc>
      </w:tr>
    </w:tbl>
    <w:p w14:paraId="5E3B6088">
      <w:pPr>
        <w:spacing w:line="360" w:lineRule="auto"/>
        <w:rPr>
          <w:rFonts w:ascii="宋体" w:hAnsi="宋体" w:eastAsia="宋体" w:cs="Times New Roman"/>
          <w:bCs/>
          <w:color w:val="000000" w:themeColor="text1"/>
          <w:szCs w:val="21"/>
          <w:highlight w:val="none"/>
          <w14:textFill>
            <w14:solidFill>
              <w14:schemeClr w14:val="tx1"/>
            </w14:solidFill>
          </w14:textFill>
        </w:rPr>
      </w:pPr>
    </w:p>
    <w:p w14:paraId="26F33C4A">
      <w:pPr>
        <w:spacing w:line="360" w:lineRule="auto"/>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（三）第六水厂屋顶分布式光伏发电项目-安装部分</w:t>
      </w:r>
    </w:p>
    <w:tbl>
      <w:tblPr>
        <w:tblStyle w:val="37"/>
        <w:tblW w:w="4999" w:type="pct"/>
        <w:tblInd w:w="0" w:type="dxa"/>
        <w:tblLayout w:type="autofit"/>
        <w:tblCellMar>
          <w:top w:w="0" w:type="dxa"/>
          <w:left w:w="108" w:type="dxa"/>
          <w:bottom w:w="0" w:type="dxa"/>
          <w:right w:w="108" w:type="dxa"/>
        </w:tblCellMar>
      </w:tblPr>
      <w:tblGrid>
        <w:gridCol w:w="942"/>
        <w:gridCol w:w="3081"/>
        <w:gridCol w:w="4002"/>
        <w:gridCol w:w="925"/>
        <w:gridCol w:w="1418"/>
      </w:tblGrid>
      <w:tr w14:paraId="50744F67">
        <w:tblPrEx>
          <w:tblCellMar>
            <w:top w:w="0" w:type="dxa"/>
            <w:left w:w="108" w:type="dxa"/>
            <w:bottom w:w="0" w:type="dxa"/>
            <w:right w:w="108" w:type="dxa"/>
          </w:tblCellMar>
        </w:tblPrEx>
        <w:trPr>
          <w:trHeight w:val="360" w:hRule="atLeast"/>
        </w:trPr>
        <w:tc>
          <w:tcPr>
            <w:tcW w:w="45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C5CB88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序号</w:t>
            </w:r>
          </w:p>
        </w:tc>
        <w:tc>
          <w:tcPr>
            <w:tcW w:w="148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C1FDE1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项目名称</w:t>
            </w:r>
          </w:p>
        </w:tc>
        <w:tc>
          <w:tcPr>
            <w:tcW w:w="192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D99254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项目特征描述</w:t>
            </w:r>
          </w:p>
        </w:tc>
        <w:tc>
          <w:tcPr>
            <w:tcW w:w="44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736E7F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计量</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单位</w:t>
            </w:r>
          </w:p>
        </w:tc>
        <w:tc>
          <w:tcPr>
            <w:tcW w:w="68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06C93F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工程量</w:t>
            </w:r>
          </w:p>
        </w:tc>
      </w:tr>
      <w:tr w14:paraId="259F611F">
        <w:tblPrEx>
          <w:tblCellMar>
            <w:top w:w="0" w:type="dxa"/>
            <w:left w:w="108" w:type="dxa"/>
            <w:bottom w:w="0" w:type="dxa"/>
            <w:right w:w="108" w:type="dxa"/>
          </w:tblCellMar>
        </w:tblPrEx>
        <w:trPr>
          <w:trHeight w:val="360" w:hRule="atLeast"/>
        </w:trPr>
        <w:tc>
          <w:tcPr>
            <w:tcW w:w="45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9170DDE">
            <w:pPr>
              <w:jc w:val="center"/>
              <w:rPr>
                <w:rFonts w:ascii="宋体" w:hAnsi="宋体" w:eastAsia="宋体" w:cs="宋体"/>
                <w:color w:val="000000" w:themeColor="text1"/>
                <w:sz w:val="20"/>
                <w:szCs w:val="20"/>
                <w:highlight w:val="none"/>
                <w14:textFill>
                  <w14:solidFill>
                    <w14:schemeClr w14:val="tx1"/>
                  </w14:solidFill>
                </w14:textFill>
              </w:rPr>
            </w:pPr>
          </w:p>
        </w:tc>
        <w:tc>
          <w:tcPr>
            <w:tcW w:w="148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47BC342">
            <w:pPr>
              <w:jc w:val="center"/>
              <w:rPr>
                <w:rFonts w:ascii="宋体" w:hAnsi="宋体" w:eastAsia="宋体" w:cs="宋体"/>
                <w:color w:val="000000" w:themeColor="text1"/>
                <w:sz w:val="20"/>
                <w:szCs w:val="20"/>
                <w:highlight w:val="none"/>
                <w14:textFill>
                  <w14:solidFill>
                    <w14:schemeClr w14:val="tx1"/>
                  </w14:solidFill>
                </w14:textFill>
              </w:rPr>
            </w:pPr>
          </w:p>
        </w:tc>
        <w:tc>
          <w:tcPr>
            <w:tcW w:w="192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AFE8B00">
            <w:pPr>
              <w:jc w:val="center"/>
              <w:rPr>
                <w:rFonts w:ascii="宋体" w:hAnsi="宋体" w:eastAsia="宋体" w:cs="宋体"/>
                <w:color w:val="000000" w:themeColor="text1"/>
                <w:sz w:val="20"/>
                <w:szCs w:val="20"/>
                <w:highlight w:val="none"/>
                <w14:textFill>
                  <w14:solidFill>
                    <w14:schemeClr w14:val="tx1"/>
                  </w14:solidFill>
                </w14:textFill>
              </w:rPr>
            </w:pPr>
          </w:p>
        </w:tc>
        <w:tc>
          <w:tcPr>
            <w:tcW w:w="44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27588A">
            <w:pPr>
              <w:jc w:val="center"/>
              <w:rPr>
                <w:rFonts w:ascii="宋体" w:hAnsi="宋体" w:eastAsia="宋体" w:cs="宋体"/>
                <w:color w:val="000000" w:themeColor="text1"/>
                <w:sz w:val="20"/>
                <w:szCs w:val="20"/>
                <w:highlight w:val="none"/>
                <w14:textFill>
                  <w14:solidFill>
                    <w14:schemeClr w14:val="tx1"/>
                  </w14:solidFill>
                </w14:textFill>
              </w:rPr>
            </w:pPr>
          </w:p>
        </w:tc>
        <w:tc>
          <w:tcPr>
            <w:tcW w:w="68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7C824B">
            <w:pPr>
              <w:jc w:val="center"/>
              <w:rPr>
                <w:rFonts w:ascii="宋体" w:hAnsi="宋体" w:eastAsia="宋体" w:cs="宋体"/>
                <w:color w:val="000000" w:themeColor="text1"/>
                <w:sz w:val="20"/>
                <w:szCs w:val="20"/>
                <w:highlight w:val="none"/>
                <w14:textFill>
                  <w14:solidFill>
                    <w14:schemeClr w14:val="tx1"/>
                  </w14:solidFill>
                </w14:textFill>
              </w:rPr>
            </w:pPr>
          </w:p>
        </w:tc>
      </w:tr>
      <w:tr w14:paraId="5956C4A6">
        <w:tblPrEx>
          <w:tblCellMar>
            <w:top w:w="0" w:type="dxa"/>
            <w:left w:w="108" w:type="dxa"/>
            <w:bottom w:w="0" w:type="dxa"/>
            <w:right w:w="108" w:type="dxa"/>
          </w:tblCellMar>
        </w:tblPrEx>
        <w:trPr>
          <w:trHeight w:val="184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5DAEF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0EF9C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590Wp单晶硅光伏组件</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900C8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1.名称:单晶硅光伏组件</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2.型号:590Wp,组件尺寸：2278*1134*30mm</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C447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块</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C863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4463</w:t>
            </w:r>
          </w:p>
        </w:tc>
      </w:tr>
      <w:tr w14:paraId="614D678A">
        <w:tblPrEx>
          <w:tblCellMar>
            <w:top w:w="0" w:type="dxa"/>
            <w:left w:w="108" w:type="dxa"/>
            <w:bottom w:w="0" w:type="dxa"/>
            <w:right w:w="108" w:type="dxa"/>
          </w:tblCellMar>
        </w:tblPrEx>
        <w:trPr>
          <w:trHeight w:val="210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C3031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5BAEE8">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光伏逆变器</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51AA7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1.名称:30kW逆变器</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2.规格、型号:最大输入电压：1100V 额定电网电压：400Vac</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542D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E2010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w:t>
            </w:r>
          </w:p>
        </w:tc>
      </w:tr>
      <w:tr w14:paraId="409B47D8">
        <w:tblPrEx>
          <w:tblCellMar>
            <w:top w:w="0" w:type="dxa"/>
            <w:left w:w="108" w:type="dxa"/>
            <w:bottom w:w="0" w:type="dxa"/>
            <w:right w:w="108" w:type="dxa"/>
          </w:tblCellMar>
        </w:tblPrEx>
        <w:trPr>
          <w:trHeight w:val="210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8A13B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23339D">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光伏逆变器</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7FE9AC">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1.名称:36kW逆变器</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2.规格、型号:最大输入电压：1100V 额定电网电压：400Vac</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344AF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2BE92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w:t>
            </w:r>
          </w:p>
        </w:tc>
      </w:tr>
      <w:tr w14:paraId="577AB876">
        <w:tblPrEx>
          <w:tblCellMar>
            <w:top w:w="0" w:type="dxa"/>
            <w:left w:w="108" w:type="dxa"/>
            <w:bottom w:w="0" w:type="dxa"/>
            <w:right w:w="108" w:type="dxa"/>
          </w:tblCellMar>
        </w:tblPrEx>
        <w:trPr>
          <w:trHeight w:val="210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1FED6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E4652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光伏逆变器</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08B0D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1.名称:40kW逆变器</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2.规格、型号:最大输入电压：1100V 额定电网电压：400Vac</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7488F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6237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6</w:t>
            </w:r>
          </w:p>
        </w:tc>
      </w:tr>
      <w:tr w14:paraId="5E597A20">
        <w:tblPrEx>
          <w:tblCellMar>
            <w:top w:w="0" w:type="dxa"/>
            <w:left w:w="108" w:type="dxa"/>
            <w:bottom w:w="0" w:type="dxa"/>
            <w:right w:w="108" w:type="dxa"/>
          </w:tblCellMar>
        </w:tblPrEx>
        <w:trPr>
          <w:trHeight w:val="210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035DD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349658">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光伏逆变器</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78642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1.名称:50kW逆变器</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2.规格、型号:最大输入电压：1100V 额定电网电压：400Vac</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A69F6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3F1D7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w:t>
            </w:r>
          </w:p>
        </w:tc>
      </w:tr>
      <w:tr w14:paraId="5F105A74">
        <w:tblPrEx>
          <w:tblCellMar>
            <w:top w:w="0" w:type="dxa"/>
            <w:left w:w="108" w:type="dxa"/>
            <w:bottom w:w="0" w:type="dxa"/>
            <w:right w:w="108" w:type="dxa"/>
          </w:tblCellMar>
        </w:tblPrEx>
        <w:trPr>
          <w:trHeight w:val="210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AF040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6</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3B4C2D">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光伏逆变器</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E631F1">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1.名称:75kW逆变器</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2.规格、型号:最大输入电压：1100V 额定电网电压：400Vac</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16AAF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AA8DD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w:t>
            </w:r>
          </w:p>
        </w:tc>
      </w:tr>
      <w:tr w14:paraId="7ED059D9">
        <w:tblPrEx>
          <w:tblCellMar>
            <w:top w:w="0" w:type="dxa"/>
            <w:left w:w="108" w:type="dxa"/>
            <w:bottom w:w="0" w:type="dxa"/>
            <w:right w:w="108" w:type="dxa"/>
          </w:tblCellMar>
        </w:tblPrEx>
        <w:trPr>
          <w:trHeight w:val="210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6AFCD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7</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71AE4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光伏逆变器</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369C4D">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1.名称:100kW逆变器</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2.规格、型号:最大输入电压：1100V 额定电网电压：400Vac</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1701A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A728A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10</w:t>
            </w:r>
          </w:p>
        </w:tc>
      </w:tr>
      <w:tr w14:paraId="193E65D2">
        <w:tblPrEx>
          <w:tblCellMar>
            <w:top w:w="0" w:type="dxa"/>
            <w:left w:w="108" w:type="dxa"/>
            <w:bottom w:w="0" w:type="dxa"/>
            <w:right w:w="108" w:type="dxa"/>
          </w:tblCellMar>
        </w:tblPrEx>
        <w:trPr>
          <w:trHeight w:val="210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13D45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8</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C5E6D9">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光伏逆变器</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5D32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1.名称:110kW逆变器</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2.规格、型号:最大输入电压：1100V 额定电网电压：400Vac</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F1204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6F4F3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w:t>
            </w:r>
          </w:p>
        </w:tc>
      </w:tr>
      <w:tr w14:paraId="4595A68C">
        <w:tblPrEx>
          <w:tblCellMar>
            <w:top w:w="0" w:type="dxa"/>
            <w:left w:w="108" w:type="dxa"/>
            <w:bottom w:w="0" w:type="dxa"/>
            <w:right w:w="108" w:type="dxa"/>
          </w:tblCellMar>
        </w:tblPrEx>
        <w:trPr>
          <w:trHeight w:val="133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9D4DA4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9</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C7412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汇流箱 2进1出</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1AF06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1.名称:汇流箱 2进1出</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8454B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B3A38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w:t>
            </w:r>
          </w:p>
        </w:tc>
      </w:tr>
      <w:tr w14:paraId="661A2023">
        <w:tblPrEx>
          <w:tblCellMar>
            <w:top w:w="0" w:type="dxa"/>
            <w:left w:w="108" w:type="dxa"/>
            <w:bottom w:w="0" w:type="dxa"/>
            <w:right w:w="108" w:type="dxa"/>
          </w:tblCellMar>
        </w:tblPrEx>
        <w:trPr>
          <w:trHeight w:val="133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23124B">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10</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817B0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汇流箱 3进1出</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595C5D">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1.名称:汇流箱 3进1出</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3924D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4729C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w:t>
            </w:r>
          </w:p>
        </w:tc>
      </w:tr>
      <w:tr w14:paraId="32C4EBA5">
        <w:tblPrEx>
          <w:tblCellMar>
            <w:top w:w="0" w:type="dxa"/>
            <w:left w:w="108" w:type="dxa"/>
            <w:bottom w:w="0" w:type="dxa"/>
            <w:right w:w="108" w:type="dxa"/>
          </w:tblCellMar>
        </w:tblPrEx>
        <w:trPr>
          <w:trHeight w:val="159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4FDA0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11</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6CD772">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922F7E">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1.名称:光伏电缆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2.规格、型号:PV1-F 1x4</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34D10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432A9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30682</w:t>
            </w:r>
          </w:p>
        </w:tc>
      </w:tr>
      <w:tr w14:paraId="46C6E6B1">
        <w:tblPrEx>
          <w:tblCellMar>
            <w:top w:w="0" w:type="dxa"/>
            <w:left w:w="108" w:type="dxa"/>
            <w:bottom w:w="0" w:type="dxa"/>
            <w:right w:w="108" w:type="dxa"/>
          </w:tblCellMar>
        </w:tblPrEx>
        <w:trPr>
          <w:trHeight w:val="184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90F32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CD13AF">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78E55C">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1.名称:电力电缆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2.规格、型号:ZC-YJV-3*16+2*10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03CA8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7D30D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40</w:t>
            </w:r>
          </w:p>
        </w:tc>
      </w:tr>
      <w:tr w14:paraId="22105BD4">
        <w:tblPrEx>
          <w:tblCellMar>
            <w:top w:w="0" w:type="dxa"/>
            <w:left w:w="108" w:type="dxa"/>
            <w:bottom w:w="0" w:type="dxa"/>
            <w:right w:w="108" w:type="dxa"/>
          </w:tblCellMar>
        </w:tblPrEx>
        <w:trPr>
          <w:trHeight w:val="184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8CFE9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13</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11104C">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AB1B1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1.名称:电力电缆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2.规格、型号:ZC-YJV-3*25+2*16</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3AEEE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EC4B4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30</w:t>
            </w:r>
          </w:p>
        </w:tc>
      </w:tr>
      <w:tr w14:paraId="04295AE6">
        <w:tblPrEx>
          <w:tblCellMar>
            <w:top w:w="0" w:type="dxa"/>
            <w:left w:w="108" w:type="dxa"/>
            <w:bottom w:w="0" w:type="dxa"/>
            <w:right w:w="108" w:type="dxa"/>
          </w:tblCellMar>
        </w:tblPrEx>
        <w:trPr>
          <w:trHeight w:val="184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9F8B9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14</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BBD75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40B4C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1.名称:电力电缆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2.规格、型号:ZC-YJV-3*35+2*25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648C3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63E3D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35</w:t>
            </w:r>
          </w:p>
        </w:tc>
      </w:tr>
      <w:tr w14:paraId="06730C74">
        <w:tblPrEx>
          <w:tblCellMar>
            <w:top w:w="0" w:type="dxa"/>
            <w:left w:w="108" w:type="dxa"/>
            <w:bottom w:w="0" w:type="dxa"/>
            <w:right w:w="108" w:type="dxa"/>
          </w:tblCellMar>
        </w:tblPrEx>
        <w:trPr>
          <w:trHeight w:val="184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90D33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15</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03BE84">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B0D07A">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1.名称:电力电缆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2.规格、型号:ZC-YJV-3*70+2*35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3AC25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3E84A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40</w:t>
            </w:r>
          </w:p>
        </w:tc>
      </w:tr>
      <w:tr w14:paraId="7F508F71">
        <w:tblPrEx>
          <w:tblCellMar>
            <w:top w:w="0" w:type="dxa"/>
            <w:left w:w="108" w:type="dxa"/>
            <w:bottom w:w="0" w:type="dxa"/>
            <w:right w:w="108" w:type="dxa"/>
          </w:tblCellMar>
        </w:tblPrEx>
        <w:trPr>
          <w:trHeight w:val="184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B16A4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16</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46D8BE">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F5DEA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1.名称:电力电缆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2.规格、型号:ZC-YJV-3*95+2*50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6B2FD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16308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1260</w:t>
            </w:r>
          </w:p>
        </w:tc>
      </w:tr>
      <w:tr w14:paraId="79204F76">
        <w:tblPrEx>
          <w:tblCellMar>
            <w:top w:w="0" w:type="dxa"/>
            <w:left w:w="108" w:type="dxa"/>
            <w:bottom w:w="0" w:type="dxa"/>
            <w:right w:w="108" w:type="dxa"/>
          </w:tblCellMar>
        </w:tblPrEx>
        <w:trPr>
          <w:trHeight w:val="184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9BF18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17</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8E0EF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E1707A">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1.名称:电力电缆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2.规格、型号:ZC-YJV-3*120+2*70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A4C22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B81C3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795</w:t>
            </w:r>
          </w:p>
        </w:tc>
      </w:tr>
      <w:tr w14:paraId="27A589C0">
        <w:tblPrEx>
          <w:tblCellMar>
            <w:top w:w="0" w:type="dxa"/>
            <w:left w:w="108" w:type="dxa"/>
            <w:bottom w:w="0" w:type="dxa"/>
            <w:right w:w="108" w:type="dxa"/>
          </w:tblCellMar>
        </w:tblPrEx>
        <w:trPr>
          <w:trHeight w:val="184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95531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18</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A1382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F3FCBE">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1.名称:电力电缆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2.规格、型号:ZC-YJV-3*150+2*70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33F74B">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A2ABC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190</w:t>
            </w:r>
          </w:p>
        </w:tc>
      </w:tr>
      <w:tr w14:paraId="2ED60782">
        <w:tblPrEx>
          <w:tblCellMar>
            <w:top w:w="0" w:type="dxa"/>
            <w:left w:w="108" w:type="dxa"/>
            <w:bottom w:w="0" w:type="dxa"/>
            <w:right w:w="108" w:type="dxa"/>
          </w:tblCellMar>
        </w:tblPrEx>
        <w:trPr>
          <w:trHeight w:val="184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A2600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19</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4A6E6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7AC71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1.名称:电力电缆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2.规格、型号:ZC-YJV-3*185+2*95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350E2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6DDD7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580</w:t>
            </w:r>
          </w:p>
        </w:tc>
      </w:tr>
      <w:tr w14:paraId="5C5381D2">
        <w:tblPrEx>
          <w:tblCellMar>
            <w:top w:w="0" w:type="dxa"/>
            <w:left w:w="108" w:type="dxa"/>
            <w:bottom w:w="0" w:type="dxa"/>
            <w:right w:w="108" w:type="dxa"/>
          </w:tblCellMar>
        </w:tblPrEx>
        <w:trPr>
          <w:trHeight w:val="184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EAC19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20</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10D27C">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67ADB8">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1.名称:电力电缆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2.规格、型号:ZC-YJV-3*240+2*120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80616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25AC6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387</w:t>
            </w:r>
          </w:p>
        </w:tc>
      </w:tr>
      <w:tr w14:paraId="1E9D60AF">
        <w:tblPrEx>
          <w:tblCellMar>
            <w:top w:w="0" w:type="dxa"/>
            <w:left w:w="108" w:type="dxa"/>
            <w:bottom w:w="0" w:type="dxa"/>
            <w:right w:w="108" w:type="dxa"/>
          </w:tblCellMar>
        </w:tblPrEx>
        <w:trPr>
          <w:trHeight w:val="184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A83B0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21</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EDE218">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7AF67">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1.名称:电力电缆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2.规格、型号:ZC-YJV-3*300+2*150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E0BF7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1ED35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500</w:t>
            </w:r>
          </w:p>
        </w:tc>
      </w:tr>
      <w:tr w14:paraId="1AE64792">
        <w:tblPrEx>
          <w:tblCellMar>
            <w:top w:w="0" w:type="dxa"/>
            <w:left w:w="108" w:type="dxa"/>
            <w:bottom w:w="0" w:type="dxa"/>
            <w:right w:w="108" w:type="dxa"/>
          </w:tblCellMar>
        </w:tblPrEx>
        <w:trPr>
          <w:trHeight w:val="133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92CB0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22</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83A0E4">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电力电缆头</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BFFA09">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1.名称:电缆终端头</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2.规格、型号:16mm2以下</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E7EF6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D73A5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16</w:t>
            </w:r>
          </w:p>
        </w:tc>
      </w:tr>
      <w:tr w14:paraId="70C549A9">
        <w:tblPrEx>
          <w:tblCellMar>
            <w:top w:w="0" w:type="dxa"/>
            <w:left w:w="108" w:type="dxa"/>
            <w:bottom w:w="0" w:type="dxa"/>
            <w:right w:w="108" w:type="dxa"/>
          </w:tblCellMar>
        </w:tblPrEx>
        <w:trPr>
          <w:trHeight w:val="133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545A5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23</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1AC58D">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电力电缆头</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19750F">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1.名称:电缆终端头</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2.规格、型号:35mm2以下</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C9B3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A590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16</w:t>
            </w:r>
          </w:p>
        </w:tc>
      </w:tr>
      <w:tr w14:paraId="2DDB028A">
        <w:tblPrEx>
          <w:tblCellMar>
            <w:top w:w="0" w:type="dxa"/>
            <w:left w:w="108" w:type="dxa"/>
            <w:bottom w:w="0" w:type="dxa"/>
            <w:right w:w="108" w:type="dxa"/>
          </w:tblCellMar>
        </w:tblPrEx>
        <w:trPr>
          <w:trHeight w:val="133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A7D17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24</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1C238A">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电力电缆头</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8C466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1.名称:电缆终端头</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2.规格、型号:70mm2以下</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753B5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71C68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16</w:t>
            </w:r>
          </w:p>
        </w:tc>
      </w:tr>
      <w:tr w14:paraId="5072DF32">
        <w:tblPrEx>
          <w:tblCellMar>
            <w:top w:w="0" w:type="dxa"/>
            <w:left w:w="108" w:type="dxa"/>
            <w:bottom w:w="0" w:type="dxa"/>
            <w:right w:w="108" w:type="dxa"/>
          </w:tblCellMar>
        </w:tblPrEx>
        <w:trPr>
          <w:trHeight w:val="133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FD308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25</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3AFD44">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电力电缆头</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12CDDA">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1.名称:电缆终端头</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2.规格、型号:120mm2以下</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700E3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DE551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34</w:t>
            </w:r>
          </w:p>
        </w:tc>
      </w:tr>
      <w:tr w14:paraId="6F63B156">
        <w:tblPrEx>
          <w:tblCellMar>
            <w:top w:w="0" w:type="dxa"/>
            <w:left w:w="108" w:type="dxa"/>
            <w:bottom w:w="0" w:type="dxa"/>
            <w:right w:w="108" w:type="dxa"/>
          </w:tblCellMar>
        </w:tblPrEx>
        <w:trPr>
          <w:trHeight w:val="133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E94F7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26</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9A5AF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电力电缆头</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A00A8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1.名称:电缆终端头</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2.规格、型号:185mm2以下</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BF8B6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5372B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8</w:t>
            </w:r>
          </w:p>
        </w:tc>
      </w:tr>
      <w:tr w14:paraId="384F7578">
        <w:tblPrEx>
          <w:tblCellMar>
            <w:top w:w="0" w:type="dxa"/>
            <w:left w:w="108" w:type="dxa"/>
            <w:bottom w:w="0" w:type="dxa"/>
            <w:right w:w="108" w:type="dxa"/>
          </w:tblCellMar>
        </w:tblPrEx>
        <w:trPr>
          <w:trHeight w:val="133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97238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27</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BED67">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电力电缆头</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0F7B1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1.名称:电缆终端头</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2.规格、型号:240mm2以下</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F0C4D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BC568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24</w:t>
            </w:r>
          </w:p>
        </w:tc>
      </w:tr>
      <w:tr w14:paraId="5DE6B7E5">
        <w:tblPrEx>
          <w:tblCellMar>
            <w:top w:w="0" w:type="dxa"/>
            <w:left w:w="108" w:type="dxa"/>
            <w:bottom w:w="0" w:type="dxa"/>
            <w:right w:w="108" w:type="dxa"/>
          </w:tblCellMar>
        </w:tblPrEx>
        <w:trPr>
          <w:trHeight w:val="133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5A57E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28</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EC2F69">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电力电缆头</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E3A2D8">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1.名称:电缆终端头</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2.规格、型号:300mm2以下</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AE7D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CC5BB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w:t>
            </w:r>
          </w:p>
        </w:tc>
      </w:tr>
      <w:tr w14:paraId="6E6F1EF5">
        <w:tblPrEx>
          <w:tblCellMar>
            <w:top w:w="0" w:type="dxa"/>
            <w:left w:w="108" w:type="dxa"/>
            <w:bottom w:w="0" w:type="dxa"/>
            <w:right w:w="108" w:type="dxa"/>
          </w:tblCellMar>
        </w:tblPrEx>
        <w:trPr>
          <w:trHeight w:val="159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29AC5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29</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C4C7B8">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配管</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2E901F">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1.名称:PVC电线管</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2.规格、型号:Φ25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5BCA8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75920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1238.44</w:t>
            </w:r>
          </w:p>
        </w:tc>
      </w:tr>
      <w:tr w14:paraId="39180293">
        <w:tblPrEx>
          <w:tblCellMar>
            <w:top w:w="0" w:type="dxa"/>
            <w:left w:w="108" w:type="dxa"/>
            <w:bottom w:w="0" w:type="dxa"/>
            <w:right w:w="108" w:type="dxa"/>
          </w:tblCellMar>
        </w:tblPrEx>
        <w:trPr>
          <w:trHeight w:val="159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03863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30</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4053A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配管</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D5200F">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1.名称:PVC电线管</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2.规格、型号:Φ32</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3B878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CB736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6070</w:t>
            </w:r>
          </w:p>
        </w:tc>
      </w:tr>
      <w:tr w14:paraId="62B6B234">
        <w:tblPrEx>
          <w:tblCellMar>
            <w:top w:w="0" w:type="dxa"/>
            <w:left w:w="108" w:type="dxa"/>
            <w:bottom w:w="0" w:type="dxa"/>
            <w:right w:w="108" w:type="dxa"/>
          </w:tblCellMar>
        </w:tblPrEx>
        <w:trPr>
          <w:trHeight w:val="210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27A36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31</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B4BD1A">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防水桥架（含辅件）</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C74CA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1.名称:防水桥架（含辅件）</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2.规格、型号:200×100×1.5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3.含支架等</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5.综合考虑完成该工艺的所有施工内容，详见设计图纸及相关规范等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D3D9E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5BB18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225</w:t>
            </w:r>
          </w:p>
        </w:tc>
      </w:tr>
      <w:tr w14:paraId="5878DCE5">
        <w:tblPrEx>
          <w:tblCellMar>
            <w:top w:w="0" w:type="dxa"/>
            <w:left w:w="108" w:type="dxa"/>
            <w:bottom w:w="0" w:type="dxa"/>
            <w:right w:w="108" w:type="dxa"/>
          </w:tblCellMar>
        </w:tblPrEx>
        <w:trPr>
          <w:trHeight w:val="184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DF622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32</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C4AC1C">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防水桥架（含辅件）</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0B8E61">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1.名称:防水桥架（含辅150×100×1.5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3.含支架等</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5.综合考虑完成该工艺的所有施工内容，详见设计图纸及相关规范等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6201C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EAB6F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18.03</w:t>
            </w:r>
          </w:p>
        </w:tc>
      </w:tr>
      <w:tr w14:paraId="7ADD6A8C">
        <w:tblPrEx>
          <w:tblCellMar>
            <w:top w:w="0" w:type="dxa"/>
            <w:left w:w="108" w:type="dxa"/>
            <w:bottom w:w="0" w:type="dxa"/>
            <w:right w:w="108" w:type="dxa"/>
          </w:tblCellMar>
        </w:tblPrEx>
        <w:trPr>
          <w:trHeight w:val="210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BF108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33</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E94AD4">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防水桥架（含辅件）</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E88DA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1.名称:防水桥架（含辅件）</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2.规格、型号:100×100×1.5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3.含支架等</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5.综合考虑完成该工艺的所有施工内容，详见设计图纸及相关规范等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8FAD1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F1232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523.14</w:t>
            </w:r>
          </w:p>
        </w:tc>
      </w:tr>
      <w:tr w14:paraId="54E38BA4">
        <w:tblPrEx>
          <w:tblCellMar>
            <w:top w:w="0" w:type="dxa"/>
            <w:left w:w="108" w:type="dxa"/>
            <w:bottom w:w="0" w:type="dxa"/>
            <w:right w:w="108" w:type="dxa"/>
          </w:tblCellMar>
        </w:tblPrEx>
        <w:trPr>
          <w:trHeight w:val="184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4D7A9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34</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64C4E8">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防水桥架（含辅件）</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E2A7C9">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1.名称:防水桥架（含辅件）</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2.规格、型号:100×50×1.5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3.含支架等</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5.综合考虑完成该工艺的所有施工内容，详见设计图纸及相关规范等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4BAA0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C5B5F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7</w:t>
            </w:r>
          </w:p>
        </w:tc>
      </w:tr>
      <w:tr w14:paraId="4D82501D">
        <w:tblPrEx>
          <w:tblCellMar>
            <w:top w:w="0" w:type="dxa"/>
            <w:left w:w="108" w:type="dxa"/>
            <w:bottom w:w="0" w:type="dxa"/>
            <w:right w:w="108" w:type="dxa"/>
          </w:tblCellMar>
        </w:tblPrEx>
        <w:trPr>
          <w:trHeight w:val="159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70FF9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35</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0A756F">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接地母线</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480FE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1.名称:接地扁钢</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2.规格、型号:热镀锌扁钢 -40×4</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96A59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5BBD8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2825.6</w:t>
            </w:r>
          </w:p>
        </w:tc>
      </w:tr>
      <w:tr w14:paraId="5C89911C">
        <w:tblPrEx>
          <w:tblCellMar>
            <w:top w:w="0" w:type="dxa"/>
            <w:left w:w="108" w:type="dxa"/>
            <w:bottom w:w="0" w:type="dxa"/>
            <w:right w:w="108" w:type="dxa"/>
          </w:tblCellMar>
        </w:tblPrEx>
        <w:trPr>
          <w:trHeight w:val="133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48363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36</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55838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接地线</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A287F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1.名称:接地跨接线</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2.规格、型号:BVR-1×4</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46C6A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处</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3ED54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4463</w:t>
            </w:r>
          </w:p>
        </w:tc>
      </w:tr>
      <w:tr w14:paraId="675255FB">
        <w:tblPrEx>
          <w:tblCellMar>
            <w:top w:w="0" w:type="dxa"/>
            <w:left w:w="108" w:type="dxa"/>
            <w:bottom w:w="0" w:type="dxa"/>
            <w:right w:w="108" w:type="dxa"/>
          </w:tblCellMar>
        </w:tblPrEx>
        <w:trPr>
          <w:trHeight w:val="210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90CA7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37</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B43BA1">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并网计量箱</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6067C1">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1.名称:并网计量箱</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2.规格、型号:P08，电箱尺寸：1250×1100×240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3.计量装置供电局提供</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4.本体工程及附件安装</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5.综合考虑完成该工艺的所有施工内容，详见设计图纸及相关规范等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792FE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2F942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w:t>
            </w:r>
          </w:p>
        </w:tc>
      </w:tr>
      <w:tr w14:paraId="564FDCDB">
        <w:tblPrEx>
          <w:tblCellMar>
            <w:top w:w="0" w:type="dxa"/>
            <w:left w:w="108" w:type="dxa"/>
            <w:bottom w:w="0" w:type="dxa"/>
            <w:right w:w="108" w:type="dxa"/>
          </w:tblCellMar>
        </w:tblPrEx>
        <w:trPr>
          <w:trHeight w:val="261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B96D8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38</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ABAABC">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并网计量柜</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C1CE34">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1.名称:并网计量柜</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2.规格、型号:固定式GGD 编号P15，屏柜尺寸：1000×1000×2200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3.计量装置供电局提供</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4.本体工程及附件安装和槽钢支架等</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5.综合考虑完成该工艺的所有施工内容，详见设计图纸及相关规范等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108DE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21087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w:t>
            </w:r>
          </w:p>
        </w:tc>
      </w:tr>
      <w:tr w14:paraId="3D080895">
        <w:tblPrEx>
          <w:tblCellMar>
            <w:top w:w="0" w:type="dxa"/>
            <w:left w:w="108" w:type="dxa"/>
            <w:bottom w:w="0" w:type="dxa"/>
            <w:right w:w="108" w:type="dxa"/>
          </w:tblCellMar>
        </w:tblPrEx>
        <w:trPr>
          <w:trHeight w:val="261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D8ACE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39</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6DF09D">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并网计量柜</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B47094">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1.名称:并网计量柜</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2.规格、型号:固定式GGD 编号P13，屏柜尺寸：1000×1000×2200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3.计量装置供电局提供</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4.本体工程及附件安装和槽钢支架等</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5.综合考虑完成该工艺的所有施工内容，详见设计图纸及相关规范等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4FCAC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2365D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w:t>
            </w:r>
          </w:p>
        </w:tc>
      </w:tr>
      <w:tr w14:paraId="449F99A6">
        <w:tblPrEx>
          <w:tblCellMar>
            <w:top w:w="0" w:type="dxa"/>
            <w:left w:w="108" w:type="dxa"/>
            <w:bottom w:w="0" w:type="dxa"/>
            <w:right w:w="108" w:type="dxa"/>
          </w:tblCellMar>
        </w:tblPrEx>
        <w:trPr>
          <w:trHeight w:val="261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3E1D8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40</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FFEFB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并网计量柜</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9BABA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1.名称:并网计量柜</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2.规格、型号:固定式GGD 编号P17（六厂），屏柜尺寸：1000×1000×2200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3.计量装置供电局提供</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4.本体工程及附件安装和槽钢支架等</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5.综合考虑完成该工艺的所有施工内容，详见设计图纸及相关规范等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13EDC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967F5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w:t>
            </w:r>
          </w:p>
        </w:tc>
      </w:tr>
      <w:tr w14:paraId="7C38691A">
        <w:tblPrEx>
          <w:tblCellMar>
            <w:top w:w="0" w:type="dxa"/>
            <w:left w:w="108" w:type="dxa"/>
            <w:bottom w:w="0" w:type="dxa"/>
            <w:right w:w="108" w:type="dxa"/>
          </w:tblCellMar>
        </w:tblPrEx>
        <w:trPr>
          <w:trHeight w:val="261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D650D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41</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E92D2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并网计量柜</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758569">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1.名称:并网计量柜</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2.规格、型号:固定式GGD 编号P18，屏柜尺寸：1000×1000×2200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3.计量装置供电局提供</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4.本体工程及附件安装和槽钢支架等</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5.综合考虑完成该工艺的所有施工内容，详见设计图纸及相关规范等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8BE3F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B6286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w:t>
            </w:r>
          </w:p>
        </w:tc>
      </w:tr>
      <w:tr w14:paraId="589094C7">
        <w:tblPrEx>
          <w:tblCellMar>
            <w:top w:w="0" w:type="dxa"/>
            <w:left w:w="108" w:type="dxa"/>
            <w:bottom w:w="0" w:type="dxa"/>
            <w:right w:w="108" w:type="dxa"/>
          </w:tblCellMar>
        </w:tblPrEx>
        <w:trPr>
          <w:trHeight w:val="261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25166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42</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D99FA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并网计量柜</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CF680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1.名称:并网计量柜</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2.规格、型号:固定式GGD 编号P08，屏柜尺寸：1000×1000×2200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3.计量装置供电局提供</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4.本体工程及附件安装和槽钢支架等</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5.综合考虑完成该工艺的所有施工内容，详见设计图纸及相关规范等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D750D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449EE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w:t>
            </w:r>
          </w:p>
        </w:tc>
      </w:tr>
      <w:tr w14:paraId="551E28BD">
        <w:tblPrEx>
          <w:tblCellMar>
            <w:top w:w="0" w:type="dxa"/>
            <w:left w:w="108" w:type="dxa"/>
            <w:bottom w:w="0" w:type="dxa"/>
            <w:right w:w="108" w:type="dxa"/>
          </w:tblCellMar>
        </w:tblPrEx>
        <w:trPr>
          <w:trHeight w:val="133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A86B3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43</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24E29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更换双向多功能电能表</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1464C8">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1.名称:更换双向多功能电能表</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6B4EE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BE0DA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6</w:t>
            </w:r>
          </w:p>
        </w:tc>
      </w:tr>
      <w:tr w14:paraId="3B4E7BB3">
        <w:tblPrEx>
          <w:tblCellMar>
            <w:top w:w="0" w:type="dxa"/>
            <w:left w:w="108" w:type="dxa"/>
            <w:bottom w:w="0" w:type="dxa"/>
            <w:right w:w="108" w:type="dxa"/>
          </w:tblCellMar>
        </w:tblPrEx>
        <w:trPr>
          <w:trHeight w:val="108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0DC48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44</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98880">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送配电装置系统</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3649F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1.名称:送配电装置系统</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C0D8F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系统</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51704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6</w:t>
            </w:r>
          </w:p>
        </w:tc>
      </w:tr>
      <w:tr w14:paraId="694E6C34">
        <w:tblPrEx>
          <w:tblCellMar>
            <w:top w:w="0" w:type="dxa"/>
            <w:left w:w="108" w:type="dxa"/>
            <w:bottom w:w="0" w:type="dxa"/>
            <w:right w:w="108" w:type="dxa"/>
          </w:tblCellMar>
        </w:tblPrEx>
        <w:trPr>
          <w:trHeight w:val="133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EC60E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45</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4DBCA8">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监控摄像设备</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4B4ADA">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1.名称:视频监控（360度24小时监控器，采用4G通讯）</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83748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19FEB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35</w:t>
            </w:r>
          </w:p>
        </w:tc>
      </w:tr>
      <w:tr w14:paraId="32D27AF6">
        <w:tblPrEx>
          <w:tblCellMar>
            <w:top w:w="0" w:type="dxa"/>
            <w:left w:w="108" w:type="dxa"/>
            <w:bottom w:w="0" w:type="dxa"/>
            <w:right w:w="108" w:type="dxa"/>
          </w:tblCellMar>
        </w:tblPrEx>
        <w:trPr>
          <w:trHeight w:val="184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99F51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46</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5D146E">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球机大小杆</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590F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1.名称:球机大小杆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2.内容:含球机大小杆、基础、底座、防水箱、斜撑、防雷接地装置等</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F6F9E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套</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DE14D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35</w:t>
            </w:r>
          </w:p>
        </w:tc>
      </w:tr>
      <w:tr w14:paraId="08F6D92F">
        <w:tblPrEx>
          <w:tblCellMar>
            <w:top w:w="0" w:type="dxa"/>
            <w:left w:w="108" w:type="dxa"/>
            <w:bottom w:w="0" w:type="dxa"/>
            <w:right w:w="108" w:type="dxa"/>
          </w:tblCellMar>
        </w:tblPrEx>
        <w:trPr>
          <w:trHeight w:val="133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C3F6B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47</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DC07DF">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光缆</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26BD7F">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1.名称:光缆</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406F8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0459D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1256.44</w:t>
            </w:r>
          </w:p>
        </w:tc>
      </w:tr>
      <w:tr w14:paraId="259D52C5">
        <w:tblPrEx>
          <w:tblCellMar>
            <w:top w:w="0" w:type="dxa"/>
            <w:left w:w="108" w:type="dxa"/>
            <w:bottom w:w="0" w:type="dxa"/>
            <w:right w:w="108" w:type="dxa"/>
          </w:tblCellMar>
        </w:tblPrEx>
        <w:trPr>
          <w:trHeight w:val="184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F6985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48</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3F519F">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配线</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2AF897">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1.名称:配线</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2.规格型号:WDZC-RVSP-5X1.5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8F5DD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0F939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1256.44</w:t>
            </w:r>
          </w:p>
        </w:tc>
      </w:tr>
      <w:tr w14:paraId="7BC7CA8C">
        <w:tblPrEx>
          <w:tblCellMar>
            <w:top w:w="0" w:type="dxa"/>
            <w:left w:w="108" w:type="dxa"/>
            <w:bottom w:w="0" w:type="dxa"/>
            <w:right w:w="108" w:type="dxa"/>
          </w:tblCellMar>
        </w:tblPrEx>
        <w:trPr>
          <w:trHeight w:val="184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7D21F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49</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8DB942">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配线</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08E45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1.名称:配线</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2.规格型号:防水电线BV-4mm2</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3.敷设方式:综合考虑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2D468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F8AB1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180</w:t>
            </w:r>
          </w:p>
        </w:tc>
      </w:tr>
      <w:tr w14:paraId="61F083B5">
        <w:tblPrEx>
          <w:tblCellMar>
            <w:top w:w="0" w:type="dxa"/>
            <w:left w:w="108" w:type="dxa"/>
            <w:bottom w:w="0" w:type="dxa"/>
            <w:right w:w="108" w:type="dxa"/>
          </w:tblCellMar>
        </w:tblPrEx>
        <w:trPr>
          <w:trHeight w:val="133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B2441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50</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BCBB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配电箱</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F2709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1.名称:检修配电箱</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2.安装方式:综合考虑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D60D2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C4334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w:t>
            </w:r>
          </w:p>
        </w:tc>
      </w:tr>
      <w:tr w14:paraId="29AA2207">
        <w:tblPrEx>
          <w:tblCellMar>
            <w:top w:w="0" w:type="dxa"/>
            <w:left w:w="108" w:type="dxa"/>
            <w:bottom w:w="0" w:type="dxa"/>
            <w:right w:w="108" w:type="dxa"/>
          </w:tblCellMar>
        </w:tblPrEx>
        <w:trPr>
          <w:trHeight w:val="159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F9B12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51</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0F50A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塑料管</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953AA9">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1.名称:PVC排水管</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2.规格、型号:de110</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3.连接形式:粘接</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F816C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8E784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118.5</w:t>
            </w:r>
          </w:p>
        </w:tc>
      </w:tr>
      <w:tr w14:paraId="23B8BE89">
        <w:tblPrEx>
          <w:tblCellMar>
            <w:top w:w="0" w:type="dxa"/>
            <w:left w:w="108" w:type="dxa"/>
            <w:bottom w:w="0" w:type="dxa"/>
            <w:right w:w="108" w:type="dxa"/>
          </w:tblCellMar>
        </w:tblPrEx>
        <w:trPr>
          <w:trHeight w:val="159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E82A4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52</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AAC76D">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塑料管</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B16E2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1.名称:PPR给水管</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2.规格、型号:DN25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3.连接形式:热熔</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DB819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0688B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896.6</w:t>
            </w:r>
          </w:p>
        </w:tc>
      </w:tr>
      <w:tr w14:paraId="1FB1ADAE">
        <w:tblPrEx>
          <w:tblCellMar>
            <w:top w:w="0" w:type="dxa"/>
            <w:left w:w="108" w:type="dxa"/>
            <w:bottom w:w="0" w:type="dxa"/>
            <w:right w:w="108" w:type="dxa"/>
          </w:tblCellMar>
        </w:tblPrEx>
        <w:trPr>
          <w:trHeight w:val="159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725BA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53</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31B20A">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塑料管</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87E3DA">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1.名称:PPR给水管</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2.规格、型号:DN32</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3.连接形式:热熔</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3D0CB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1D4A2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160</w:t>
            </w:r>
          </w:p>
        </w:tc>
      </w:tr>
      <w:tr w14:paraId="6DB5D1A8">
        <w:tblPrEx>
          <w:tblCellMar>
            <w:top w:w="0" w:type="dxa"/>
            <w:left w:w="108" w:type="dxa"/>
            <w:bottom w:w="0" w:type="dxa"/>
            <w:right w:w="108" w:type="dxa"/>
          </w:tblCellMar>
        </w:tblPrEx>
        <w:trPr>
          <w:trHeight w:val="210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60AFF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54</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4AB88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水表</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96A068">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1.名称:水表组</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2.规格、型号:DN32</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3.连接形式:热熔</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4.其他:包含1个水表，1个截止阀</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5.综合考虑完成该工艺的所有施工内容，详见设计图纸及相关规范等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94B5E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组</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13768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w:t>
            </w:r>
          </w:p>
        </w:tc>
      </w:tr>
      <w:tr w14:paraId="796854CF">
        <w:tblPrEx>
          <w:tblCellMar>
            <w:top w:w="0" w:type="dxa"/>
            <w:left w:w="108" w:type="dxa"/>
            <w:bottom w:w="0" w:type="dxa"/>
            <w:right w:w="108" w:type="dxa"/>
          </w:tblCellMar>
        </w:tblPrEx>
        <w:trPr>
          <w:trHeight w:val="133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390CF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55</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B37882">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截止阀</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22FB2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1.类型:截止阀</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2.规格、压力等级:DN25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09DE9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ADDF9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63</w:t>
            </w:r>
          </w:p>
        </w:tc>
      </w:tr>
      <w:tr w14:paraId="1EE3A151">
        <w:tblPrEx>
          <w:tblCellMar>
            <w:top w:w="0" w:type="dxa"/>
            <w:left w:w="108" w:type="dxa"/>
            <w:bottom w:w="0" w:type="dxa"/>
            <w:right w:w="108" w:type="dxa"/>
          </w:tblCellMar>
        </w:tblPrEx>
        <w:trPr>
          <w:trHeight w:val="133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8A940B">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56</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5E33CE">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截止阀</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F6161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1.类型:截止阀</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2.规格、压力等级:DN32</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BA494B">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9AB37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36</w:t>
            </w:r>
          </w:p>
        </w:tc>
      </w:tr>
      <w:tr w14:paraId="75E48537">
        <w:tblPrEx>
          <w:tblCellMar>
            <w:top w:w="0" w:type="dxa"/>
            <w:left w:w="108" w:type="dxa"/>
            <w:bottom w:w="0" w:type="dxa"/>
            <w:right w:w="108" w:type="dxa"/>
          </w:tblCellMar>
        </w:tblPrEx>
        <w:trPr>
          <w:trHeight w:val="133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B0660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57</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47374C">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止回阀</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2111C9">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1.类型:止回阀</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2.规格、压力等级:DN32</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B4282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76569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w:t>
            </w:r>
          </w:p>
        </w:tc>
      </w:tr>
      <w:tr w14:paraId="0BA4DEE4">
        <w:tblPrEx>
          <w:tblCellMar>
            <w:top w:w="0" w:type="dxa"/>
            <w:left w:w="108" w:type="dxa"/>
            <w:bottom w:w="0" w:type="dxa"/>
            <w:right w:w="108" w:type="dxa"/>
          </w:tblCellMar>
        </w:tblPrEx>
        <w:trPr>
          <w:trHeight w:val="133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D78F2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58</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9CCFD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止回阀</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DD8BA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1.类型:止回阀</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2.规格、压力等级:DN25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43296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个</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986D4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w:t>
            </w:r>
          </w:p>
        </w:tc>
      </w:tr>
      <w:tr w14:paraId="4DDE17F2">
        <w:tblPrEx>
          <w:tblCellMar>
            <w:top w:w="0" w:type="dxa"/>
            <w:left w:w="108" w:type="dxa"/>
            <w:bottom w:w="0" w:type="dxa"/>
            <w:right w:w="108" w:type="dxa"/>
          </w:tblCellMar>
        </w:tblPrEx>
        <w:trPr>
          <w:trHeight w:val="108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0776D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59</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660D49">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其他泵</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188FCC">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1.类型:智能增压自吸冷水泵</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515CB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5E25D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w:t>
            </w:r>
          </w:p>
        </w:tc>
      </w:tr>
      <w:tr w14:paraId="60EC9550">
        <w:tblPrEx>
          <w:tblCellMar>
            <w:top w:w="0" w:type="dxa"/>
            <w:left w:w="108" w:type="dxa"/>
            <w:bottom w:w="0" w:type="dxa"/>
            <w:right w:w="108" w:type="dxa"/>
          </w:tblCellMar>
        </w:tblPrEx>
        <w:trPr>
          <w:trHeight w:val="1080"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49884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60</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FD5B0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压力仪表</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9978C8">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1.类型:压力表</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BB395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台</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93B0A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w:t>
            </w:r>
          </w:p>
        </w:tc>
      </w:tr>
      <w:tr w14:paraId="6E4A0D91">
        <w:tblPrEx>
          <w:tblCellMar>
            <w:top w:w="0" w:type="dxa"/>
            <w:left w:w="108" w:type="dxa"/>
            <w:bottom w:w="0" w:type="dxa"/>
            <w:right w:w="108" w:type="dxa"/>
          </w:tblCellMar>
        </w:tblPrEx>
        <w:trPr>
          <w:trHeight w:val="1845" w:hRule="atLeast"/>
        </w:trPr>
        <w:tc>
          <w:tcPr>
            <w:tcW w:w="4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29032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61</w:t>
            </w:r>
          </w:p>
        </w:tc>
        <w:tc>
          <w:tcPr>
            <w:tcW w:w="14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6A5732">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灭火器</w:t>
            </w:r>
          </w:p>
        </w:tc>
        <w:tc>
          <w:tcPr>
            <w:tcW w:w="19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9FC7D7">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1.名称:手提式干粉灭火器</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2.规格、型号:MFABC5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3.附件:包括不锈钢灭火器放置箱</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4.综合考虑完成该工艺的所有施工内容，详见设计图纸及相关规范等</w:t>
            </w:r>
          </w:p>
        </w:tc>
        <w:tc>
          <w:tcPr>
            <w:tcW w:w="44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C2898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具</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22D4C9">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60</w:t>
            </w:r>
          </w:p>
        </w:tc>
      </w:tr>
    </w:tbl>
    <w:p w14:paraId="29F758C1">
      <w:pPr>
        <w:spacing w:line="360" w:lineRule="auto"/>
        <w:rPr>
          <w:rFonts w:ascii="宋体" w:hAnsi="宋体" w:eastAsia="宋体" w:cs="Times New Roman"/>
          <w:bCs/>
          <w:color w:val="000000" w:themeColor="text1"/>
          <w:szCs w:val="21"/>
          <w:highlight w:val="none"/>
          <w14:textFill>
            <w14:solidFill>
              <w14:schemeClr w14:val="tx1"/>
            </w14:solidFill>
          </w14:textFill>
        </w:rPr>
      </w:pPr>
    </w:p>
    <w:p w14:paraId="1114BF4E">
      <w:pPr>
        <w:spacing w:line="360" w:lineRule="auto"/>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（四）第六水厂屋顶分布式光伏发电项目-装饰钢结构部分</w:t>
      </w:r>
    </w:p>
    <w:tbl>
      <w:tblPr>
        <w:tblStyle w:val="37"/>
        <w:tblW w:w="4998" w:type="pct"/>
        <w:tblInd w:w="0" w:type="dxa"/>
        <w:tblLayout w:type="autofit"/>
        <w:tblCellMar>
          <w:top w:w="0" w:type="dxa"/>
          <w:left w:w="108" w:type="dxa"/>
          <w:bottom w:w="0" w:type="dxa"/>
          <w:right w:w="108" w:type="dxa"/>
        </w:tblCellMar>
      </w:tblPr>
      <w:tblGrid>
        <w:gridCol w:w="933"/>
        <w:gridCol w:w="3059"/>
        <w:gridCol w:w="3912"/>
        <w:gridCol w:w="913"/>
        <w:gridCol w:w="1549"/>
      </w:tblGrid>
      <w:tr w14:paraId="786957DA">
        <w:tblPrEx>
          <w:tblCellMar>
            <w:top w:w="0" w:type="dxa"/>
            <w:left w:w="108" w:type="dxa"/>
            <w:bottom w:w="0" w:type="dxa"/>
            <w:right w:w="108" w:type="dxa"/>
          </w:tblCellMar>
        </w:tblPrEx>
        <w:trPr>
          <w:trHeight w:val="360" w:hRule="atLeast"/>
        </w:trPr>
        <w:tc>
          <w:tcPr>
            <w:tcW w:w="45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3FBC8F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序号</w:t>
            </w:r>
          </w:p>
        </w:tc>
        <w:tc>
          <w:tcPr>
            <w:tcW w:w="147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D5A477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项目名称</w:t>
            </w:r>
          </w:p>
        </w:tc>
        <w:tc>
          <w:tcPr>
            <w:tcW w:w="188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B75350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项目特征描述</w:t>
            </w:r>
          </w:p>
        </w:tc>
        <w:tc>
          <w:tcPr>
            <w:tcW w:w="44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A7FB38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计量</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单位</w:t>
            </w:r>
          </w:p>
        </w:tc>
        <w:tc>
          <w:tcPr>
            <w:tcW w:w="74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017B43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工程量</w:t>
            </w:r>
          </w:p>
        </w:tc>
      </w:tr>
      <w:tr w14:paraId="06C0DE73">
        <w:tblPrEx>
          <w:tblCellMar>
            <w:top w:w="0" w:type="dxa"/>
            <w:left w:w="108" w:type="dxa"/>
            <w:bottom w:w="0" w:type="dxa"/>
            <w:right w:w="108" w:type="dxa"/>
          </w:tblCellMar>
        </w:tblPrEx>
        <w:trPr>
          <w:trHeight w:val="360" w:hRule="atLeast"/>
        </w:trPr>
        <w:tc>
          <w:tcPr>
            <w:tcW w:w="45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C5C3709">
            <w:pPr>
              <w:jc w:val="center"/>
              <w:rPr>
                <w:rFonts w:ascii="宋体" w:hAnsi="宋体" w:eastAsia="宋体" w:cs="宋体"/>
                <w:color w:val="000000" w:themeColor="text1"/>
                <w:sz w:val="20"/>
                <w:szCs w:val="20"/>
                <w:highlight w:val="none"/>
                <w14:textFill>
                  <w14:solidFill>
                    <w14:schemeClr w14:val="tx1"/>
                  </w14:solidFill>
                </w14:textFill>
              </w:rPr>
            </w:pPr>
          </w:p>
        </w:tc>
        <w:tc>
          <w:tcPr>
            <w:tcW w:w="147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B84363">
            <w:pPr>
              <w:jc w:val="center"/>
              <w:rPr>
                <w:rFonts w:ascii="宋体" w:hAnsi="宋体" w:eastAsia="宋体" w:cs="宋体"/>
                <w:color w:val="000000" w:themeColor="text1"/>
                <w:sz w:val="20"/>
                <w:szCs w:val="20"/>
                <w:highlight w:val="none"/>
                <w14:textFill>
                  <w14:solidFill>
                    <w14:schemeClr w14:val="tx1"/>
                  </w14:solidFill>
                </w14:textFill>
              </w:rPr>
            </w:pPr>
          </w:p>
        </w:tc>
        <w:tc>
          <w:tcPr>
            <w:tcW w:w="188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FFE1531">
            <w:pPr>
              <w:jc w:val="center"/>
              <w:rPr>
                <w:rFonts w:ascii="宋体" w:hAnsi="宋体" w:eastAsia="宋体" w:cs="宋体"/>
                <w:color w:val="000000" w:themeColor="text1"/>
                <w:sz w:val="20"/>
                <w:szCs w:val="20"/>
                <w:highlight w:val="none"/>
                <w14:textFill>
                  <w14:solidFill>
                    <w14:schemeClr w14:val="tx1"/>
                  </w14:solidFill>
                </w14:textFill>
              </w:rPr>
            </w:pPr>
          </w:p>
        </w:tc>
        <w:tc>
          <w:tcPr>
            <w:tcW w:w="44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17FC5C0">
            <w:pPr>
              <w:jc w:val="center"/>
              <w:rPr>
                <w:rFonts w:ascii="宋体" w:hAnsi="宋体" w:eastAsia="宋体" w:cs="宋体"/>
                <w:color w:val="000000" w:themeColor="text1"/>
                <w:sz w:val="20"/>
                <w:szCs w:val="20"/>
                <w:highlight w:val="none"/>
                <w14:textFill>
                  <w14:solidFill>
                    <w14:schemeClr w14:val="tx1"/>
                  </w14:solidFill>
                </w14:textFill>
              </w:rPr>
            </w:pPr>
          </w:p>
        </w:tc>
        <w:tc>
          <w:tcPr>
            <w:tcW w:w="74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DD2457E">
            <w:pPr>
              <w:jc w:val="center"/>
              <w:rPr>
                <w:rFonts w:ascii="宋体" w:hAnsi="宋体" w:eastAsia="宋体" w:cs="宋体"/>
                <w:color w:val="000000" w:themeColor="text1"/>
                <w:sz w:val="20"/>
                <w:szCs w:val="20"/>
                <w:highlight w:val="none"/>
                <w14:textFill>
                  <w14:solidFill>
                    <w14:schemeClr w14:val="tx1"/>
                  </w14:solidFill>
                </w14:textFill>
              </w:rPr>
            </w:pPr>
          </w:p>
        </w:tc>
      </w:tr>
      <w:tr w14:paraId="7985B973">
        <w:tblPrEx>
          <w:tblCellMar>
            <w:top w:w="0" w:type="dxa"/>
            <w:left w:w="108" w:type="dxa"/>
            <w:bottom w:w="0" w:type="dxa"/>
            <w:right w:w="108" w:type="dxa"/>
          </w:tblCellMar>
        </w:tblPrEx>
        <w:trPr>
          <w:trHeight w:val="36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229601">
            <w:pPr>
              <w:jc w:val="left"/>
              <w:rPr>
                <w:rFonts w:ascii="宋体" w:hAnsi="宋体" w:eastAsia="宋体" w:cs="宋体"/>
                <w:color w:val="000000" w:themeColor="text1"/>
                <w:sz w:val="20"/>
                <w:szCs w:val="20"/>
                <w:highlight w:val="none"/>
                <w14:textFill>
                  <w14:solidFill>
                    <w14:schemeClr w14:val="tx1"/>
                  </w14:solidFill>
                </w14:textFill>
              </w:rPr>
            </w:pPr>
          </w:p>
        </w:tc>
        <w:tc>
          <w:tcPr>
            <w:tcW w:w="3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E16EF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 xml:space="preserve"> 金属结构工程</w:t>
            </w:r>
          </w:p>
        </w:tc>
        <w:tc>
          <w:tcPr>
            <w:tcW w:w="4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6BDCD1">
            <w:pPr>
              <w:jc w:val="left"/>
              <w:rPr>
                <w:rFonts w:ascii="宋体" w:hAnsi="宋体" w:eastAsia="宋体" w:cs="宋体"/>
                <w:color w:val="000000" w:themeColor="text1"/>
                <w:sz w:val="20"/>
                <w:szCs w:val="20"/>
                <w:highlight w:val="none"/>
                <w14:textFill>
                  <w14:solidFill>
                    <w14:schemeClr w14:val="tx1"/>
                  </w14:solidFill>
                </w14:textFill>
              </w:rPr>
            </w:pPr>
          </w:p>
        </w:tc>
        <w:tc>
          <w:tcPr>
            <w:tcW w:w="7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030FE5">
            <w:pPr>
              <w:jc w:val="center"/>
              <w:rPr>
                <w:rFonts w:ascii="宋体" w:hAnsi="宋体" w:eastAsia="宋体" w:cs="宋体"/>
                <w:color w:val="000000" w:themeColor="text1"/>
                <w:sz w:val="20"/>
                <w:szCs w:val="20"/>
                <w:highlight w:val="none"/>
                <w14:textFill>
                  <w14:solidFill>
                    <w14:schemeClr w14:val="tx1"/>
                  </w14:solidFill>
                </w14:textFill>
              </w:rPr>
            </w:pPr>
          </w:p>
        </w:tc>
      </w:tr>
      <w:tr w14:paraId="5B1FC9D5">
        <w:tblPrEx>
          <w:tblCellMar>
            <w:top w:w="0" w:type="dxa"/>
            <w:left w:w="108" w:type="dxa"/>
            <w:bottom w:w="0" w:type="dxa"/>
            <w:right w:w="108" w:type="dxa"/>
          </w:tblCellMar>
        </w:tblPrEx>
        <w:trPr>
          <w:trHeight w:val="133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287B5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w:t>
            </w:r>
          </w:p>
        </w:tc>
        <w:tc>
          <w:tcPr>
            <w:tcW w:w="14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0FCD1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空腹钢柱</w:t>
            </w:r>
          </w:p>
        </w:tc>
        <w:tc>
          <w:tcPr>
            <w:tcW w:w="1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3B85B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1.柱类型:100*100*3mm镀锌方通钢柱</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2.其他:按技术规范及设计图纸完成清单项目所需的一切相关工作</w:t>
            </w:r>
          </w:p>
        </w:tc>
        <w:tc>
          <w:tcPr>
            <w:tcW w:w="4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862E6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t</w:t>
            </w:r>
          </w:p>
        </w:tc>
        <w:tc>
          <w:tcPr>
            <w:tcW w:w="7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ADF1B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24.333</w:t>
            </w:r>
          </w:p>
        </w:tc>
      </w:tr>
      <w:tr w14:paraId="50360A53">
        <w:tblPrEx>
          <w:tblCellMar>
            <w:top w:w="0" w:type="dxa"/>
            <w:left w:w="108" w:type="dxa"/>
            <w:bottom w:w="0" w:type="dxa"/>
            <w:right w:w="108" w:type="dxa"/>
          </w:tblCellMar>
        </w:tblPrEx>
        <w:trPr>
          <w:trHeight w:val="133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8ED90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w:t>
            </w:r>
          </w:p>
        </w:tc>
        <w:tc>
          <w:tcPr>
            <w:tcW w:w="14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29BE69">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钢梁</w:t>
            </w:r>
          </w:p>
        </w:tc>
        <w:tc>
          <w:tcPr>
            <w:tcW w:w="1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7A913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1.梁类型:100*100*3mm镀锌方通主梁</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2.其他:按技术规范及设计图纸完成清单项目所需的一切相关工作</w:t>
            </w:r>
          </w:p>
        </w:tc>
        <w:tc>
          <w:tcPr>
            <w:tcW w:w="4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20F6D7">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t</w:t>
            </w:r>
          </w:p>
        </w:tc>
        <w:tc>
          <w:tcPr>
            <w:tcW w:w="7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AA817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34.708</w:t>
            </w:r>
          </w:p>
        </w:tc>
      </w:tr>
      <w:tr w14:paraId="3FCB1A44">
        <w:tblPrEx>
          <w:tblCellMar>
            <w:top w:w="0" w:type="dxa"/>
            <w:left w:w="108" w:type="dxa"/>
            <w:bottom w:w="0" w:type="dxa"/>
            <w:right w:w="108" w:type="dxa"/>
          </w:tblCellMar>
        </w:tblPrEx>
        <w:trPr>
          <w:trHeight w:val="133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36E64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3</w:t>
            </w:r>
          </w:p>
        </w:tc>
        <w:tc>
          <w:tcPr>
            <w:tcW w:w="14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2DCAC7">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钢梁</w:t>
            </w:r>
          </w:p>
        </w:tc>
        <w:tc>
          <w:tcPr>
            <w:tcW w:w="1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C8ED9D">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1.梁类型:100*60*3mm镀锌方通次梁</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2.其他:按技术规范及设计图纸完成清单项目所需的一切相关工作</w:t>
            </w:r>
          </w:p>
        </w:tc>
        <w:tc>
          <w:tcPr>
            <w:tcW w:w="4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50782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t</w:t>
            </w:r>
          </w:p>
        </w:tc>
        <w:tc>
          <w:tcPr>
            <w:tcW w:w="7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1E3B06">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66.57</w:t>
            </w:r>
          </w:p>
        </w:tc>
      </w:tr>
      <w:tr w14:paraId="0EF8112D">
        <w:tblPrEx>
          <w:tblCellMar>
            <w:top w:w="0" w:type="dxa"/>
            <w:left w:w="108" w:type="dxa"/>
            <w:bottom w:w="0" w:type="dxa"/>
            <w:right w:w="108" w:type="dxa"/>
          </w:tblCellMar>
        </w:tblPrEx>
        <w:trPr>
          <w:trHeight w:val="133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BB7F5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w:t>
            </w:r>
          </w:p>
        </w:tc>
        <w:tc>
          <w:tcPr>
            <w:tcW w:w="14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100D62">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钢支撑、钢拉条</w:t>
            </w:r>
          </w:p>
        </w:tc>
        <w:tc>
          <w:tcPr>
            <w:tcW w:w="1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DE4309">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1.钢材品种、规格:镀锌钢支撑</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2.其他:按技术规范及设计图纸完成清单项目所需的一切相关工作</w:t>
            </w:r>
          </w:p>
        </w:tc>
        <w:tc>
          <w:tcPr>
            <w:tcW w:w="4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BEB9B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t</w:t>
            </w:r>
          </w:p>
        </w:tc>
        <w:tc>
          <w:tcPr>
            <w:tcW w:w="7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E673D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4.704</w:t>
            </w:r>
          </w:p>
        </w:tc>
      </w:tr>
      <w:tr w14:paraId="2EB09B81">
        <w:tblPrEx>
          <w:tblCellMar>
            <w:top w:w="0" w:type="dxa"/>
            <w:left w:w="108" w:type="dxa"/>
            <w:bottom w:w="0" w:type="dxa"/>
            <w:right w:w="108" w:type="dxa"/>
          </w:tblCellMar>
        </w:tblPrEx>
        <w:trPr>
          <w:trHeight w:val="108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B792A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w:t>
            </w:r>
          </w:p>
        </w:tc>
        <w:tc>
          <w:tcPr>
            <w:tcW w:w="14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832B46">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地脚螺栓</w:t>
            </w:r>
          </w:p>
        </w:tc>
        <w:tc>
          <w:tcPr>
            <w:tcW w:w="1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200541">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1.螺栓种类:M16地脚螺栓</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2.其他:按技术规范及设计图纸完成清单项目所需的一切相关工作</w:t>
            </w:r>
          </w:p>
        </w:tc>
        <w:tc>
          <w:tcPr>
            <w:tcW w:w="4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766CD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套</w:t>
            </w:r>
          </w:p>
        </w:tc>
        <w:tc>
          <w:tcPr>
            <w:tcW w:w="7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3B942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5048.00</w:t>
            </w:r>
          </w:p>
        </w:tc>
      </w:tr>
      <w:tr w14:paraId="6E614B72">
        <w:tblPrEx>
          <w:tblCellMar>
            <w:top w:w="0" w:type="dxa"/>
            <w:left w:w="108" w:type="dxa"/>
            <w:bottom w:w="0" w:type="dxa"/>
            <w:right w:w="108" w:type="dxa"/>
          </w:tblCellMar>
        </w:tblPrEx>
        <w:trPr>
          <w:trHeight w:val="184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4A61D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6</w:t>
            </w:r>
          </w:p>
        </w:tc>
        <w:tc>
          <w:tcPr>
            <w:tcW w:w="14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97E42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钢平台</w:t>
            </w:r>
          </w:p>
        </w:tc>
        <w:tc>
          <w:tcPr>
            <w:tcW w:w="1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1943E1">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1.盖板规格型号:镀锌花纹钢板</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2.规格尺寸:1134*600*2.0mm</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3.其他:按技术规范及设计图纸完成清单项目所需的一切相关工作</w:t>
            </w:r>
          </w:p>
        </w:tc>
        <w:tc>
          <w:tcPr>
            <w:tcW w:w="4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4DC4B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t</w:t>
            </w:r>
          </w:p>
        </w:tc>
        <w:tc>
          <w:tcPr>
            <w:tcW w:w="7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7F656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8.535</w:t>
            </w:r>
          </w:p>
        </w:tc>
      </w:tr>
      <w:tr w14:paraId="16564D87">
        <w:tblPrEx>
          <w:tblCellMar>
            <w:top w:w="0" w:type="dxa"/>
            <w:left w:w="108" w:type="dxa"/>
            <w:bottom w:w="0" w:type="dxa"/>
            <w:right w:w="108" w:type="dxa"/>
          </w:tblCellMar>
        </w:tblPrEx>
        <w:trPr>
          <w:trHeight w:val="108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98558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7</w:t>
            </w:r>
          </w:p>
        </w:tc>
        <w:tc>
          <w:tcPr>
            <w:tcW w:w="14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158197">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钢爬梯</w:t>
            </w:r>
          </w:p>
        </w:tc>
        <w:tc>
          <w:tcPr>
            <w:tcW w:w="1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19797D">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1.钢梯形式:钢爬梯</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2.其他:按技术规范及设计图纸完成清单项目所需的一切相关工作</w:t>
            </w:r>
          </w:p>
        </w:tc>
        <w:tc>
          <w:tcPr>
            <w:tcW w:w="4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567F0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t</w:t>
            </w:r>
          </w:p>
        </w:tc>
        <w:tc>
          <w:tcPr>
            <w:tcW w:w="7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535E5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9.567</w:t>
            </w:r>
          </w:p>
        </w:tc>
      </w:tr>
      <w:tr w14:paraId="02EF1101">
        <w:tblPrEx>
          <w:tblCellMar>
            <w:top w:w="0" w:type="dxa"/>
            <w:left w:w="108" w:type="dxa"/>
            <w:bottom w:w="0" w:type="dxa"/>
            <w:right w:w="108" w:type="dxa"/>
          </w:tblCellMar>
        </w:tblPrEx>
        <w:trPr>
          <w:trHeight w:val="133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E8F07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8</w:t>
            </w:r>
          </w:p>
        </w:tc>
        <w:tc>
          <w:tcPr>
            <w:tcW w:w="14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5CBB9A">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纵向水槽</w:t>
            </w:r>
          </w:p>
        </w:tc>
        <w:tc>
          <w:tcPr>
            <w:tcW w:w="1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95BE4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1.名称:纵向水槽</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2.材质:镀铝镁锌钢板</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3.其他:按技术规范及设计图纸完成清单项目所需的一切相关工作</w:t>
            </w:r>
          </w:p>
        </w:tc>
        <w:tc>
          <w:tcPr>
            <w:tcW w:w="4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B1F155">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7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83F23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10253.08</w:t>
            </w:r>
          </w:p>
        </w:tc>
      </w:tr>
      <w:tr w14:paraId="76D79393">
        <w:tblPrEx>
          <w:tblCellMar>
            <w:top w:w="0" w:type="dxa"/>
            <w:left w:w="108" w:type="dxa"/>
            <w:bottom w:w="0" w:type="dxa"/>
            <w:right w:w="108" w:type="dxa"/>
          </w:tblCellMar>
        </w:tblPrEx>
        <w:trPr>
          <w:trHeight w:val="133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6C069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9</w:t>
            </w:r>
          </w:p>
        </w:tc>
        <w:tc>
          <w:tcPr>
            <w:tcW w:w="14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46982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横向水槽</w:t>
            </w:r>
          </w:p>
        </w:tc>
        <w:tc>
          <w:tcPr>
            <w:tcW w:w="1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488003">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1.名称:横向水槽</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2.材质:铝合金钢板</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3.其他:按技术规范及设计图纸完成清单项目所需的一切相关工作</w:t>
            </w:r>
          </w:p>
        </w:tc>
        <w:tc>
          <w:tcPr>
            <w:tcW w:w="4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63DD7D">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w:t>
            </w:r>
          </w:p>
        </w:tc>
        <w:tc>
          <w:tcPr>
            <w:tcW w:w="7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34DB8E">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4413.76</w:t>
            </w:r>
          </w:p>
        </w:tc>
      </w:tr>
      <w:tr w14:paraId="01320724">
        <w:tblPrEx>
          <w:tblCellMar>
            <w:top w:w="0" w:type="dxa"/>
            <w:left w:w="108" w:type="dxa"/>
            <w:bottom w:w="0" w:type="dxa"/>
            <w:right w:w="108" w:type="dxa"/>
          </w:tblCellMar>
        </w:tblPrEx>
        <w:trPr>
          <w:trHeight w:val="36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45690F">
            <w:pPr>
              <w:jc w:val="left"/>
              <w:rPr>
                <w:rFonts w:ascii="宋体" w:hAnsi="宋体" w:eastAsia="宋体" w:cs="宋体"/>
                <w:color w:val="000000" w:themeColor="text1"/>
                <w:sz w:val="20"/>
                <w:szCs w:val="20"/>
                <w:highlight w:val="none"/>
                <w14:textFill>
                  <w14:solidFill>
                    <w14:schemeClr w14:val="tx1"/>
                  </w14:solidFill>
                </w14:textFill>
              </w:rPr>
            </w:pPr>
          </w:p>
        </w:tc>
        <w:tc>
          <w:tcPr>
            <w:tcW w:w="3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DC4BA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 xml:space="preserve"> 混凝土及钢筋混凝土工程</w:t>
            </w:r>
          </w:p>
        </w:tc>
        <w:tc>
          <w:tcPr>
            <w:tcW w:w="4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4E1789">
            <w:pPr>
              <w:jc w:val="left"/>
              <w:rPr>
                <w:rFonts w:ascii="宋体" w:hAnsi="宋体" w:eastAsia="宋体" w:cs="宋体"/>
                <w:color w:val="000000" w:themeColor="text1"/>
                <w:sz w:val="20"/>
                <w:szCs w:val="20"/>
                <w:highlight w:val="none"/>
                <w14:textFill>
                  <w14:solidFill>
                    <w14:schemeClr w14:val="tx1"/>
                  </w14:solidFill>
                </w14:textFill>
              </w:rPr>
            </w:pPr>
          </w:p>
        </w:tc>
        <w:tc>
          <w:tcPr>
            <w:tcW w:w="7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E9B783">
            <w:pPr>
              <w:jc w:val="center"/>
              <w:rPr>
                <w:rFonts w:ascii="宋体" w:hAnsi="宋体" w:eastAsia="宋体" w:cs="宋体"/>
                <w:color w:val="000000" w:themeColor="text1"/>
                <w:sz w:val="20"/>
                <w:szCs w:val="20"/>
                <w:highlight w:val="none"/>
                <w14:textFill>
                  <w14:solidFill>
                    <w14:schemeClr w14:val="tx1"/>
                  </w14:solidFill>
                </w14:textFill>
              </w:rPr>
            </w:pPr>
          </w:p>
        </w:tc>
      </w:tr>
      <w:tr w14:paraId="440F1AA8">
        <w:tblPrEx>
          <w:tblCellMar>
            <w:top w:w="0" w:type="dxa"/>
            <w:left w:w="108" w:type="dxa"/>
            <w:bottom w:w="0" w:type="dxa"/>
            <w:right w:w="108" w:type="dxa"/>
          </w:tblCellMar>
        </w:tblPrEx>
        <w:trPr>
          <w:trHeight w:val="133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48AECA">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10</w:t>
            </w:r>
          </w:p>
        </w:tc>
        <w:tc>
          <w:tcPr>
            <w:tcW w:w="14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667CDC">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基础</w:t>
            </w:r>
          </w:p>
        </w:tc>
        <w:tc>
          <w:tcPr>
            <w:tcW w:w="1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D0E482">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1.混凝土种类:预拌</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2.混凝土强度等级:C25</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3.其他:按技术规范及设计图纸完成清单项目所需的一切相关工作</w:t>
            </w:r>
          </w:p>
        </w:tc>
        <w:tc>
          <w:tcPr>
            <w:tcW w:w="4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DB07D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m3</w:t>
            </w:r>
          </w:p>
        </w:tc>
        <w:tc>
          <w:tcPr>
            <w:tcW w:w="7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C9DC23">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22.72</w:t>
            </w:r>
          </w:p>
        </w:tc>
      </w:tr>
      <w:tr w14:paraId="7079CD7D">
        <w:tblPrEx>
          <w:tblCellMar>
            <w:top w:w="0" w:type="dxa"/>
            <w:left w:w="108" w:type="dxa"/>
            <w:bottom w:w="0" w:type="dxa"/>
            <w:right w:w="108" w:type="dxa"/>
          </w:tblCellMar>
        </w:tblPrEx>
        <w:trPr>
          <w:trHeight w:val="1335"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7E8742">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11</w:t>
            </w:r>
          </w:p>
        </w:tc>
        <w:tc>
          <w:tcPr>
            <w:tcW w:w="14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17BBDB">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楼(地)面涂膜防水</w:t>
            </w:r>
          </w:p>
        </w:tc>
        <w:tc>
          <w:tcPr>
            <w:tcW w:w="1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E81F8">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1.部位:素混凝土基础</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2.沥青防水涂料两遍</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3.其他:按技术规范及设计图纸完成清单项目所需的一切相关工作</w:t>
            </w:r>
          </w:p>
        </w:tc>
        <w:tc>
          <w:tcPr>
            <w:tcW w:w="4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1CF6E4">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m2</w:t>
            </w:r>
          </w:p>
        </w:tc>
        <w:tc>
          <w:tcPr>
            <w:tcW w:w="7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83C9B">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113.58</w:t>
            </w:r>
          </w:p>
        </w:tc>
      </w:tr>
      <w:tr w14:paraId="3908BCDE">
        <w:tblPrEx>
          <w:tblCellMar>
            <w:top w:w="0" w:type="dxa"/>
            <w:left w:w="108" w:type="dxa"/>
            <w:bottom w:w="0" w:type="dxa"/>
            <w:right w:w="108" w:type="dxa"/>
          </w:tblCellMar>
        </w:tblPrEx>
        <w:trPr>
          <w:trHeight w:val="159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CD23A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12</w:t>
            </w:r>
          </w:p>
        </w:tc>
        <w:tc>
          <w:tcPr>
            <w:tcW w:w="14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DE9A02">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楼(地)面卷材防水</w:t>
            </w:r>
          </w:p>
        </w:tc>
        <w:tc>
          <w:tcPr>
            <w:tcW w:w="1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C729BA">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1.部位:素混凝土基础</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2.卷材品种、规格、厚度:SBS防水卷材两层</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3.其他:按技术规范及设计图纸完成清单项目所需的一切相关工作</w:t>
            </w:r>
          </w:p>
        </w:tc>
        <w:tc>
          <w:tcPr>
            <w:tcW w:w="4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886B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m2</w:t>
            </w:r>
          </w:p>
        </w:tc>
        <w:tc>
          <w:tcPr>
            <w:tcW w:w="7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759CB0">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416.46</w:t>
            </w:r>
          </w:p>
        </w:tc>
      </w:tr>
      <w:tr w14:paraId="7D7E1F51">
        <w:tblPrEx>
          <w:tblCellMar>
            <w:top w:w="0" w:type="dxa"/>
            <w:left w:w="108" w:type="dxa"/>
            <w:bottom w:w="0" w:type="dxa"/>
            <w:right w:w="108" w:type="dxa"/>
          </w:tblCellMar>
        </w:tblPrEx>
        <w:trPr>
          <w:trHeight w:val="36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425B94">
            <w:pPr>
              <w:jc w:val="left"/>
              <w:rPr>
                <w:rFonts w:ascii="宋体" w:hAnsi="宋体" w:eastAsia="宋体" w:cs="宋体"/>
                <w:color w:val="000000" w:themeColor="text1"/>
                <w:sz w:val="20"/>
                <w:szCs w:val="20"/>
                <w:highlight w:val="none"/>
                <w14:textFill>
                  <w14:solidFill>
                    <w14:schemeClr w14:val="tx1"/>
                  </w14:solidFill>
                </w14:textFill>
              </w:rPr>
            </w:pPr>
          </w:p>
        </w:tc>
        <w:tc>
          <w:tcPr>
            <w:tcW w:w="336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C008D1">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 xml:space="preserve"> 屋面及防水工程</w:t>
            </w:r>
          </w:p>
        </w:tc>
        <w:tc>
          <w:tcPr>
            <w:tcW w:w="4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1F21C8">
            <w:pPr>
              <w:jc w:val="left"/>
              <w:rPr>
                <w:rFonts w:ascii="宋体" w:hAnsi="宋体" w:eastAsia="宋体" w:cs="宋体"/>
                <w:color w:val="000000" w:themeColor="text1"/>
                <w:sz w:val="20"/>
                <w:szCs w:val="20"/>
                <w:highlight w:val="none"/>
                <w14:textFill>
                  <w14:solidFill>
                    <w14:schemeClr w14:val="tx1"/>
                  </w14:solidFill>
                </w14:textFill>
              </w:rPr>
            </w:pPr>
          </w:p>
        </w:tc>
        <w:tc>
          <w:tcPr>
            <w:tcW w:w="7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5F9FB0">
            <w:pPr>
              <w:jc w:val="center"/>
              <w:rPr>
                <w:rFonts w:ascii="宋体" w:hAnsi="宋体" w:eastAsia="宋体" w:cs="宋体"/>
                <w:color w:val="000000" w:themeColor="text1"/>
                <w:sz w:val="20"/>
                <w:szCs w:val="20"/>
                <w:highlight w:val="none"/>
                <w14:textFill>
                  <w14:solidFill>
                    <w14:schemeClr w14:val="tx1"/>
                  </w14:solidFill>
                </w14:textFill>
              </w:rPr>
            </w:pPr>
          </w:p>
        </w:tc>
      </w:tr>
      <w:tr w14:paraId="39711A09">
        <w:tblPrEx>
          <w:tblCellMar>
            <w:top w:w="0" w:type="dxa"/>
            <w:left w:w="108" w:type="dxa"/>
            <w:bottom w:w="0" w:type="dxa"/>
            <w:right w:w="108" w:type="dxa"/>
          </w:tblCellMar>
        </w:tblPrEx>
        <w:trPr>
          <w:trHeight w:val="1080" w:hRule="atLeast"/>
        </w:trPr>
        <w:tc>
          <w:tcPr>
            <w:tcW w:w="45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845458">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13</w:t>
            </w:r>
          </w:p>
        </w:tc>
        <w:tc>
          <w:tcPr>
            <w:tcW w:w="14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A49FCA">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瓦屋面</w:t>
            </w:r>
          </w:p>
        </w:tc>
        <w:tc>
          <w:tcPr>
            <w:tcW w:w="1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92F0D5">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1.瓦品种、规格:彩钢瓦封边</w:t>
            </w:r>
            <w:r>
              <w:rPr>
                <w:rFonts w:hint="eastAsia" w:ascii="宋体" w:hAnsi="宋体" w:eastAsia="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eastAsia="宋体" w:cs="宋体"/>
                <w:color w:val="000000" w:themeColor="text1"/>
                <w:kern w:val="0"/>
                <w:sz w:val="20"/>
                <w:szCs w:val="20"/>
                <w:highlight w:val="none"/>
                <w:lang w:bidi="ar"/>
                <w14:textFill>
                  <w14:solidFill>
                    <w14:schemeClr w14:val="tx1"/>
                  </w14:solidFill>
                </w14:textFill>
              </w:rPr>
              <w:t>2.其他:按技术规范及设计图纸完成清单项目所需的一切相关工作</w:t>
            </w:r>
          </w:p>
        </w:tc>
        <w:tc>
          <w:tcPr>
            <w:tcW w:w="4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2DFD4F">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m2</w:t>
            </w:r>
          </w:p>
        </w:tc>
        <w:tc>
          <w:tcPr>
            <w:tcW w:w="7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5BA90C">
            <w:pPr>
              <w:widowControl/>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1010.05</w:t>
            </w:r>
          </w:p>
        </w:tc>
      </w:tr>
    </w:tbl>
    <w:p w14:paraId="43009B98">
      <w:pPr>
        <w:spacing w:line="360" w:lineRule="auto"/>
        <w:rPr>
          <w:rFonts w:ascii="宋体" w:hAnsi="宋体" w:eastAsia="宋体" w:cs="Times New Roman"/>
          <w:bCs/>
          <w:color w:val="000000" w:themeColor="text1"/>
          <w:szCs w:val="21"/>
          <w:highlight w:val="none"/>
          <w14:textFill>
            <w14:solidFill>
              <w14:schemeClr w14:val="tx1"/>
            </w14:solidFill>
          </w14:textFill>
        </w:rPr>
      </w:pPr>
    </w:p>
    <w:p w14:paraId="095DE546">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496" w:name="_Toc19477"/>
      <w:bookmarkStart w:id="497" w:name="_Toc450662892"/>
      <w:bookmarkStart w:id="498" w:name="_Toc486167707"/>
      <w:bookmarkStart w:id="499" w:name="_Toc24827"/>
      <w:bookmarkStart w:id="500" w:name="_Toc11281_WPSOffice_Level1"/>
      <w:bookmarkStart w:id="501" w:name="_Toc142508359"/>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第四篇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合同条款格式</w:t>
      </w:r>
      <w:bookmarkEnd w:id="496"/>
      <w:bookmarkEnd w:id="497"/>
      <w:bookmarkEnd w:id="498"/>
      <w:bookmarkEnd w:id="499"/>
      <w:bookmarkEnd w:id="500"/>
      <w:bookmarkEnd w:id="501"/>
    </w:p>
    <w:p w14:paraId="723153BE">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69668B65">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1DFE86C6">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48850EAE">
      <w:pPr>
        <w:autoSpaceDE w:val="0"/>
        <w:autoSpaceDN w:val="0"/>
        <w:adjustRightInd w:val="0"/>
        <w:spacing w:line="360" w:lineRule="auto"/>
        <w:jc w:val="center"/>
        <w:rPr>
          <w:rFonts w:ascii="宋体" w:hAnsi="宋体" w:eastAsia="宋体" w:cs="Times New Roman"/>
          <w:b/>
          <w:color w:val="000000" w:themeColor="text1"/>
          <w:kern w:val="0"/>
          <w:sz w:val="52"/>
          <w:szCs w:val="96"/>
          <w:highlight w:val="none"/>
          <w14:textFill>
            <w14:solidFill>
              <w14:schemeClr w14:val="tx1"/>
            </w14:solidFill>
          </w14:textFill>
        </w:rPr>
      </w:pPr>
      <w:r>
        <w:rPr>
          <w:rFonts w:hint="eastAsia" w:ascii="宋体" w:hAnsi="宋体" w:eastAsia="宋体" w:cs="Times New Roman"/>
          <w:b/>
          <w:color w:val="000000" w:themeColor="text1"/>
          <w:kern w:val="0"/>
          <w:sz w:val="52"/>
          <w:szCs w:val="96"/>
          <w:highlight w:val="none"/>
          <w14:textFill>
            <w14:solidFill>
              <w14:schemeClr w14:val="tx1"/>
            </w14:solidFill>
          </w14:textFill>
        </w:rPr>
        <w:t>东莞市水务集团科技发展有限公司屋顶分布式光伏发电（一期）采购项目</w:t>
      </w:r>
    </w:p>
    <w:p w14:paraId="3390FE41">
      <w:pPr>
        <w:autoSpaceDE w:val="0"/>
        <w:autoSpaceDN w:val="0"/>
        <w:adjustRightInd w:val="0"/>
        <w:spacing w:line="360" w:lineRule="auto"/>
        <w:jc w:val="center"/>
        <w:rPr>
          <w:rFonts w:ascii="宋体" w:hAnsi="宋体" w:eastAsia="宋体" w:cs="Times New Roman"/>
          <w:bCs/>
          <w:color w:val="000000" w:themeColor="text1"/>
          <w:kern w:val="0"/>
          <w:sz w:val="52"/>
          <w:szCs w:val="52"/>
          <w:highlight w:val="none"/>
          <w14:textFill>
            <w14:solidFill>
              <w14:schemeClr w14:val="tx1"/>
            </w14:solidFill>
          </w14:textFill>
        </w:rPr>
      </w:pPr>
    </w:p>
    <w:p w14:paraId="5C76E3AC">
      <w:pPr>
        <w:autoSpaceDE w:val="0"/>
        <w:autoSpaceDN w:val="0"/>
        <w:adjustRightInd w:val="0"/>
        <w:spacing w:before="840" w:beforeLines="350" w:after="360" w:afterLines="150" w:line="360" w:lineRule="auto"/>
        <w:jc w:val="center"/>
        <w:rPr>
          <w:rFonts w:ascii="宋体" w:hAnsi="宋体" w:eastAsia="宋体" w:cs="Times New Roman"/>
          <w:b/>
          <w:bCs/>
          <w:color w:val="000000" w:themeColor="text1"/>
          <w:spacing w:val="60"/>
          <w:kern w:val="0"/>
          <w:sz w:val="52"/>
          <w:szCs w:val="52"/>
          <w:highlight w:val="none"/>
          <w14:textFill>
            <w14:solidFill>
              <w14:schemeClr w14:val="tx1"/>
            </w14:solidFill>
          </w14:textFill>
        </w:rPr>
      </w:pPr>
      <w:r>
        <w:rPr>
          <w:rFonts w:hint="eastAsia" w:ascii="宋体" w:hAnsi="宋体" w:eastAsia="宋体" w:cs="Times New Roman"/>
          <w:b/>
          <w:bCs/>
          <w:color w:val="000000" w:themeColor="text1"/>
          <w:spacing w:val="60"/>
          <w:kern w:val="0"/>
          <w:sz w:val="52"/>
          <w:szCs w:val="52"/>
          <w:highlight w:val="none"/>
          <w14:textFill>
            <w14:solidFill>
              <w14:schemeClr w14:val="tx1"/>
            </w14:solidFill>
          </w14:textFill>
        </w:rPr>
        <w:t>采购合同</w:t>
      </w:r>
    </w:p>
    <w:p w14:paraId="58091214">
      <w:pPr>
        <w:autoSpaceDE w:val="0"/>
        <w:autoSpaceDN w:val="0"/>
        <w:adjustRightInd w:val="0"/>
        <w:spacing w:line="360" w:lineRule="auto"/>
        <w:jc w:val="center"/>
        <w:rPr>
          <w:rFonts w:ascii="宋体" w:hAnsi="宋体" w:eastAsia="宋体" w:cs="Times New Roman"/>
          <w:b/>
          <w:bCs/>
          <w:color w:val="000000" w:themeColor="text1"/>
          <w:kern w:val="0"/>
          <w:sz w:val="24"/>
          <w:szCs w:val="21"/>
          <w:highlight w:val="none"/>
          <w14:textFill>
            <w14:solidFill>
              <w14:schemeClr w14:val="tx1"/>
            </w14:solidFill>
          </w14:textFill>
        </w:rPr>
      </w:pPr>
      <w:r>
        <w:rPr>
          <w:rFonts w:hint="eastAsia" w:ascii="宋体" w:hAnsi="宋体" w:eastAsia="宋体" w:cs="Times New Roman"/>
          <w:b/>
          <w:bCs/>
          <w:color w:val="000000" w:themeColor="text1"/>
          <w:kern w:val="0"/>
          <w:sz w:val="24"/>
          <w:szCs w:val="21"/>
          <w:highlight w:val="none"/>
          <w14:textFill>
            <w14:solidFill>
              <w14:schemeClr w14:val="tx1"/>
            </w14:solidFill>
          </w14:textFill>
        </w:rPr>
        <w:t>（合同编号：       ）</w:t>
      </w:r>
    </w:p>
    <w:p w14:paraId="6F0765E0">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09DC2FB3">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bookmarkStart w:id="502" w:name="OLE_LINK244"/>
    </w:p>
    <w:p w14:paraId="5F1E9A1A">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340ABA80">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bookmarkEnd w:id="502"/>
    <w:p w14:paraId="1AA19F49">
      <w:pPr>
        <w:autoSpaceDE w:val="0"/>
        <w:autoSpaceDN w:val="0"/>
        <w:adjustRightInd w:val="0"/>
        <w:spacing w:line="480" w:lineRule="auto"/>
        <w:ind w:firstLine="1102" w:firstLineChars="392"/>
        <w:jc w:val="left"/>
        <w:rPr>
          <w:rFonts w:ascii="宋体" w:hAnsi="宋体" w:eastAsia="宋体" w:cs="Times New Roman"/>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甲方：</w:t>
      </w:r>
      <w:bookmarkStart w:id="503" w:name="OLE_LINK433"/>
      <w:r>
        <w:rPr>
          <w:rFonts w:hint="eastAsia" w:ascii="宋体" w:hAnsi="宋体" w:eastAsia="宋体" w:cs="Times New Roman"/>
          <w:b/>
          <w:bCs/>
          <w:color w:val="000000" w:themeColor="text1"/>
          <w:kern w:val="0"/>
          <w:sz w:val="28"/>
          <w:szCs w:val="28"/>
          <w:highlight w:val="none"/>
          <w:u w:val="single"/>
          <w14:textFill>
            <w14:solidFill>
              <w14:schemeClr w14:val="tx1"/>
            </w14:solidFill>
          </w14:textFill>
        </w:rPr>
        <w:t>东莞市水务集团科技发展有限公司</w:t>
      </w:r>
      <w:bookmarkEnd w:id="503"/>
      <w:r>
        <w:rPr>
          <w:rFonts w:hint="eastAsia" w:ascii="宋体" w:hAnsi="宋体" w:eastAsia="宋体" w:cs="Times New Roman"/>
          <w:b/>
          <w:bCs/>
          <w:color w:val="000000" w:themeColor="text1"/>
          <w:kern w:val="0"/>
          <w:sz w:val="28"/>
          <w:szCs w:val="28"/>
          <w:highlight w:val="none"/>
          <w:u w:val="single"/>
          <w14:textFill>
            <w14:solidFill>
              <w14:schemeClr w14:val="tx1"/>
            </w14:solidFill>
          </w14:textFill>
        </w:rPr>
        <w:t xml:space="preserve"> </w:t>
      </w:r>
      <w:r>
        <w:rPr>
          <w:rFonts w:ascii="宋体" w:hAnsi="宋体" w:eastAsia="宋体" w:cs="Times New Roman"/>
          <w:b/>
          <w:bCs/>
          <w:color w:val="000000" w:themeColor="text1"/>
          <w:kern w:val="0"/>
          <w:sz w:val="28"/>
          <w:szCs w:val="28"/>
          <w:highlight w:val="none"/>
          <w14:textFill>
            <w14:solidFill>
              <w14:schemeClr w14:val="tx1"/>
            </w14:solidFill>
          </w14:textFill>
        </w:rPr>
        <w:t xml:space="preserve"> </w:t>
      </w:r>
    </w:p>
    <w:p w14:paraId="456884BE">
      <w:pPr>
        <w:autoSpaceDE w:val="0"/>
        <w:autoSpaceDN w:val="0"/>
        <w:adjustRightInd w:val="0"/>
        <w:spacing w:line="480" w:lineRule="auto"/>
        <w:ind w:firstLine="1102" w:firstLineChars="392"/>
        <w:jc w:val="left"/>
        <w:rPr>
          <w:rFonts w:ascii="宋体" w:hAnsi="宋体" w:eastAsia="宋体" w:cs="Times New Roman"/>
          <w:b/>
          <w:bCs/>
          <w:color w:val="000000" w:themeColor="text1"/>
          <w:kern w:val="0"/>
          <w:sz w:val="28"/>
          <w:szCs w:val="28"/>
          <w:highlight w:val="none"/>
          <w:u w:val="singl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乙方：</w:t>
      </w:r>
      <w:r>
        <w:rPr>
          <w:rFonts w:hint="eastAsia" w:ascii="宋体" w:hAnsi="宋体" w:eastAsia="宋体" w:cs="宋体"/>
          <w:b/>
          <w:bCs/>
          <w:color w:val="000000" w:themeColor="text1"/>
          <w:kern w:val="0"/>
          <w:sz w:val="28"/>
          <w:szCs w:val="28"/>
          <w:highlight w:val="none"/>
          <w:u w:val="single"/>
          <w14:textFill>
            <w14:solidFill>
              <w14:schemeClr w14:val="tx1"/>
            </w14:solidFill>
          </w14:textFill>
        </w:rPr>
        <w:t xml:space="preserve">                          </w:t>
      </w:r>
    </w:p>
    <w:p w14:paraId="55B942F7">
      <w:pPr>
        <w:autoSpaceDE w:val="0"/>
        <w:autoSpaceDN w:val="0"/>
        <w:adjustRightInd w:val="0"/>
        <w:spacing w:line="360" w:lineRule="auto"/>
        <w:ind w:firstLine="1102" w:firstLineChars="392"/>
        <w:jc w:val="left"/>
        <w:rPr>
          <w:rFonts w:ascii="宋体" w:hAnsi="宋体" w:eastAsia="宋体" w:cs="宋体"/>
          <w:b/>
          <w:bCs/>
          <w:color w:val="000000" w:themeColor="text1"/>
          <w:kern w:val="0"/>
          <w:sz w:val="28"/>
          <w:szCs w:val="28"/>
          <w:highlight w:val="none"/>
          <w14:textFill>
            <w14:solidFill>
              <w14:schemeClr w14:val="tx1"/>
            </w14:solidFill>
          </w14:textFill>
        </w:rPr>
      </w:pPr>
    </w:p>
    <w:p w14:paraId="3F4AE4AF">
      <w:pPr>
        <w:autoSpaceDE w:val="0"/>
        <w:autoSpaceDN w:val="0"/>
        <w:adjustRightInd w:val="0"/>
        <w:spacing w:line="360" w:lineRule="auto"/>
        <w:ind w:firstLine="1102" w:firstLineChars="392"/>
        <w:jc w:val="left"/>
        <w:rPr>
          <w:rFonts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签订日期：   年   月   日</w:t>
      </w:r>
    </w:p>
    <w:p w14:paraId="3733D714">
      <w:pPr>
        <w:autoSpaceDE w:val="0"/>
        <w:autoSpaceDN w:val="0"/>
        <w:adjustRightInd w:val="0"/>
        <w:jc w:val="left"/>
        <w:rPr>
          <w:rFonts w:ascii="宋体" w:hAnsi="宋体" w:eastAsia="宋体" w:cs="宋体"/>
          <w:b/>
          <w:bCs/>
          <w:color w:val="000000" w:themeColor="text1"/>
          <w:kern w:val="0"/>
          <w:sz w:val="28"/>
          <w:szCs w:val="28"/>
          <w:highlight w:val="none"/>
          <w14:textFill>
            <w14:solidFill>
              <w14:schemeClr w14:val="tx1"/>
            </w14:solidFill>
          </w14:textFill>
        </w:rPr>
      </w:pPr>
    </w:p>
    <w:p w14:paraId="5ACEFB5F">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518E54EF">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5C5D4477">
      <w:pPr>
        <w:adjustRightIn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1187BCD">
      <w:pPr>
        <w:adjustRightIn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3521089">
      <w:pPr>
        <w:adjustRightInd w:val="0"/>
        <w:snapToGri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bookmarkStart w:id="504" w:name="OLE_LINK245"/>
      <w:r>
        <w:rPr>
          <w:rFonts w:hint="eastAsia" w:ascii="宋体" w:hAnsi="宋体" w:eastAsia="宋体" w:cs="宋体"/>
          <w:color w:val="000000" w:themeColor="text1"/>
          <w:szCs w:val="21"/>
          <w:highlight w:val="none"/>
          <w14:textFill>
            <w14:solidFill>
              <w14:schemeClr w14:val="tx1"/>
            </w14:solidFill>
          </w14:textFill>
        </w:rPr>
        <w:t>根据《中华人民共和国民法典》及   年   月   日通知的东莞市水务集团科技发展有限公司屋顶分布式光伏发电（一期）采购项目中标结果（招标编号：   )和招标文件的要求，经双方协商一致，签订本合同。</w:t>
      </w:r>
    </w:p>
    <w:bookmarkEnd w:id="504"/>
    <w:p w14:paraId="1E511FEE">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14:paraId="2942A95E">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第一条 </w:t>
      </w:r>
      <w:bookmarkStart w:id="505" w:name="OLE_LINK76"/>
      <w:r>
        <w:rPr>
          <w:rFonts w:hint="eastAsia" w:ascii="宋体" w:hAnsi="宋体" w:eastAsia="宋体" w:cs="宋体"/>
          <w:b/>
          <w:color w:val="000000" w:themeColor="text1"/>
          <w:szCs w:val="21"/>
          <w:highlight w:val="none"/>
          <w14:textFill>
            <w14:solidFill>
              <w14:schemeClr w14:val="tx1"/>
            </w14:solidFill>
          </w14:textFill>
        </w:rPr>
        <w:t>合同项目</w:t>
      </w:r>
      <w:bookmarkEnd w:id="505"/>
    </w:p>
    <w:p w14:paraId="7D684A4F">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1、项目地址：第四水厂和第六水厂综合楼、宿舍等屋顶。第四水厂地址：东莞市高埗镇高埗沿江南路150号；第六水厂地址：东莞市东城街道莞龙路东城段21号；屋顶总面积：23576.89㎡。</w:t>
      </w:r>
    </w:p>
    <w:p w14:paraId="24F7A203">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2、装机容量：4.46MWp（其中第四水厂1.86MWp，第六水厂2.6MWp）。</w:t>
      </w:r>
    </w:p>
    <w:p w14:paraId="4B0F1F23">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3、安装方式：阳光棚（包含垃圾清理、防水、配电房改造）、自发自用，余电上网。</w:t>
      </w:r>
    </w:p>
    <w:p w14:paraId="1E2A5796">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4、变压器容量：第四水厂：共10台变压器（5台主用5台备用），变压器容量共4760KVA；第六水厂：共10台变压器（5台主用5台备用），变压器容量共10600KVA。</w:t>
      </w:r>
    </w:p>
    <w:p w14:paraId="596ECF1C">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5、合</w:t>
      </w:r>
      <w:bookmarkStart w:id="506" w:name="OLE_LINK279"/>
      <w:r>
        <w:rPr>
          <w:rFonts w:hint="eastAsia" w:ascii="宋体" w:hAnsi="宋体" w:eastAsia="宋体" w:cs="宋体"/>
          <w:color w:val="000000" w:themeColor="text1"/>
          <w:szCs w:val="21"/>
          <w:highlight w:val="none"/>
          <w14:textFill>
            <w14:solidFill>
              <w14:schemeClr w14:val="tx1"/>
            </w14:solidFill>
          </w14:textFill>
        </w:rPr>
        <w:t>同货物清单：详见附件</w:t>
      </w:r>
      <w:bookmarkEnd w:id="506"/>
      <w:r>
        <w:rPr>
          <w:rFonts w:hint="eastAsia" w:ascii="宋体" w:hAnsi="宋体" w:eastAsia="宋体" w:cs="宋体"/>
          <w:color w:val="000000" w:themeColor="text1"/>
          <w:szCs w:val="21"/>
          <w:highlight w:val="none"/>
          <w14:textFill>
            <w14:solidFill>
              <w14:schemeClr w14:val="tx1"/>
            </w14:solidFill>
          </w14:textFill>
        </w:rPr>
        <w:t>1投标报价表。</w:t>
      </w:r>
    </w:p>
    <w:p w14:paraId="0B0C592A">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6、完工期要求：自合同签订之日起，</w:t>
      </w:r>
      <w:bookmarkStart w:id="507" w:name="OLE_LINK280"/>
      <w:r>
        <w:rPr>
          <w:rFonts w:hint="eastAsia" w:ascii="宋体" w:hAnsi="宋体" w:eastAsia="宋体" w:cs="宋体"/>
          <w:color w:val="000000" w:themeColor="text1"/>
          <w:szCs w:val="21"/>
          <w:highlight w:val="none"/>
          <w14:textFill>
            <w14:solidFill>
              <w14:schemeClr w14:val="tx1"/>
            </w14:solidFill>
          </w14:textFill>
        </w:rPr>
        <w:t>乙方应于</w:t>
      </w:r>
      <w:bookmarkEnd w:id="507"/>
      <w:r>
        <w:rPr>
          <w:rFonts w:hint="eastAsia" w:ascii="宋体" w:hAnsi="宋体" w:eastAsia="宋体" w:cs="宋体"/>
          <w:color w:val="000000" w:themeColor="text1"/>
          <w:szCs w:val="21"/>
          <w:highlight w:val="none"/>
          <w14:textFill>
            <w14:solidFill>
              <w14:schemeClr w14:val="tx1"/>
            </w14:solidFill>
          </w14:textFill>
        </w:rPr>
        <w:t>100日历天内完成全部服务内容（包括但不限于设计、报装、采购、安装及安装所需的一切配套施工、并网及相应安全、监控、清洗、运维设施安装至实现并网送电审批通过）。如因各方原因延误的，乙方应尽最大可能增配人员或实施条件进行赶工，保证按约定工期按质按量顺利完工。</w:t>
      </w:r>
    </w:p>
    <w:p w14:paraId="73C55AA0">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bookmarkStart w:id="508" w:name="OLE_LINK512"/>
      <w:bookmarkStart w:id="509" w:name="OLE_LINK455"/>
      <w:r>
        <w:rPr>
          <w:rFonts w:hint="eastAsia" w:ascii="宋体" w:hAnsi="宋体" w:eastAsia="宋体" w:cs="宋体"/>
          <w:color w:val="000000" w:themeColor="text1"/>
          <w:szCs w:val="21"/>
          <w:highlight w:val="none"/>
          <w14:textFill>
            <w14:solidFill>
              <w14:schemeClr w14:val="tx1"/>
            </w14:solidFill>
          </w14:textFill>
        </w:rPr>
        <w:t>运维期：1年，自项目全部并网审批通过开始正式送电之日起计算。</w:t>
      </w:r>
      <w:bookmarkEnd w:id="508"/>
    </w:p>
    <w:bookmarkEnd w:id="509"/>
    <w:p w14:paraId="75329911">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bookmarkStart w:id="510" w:name="OLE_LINK277"/>
    </w:p>
    <w:bookmarkEnd w:id="510"/>
    <w:p w14:paraId="31272593">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第二条 </w:t>
      </w:r>
      <w:bookmarkStart w:id="511" w:name="OLE_LINK77"/>
      <w:r>
        <w:rPr>
          <w:rFonts w:hint="eastAsia" w:ascii="宋体" w:hAnsi="宋体" w:eastAsia="宋体" w:cs="宋体"/>
          <w:b/>
          <w:color w:val="000000" w:themeColor="text1"/>
          <w:szCs w:val="21"/>
          <w:highlight w:val="none"/>
          <w14:textFill>
            <w14:solidFill>
              <w14:schemeClr w14:val="tx1"/>
            </w14:solidFill>
          </w14:textFill>
        </w:rPr>
        <w:t>合同价及销项税额</w:t>
      </w:r>
      <w:bookmarkEnd w:id="511"/>
    </w:p>
    <w:p w14:paraId="45D950BE">
      <w:pPr>
        <w:pStyle w:val="2"/>
        <w:tabs>
          <w:tab w:val="left" w:pos="9008"/>
        </w:tabs>
        <w:snapToGrid w:val="0"/>
        <w:spacing w:line="360" w:lineRule="auto"/>
        <w:ind w:right="0" w:firstLine="420" w:firstLineChars="200"/>
        <w:jc w:val="both"/>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l、本合同价（即销售额，不含乙方销项税额）为</w:t>
      </w:r>
      <w:r>
        <w:rPr>
          <w:rFonts w:hint="eastAsia" w:hAnsi="宋体" w:cs="宋体"/>
          <w:b w:val="0"/>
          <w:bCs w:val="0"/>
          <w:color w:val="000000" w:themeColor="text1"/>
          <w:sz w:val="21"/>
          <w:szCs w:val="21"/>
          <w:highlight w:val="none"/>
          <w:u w:val="single"/>
          <w:lang w:val="en-US"/>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元（大写人民币</w:t>
      </w:r>
      <w:r>
        <w:rPr>
          <w:rFonts w:hint="eastAsia" w:hAnsi="宋体" w:cs="宋体"/>
          <w:b w:val="0"/>
          <w:bCs w:val="0"/>
          <w:color w:val="000000" w:themeColor="text1"/>
          <w:sz w:val="21"/>
          <w:szCs w:val="21"/>
          <w:highlight w:val="none"/>
          <w:u w:val="single"/>
          <w:lang w:val="en-US"/>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），包含但不限于：（1）光伏系统的设计服务费（</w:t>
      </w:r>
      <w:r>
        <w:rPr>
          <w:rFonts w:hint="eastAsia" w:hAnsi="宋体" w:cs="宋体"/>
          <w:b w:val="0"/>
          <w:bCs w:val="0"/>
          <w:color w:val="000000" w:themeColor="text1"/>
          <w:sz w:val="21"/>
          <w:szCs w:val="21"/>
          <w:highlight w:val="none"/>
          <w:lang w:val="en-US"/>
          <w14:textFill>
            <w14:solidFill>
              <w14:schemeClr w14:val="tx1"/>
            </w14:solidFill>
          </w14:textFill>
        </w:rPr>
        <w:t>包括深化设计费用</w:t>
      </w:r>
      <w:r>
        <w:rPr>
          <w:rFonts w:hint="eastAsia" w:hAnsi="宋体" w:cs="宋体"/>
          <w:b w:val="0"/>
          <w:bCs w:val="0"/>
          <w:color w:val="000000" w:themeColor="text1"/>
          <w:sz w:val="21"/>
          <w:szCs w:val="21"/>
          <w:highlight w:val="none"/>
          <w14:textFill>
            <w14:solidFill>
              <w14:schemeClr w14:val="tx1"/>
            </w14:solidFill>
          </w14:textFill>
        </w:rPr>
        <w:t>）、货物及零配件成本费、运输费、包装费、装卸费、搬运（含二次搬运）费、保险费、安装费及安装设备所需的配件等费用、安装所需的一切配套施工费用、调试费、材料费、验收费（含验收所需的专家费、会务费、差旅费、验收材料费等）、人工费、技术培训费、技术服务（包括技术资料、图纸的提供等）、其它保障光伏系统稳定运行所必须的相关工作费用、质保期设备保修保养费等；（2）运维一年费用（含日常办公费用、巡检费、设备设施维修养护/清洗费、设备运营所需的维修及耗材费用、人员工资、员工保险、利润（管理酬金）等一切费用）；（3）供货货物及其工艺所有制造方、使用方应支付的对专有技术、商标权、专利权和版权、设计或其他知识产权而需要向其他方支付的版税；（</w:t>
      </w:r>
      <w:r>
        <w:rPr>
          <w:rFonts w:hint="eastAsia" w:hAnsi="宋体" w:cs="宋体"/>
          <w:b w:val="0"/>
          <w:bCs w:val="0"/>
          <w:color w:val="000000" w:themeColor="text1"/>
          <w:sz w:val="21"/>
          <w:szCs w:val="21"/>
          <w:highlight w:val="none"/>
          <w:lang w:val="en-US"/>
          <w14:textFill>
            <w14:solidFill>
              <w14:schemeClr w14:val="tx1"/>
            </w14:solidFill>
          </w14:textFill>
        </w:rPr>
        <w:t>4</w:t>
      </w:r>
      <w:r>
        <w:rPr>
          <w:rFonts w:hint="eastAsia" w:hAnsi="宋体" w:cs="宋体"/>
          <w:b w:val="0"/>
          <w:bCs w:val="0"/>
          <w:color w:val="000000" w:themeColor="text1"/>
          <w:sz w:val="21"/>
          <w:szCs w:val="21"/>
          <w:highlight w:val="none"/>
          <w14:textFill>
            <w14:solidFill>
              <w14:schemeClr w14:val="tx1"/>
            </w14:solidFill>
          </w14:textFill>
        </w:rPr>
        <w:t>）日常技术指导，免费的质保服务，包括但不限于免费现场质量问题处理或更换失效产品；（</w:t>
      </w:r>
      <w:r>
        <w:rPr>
          <w:rFonts w:hint="eastAsia" w:hAnsi="宋体" w:cs="宋体"/>
          <w:b w:val="0"/>
          <w:bCs w:val="0"/>
          <w:color w:val="000000" w:themeColor="text1"/>
          <w:sz w:val="21"/>
          <w:szCs w:val="21"/>
          <w:highlight w:val="none"/>
          <w:lang w:val="en-US"/>
          <w14:textFill>
            <w14:solidFill>
              <w14:schemeClr w14:val="tx1"/>
            </w14:solidFill>
          </w14:textFill>
        </w:rPr>
        <w:t>5</w:t>
      </w:r>
      <w:r>
        <w:rPr>
          <w:rFonts w:hint="eastAsia" w:hAnsi="宋体" w:cs="宋体"/>
          <w:b w:val="0"/>
          <w:bCs w:val="0"/>
          <w:color w:val="000000" w:themeColor="text1"/>
          <w:sz w:val="21"/>
          <w:szCs w:val="21"/>
          <w:highlight w:val="none"/>
          <w14:textFill>
            <w14:solidFill>
              <w14:schemeClr w14:val="tx1"/>
            </w14:solidFill>
          </w14:textFill>
        </w:rPr>
        <w:t>）合理利润、乙方销项税额以外的税费及合同实施过程中的应预见和不可预见费用等完成合同规定责任和义务、达到合同目的的一切费用等；（</w:t>
      </w:r>
      <w:r>
        <w:rPr>
          <w:rFonts w:hint="eastAsia" w:hAnsi="宋体" w:cs="宋体"/>
          <w:b w:val="0"/>
          <w:bCs w:val="0"/>
          <w:color w:val="000000" w:themeColor="text1"/>
          <w:sz w:val="21"/>
          <w:szCs w:val="21"/>
          <w:highlight w:val="none"/>
          <w:lang w:val="en-US"/>
          <w14:textFill>
            <w14:solidFill>
              <w14:schemeClr w14:val="tx1"/>
            </w14:solidFill>
          </w14:textFill>
        </w:rPr>
        <w:t>6</w:t>
      </w:r>
      <w:r>
        <w:rPr>
          <w:rFonts w:hint="eastAsia" w:hAnsi="宋体" w:cs="宋体"/>
          <w:b w:val="0"/>
          <w:bCs w:val="0"/>
          <w:color w:val="000000" w:themeColor="text1"/>
          <w:sz w:val="21"/>
          <w:szCs w:val="21"/>
          <w:highlight w:val="none"/>
          <w14:textFill>
            <w14:solidFill>
              <w14:schemeClr w14:val="tx1"/>
            </w14:solidFill>
          </w14:textFill>
        </w:rPr>
        <w:t>）法律法规、商业公认、招标文件规定由乙方承担的其他直接及间接费用。在本合同履行过程中，合同价（即销售额，不含乙方销项税额）不随法律法规政策、物价人工、工期调整而进行调整，未经甲方书面确认，乙方无权增加任何费用。若出现合同约定的销售折扣</w:t>
      </w:r>
      <w:r>
        <w:rPr>
          <w:rFonts w:hint="eastAsia" w:hAnsi="宋体" w:cs="宋体"/>
          <w:b w:val="0"/>
          <w:bCs w:val="0"/>
          <w:color w:val="000000" w:themeColor="text1"/>
          <w:sz w:val="21"/>
          <w:szCs w:val="21"/>
          <w:highlight w:val="none"/>
          <w:lang w:val="en-US"/>
          <w14:textFill>
            <w14:solidFill>
              <w14:schemeClr w14:val="tx1"/>
            </w14:solidFill>
          </w14:textFill>
        </w:rPr>
        <w:t>情</w:t>
      </w:r>
      <w:r>
        <w:rPr>
          <w:rFonts w:hint="eastAsia" w:hAnsi="宋体" w:cs="宋体"/>
          <w:b w:val="0"/>
          <w:bCs w:val="0"/>
          <w:color w:val="000000" w:themeColor="text1"/>
          <w:sz w:val="21"/>
          <w:szCs w:val="21"/>
          <w:highlight w:val="none"/>
          <w14:textFill>
            <w14:solidFill>
              <w14:schemeClr w14:val="tx1"/>
            </w14:solidFill>
          </w14:textFill>
        </w:rPr>
        <w:t>形，甲、乙双方协商一致后降低合同价。</w:t>
      </w:r>
    </w:p>
    <w:p w14:paraId="3CFB68C8">
      <w:pPr>
        <w:pStyle w:val="2"/>
        <w:tabs>
          <w:tab w:val="left" w:pos="9008"/>
        </w:tabs>
        <w:snapToGrid w:val="0"/>
        <w:spacing w:line="360" w:lineRule="auto"/>
        <w:ind w:right="0" w:firstLine="420" w:firstLineChars="200"/>
        <w:jc w:val="both"/>
        <w:rPr>
          <w:rFonts w:hAnsi="宋体" w:cs="宋体"/>
          <w:b w:val="0"/>
          <w:bCs w:val="0"/>
          <w:color w:val="000000" w:themeColor="text1"/>
          <w:sz w:val="21"/>
          <w:szCs w:val="21"/>
          <w:highlight w:val="none"/>
          <w:lang w:val="en-US"/>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本项目以暂定总价、固定每瓦单价总承包，根据最终容量及</w:t>
      </w:r>
      <w:bookmarkStart w:id="512" w:name="OLE_LINK456"/>
      <w:r>
        <w:rPr>
          <w:rFonts w:hint="eastAsia" w:hAnsi="宋体" w:cs="宋体"/>
          <w:b w:val="0"/>
          <w:bCs w:val="0"/>
          <w:color w:val="000000" w:themeColor="text1"/>
          <w:sz w:val="21"/>
          <w:szCs w:val="21"/>
          <w:highlight w:val="none"/>
          <w:lang w:val="en-US"/>
          <w14:textFill>
            <w14:solidFill>
              <w14:schemeClr w14:val="tx1"/>
            </w14:solidFill>
          </w14:textFill>
        </w:rPr>
        <w:t>本合同约定</w:t>
      </w:r>
      <w:bookmarkEnd w:id="512"/>
      <w:r>
        <w:rPr>
          <w:rFonts w:hint="eastAsia" w:hAnsi="宋体" w:cs="宋体"/>
          <w:b w:val="0"/>
          <w:bCs w:val="0"/>
          <w:color w:val="000000" w:themeColor="text1"/>
          <w:sz w:val="21"/>
          <w:szCs w:val="21"/>
          <w:highlight w:val="none"/>
          <w:lang w:val="en-US"/>
          <w14:textFill>
            <w14:solidFill>
              <w14:schemeClr w14:val="tx1"/>
            </w14:solidFill>
          </w14:textFill>
        </w:rPr>
        <w:t>作相应调整。中标</w:t>
      </w:r>
      <w:bookmarkStart w:id="513" w:name="OLE_LINK375"/>
      <w:r>
        <w:rPr>
          <w:rFonts w:hint="eastAsia" w:hAnsi="宋体" w:cs="宋体"/>
          <w:b w:val="0"/>
          <w:bCs w:val="0"/>
          <w:color w:val="000000" w:themeColor="text1"/>
          <w:sz w:val="21"/>
          <w:szCs w:val="21"/>
          <w:highlight w:val="none"/>
          <w:lang w:val="en-US"/>
          <w14:textFill>
            <w14:solidFill>
              <w14:schemeClr w14:val="tx1"/>
            </w14:solidFill>
          </w14:textFill>
        </w:rPr>
        <w:t>固定每瓦单价</w:t>
      </w:r>
      <w:bookmarkEnd w:id="513"/>
      <w:r>
        <w:rPr>
          <w:rFonts w:hint="eastAsia" w:hAnsi="宋体" w:cs="宋体"/>
          <w:b w:val="0"/>
          <w:bCs w:val="0"/>
          <w:color w:val="000000" w:themeColor="text1"/>
          <w:sz w:val="21"/>
          <w:szCs w:val="21"/>
          <w:highlight w:val="none"/>
          <w14:textFill>
            <w14:solidFill>
              <w14:schemeClr w14:val="tx1"/>
            </w14:solidFill>
          </w14:textFill>
        </w:rPr>
        <w:t>为</w:t>
      </w:r>
      <w:r>
        <w:rPr>
          <w:rFonts w:hint="eastAsia" w:hAnsi="宋体" w:cs="宋体"/>
          <w:b w:val="0"/>
          <w:bCs w:val="0"/>
          <w:color w:val="000000" w:themeColor="text1"/>
          <w:sz w:val="21"/>
          <w:szCs w:val="21"/>
          <w:highlight w:val="none"/>
          <w:u w:val="single"/>
          <w:lang w:val="en-US"/>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元（大写人民币</w:t>
      </w:r>
      <w:r>
        <w:rPr>
          <w:rFonts w:hint="eastAsia" w:hAnsi="宋体" w:cs="宋体"/>
          <w:b w:val="0"/>
          <w:bCs w:val="0"/>
          <w:color w:val="000000" w:themeColor="text1"/>
          <w:sz w:val="21"/>
          <w:szCs w:val="21"/>
          <w:highlight w:val="none"/>
          <w:u w:val="single"/>
          <w:lang w:val="en-US"/>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）。注：</w:t>
      </w:r>
      <w:r>
        <w:rPr>
          <w:rFonts w:hint="eastAsia" w:hAnsi="宋体" w:cs="宋体"/>
          <w:b w:val="0"/>
          <w:bCs w:val="0"/>
          <w:color w:val="000000" w:themeColor="text1"/>
          <w:sz w:val="21"/>
          <w:szCs w:val="21"/>
          <w:highlight w:val="none"/>
          <w:lang w:val="en-US"/>
          <w14:textFill>
            <w14:solidFill>
              <w14:schemeClr w14:val="tx1"/>
            </w14:solidFill>
          </w14:textFill>
        </w:rPr>
        <w:t>①经甲方书面提出或确认组件及支架安装数量变化时，按照实际装机容量结算；</w:t>
      </w:r>
      <w:r>
        <w:rPr>
          <w:rFonts w:hint="eastAsia" w:hAnsi="宋体" w:cs="宋体"/>
          <w:b w:val="0"/>
          <w:bCs w:val="0"/>
          <w:color w:val="000000" w:themeColor="text1"/>
          <w:sz w:val="21"/>
          <w:szCs w:val="21"/>
          <w:highlight w:val="none"/>
          <w14:textFill>
            <w14:solidFill>
              <w14:schemeClr w14:val="tx1"/>
            </w14:solidFill>
          </w14:textFill>
        </w:rPr>
        <w:t>在组件</w:t>
      </w:r>
      <w:bookmarkStart w:id="514" w:name="OLE_LINK457"/>
      <w:r>
        <w:rPr>
          <w:rFonts w:hint="eastAsia" w:hAnsi="宋体" w:cs="宋体"/>
          <w:b w:val="0"/>
          <w:bCs w:val="0"/>
          <w:color w:val="000000" w:themeColor="text1"/>
          <w:sz w:val="21"/>
          <w:szCs w:val="21"/>
          <w:highlight w:val="none"/>
          <w14:textFill>
            <w14:solidFill>
              <w14:schemeClr w14:val="tx1"/>
            </w14:solidFill>
          </w14:textFill>
        </w:rPr>
        <w:t>及支架安装数</w:t>
      </w:r>
      <w:bookmarkEnd w:id="514"/>
      <w:r>
        <w:rPr>
          <w:rFonts w:hint="eastAsia" w:hAnsi="宋体" w:cs="宋体"/>
          <w:b w:val="0"/>
          <w:bCs w:val="0"/>
          <w:color w:val="000000" w:themeColor="text1"/>
          <w:sz w:val="21"/>
          <w:szCs w:val="21"/>
          <w:highlight w:val="none"/>
          <w14:textFill>
            <w14:solidFill>
              <w14:schemeClr w14:val="tx1"/>
            </w14:solidFill>
          </w14:textFill>
        </w:rPr>
        <w:t>量不变的情况下，如果因单块组件容量增大导致实际装机容量增大，仍按单块组件590Wp计算总装机容量来结算总价，如组件单块容量不变，安装组件数量增</w:t>
      </w:r>
      <w:r>
        <w:rPr>
          <w:rFonts w:hint="eastAsia" w:hAnsi="宋体" w:cs="宋体"/>
          <w:b w:val="0"/>
          <w:bCs w:val="0"/>
          <w:color w:val="000000" w:themeColor="text1"/>
          <w:sz w:val="21"/>
          <w:szCs w:val="21"/>
          <w:highlight w:val="none"/>
          <w:lang w:val="en-US"/>
          <w14:textFill>
            <w14:solidFill>
              <w14:schemeClr w14:val="tx1"/>
            </w14:solidFill>
          </w14:textFill>
        </w:rPr>
        <w:t>减</w:t>
      </w:r>
      <w:r>
        <w:rPr>
          <w:rFonts w:hint="eastAsia" w:hAnsi="宋体" w:cs="宋体"/>
          <w:b w:val="0"/>
          <w:bCs w:val="0"/>
          <w:color w:val="000000" w:themeColor="text1"/>
          <w:sz w:val="21"/>
          <w:szCs w:val="21"/>
          <w:highlight w:val="none"/>
          <w14:textFill>
            <w14:solidFill>
              <w14:schemeClr w14:val="tx1"/>
            </w14:solidFill>
          </w14:textFill>
        </w:rPr>
        <w:t>，应按照实际装机容量结算。中标固定每瓦单价=中标报价总价÷装机容量（四舍五入保留小数点后3位小数），按中标固定每瓦单价×实际装机容量进行结算。②合同暂定价格仅为便于计算使用，不作为</w:t>
      </w:r>
      <w:r>
        <w:rPr>
          <w:rFonts w:hint="eastAsia" w:hAnsi="宋体" w:cs="宋体"/>
          <w:b w:val="0"/>
          <w:bCs w:val="0"/>
          <w:color w:val="000000" w:themeColor="text1"/>
          <w:sz w:val="21"/>
          <w:szCs w:val="21"/>
          <w:highlight w:val="none"/>
          <w:lang w:val="en-US"/>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最终采购实施数量的保证。</w:t>
      </w:r>
      <w:r>
        <w:rPr>
          <w:rFonts w:hint="eastAsia" w:hAnsi="宋体" w:cs="宋体"/>
          <w:b w:val="0"/>
          <w:bCs w:val="0"/>
          <w:color w:val="000000" w:themeColor="text1"/>
          <w:sz w:val="21"/>
          <w:szCs w:val="21"/>
          <w:highlight w:val="none"/>
          <w:lang w:val="en-US"/>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的实际需求数量以实际装机容量为准，按实结算。在履行期内，</w:t>
      </w:r>
      <w:r>
        <w:rPr>
          <w:rFonts w:hint="eastAsia" w:hAnsi="宋体" w:cs="宋体"/>
          <w:b w:val="0"/>
          <w:bCs w:val="0"/>
          <w:color w:val="000000" w:themeColor="text1"/>
          <w:sz w:val="21"/>
          <w:szCs w:val="21"/>
          <w:highlight w:val="none"/>
          <w:lang w:val="en-US"/>
          <w14:textFill>
            <w14:solidFill>
              <w14:schemeClr w14:val="tx1"/>
            </w14:solidFill>
          </w14:textFill>
        </w:rPr>
        <w:t>乙方</w:t>
      </w:r>
      <w:r>
        <w:rPr>
          <w:rFonts w:hint="eastAsia" w:hAnsi="宋体" w:cs="宋体"/>
          <w:b w:val="0"/>
          <w:bCs w:val="0"/>
          <w:color w:val="000000" w:themeColor="text1"/>
          <w:sz w:val="21"/>
          <w:szCs w:val="21"/>
          <w:highlight w:val="none"/>
          <w14:textFill>
            <w14:solidFill>
              <w14:schemeClr w14:val="tx1"/>
            </w14:solidFill>
          </w14:textFill>
        </w:rPr>
        <w:t>不得因</w:t>
      </w:r>
      <w:r>
        <w:rPr>
          <w:rFonts w:hint="eastAsia" w:hAnsi="宋体" w:cs="宋体"/>
          <w:b w:val="0"/>
          <w:bCs w:val="0"/>
          <w:color w:val="000000" w:themeColor="text1"/>
          <w:sz w:val="21"/>
          <w:szCs w:val="21"/>
          <w:highlight w:val="none"/>
          <w:lang w:val="en-US"/>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实际采购实施数量的减少或增加而要求</w:t>
      </w:r>
      <w:r>
        <w:rPr>
          <w:rFonts w:hint="eastAsia" w:hAnsi="宋体" w:cs="宋体"/>
          <w:b w:val="0"/>
          <w:bCs w:val="0"/>
          <w:color w:val="000000" w:themeColor="text1"/>
          <w:sz w:val="21"/>
          <w:szCs w:val="21"/>
          <w:highlight w:val="none"/>
          <w:lang w:val="en-US"/>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作出任何形式的补偿或赔偿，或要求</w:t>
      </w:r>
      <w:r>
        <w:rPr>
          <w:rFonts w:hint="eastAsia" w:hAnsi="宋体" w:cs="宋体"/>
          <w:b w:val="0"/>
          <w:bCs w:val="0"/>
          <w:color w:val="000000" w:themeColor="text1"/>
          <w:sz w:val="21"/>
          <w:szCs w:val="21"/>
          <w:highlight w:val="none"/>
          <w:lang w:val="en-US"/>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按暂定数量采购相应货物。</w:t>
      </w:r>
    </w:p>
    <w:p w14:paraId="13EF9FBE">
      <w:pPr>
        <w:pStyle w:val="2"/>
        <w:tabs>
          <w:tab w:val="left" w:pos="2766"/>
          <w:tab w:val="left" w:pos="5888"/>
          <w:tab w:val="left" w:pos="8696"/>
          <w:tab w:val="left" w:pos="9074"/>
        </w:tabs>
        <w:snapToGrid w:val="0"/>
        <w:spacing w:line="360" w:lineRule="auto"/>
        <w:ind w:right="0" w:firstLine="420" w:firstLineChars="200"/>
        <w:jc w:val="both"/>
        <w:rPr>
          <w:rFonts w:hAnsi="宋体" w:cs="宋体"/>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2、依法计得并根据本合同约定确定的销项税额由甲方承担。根据《中华人民共和国增值税暂行条例》（国务院令第691号修订版）及当前税务部门的相关规定，本合同项目的增值税税率为</w:t>
      </w:r>
      <w:r>
        <w:rPr>
          <w:rFonts w:hint="eastAsia" w:hAnsi="宋体" w:cs="宋体"/>
          <w:b w:val="0"/>
          <w:bCs w:val="0"/>
          <w:color w:val="000000" w:themeColor="text1"/>
          <w:sz w:val="21"/>
          <w:szCs w:val="21"/>
          <w:highlight w:val="none"/>
          <w:u w:val="single"/>
          <w:lang w:val="en-US"/>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，对应的销项税额为</w:t>
      </w:r>
      <w:r>
        <w:rPr>
          <w:rFonts w:hint="eastAsia" w:hAnsi="宋体" w:cs="宋体"/>
          <w:b w:val="0"/>
          <w:bCs w:val="0"/>
          <w:color w:val="000000" w:themeColor="text1"/>
          <w:sz w:val="21"/>
          <w:szCs w:val="21"/>
          <w:highlight w:val="none"/>
          <w:u w:val="single"/>
          <w:lang w:val="en-US"/>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元（大写人民币</w:t>
      </w:r>
      <w:r>
        <w:rPr>
          <w:rFonts w:hint="eastAsia" w:hAnsi="宋体" w:cs="宋体"/>
          <w:b w:val="0"/>
          <w:bCs w:val="0"/>
          <w:color w:val="000000" w:themeColor="text1"/>
          <w:sz w:val="21"/>
          <w:szCs w:val="21"/>
          <w:highlight w:val="none"/>
          <w:u w:val="single"/>
          <w:lang w:val="en-US"/>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在本合同履行过程中，税收政策变动导致增值税税率调整，依法应调整销项税额的，依法调整；但因乙方未按合同约定工期完工、未根据合同约定提供合法、完整的请款资料、项目验收不合格导致的返工或退货、项目验收合格前的非正常损耗等原因导致销项税额增加的，相应损失由乙方承担。</w:t>
      </w:r>
    </w:p>
    <w:p w14:paraId="6AD002C1">
      <w:pPr>
        <w:pStyle w:val="2"/>
        <w:snapToGrid w:val="0"/>
        <w:spacing w:line="360" w:lineRule="auto"/>
        <w:ind w:right="0" w:firstLine="420" w:firstLineChars="200"/>
        <w:jc w:val="both"/>
        <w:rPr>
          <w:rFonts w:hAnsi="宋体" w:cs="宋体"/>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因</w:t>
      </w:r>
      <w:r>
        <w:rPr>
          <w:rFonts w:hint="eastAsia" w:hAnsi="宋体" w:cs="宋体"/>
          <w:b w:val="0"/>
          <w:bCs w:val="0"/>
          <w:color w:val="000000" w:themeColor="text1"/>
          <w:sz w:val="21"/>
          <w:szCs w:val="21"/>
          <w:highlight w:val="none"/>
          <w14:textFill>
            <w14:solidFill>
              <w14:schemeClr w14:val="tx1"/>
            </w14:solidFill>
          </w14:textFill>
        </w:rPr>
        <w:t>乙方未按法定税率计算税额或未根据本合同约定出具对应税额的增值税专用发票等乙方原因导致甲方多支付税额的，乙方必须退还甲方，给甲方造成损失的，乙方须向甲方赔偿相应损失。</w:t>
      </w:r>
    </w:p>
    <w:p w14:paraId="490691EF">
      <w:pPr>
        <w:pStyle w:val="2"/>
        <w:numPr>
          <w:ilvl w:val="0"/>
          <w:numId w:val="3"/>
        </w:numPr>
        <w:tabs>
          <w:tab w:val="left" w:pos="3331"/>
          <w:tab w:val="left" w:pos="6460"/>
        </w:tabs>
        <w:snapToGrid w:val="0"/>
        <w:spacing w:line="360" w:lineRule="auto"/>
        <w:ind w:right="0" w:firstLine="420" w:firstLineChars="200"/>
        <w:jc w:val="both"/>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合同价税合计为</w:t>
      </w:r>
      <w:r>
        <w:rPr>
          <w:rFonts w:hint="eastAsia" w:hAnsi="宋体" w:cs="宋体"/>
          <w:b w:val="0"/>
          <w:bCs w:val="0"/>
          <w:color w:val="000000" w:themeColor="text1"/>
          <w:sz w:val="21"/>
          <w:szCs w:val="21"/>
          <w:highlight w:val="none"/>
          <w:u w:val="single"/>
          <w:lang w:val="en-US"/>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元（大写人民币</w:t>
      </w:r>
      <w:r>
        <w:rPr>
          <w:rFonts w:hint="eastAsia" w:hAnsi="宋体" w:cs="宋体"/>
          <w:b w:val="0"/>
          <w:bCs w:val="0"/>
          <w:color w:val="000000" w:themeColor="text1"/>
          <w:sz w:val="21"/>
          <w:szCs w:val="21"/>
          <w:highlight w:val="none"/>
          <w:u w:val="single"/>
          <w:lang w:val="en-US"/>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），合同履行期间根据本条第2项规定调整销项税额的，结算合同价税合计对应调整。</w:t>
      </w:r>
    </w:p>
    <w:p w14:paraId="1C19665A">
      <w:pPr>
        <w:pStyle w:val="22"/>
        <w:tabs>
          <w:tab w:val="left" w:pos="0"/>
        </w:tabs>
        <w:adjustRightInd w:val="0"/>
        <w:spacing w:line="360" w:lineRule="auto"/>
        <w:ind w:firstLine="420"/>
        <w:textAlignment w:val="baseline"/>
        <w:rPr>
          <w:rFonts w:hAnsi="宋体" w:cs="宋体"/>
          <w:color w:val="000000" w:themeColor="text1"/>
          <w:szCs w:val="21"/>
          <w:highlight w:val="none"/>
          <w14:textFill>
            <w14:solidFill>
              <w14:schemeClr w14:val="tx1"/>
            </w14:solidFill>
          </w14:textFill>
        </w:rPr>
      </w:pPr>
    </w:p>
    <w:p w14:paraId="15784D16">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bookmarkStart w:id="515" w:name="OLE_LINK248"/>
      <w:r>
        <w:rPr>
          <w:rFonts w:hint="eastAsia" w:ascii="宋体" w:hAnsi="宋体" w:eastAsia="宋体" w:cs="宋体"/>
          <w:b/>
          <w:color w:val="000000" w:themeColor="text1"/>
          <w:szCs w:val="21"/>
          <w:highlight w:val="none"/>
          <w14:textFill>
            <w14:solidFill>
              <w14:schemeClr w14:val="tx1"/>
            </w14:solidFill>
          </w14:textFill>
        </w:rPr>
        <w:t xml:space="preserve">第三条 </w:t>
      </w:r>
      <w:bookmarkStart w:id="516" w:name="OLE_LINK78"/>
      <w:r>
        <w:rPr>
          <w:rFonts w:hint="eastAsia" w:ascii="宋体" w:hAnsi="宋体" w:eastAsia="宋体" w:cs="宋体"/>
          <w:b/>
          <w:color w:val="000000" w:themeColor="text1"/>
          <w:szCs w:val="21"/>
          <w:highlight w:val="none"/>
          <w14:textFill>
            <w14:solidFill>
              <w14:schemeClr w14:val="tx1"/>
            </w14:solidFill>
          </w14:textFill>
        </w:rPr>
        <w:t>付款方式</w:t>
      </w:r>
      <w:bookmarkEnd w:id="516"/>
    </w:p>
    <w:bookmarkEnd w:id="515"/>
    <w:p w14:paraId="4331F5EC">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1</w:t>
      </w:r>
      <w:r>
        <w:rPr>
          <w:rFonts w:hint="eastAsia" w:hAnsi="宋体" w:cs="宋体"/>
          <w:b w:val="0"/>
          <w:bCs w:val="0"/>
          <w:color w:val="000000" w:themeColor="text1"/>
          <w:sz w:val="21"/>
          <w:szCs w:val="21"/>
          <w:highlight w:val="none"/>
          <w14:textFill>
            <w14:solidFill>
              <w14:schemeClr w14:val="tx1"/>
            </w14:solidFill>
          </w14:textFill>
        </w:rPr>
        <w:t>、合同的履约过程中，乙方根据本合同约定需向甲方支付违约金、赔偿金、或其他应付费用等款项的，乙方必须先向甲方支付相关款项后，</w:t>
      </w:r>
      <w:r>
        <w:rPr>
          <w:rFonts w:hint="eastAsia" w:hAnsi="宋体" w:cs="宋体"/>
          <w:b w:val="0"/>
          <w:bCs w:val="0"/>
          <w:color w:val="000000" w:themeColor="text1"/>
          <w:sz w:val="21"/>
          <w:szCs w:val="21"/>
          <w:highlight w:val="none"/>
          <w:lang w:val="en-US"/>
          <w14:textFill>
            <w14:solidFill>
              <w14:schemeClr w14:val="tx1"/>
            </w14:solidFill>
          </w14:textFill>
        </w:rPr>
        <w:t>甲</w:t>
      </w:r>
      <w:r>
        <w:rPr>
          <w:rFonts w:hint="eastAsia" w:hAnsi="宋体" w:cs="宋体"/>
          <w:b w:val="0"/>
          <w:bCs w:val="0"/>
          <w:color w:val="000000" w:themeColor="text1"/>
          <w:sz w:val="21"/>
          <w:szCs w:val="21"/>
          <w:highlight w:val="none"/>
          <w14:textFill>
            <w14:solidFill>
              <w14:schemeClr w14:val="tx1"/>
            </w14:solidFill>
          </w14:textFill>
        </w:rPr>
        <w:t>方才根据本合同向乙方支付合同价和税额。若因乙方未能支付前述费用，影响项目实施的，</w:t>
      </w:r>
      <w:r>
        <w:rPr>
          <w:rFonts w:hint="eastAsia" w:hAnsi="宋体" w:cs="宋体"/>
          <w:b w:val="0"/>
          <w:bCs w:val="0"/>
          <w:color w:val="000000" w:themeColor="text1"/>
          <w:sz w:val="21"/>
          <w:szCs w:val="21"/>
          <w:highlight w:val="none"/>
          <w:lang w:val="en-US"/>
          <w14:textFill>
            <w14:solidFill>
              <w14:schemeClr w14:val="tx1"/>
            </w14:solidFill>
          </w14:textFill>
        </w:rPr>
        <w:t>甲</w:t>
      </w:r>
      <w:r>
        <w:rPr>
          <w:rFonts w:hint="eastAsia" w:hAnsi="宋体" w:cs="宋体"/>
          <w:b w:val="0"/>
          <w:bCs w:val="0"/>
          <w:color w:val="000000" w:themeColor="text1"/>
          <w:sz w:val="21"/>
          <w:szCs w:val="21"/>
          <w:highlight w:val="none"/>
          <w14:textFill>
            <w14:solidFill>
              <w14:schemeClr w14:val="tx1"/>
            </w14:solidFill>
          </w14:textFill>
        </w:rPr>
        <w:t>方有权启用履约担保或直接从未付合同款项、质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保证金中直接扣除，</w:t>
      </w:r>
      <w:r>
        <w:rPr>
          <w:rFonts w:hint="eastAsia" w:hAnsi="宋体" w:cs="宋体"/>
          <w:b w:val="0"/>
          <w:bCs w:val="0"/>
          <w:color w:val="000000" w:themeColor="text1"/>
          <w:sz w:val="21"/>
          <w:szCs w:val="21"/>
          <w:highlight w:val="none"/>
          <w:lang w:val="en-US"/>
          <w14:textFill>
            <w14:solidFill>
              <w14:schemeClr w14:val="tx1"/>
            </w14:solidFill>
          </w14:textFill>
        </w:rPr>
        <w:t>且</w:t>
      </w:r>
      <w:r>
        <w:rPr>
          <w:rFonts w:hint="eastAsia" w:hAnsi="宋体" w:cs="宋体"/>
          <w:b w:val="0"/>
          <w:bCs w:val="0"/>
          <w:color w:val="000000" w:themeColor="text1"/>
          <w:sz w:val="21"/>
          <w:szCs w:val="21"/>
          <w:highlight w:val="none"/>
          <w14:textFill>
            <w14:solidFill>
              <w14:schemeClr w14:val="tx1"/>
            </w14:solidFill>
          </w14:textFill>
        </w:rPr>
        <w:t>乙方必须按照扣除前述费用前的合同价（销售额）开具增值税专用发票，保证增值税税额符合法律规定。</w:t>
      </w:r>
    </w:p>
    <w:p w14:paraId="6EB429A9">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2、</w:t>
      </w:r>
      <w:r>
        <w:rPr>
          <w:rFonts w:hint="eastAsia" w:hAnsi="宋体" w:cs="宋体"/>
          <w:b w:val="0"/>
          <w:bCs w:val="0"/>
          <w:color w:val="000000" w:themeColor="text1"/>
          <w:sz w:val="21"/>
          <w:szCs w:val="21"/>
          <w:highlight w:val="none"/>
          <w14:textFill>
            <w14:solidFill>
              <w14:schemeClr w14:val="tx1"/>
            </w14:solidFill>
          </w14:textFill>
        </w:rPr>
        <w:t>本项目的</w:t>
      </w:r>
      <w:r>
        <w:rPr>
          <w:rFonts w:hint="eastAsia" w:hAnsi="宋体" w:cs="宋体"/>
          <w:b w:val="0"/>
          <w:bCs w:val="0"/>
          <w:color w:val="000000" w:themeColor="text1"/>
          <w:sz w:val="21"/>
          <w:szCs w:val="21"/>
          <w:highlight w:val="none"/>
          <w:lang w:val="en-US"/>
          <w14:textFill>
            <w14:solidFill>
              <w14:schemeClr w14:val="tx1"/>
            </w14:solidFill>
          </w14:textFill>
        </w:rPr>
        <w:t>合同价</w:t>
      </w:r>
      <w:r>
        <w:rPr>
          <w:rFonts w:hint="eastAsia" w:hAnsi="宋体" w:cs="宋体"/>
          <w:b w:val="0"/>
          <w:bCs w:val="0"/>
          <w:color w:val="000000" w:themeColor="text1"/>
          <w:sz w:val="21"/>
          <w:szCs w:val="21"/>
          <w:highlight w:val="none"/>
          <w14:textFill>
            <w14:solidFill>
              <w14:schemeClr w14:val="tx1"/>
            </w14:solidFill>
          </w14:textFill>
        </w:rPr>
        <w:t>为</w:t>
      </w:r>
      <w:r>
        <w:rPr>
          <w:rFonts w:hint="eastAsia" w:hAnsi="宋体" w:cs="宋体"/>
          <w:b w:val="0"/>
          <w:bCs w:val="0"/>
          <w:color w:val="000000" w:themeColor="text1"/>
          <w:sz w:val="21"/>
          <w:szCs w:val="21"/>
          <w:highlight w:val="none"/>
          <w:lang w:val="en-US"/>
          <w14:textFill>
            <w14:solidFill>
              <w14:schemeClr w14:val="tx1"/>
            </w14:solidFill>
          </w14:textFill>
        </w:rPr>
        <w:t>固定单价</w:t>
      </w:r>
      <w:r>
        <w:rPr>
          <w:rFonts w:hint="eastAsia" w:hAnsi="宋体" w:cs="宋体"/>
          <w:b w:val="0"/>
          <w:bCs w:val="0"/>
          <w:color w:val="000000" w:themeColor="text1"/>
          <w:sz w:val="21"/>
          <w:szCs w:val="21"/>
          <w:highlight w:val="none"/>
          <w14:textFill>
            <w14:solidFill>
              <w14:schemeClr w14:val="tx1"/>
            </w14:solidFill>
          </w14:textFill>
        </w:rPr>
        <w:t>包干，未经甲方书面确认，乙方无权另行收取其它任何费用。</w:t>
      </w:r>
    </w:p>
    <w:p w14:paraId="10AF2AD0">
      <w:pPr>
        <w:pStyle w:val="2"/>
        <w:snapToGrid w:val="0"/>
        <w:spacing w:line="360" w:lineRule="auto"/>
        <w:ind w:right="0" w:firstLine="420" w:firstLineChars="200"/>
        <w:jc w:val="left"/>
        <w:rPr>
          <w:rFonts w:hAnsi="宋体" w:cs="宋体"/>
          <w:b w:val="0"/>
          <w:bCs w:val="0"/>
          <w:color w:val="000000" w:themeColor="text1"/>
          <w:sz w:val="21"/>
          <w:szCs w:val="21"/>
          <w:highlight w:val="none"/>
          <w:lang w:val="en-US"/>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3、付款方式：</w:t>
      </w:r>
    </w:p>
    <w:p w14:paraId="2B0A2F20">
      <w:pPr>
        <w:pStyle w:val="2"/>
        <w:snapToGrid w:val="0"/>
        <w:spacing w:line="360" w:lineRule="auto"/>
        <w:ind w:right="0" w:firstLine="420" w:firstLineChars="200"/>
        <w:jc w:val="left"/>
        <w:rPr>
          <w:rFonts w:hAnsi="宋体" w:cs="宋体"/>
          <w:b w:val="0"/>
          <w:bCs w:val="0"/>
          <w:color w:val="000000" w:themeColor="text1"/>
          <w:sz w:val="21"/>
          <w:szCs w:val="21"/>
          <w:highlight w:val="none"/>
          <w:lang w:val="en-US"/>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（1）第一次付款：签订合同后15天内，支付暂定合同金额的30%；</w:t>
      </w:r>
    </w:p>
    <w:p w14:paraId="40BEB5FE">
      <w:pPr>
        <w:pStyle w:val="2"/>
        <w:snapToGrid w:val="0"/>
        <w:spacing w:line="360" w:lineRule="auto"/>
        <w:ind w:right="0" w:firstLine="420" w:firstLineChars="200"/>
        <w:jc w:val="left"/>
        <w:rPr>
          <w:rFonts w:hAnsi="宋体" w:cs="宋体"/>
          <w:b w:val="0"/>
          <w:bCs w:val="0"/>
          <w:color w:val="000000" w:themeColor="text1"/>
          <w:sz w:val="21"/>
          <w:szCs w:val="21"/>
          <w:highlight w:val="none"/>
          <w:lang w:val="en-US"/>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2）第二次付款：办理完成项目相关的报批、报建、报装申报手续及施工所需许可、证件、批件，包括但不限于办理施工许可证（或临时施工许可或夜间施工）、报监手续、余泥排放证、排水手续、排水接驳、排水许可证等及交纳散装水泥专项资金等工作，完成监控系统（甲方负责人指定位置）安装并投运。提交全套合同约定的施工图设计文件、工程的主设备（组件、逆变器）全部进场并交接验收合格后，甲方向乙方支付至暂定合同金额的70%；</w:t>
      </w:r>
    </w:p>
    <w:p w14:paraId="6F58A32B">
      <w:pPr>
        <w:pStyle w:val="2"/>
        <w:snapToGrid w:val="0"/>
        <w:spacing w:line="360" w:lineRule="auto"/>
        <w:ind w:right="0" w:firstLine="420" w:firstLineChars="200"/>
        <w:jc w:val="left"/>
        <w:rPr>
          <w:rFonts w:hAnsi="宋体" w:cs="宋体"/>
          <w:b w:val="0"/>
          <w:bCs w:val="0"/>
          <w:color w:val="000000" w:themeColor="text1"/>
          <w:sz w:val="21"/>
          <w:szCs w:val="21"/>
          <w:highlight w:val="none"/>
          <w:lang w:val="en-US"/>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（4）第三次付款：项目现场安装施工完毕初步验收合格并经相关部门验收并网送电后，甲方向乙方支付至暂定合同金额的80%。</w:t>
      </w:r>
    </w:p>
    <w:p w14:paraId="367896EB">
      <w:pPr>
        <w:pStyle w:val="2"/>
        <w:snapToGrid w:val="0"/>
        <w:spacing w:line="360" w:lineRule="auto"/>
        <w:ind w:right="0" w:firstLine="420" w:firstLineChars="200"/>
        <w:jc w:val="left"/>
        <w:rPr>
          <w:rFonts w:hAnsi="宋体" w:cs="宋体"/>
          <w:b w:val="0"/>
          <w:bCs w:val="0"/>
          <w:color w:val="000000" w:themeColor="text1"/>
          <w:sz w:val="21"/>
          <w:szCs w:val="21"/>
          <w:highlight w:val="none"/>
          <w:lang w:val="en-US"/>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（5）第四次付款：本项目</w:t>
      </w:r>
      <w:bookmarkStart w:id="517" w:name="OLE_LINK481"/>
      <w:r>
        <w:rPr>
          <w:rFonts w:hint="eastAsia" w:hAnsi="宋体" w:cs="宋体"/>
          <w:b w:val="0"/>
          <w:bCs w:val="0"/>
          <w:color w:val="000000" w:themeColor="text1"/>
          <w:sz w:val="21"/>
          <w:szCs w:val="21"/>
          <w:highlight w:val="none"/>
          <w:lang w:val="en-US"/>
          <w14:textFill>
            <w14:solidFill>
              <w14:schemeClr w14:val="tx1"/>
            </w14:solidFill>
          </w14:textFill>
        </w:rPr>
        <w:t>验收并网送电</w:t>
      </w:r>
      <w:bookmarkEnd w:id="517"/>
      <w:bookmarkStart w:id="518" w:name="OLE_LINK463"/>
      <w:r>
        <w:rPr>
          <w:rFonts w:hint="eastAsia" w:hAnsi="宋体" w:cs="宋体"/>
          <w:b w:val="0"/>
          <w:bCs w:val="0"/>
          <w:color w:val="000000" w:themeColor="text1"/>
          <w:sz w:val="21"/>
          <w:szCs w:val="21"/>
          <w:highlight w:val="none"/>
          <w:lang w:val="en-US"/>
          <w14:textFill>
            <w14:solidFill>
              <w14:schemeClr w14:val="tx1"/>
            </w14:solidFill>
          </w14:textFill>
        </w:rPr>
        <w:t>后</w:t>
      </w:r>
      <w:bookmarkEnd w:id="518"/>
      <w:r>
        <w:rPr>
          <w:rFonts w:hint="eastAsia" w:hAnsi="宋体" w:cs="宋体"/>
          <w:b w:val="0"/>
          <w:bCs w:val="0"/>
          <w:color w:val="000000" w:themeColor="text1"/>
          <w:sz w:val="21"/>
          <w:szCs w:val="21"/>
          <w:highlight w:val="none"/>
          <w:lang w:val="en-US"/>
          <w14:textFill>
            <w14:solidFill>
              <w14:schemeClr w14:val="tx1"/>
            </w14:solidFill>
          </w14:textFill>
        </w:rPr>
        <w:t>递交全套竣工图设计文件及项目资料，经甲方最终验收合格确认后，甲方向乙方支付至合同总结算金额的90%；</w:t>
      </w:r>
    </w:p>
    <w:p w14:paraId="4B42773C">
      <w:pPr>
        <w:pStyle w:val="2"/>
        <w:snapToGrid w:val="0"/>
        <w:spacing w:line="360" w:lineRule="auto"/>
        <w:ind w:right="0" w:firstLine="420" w:firstLineChars="200"/>
        <w:jc w:val="left"/>
        <w:rPr>
          <w:rFonts w:hAnsi="宋体" w:cs="宋体"/>
          <w:b w:val="0"/>
          <w:bCs w:val="0"/>
          <w:color w:val="000000" w:themeColor="text1"/>
          <w:sz w:val="21"/>
          <w:szCs w:val="21"/>
          <w:highlight w:val="none"/>
          <w:lang w:val="en-US"/>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（6）第五次付款：1年运维期结束后支付至合同总结算金额的97%，剩余合同总结算金额的3%为质保金。</w:t>
      </w:r>
    </w:p>
    <w:p w14:paraId="4FE505AC">
      <w:pPr>
        <w:pStyle w:val="2"/>
        <w:snapToGrid w:val="0"/>
        <w:spacing w:line="360" w:lineRule="auto"/>
        <w:ind w:right="0" w:firstLine="420" w:firstLineChars="200"/>
        <w:jc w:val="left"/>
        <w:rPr>
          <w:rFonts w:hAnsi="宋体" w:cs="宋体"/>
          <w:b w:val="0"/>
          <w:bCs w:val="0"/>
          <w:color w:val="000000" w:themeColor="text1"/>
          <w:sz w:val="21"/>
          <w:szCs w:val="21"/>
          <w:highlight w:val="none"/>
          <w:lang w:val="en-US"/>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注：结算价款的( 3% )留作质量保修金。在乙方按本项目合同约定履行质量保修义务的前提下，甲方于项目整体最终验收合格之日起届满二年且收到乙方提交的质量保修保函之后，甲方将剩余的质量保修金无息退还给乙方。如乙方未按本项目合同约定履行质量保修义务的，甲方有权不予或推迟向乙方退还质量保修金。甲方向乙方退还质量保修金前，乙方须向甲方提交担保金额为质量保修金同等金额的无条件、见索即付、不可撤销</w:t>
      </w:r>
      <w:bookmarkStart w:id="519" w:name="OLE_LINK282"/>
      <w:r>
        <w:rPr>
          <w:rFonts w:hint="eastAsia" w:hAnsi="宋体" w:cs="宋体"/>
          <w:b w:val="0"/>
          <w:bCs w:val="0"/>
          <w:color w:val="000000" w:themeColor="text1"/>
          <w:sz w:val="21"/>
          <w:szCs w:val="21"/>
          <w:highlight w:val="none"/>
          <w:lang w:val="en-US"/>
          <w14:textFill>
            <w14:solidFill>
              <w14:schemeClr w14:val="tx1"/>
            </w14:solidFill>
          </w14:textFill>
        </w:rPr>
        <w:t>质量保修</w:t>
      </w:r>
      <w:bookmarkEnd w:id="519"/>
      <w:r>
        <w:rPr>
          <w:rFonts w:hint="eastAsia" w:hAnsi="宋体" w:cs="宋体"/>
          <w:b w:val="0"/>
          <w:bCs w:val="0"/>
          <w:color w:val="000000" w:themeColor="text1"/>
          <w:sz w:val="21"/>
          <w:szCs w:val="21"/>
          <w:highlight w:val="none"/>
          <w:lang w:val="en-US"/>
          <w14:textFill>
            <w14:solidFill>
              <w14:schemeClr w14:val="tx1"/>
            </w14:solidFill>
          </w14:textFill>
        </w:rPr>
        <w:t>保函。质量保修保函的有效期为项目整体最终验收合格届满二年之日起 1 年。</w:t>
      </w:r>
    </w:p>
    <w:p w14:paraId="20177F43">
      <w:pPr>
        <w:pStyle w:val="2"/>
        <w:snapToGrid w:val="0"/>
        <w:spacing w:line="360" w:lineRule="auto"/>
        <w:ind w:right="0" w:firstLine="420" w:firstLineChars="200"/>
        <w:jc w:val="both"/>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4</w:t>
      </w:r>
      <w:r>
        <w:rPr>
          <w:rFonts w:hint="eastAsia" w:hAnsi="宋体" w:cs="宋体"/>
          <w:b w:val="0"/>
          <w:bCs w:val="0"/>
          <w:color w:val="000000" w:themeColor="text1"/>
          <w:sz w:val="21"/>
          <w:szCs w:val="21"/>
          <w:highlight w:val="none"/>
          <w14:textFill>
            <w14:solidFill>
              <w14:schemeClr w14:val="tx1"/>
            </w14:solidFill>
          </w14:textFill>
        </w:rPr>
        <w:t>、</w:t>
      </w:r>
      <w:r>
        <w:rPr>
          <w:rFonts w:hint="eastAsia" w:hAnsi="宋体" w:cs="宋体"/>
          <w:b w:val="0"/>
          <w:bCs w:val="0"/>
          <w:color w:val="000000" w:themeColor="text1"/>
          <w:sz w:val="21"/>
          <w:szCs w:val="21"/>
          <w:highlight w:val="none"/>
          <w:lang w:val="en-US"/>
          <w14:textFill>
            <w14:solidFill>
              <w14:schemeClr w14:val="tx1"/>
            </w14:solidFill>
          </w14:textFill>
        </w:rPr>
        <w:t>乙方</w:t>
      </w:r>
      <w:r>
        <w:rPr>
          <w:rFonts w:hint="eastAsia" w:hAnsi="宋体" w:cs="宋体"/>
          <w:b w:val="0"/>
          <w:bCs w:val="0"/>
          <w:color w:val="000000" w:themeColor="text1"/>
          <w:sz w:val="21"/>
          <w:szCs w:val="21"/>
          <w:highlight w:val="none"/>
          <w14:textFill>
            <w14:solidFill>
              <w14:schemeClr w14:val="tx1"/>
            </w14:solidFill>
          </w14:textFill>
        </w:rPr>
        <w:t>按</w:t>
      </w:r>
      <w:r>
        <w:rPr>
          <w:rFonts w:hint="eastAsia" w:hAnsi="宋体" w:cs="宋体"/>
          <w:b w:val="0"/>
          <w:bCs w:val="0"/>
          <w:color w:val="000000" w:themeColor="text1"/>
          <w:sz w:val="21"/>
          <w:szCs w:val="21"/>
          <w:highlight w:val="none"/>
          <w:lang w:val="en-US"/>
          <w14:textFill>
            <w14:solidFill>
              <w14:schemeClr w14:val="tx1"/>
            </w14:solidFill>
          </w14:textFill>
        </w:rPr>
        <w:t>要求</w:t>
      </w:r>
      <w:r>
        <w:rPr>
          <w:rFonts w:hint="eastAsia" w:hAnsi="宋体" w:cs="宋体"/>
          <w:b w:val="0"/>
          <w:bCs w:val="0"/>
          <w:color w:val="000000" w:themeColor="text1"/>
          <w:sz w:val="21"/>
          <w:szCs w:val="21"/>
          <w:highlight w:val="none"/>
          <w14:textFill>
            <w14:solidFill>
              <w14:schemeClr w14:val="tx1"/>
            </w14:solidFill>
          </w14:textFill>
        </w:rPr>
        <w:t>提供甲方增值税专用发票、请款报告等请款资料，未按要求开发票的将无法支付</w:t>
      </w:r>
      <w:r>
        <w:rPr>
          <w:rFonts w:hint="eastAsia" w:hAnsi="宋体" w:cs="宋体"/>
          <w:b w:val="0"/>
          <w:bCs w:val="0"/>
          <w:color w:val="000000" w:themeColor="text1"/>
          <w:sz w:val="21"/>
          <w:szCs w:val="21"/>
          <w:highlight w:val="none"/>
          <w:lang w:val="en-US"/>
          <w14:textFill>
            <w14:solidFill>
              <w14:schemeClr w14:val="tx1"/>
            </w14:solidFill>
          </w14:textFill>
        </w:rPr>
        <w:t>款项</w:t>
      </w:r>
      <w:r>
        <w:rPr>
          <w:rFonts w:hint="eastAsia" w:hAnsi="宋体" w:cs="宋体"/>
          <w:b w:val="0"/>
          <w:bCs w:val="0"/>
          <w:color w:val="000000" w:themeColor="text1"/>
          <w:sz w:val="21"/>
          <w:szCs w:val="21"/>
          <w:highlight w:val="none"/>
          <w14:textFill>
            <w14:solidFill>
              <w14:schemeClr w14:val="tx1"/>
            </w14:solidFill>
          </w14:textFill>
        </w:rPr>
        <w:t>。</w:t>
      </w:r>
    </w:p>
    <w:p w14:paraId="4079F6C5">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5、甲方开票信息及甲乙双方银行账户</w:t>
      </w:r>
    </w:p>
    <w:p w14:paraId="21FCBDB5">
      <w:pPr>
        <w:tabs>
          <w:tab w:val="left" w:pos="1080"/>
        </w:tabs>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（1）甲方开票信息及银行账户</w:t>
      </w:r>
    </w:p>
    <w:p w14:paraId="78068FEF">
      <w:pPr>
        <w:snapToGrid w:val="0"/>
        <w:spacing w:line="360" w:lineRule="auto"/>
        <w:ind w:firstLine="1050" w:firstLineChars="5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开户名称：</w:t>
      </w:r>
    </w:p>
    <w:p w14:paraId="2ECCB318">
      <w:pPr>
        <w:snapToGrid w:val="0"/>
        <w:spacing w:line="360" w:lineRule="auto"/>
        <w:ind w:firstLine="1050" w:firstLineChars="5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银行账号：</w:t>
      </w:r>
    </w:p>
    <w:p w14:paraId="7DFF6F84">
      <w:pPr>
        <w:snapToGrid w:val="0"/>
        <w:spacing w:line="360" w:lineRule="auto"/>
        <w:ind w:firstLine="1050" w:firstLineChars="5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开户银行：</w:t>
      </w:r>
    </w:p>
    <w:p w14:paraId="4B6605F3">
      <w:pPr>
        <w:tabs>
          <w:tab w:val="left" w:pos="1080"/>
        </w:tabs>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（2）乙方确认的银行账户</w:t>
      </w:r>
    </w:p>
    <w:p w14:paraId="23FF23CE">
      <w:pPr>
        <w:snapToGrid w:val="0"/>
        <w:spacing w:line="360" w:lineRule="auto"/>
        <w:ind w:firstLine="1050" w:firstLineChars="5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开户银行：</w:t>
      </w:r>
    </w:p>
    <w:p w14:paraId="0E0D583A">
      <w:pPr>
        <w:snapToGrid w:val="0"/>
        <w:spacing w:line="360" w:lineRule="auto"/>
        <w:ind w:firstLine="1050" w:firstLineChars="5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银行账户：</w:t>
      </w:r>
    </w:p>
    <w:p w14:paraId="30FE5A00">
      <w:pPr>
        <w:snapToGrid w:val="0"/>
        <w:spacing w:line="360" w:lineRule="auto"/>
        <w:ind w:firstLine="1050" w:firstLineChars="5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银行账号：</w:t>
      </w:r>
    </w:p>
    <w:p w14:paraId="28CF7CEE">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特别约定：乙方开具增值税专用发票时，应依法根据《中华人民共和国增值税暂行条例》（国务院令第691号修订版）及当前税务部门的相关规定开具相对应税率的等额增值税专用发票。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w:t>
      </w:r>
      <w:r>
        <w:rPr>
          <w:rFonts w:hint="eastAsia" w:ascii="宋体" w:hAnsi="宋体" w:eastAsia="宋体" w:cs="宋体"/>
          <w:b/>
          <w:color w:val="000000" w:themeColor="text1"/>
          <w:szCs w:val="21"/>
          <w:highlight w:val="none"/>
          <w:u w:val="single"/>
          <w14:textFill>
            <w14:solidFill>
              <w14:schemeClr w14:val="tx1"/>
            </w14:solidFill>
          </w14:textFill>
        </w:rPr>
        <w:t xml:space="preserve"> 【税率】</w:t>
      </w:r>
      <w:r>
        <w:rPr>
          <w:rFonts w:hint="eastAsia" w:ascii="宋体" w:hAnsi="宋体" w:eastAsia="宋体" w:cs="宋体"/>
          <w:b/>
          <w:color w:val="000000" w:themeColor="text1"/>
          <w:szCs w:val="21"/>
          <w:highlight w:val="none"/>
          <w14:textFill>
            <w14:solidFill>
              <w14:schemeClr w14:val="tx1"/>
            </w14:solidFill>
          </w14:textFill>
        </w:rPr>
        <w:t>%）”，对于多出的税款金额，乙方自愿放弃。</w:t>
      </w:r>
    </w:p>
    <w:p w14:paraId="3AF88284">
      <w:pPr>
        <w:pStyle w:val="22"/>
        <w:tabs>
          <w:tab w:val="left" w:pos="0"/>
        </w:tabs>
        <w:adjustRightInd w:val="0"/>
        <w:spacing w:line="360" w:lineRule="auto"/>
        <w:ind w:firstLine="420"/>
        <w:textAlignment w:val="baseline"/>
        <w:rPr>
          <w:rFonts w:hAnsi="宋体" w:cs="宋体"/>
          <w:color w:val="000000" w:themeColor="text1"/>
          <w:szCs w:val="21"/>
          <w:highlight w:val="none"/>
          <w14:textFill>
            <w14:solidFill>
              <w14:schemeClr w14:val="tx1"/>
            </w14:solidFill>
          </w14:textFill>
        </w:rPr>
      </w:pPr>
    </w:p>
    <w:p w14:paraId="6AB3C370">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bookmarkStart w:id="520" w:name="OLE_LINK250"/>
      <w:r>
        <w:rPr>
          <w:rFonts w:hint="eastAsia" w:ascii="宋体" w:hAnsi="宋体" w:eastAsia="宋体" w:cs="宋体"/>
          <w:b/>
          <w:color w:val="000000" w:themeColor="text1"/>
          <w:szCs w:val="21"/>
          <w:highlight w:val="none"/>
          <w14:textFill>
            <w14:solidFill>
              <w14:schemeClr w14:val="tx1"/>
            </w14:solidFill>
          </w14:textFill>
        </w:rPr>
        <w:t xml:space="preserve">第四条 </w:t>
      </w:r>
      <w:bookmarkStart w:id="521" w:name="OLE_LINK79"/>
      <w:r>
        <w:rPr>
          <w:rFonts w:hint="eastAsia" w:ascii="宋体" w:hAnsi="宋体" w:eastAsia="宋体" w:cs="宋体"/>
          <w:b/>
          <w:color w:val="000000" w:themeColor="text1"/>
          <w:szCs w:val="21"/>
          <w:highlight w:val="none"/>
          <w14:textFill>
            <w14:solidFill>
              <w14:schemeClr w14:val="tx1"/>
            </w14:solidFill>
          </w14:textFill>
        </w:rPr>
        <w:t>合同组成</w:t>
      </w:r>
      <w:bookmarkEnd w:id="521"/>
    </w:p>
    <w:bookmarkEnd w:id="520"/>
    <w:p w14:paraId="0D5D9674">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利于甲方的约定为准。</w:t>
      </w:r>
    </w:p>
    <w:p w14:paraId="5A618FCB">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14:paraId="6BD64CAA">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bookmarkStart w:id="522" w:name="OLE_LINK249"/>
      <w:r>
        <w:rPr>
          <w:rFonts w:hint="eastAsia" w:ascii="宋体" w:hAnsi="宋体" w:eastAsia="宋体" w:cs="宋体"/>
          <w:b/>
          <w:color w:val="000000" w:themeColor="text1"/>
          <w:szCs w:val="21"/>
          <w:highlight w:val="none"/>
          <w14:textFill>
            <w14:solidFill>
              <w14:schemeClr w14:val="tx1"/>
            </w14:solidFill>
          </w14:textFill>
        </w:rPr>
        <w:t xml:space="preserve">第五条 </w:t>
      </w:r>
      <w:bookmarkStart w:id="523" w:name="OLE_LINK80"/>
      <w:r>
        <w:rPr>
          <w:rFonts w:hint="eastAsia" w:ascii="宋体" w:hAnsi="宋体" w:eastAsia="宋体" w:cs="宋体"/>
          <w:b/>
          <w:color w:val="000000" w:themeColor="text1"/>
          <w:szCs w:val="21"/>
          <w:highlight w:val="none"/>
          <w14:textFill>
            <w14:solidFill>
              <w14:schemeClr w14:val="tx1"/>
            </w14:solidFill>
          </w14:textFill>
        </w:rPr>
        <w:t>产品质量要求</w:t>
      </w:r>
      <w:bookmarkEnd w:id="523"/>
    </w:p>
    <w:bookmarkEnd w:id="522"/>
    <w:p w14:paraId="17480182">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1</w:t>
      </w:r>
      <w:r>
        <w:rPr>
          <w:rFonts w:hint="eastAsia" w:hAnsi="宋体" w:cs="宋体"/>
          <w:b w:val="0"/>
          <w:bCs w:val="0"/>
          <w:color w:val="000000" w:themeColor="text1"/>
          <w:sz w:val="21"/>
          <w:szCs w:val="21"/>
          <w:highlight w:val="none"/>
          <w14:textFill>
            <w14:solidFill>
              <w14:schemeClr w14:val="tx1"/>
            </w14:solidFill>
          </w14:textFill>
        </w:rPr>
        <w:t>、乙方保证所提供货物</w:t>
      </w:r>
      <w:r>
        <w:rPr>
          <w:rFonts w:hint="eastAsia" w:hAnsi="宋体" w:cs="宋体"/>
          <w:b w:val="0"/>
          <w:bCs w:val="0"/>
          <w:color w:val="000000" w:themeColor="text1"/>
          <w:sz w:val="21"/>
          <w:szCs w:val="21"/>
          <w:highlight w:val="none"/>
          <w:lang w:val="en-US"/>
          <w14:textFill>
            <w14:solidFill>
              <w14:schemeClr w14:val="tx1"/>
            </w14:solidFill>
          </w14:textFill>
        </w:rPr>
        <w:t>必须是原厂生产的、非组装的、全新的、未使用过的产品(含零部件、配件、随机工具等)，随机配备的所有配件必须为原厂原配，表面无划伤、无碰撞的痕迹</w:t>
      </w:r>
      <w:r>
        <w:rPr>
          <w:rFonts w:hint="eastAsia" w:hAnsi="宋体" w:cs="宋体"/>
          <w:b w:val="0"/>
          <w:bCs w:val="0"/>
          <w:color w:val="000000" w:themeColor="text1"/>
          <w:sz w:val="21"/>
          <w:szCs w:val="21"/>
          <w:highlight w:val="none"/>
          <w14:textFill>
            <w14:solidFill>
              <w14:schemeClr w14:val="tx1"/>
            </w14:solidFill>
          </w14:textFill>
        </w:rPr>
        <w:t>，并完全符合甲方招标文件、用户需求书要求及乙方投标文件承诺的质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、规格标准；同时乙方所提供货物，必须符合国家有关法律法规和环保、主管部门要求及甲方的技术要求，不存在侵犯第三人知识产权及其他合法权益的</w:t>
      </w:r>
      <w:r>
        <w:rPr>
          <w:rFonts w:hint="eastAsia" w:hAnsi="宋体" w:cs="宋体"/>
          <w:b w:val="0"/>
          <w:bCs w:val="0"/>
          <w:color w:val="000000" w:themeColor="text1"/>
          <w:sz w:val="21"/>
          <w:szCs w:val="21"/>
          <w:highlight w:val="none"/>
          <w:lang w:val="en-US"/>
          <w14:textFill>
            <w14:solidFill>
              <w14:schemeClr w14:val="tx1"/>
            </w14:solidFill>
          </w14:textFill>
        </w:rPr>
        <w:t>情</w:t>
      </w:r>
      <w:r>
        <w:rPr>
          <w:rFonts w:hint="eastAsia" w:hAnsi="宋体" w:cs="宋体"/>
          <w:b w:val="0"/>
          <w:bCs w:val="0"/>
          <w:color w:val="000000" w:themeColor="text1"/>
          <w:sz w:val="21"/>
          <w:szCs w:val="21"/>
          <w:highlight w:val="none"/>
          <w14:textFill>
            <w14:solidFill>
              <w14:schemeClr w14:val="tx1"/>
            </w14:solidFill>
          </w14:textFill>
        </w:rPr>
        <w:t>况。</w:t>
      </w:r>
      <w:r>
        <w:rPr>
          <w:rFonts w:hint="eastAsia" w:hAnsi="宋体" w:cs="宋体"/>
          <w:b w:val="0"/>
          <w:bCs w:val="0"/>
          <w:color w:val="000000" w:themeColor="text1"/>
          <w:sz w:val="21"/>
          <w:szCs w:val="21"/>
          <w:highlight w:val="none"/>
          <w:lang w:val="en-US"/>
          <w14:textFill>
            <w14:solidFill>
              <w14:schemeClr w14:val="tx1"/>
            </w14:solidFill>
          </w14:textFill>
        </w:rPr>
        <w:t>有原厂包装的，应附有合格证、货物出厂质量合格证明书、技术说明等。</w:t>
      </w:r>
      <w:r>
        <w:rPr>
          <w:rFonts w:hint="eastAsia" w:hAnsi="宋体" w:cs="宋体"/>
          <w:b w:val="0"/>
          <w:bCs w:val="0"/>
          <w:color w:val="000000" w:themeColor="text1"/>
          <w:sz w:val="21"/>
          <w:szCs w:val="21"/>
          <w:highlight w:val="none"/>
          <w14:textFill>
            <w14:solidFill>
              <w14:schemeClr w14:val="tx1"/>
            </w14:solidFill>
          </w14:textFill>
        </w:rPr>
        <w:t>乙方应当提供货物的</w:t>
      </w:r>
      <w:r>
        <w:rPr>
          <w:rFonts w:hint="eastAsia" w:hAnsi="宋体" w:cs="宋体"/>
          <w:b w:val="0"/>
          <w:bCs w:val="0"/>
          <w:color w:val="000000" w:themeColor="text1"/>
          <w:sz w:val="21"/>
          <w:szCs w:val="21"/>
          <w:highlight w:val="none"/>
          <w:lang w:val="en-US"/>
          <w14:textFill>
            <w14:solidFill>
              <w14:schemeClr w14:val="tx1"/>
            </w14:solidFill>
          </w14:textFill>
        </w:rPr>
        <w:t>质量</w:t>
      </w:r>
      <w:r>
        <w:rPr>
          <w:rFonts w:hint="eastAsia" w:hAnsi="宋体" w:cs="宋体"/>
          <w:b w:val="0"/>
          <w:bCs w:val="0"/>
          <w:color w:val="000000" w:themeColor="text1"/>
          <w:sz w:val="21"/>
          <w:szCs w:val="21"/>
          <w:highlight w:val="none"/>
          <w14:textFill>
            <w14:solidFill>
              <w14:schemeClr w14:val="tx1"/>
            </w14:solidFill>
          </w14:textFill>
        </w:rPr>
        <w:t>检验单位出具的检验报告原件（检验报告合格）、出厂合格证明材料、产品性能使用说明书，并具备主管部门的质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认证文件等。</w:t>
      </w:r>
    </w:p>
    <w:p w14:paraId="406E937F">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2</w:t>
      </w:r>
      <w:r>
        <w:rPr>
          <w:rFonts w:hint="eastAsia" w:hAnsi="宋体" w:cs="宋体"/>
          <w:b w:val="0"/>
          <w:bCs w:val="0"/>
          <w:color w:val="000000" w:themeColor="text1"/>
          <w:sz w:val="21"/>
          <w:szCs w:val="21"/>
          <w:highlight w:val="none"/>
          <w14:textFill>
            <w14:solidFill>
              <w14:schemeClr w14:val="tx1"/>
            </w14:solidFill>
          </w14:textFill>
        </w:rPr>
        <w:t>、所有货物应具</w:t>
      </w:r>
      <w:r>
        <w:rPr>
          <w:rFonts w:hint="eastAsia" w:hAnsi="宋体" w:cs="宋体"/>
          <w:b w:val="0"/>
          <w:bCs w:val="0"/>
          <w:color w:val="000000" w:themeColor="text1"/>
          <w:sz w:val="21"/>
          <w:szCs w:val="21"/>
          <w:highlight w:val="none"/>
          <w:lang w:val="en-US"/>
          <w14:textFill>
            <w14:solidFill>
              <w14:schemeClr w14:val="tx1"/>
            </w14:solidFill>
          </w14:textFill>
        </w:rPr>
        <w:t>备</w:t>
      </w:r>
      <w:r>
        <w:rPr>
          <w:rFonts w:hint="eastAsia" w:hAnsi="宋体" w:cs="宋体"/>
          <w:b w:val="0"/>
          <w:bCs w:val="0"/>
          <w:color w:val="000000" w:themeColor="text1"/>
          <w:sz w:val="21"/>
          <w:szCs w:val="21"/>
          <w:highlight w:val="none"/>
          <w14:textFill>
            <w14:solidFill>
              <w14:schemeClr w14:val="tx1"/>
            </w14:solidFill>
          </w14:textFill>
        </w:rPr>
        <w:t>该类产品的功能要求，无瑕疵和缺陷，质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为合格产品，同时有明确的生产厂商或制造厂商。</w:t>
      </w:r>
    </w:p>
    <w:p w14:paraId="6D1D3C9C">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3</w:t>
      </w:r>
      <w:r>
        <w:rPr>
          <w:rFonts w:hint="eastAsia" w:hAnsi="宋体" w:cs="宋体"/>
          <w:b w:val="0"/>
          <w:bCs w:val="0"/>
          <w:color w:val="000000" w:themeColor="text1"/>
          <w:sz w:val="21"/>
          <w:szCs w:val="21"/>
          <w:highlight w:val="none"/>
          <w14:textFill>
            <w14:solidFill>
              <w14:schemeClr w14:val="tx1"/>
            </w14:solidFill>
          </w14:textFill>
        </w:rPr>
        <w:t>、所有货物必须是全新的，所有设备运输到达</w:t>
      </w:r>
      <w:r>
        <w:rPr>
          <w:rFonts w:hint="eastAsia" w:hAnsi="宋体" w:cs="宋体"/>
          <w:b w:val="0"/>
          <w:bCs w:val="0"/>
          <w:color w:val="000000" w:themeColor="text1"/>
          <w:sz w:val="21"/>
          <w:szCs w:val="21"/>
          <w:highlight w:val="none"/>
          <w:lang w:val="en-US"/>
          <w14:textFill>
            <w14:solidFill>
              <w14:schemeClr w14:val="tx1"/>
            </w14:solidFill>
          </w14:textFill>
        </w:rPr>
        <w:t>现场</w:t>
      </w:r>
      <w:r>
        <w:rPr>
          <w:rFonts w:hint="eastAsia" w:hAnsi="宋体" w:cs="宋体"/>
          <w:b w:val="0"/>
          <w:bCs w:val="0"/>
          <w:color w:val="000000" w:themeColor="text1"/>
          <w:sz w:val="21"/>
          <w:szCs w:val="21"/>
          <w:highlight w:val="none"/>
          <w14:textFill>
            <w14:solidFill>
              <w14:schemeClr w14:val="tx1"/>
            </w14:solidFill>
          </w14:textFill>
        </w:rPr>
        <w:t>时的包装必须是原</w:t>
      </w:r>
      <w:r>
        <w:rPr>
          <w:rFonts w:hint="eastAsia" w:hAnsi="宋体" w:cs="宋体"/>
          <w:b w:val="0"/>
          <w:bCs w:val="0"/>
          <w:color w:val="000000" w:themeColor="text1"/>
          <w:sz w:val="21"/>
          <w:szCs w:val="21"/>
          <w:highlight w:val="none"/>
          <w:lang w:val="en-US"/>
          <w14:textFill>
            <w14:solidFill>
              <w14:schemeClr w14:val="tx1"/>
            </w14:solidFill>
          </w14:textFill>
        </w:rPr>
        <w:t>厂</w:t>
      </w:r>
      <w:r>
        <w:rPr>
          <w:rFonts w:hint="eastAsia" w:hAnsi="宋体" w:cs="宋体"/>
          <w:b w:val="0"/>
          <w:bCs w:val="0"/>
          <w:color w:val="000000" w:themeColor="text1"/>
          <w:sz w:val="21"/>
          <w:szCs w:val="21"/>
          <w:highlight w:val="none"/>
          <w14:textFill>
            <w14:solidFill>
              <w14:schemeClr w14:val="tx1"/>
            </w14:solidFill>
          </w14:textFill>
        </w:rPr>
        <w:t>完</w:t>
      </w:r>
      <w:r>
        <w:rPr>
          <w:rFonts w:hint="eastAsia" w:hAnsi="宋体" w:cs="宋体"/>
          <w:b w:val="0"/>
          <w:bCs w:val="0"/>
          <w:color w:val="000000" w:themeColor="text1"/>
          <w:sz w:val="21"/>
          <w:szCs w:val="21"/>
          <w:highlight w:val="none"/>
          <w:lang w:val="en-US"/>
          <w14:textFill>
            <w14:solidFill>
              <w14:schemeClr w14:val="tx1"/>
            </w14:solidFill>
          </w14:textFill>
        </w:rPr>
        <w:t>整</w:t>
      </w:r>
      <w:r>
        <w:rPr>
          <w:rFonts w:hint="eastAsia" w:hAnsi="宋体" w:cs="宋体"/>
          <w:b w:val="0"/>
          <w:bCs w:val="0"/>
          <w:color w:val="000000" w:themeColor="text1"/>
          <w:sz w:val="21"/>
          <w:szCs w:val="21"/>
          <w:highlight w:val="none"/>
          <w14:textFill>
            <w14:solidFill>
              <w14:schemeClr w14:val="tx1"/>
            </w14:solidFill>
          </w14:textFill>
        </w:rPr>
        <w:t>的，</w:t>
      </w:r>
      <w:r>
        <w:rPr>
          <w:rFonts w:hint="eastAsia" w:hAnsi="宋体" w:cs="宋体"/>
          <w:b w:val="0"/>
          <w:bCs w:val="0"/>
          <w:color w:val="000000" w:themeColor="text1"/>
          <w:sz w:val="21"/>
          <w:szCs w:val="21"/>
          <w:highlight w:val="none"/>
          <w:lang w:val="en-US"/>
          <w14:textFill>
            <w14:solidFill>
              <w14:schemeClr w14:val="tx1"/>
            </w14:solidFill>
          </w14:textFill>
        </w:rPr>
        <w:t>由</w:t>
      </w:r>
      <w:r>
        <w:rPr>
          <w:rFonts w:hint="eastAsia" w:hAnsi="宋体" w:cs="宋体"/>
          <w:b w:val="0"/>
          <w:bCs w:val="0"/>
          <w:color w:val="000000" w:themeColor="text1"/>
          <w:sz w:val="21"/>
          <w:szCs w:val="21"/>
          <w:highlight w:val="none"/>
          <w14:textFill>
            <w14:solidFill>
              <w14:schemeClr w14:val="tx1"/>
            </w14:solidFill>
          </w14:textFill>
        </w:rPr>
        <w:t>甲方签收后方可拆包安装。</w:t>
      </w:r>
    </w:p>
    <w:p w14:paraId="15AB25D5">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4</w:t>
      </w:r>
      <w:r>
        <w:rPr>
          <w:rFonts w:hint="eastAsia" w:hAnsi="宋体" w:cs="宋体"/>
          <w:b w:val="0"/>
          <w:bCs w:val="0"/>
          <w:color w:val="000000" w:themeColor="text1"/>
          <w:sz w:val="21"/>
          <w:szCs w:val="21"/>
          <w:highlight w:val="none"/>
          <w14:textFill>
            <w14:solidFill>
              <w14:schemeClr w14:val="tx1"/>
            </w14:solidFill>
          </w14:textFill>
        </w:rPr>
        <w:t>、所有货物、设备须满足国家及行业环保和质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标准。</w:t>
      </w:r>
    </w:p>
    <w:p w14:paraId="61D72B47">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5</w:t>
      </w:r>
      <w:r>
        <w:rPr>
          <w:rFonts w:hint="eastAsia" w:hAnsi="宋体" w:cs="宋体"/>
          <w:b w:val="0"/>
          <w:bCs w:val="0"/>
          <w:color w:val="000000" w:themeColor="text1"/>
          <w:sz w:val="21"/>
          <w:szCs w:val="21"/>
          <w:highlight w:val="none"/>
          <w14:textFill>
            <w14:solidFill>
              <w14:schemeClr w14:val="tx1"/>
            </w14:solidFill>
          </w14:textFill>
        </w:rPr>
        <w:t>、货物的规格、参数必须和《用户需求书》规定及投标文件响应内容要求</w:t>
      </w:r>
      <w:r>
        <w:rPr>
          <w:rFonts w:hint="eastAsia" w:hAnsi="宋体" w:cs="宋体"/>
          <w:b w:val="0"/>
          <w:bCs w:val="0"/>
          <w:color w:val="000000" w:themeColor="text1"/>
          <w:sz w:val="21"/>
          <w:szCs w:val="21"/>
          <w:highlight w:val="none"/>
          <w:lang w:val="en-US"/>
          <w14:textFill>
            <w14:solidFill>
              <w14:schemeClr w14:val="tx1"/>
            </w14:solidFill>
          </w14:textFill>
        </w:rPr>
        <w:t>一</w:t>
      </w:r>
      <w:r>
        <w:rPr>
          <w:rFonts w:hint="eastAsia" w:hAnsi="宋体" w:cs="宋体"/>
          <w:b w:val="0"/>
          <w:bCs w:val="0"/>
          <w:color w:val="000000" w:themeColor="text1"/>
          <w:sz w:val="21"/>
          <w:szCs w:val="21"/>
          <w:highlight w:val="none"/>
          <w14:textFill>
            <w14:solidFill>
              <w14:schemeClr w14:val="tx1"/>
            </w14:solidFill>
          </w14:textFill>
        </w:rPr>
        <w:t>致。</w:t>
      </w:r>
    </w:p>
    <w:p w14:paraId="16A426E6">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14:paraId="327512CF">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第六条 </w:t>
      </w:r>
      <w:bookmarkStart w:id="524" w:name="OLE_LINK81"/>
      <w:r>
        <w:rPr>
          <w:rFonts w:hint="eastAsia" w:ascii="宋体" w:hAnsi="宋体" w:eastAsia="宋体" w:cs="宋体"/>
          <w:b/>
          <w:color w:val="000000" w:themeColor="text1"/>
          <w:szCs w:val="21"/>
          <w:highlight w:val="none"/>
          <w14:textFill>
            <w14:solidFill>
              <w14:schemeClr w14:val="tx1"/>
            </w14:solidFill>
          </w14:textFill>
        </w:rPr>
        <w:t>包装、运输</w:t>
      </w:r>
      <w:bookmarkEnd w:id="524"/>
    </w:p>
    <w:p w14:paraId="505F4D17">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1</w:t>
      </w:r>
      <w:r>
        <w:rPr>
          <w:rFonts w:hint="eastAsia" w:hAnsi="宋体" w:cs="宋体"/>
          <w:b w:val="0"/>
          <w:bCs w:val="0"/>
          <w:color w:val="000000" w:themeColor="text1"/>
          <w:sz w:val="21"/>
          <w:szCs w:val="21"/>
          <w:highlight w:val="none"/>
          <w14:textFill>
            <w14:solidFill>
              <w14:schemeClr w14:val="tx1"/>
            </w14:solidFill>
          </w14:textFill>
        </w:rPr>
        <w:t>、本合同项下货物的包装均应有良好的防湿、防锈、防潮、防雨、防腐及防碰撞的措施，且货物的包装、运输方式均应符合国家及行业相关标准及规定。</w:t>
      </w:r>
    </w:p>
    <w:p w14:paraId="731D468A">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2、乙方运输的所有货物要符合有关标准规定的</w:t>
      </w:r>
      <w:r>
        <w:rPr>
          <w:rFonts w:hint="eastAsia" w:hAnsi="宋体" w:cs="宋体"/>
          <w:b w:val="0"/>
          <w:bCs w:val="0"/>
          <w:color w:val="000000" w:themeColor="text1"/>
          <w:sz w:val="21"/>
          <w:szCs w:val="21"/>
          <w:highlight w:val="none"/>
          <w:lang w:val="en-US"/>
          <w14:textFill>
            <w14:solidFill>
              <w14:schemeClr w14:val="tx1"/>
            </w14:solidFill>
          </w14:textFill>
        </w:rPr>
        <w:t>具</w:t>
      </w:r>
      <w:r>
        <w:rPr>
          <w:rFonts w:hint="eastAsia" w:hAnsi="宋体" w:cs="宋体"/>
          <w:b w:val="0"/>
          <w:bCs w:val="0"/>
          <w:color w:val="000000" w:themeColor="text1"/>
          <w:sz w:val="21"/>
          <w:szCs w:val="21"/>
          <w:highlight w:val="none"/>
          <w14:textFill>
            <w14:solidFill>
              <w14:schemeClr w14:val="tx1"/>
            </w14:solidFill>
          </w14:textFill>
        </w:rPr>
        <w:t>有适合长途运输、多次</w:t>
      </w:r>
      <w:r>
        <w:rPr>
          <w:rFonts w:hint="eastAsia" w:hAnsi="宋体" w:cs="宋体"/>
          <w:b w:val="0"/>
          <w:bCs w:val="0"/>
          <w:color w:val="000000" w:themeColor="text1"/>
          <w:sz w:val="21"/>
          <w:szCs w:val="21"/>
          <w:highlight w:val="none"/>
          <w:lang w:val="en-US"/>
          <w14:textFill>
            <w14:solidFill>
              <w14:schemeClr w14:val="tx1"/>
            </w14:solidFill>
          </w14:textFill>
        </w:rPr>
        <w:t>搬</w:t>
      </w:r>
      <w:r>
        <w:rPr>
          <w:rFonts w:hint="eastAsia" w:hAnsi="宋体" w:cs="宋体"/>
          <w:b w:val="0"/>
          <w:bCs w:val="0"/>
          <w:color w:val="000000" w:themeColor="text1"/>
          <w:sz w:val="21"/>
          <w:szCs w:val="21"/>
          <w:highlight w:val="none"/>
          <w14:textFill>
            <w14:solidFill>
              <w14:schemeClr w14:val="tx1"/>
            </w14:solidFill>
          </w14:textFill>
        </w:rPr>
        <w:t>运和装卸的坚固包装。包装应按设备特点，按</w:t>
      </w:r>
      <w:r>
        <w:rPr>
          <w:rFonts w:hint="eastAsia" w:hAnsi="宋体" w:cs="宋体"/>
          <w:b w:val="0"/>
          <w:bCs w:val="0"/>
          <w:color w:val="000000" w:themeColor="text1"/>
          <w:sz w:val="21"/>
          <w:szCs w:val="21"/>
          <w:highlight w:val="none"/>
          <w:lang w:val="en-US"/>
          <w14:textFill>
            <w14:solidFill>
              <w14:schemeClr w14:val="tx1"/>
            </w14:solidFill>
          </w14:textFill>
        </w:rPr>
        <w:t>需</w:t>
      </w:r>
      <w:r>
        <w:rPr>
          <w:rFonts w:hint="eastAsia" w:hAnsi="宋体" w:cs="宋体"/>
          <w:b w:val="0"/>
          <w:bCs w:val="0"/>
          <w:color w:val="000000" w:themeColor="text1"/>
          <w:sz w:val="21"/>
          <w:szCs w:val="21"/>
          <w:highlight w:val="none"/>
          <w14:textFill>
            <w14:solidFill>
              <w14:schemeClr w14:val="tx1"/>
            </w14:solidFill>
          </w14:textFill>
        </w:rPr>
        <w:t>要分别采取对应的保护措施，以保证货物在没有任何损坏和腐蚀的</w:t>
      </w:r>
      <w:r>
        <w:rPr>
          <w:rFonts w:hint="eastAsia" w:hAnsi="宋体" w:cs="宋体"/>
          <w:b w:val="0"/>
          <w:bCs w:val="0"/>
          <w:color w:val="000000" w:themeColor="text1"/>
          <w:sz w:val="21"/>
          <w:szCs w:val="21"/>
          <w:highlight w:val="none"/>
          <w:lang w:val="en-US"/>
          <w14:textFill>
            <w14:solidFill>
              <w14:schemeClr w14:val="tx1"/>
            </w14:solidFill>
          </w14:textFill>
        </w:rPr>
        <w:t>情</w:t>
      </w:r>
      <w:r>
        <w:rPr>
          <w:rFonts w:hint="eastAsia" w:hAnsi="宋体" w:cs="宋体"/>
          <w:b w:val="0"/>
          <w:bCs w:val="0"/>
          <w:color w:val="000000" w:themeColor="text1"/>
          <w:sz w:val="21"/>
          <w:szCs w:val="21"/>
          <w:highlight w:val="none"/>
          <w14:textFill>
            <w14:solidFill>
              <w14:schemeClr w14:val="tx1"/>
            </w14:solidFill>
          </w14:textFill>
        </w:rPr>
        <w:t>况下安全运抵甲方指定收货地点。</w:t>
      </w:r>
    </w:p>
    <w:p w14:paraId="45281E82">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3、每件包装箱内，应附有装箱单、合格证、产品出厂质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合格证明书、技术说明以及甲方要求的其他合格证明文件或资料。</w:t>
      </w:r>
    </w:p>
    <w:p w14:paraId="2F273D2A">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4、各种设备的松散零星部件应采用可靠安全的包装方式，装入尺寸适当的箱内，并尽可能整车发运。栅格式箱子或类似的包装，只能用</w:t>
      </w:r>
      <w:r>
        <w:rPr>
          <w:rFonts w:hint="eastAsia" w:hAnsi="宋体" w:cs="宋体"/>
          <w:b w:val="0"/>
          <w:bCs w:val="0"/>
          <w:color w:val="000000" w:themeColor="text1"/>
          <w:sz w:val="21"/>
          <w:szCs w:val="21"/>
          <w:highlight w:val="none"/>
          <w:lang w:val="en-US"/>
          <w14:textFill>
            <w14:solidFill>
              <w14:schemeClr w14:val="tx1"/>
            </w14:solidFill>
          </w14:textFill>
        </w:rPr>
        <w:t>于</w:t>
      </w:r>
      <w:r>
        <w:rPr>
          <w:rFonts w:hint="eastAsia" w:hAnsi="宋体" w:cs="宋体"/>
          <w:b w:val="0"/>
          <w:bCs w:val="0"/>
          <w:color w:val="000000" w:themeColor="text1"/>
          <w:sz w:val="21"/>
          <w:szCs w:val="21"/>
          <w:highlight w:val="none"/>
          <w14:textFill>
            <w14:solidFill>
              <w14:schemeClr w14:val="tx1"/>
            </w14:solidFill>
          </w14:textFill>
        </w:rPr>
        <w:t>盛装不至于被偷窃或被其他物品或雨水造成损坏的设备及零部件。</w:t>
      </w:r>
    </w:p>
    <w:p w14:paraId="0F62493B">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5、本合同项下货物由于包装不良、运输方式不当或非法运输造成的事故、损失、行政处罚和由此产生的其他全部费用均由乙方全部承担。</w:t>
      </w:r>
    </w:p>
    <w:p w14:paraId="48A00F29">
      <w:pPr>
        <w:pStyle w:val="2"/>
        <w:snapToGrid w:val="0"/>
        <w:spacing w:line="360" w:lineRule="auto"/>
        <w:ind w:right="0" w:firstLine="420" w:firstLineChars="200"/>
        <w:jc w:val="left"/>
        <w:rPr>
          <w:rFonts w:hAnsi="宋体" w:cs="宋体"/>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6、运输过程中发生的货物毁损、灭失等所有</w:t>
      </w:r>
      <w:r>
        <w:rPr>
          <w:rFonts w:hint="eastAsia" w:hAnsi="宋体" w:cs="宋体"/>
          <w:b w:val="0"/>
          <w:bCs w:val="0"/>
          <w:color w:val="000000" w:themeColor="text1"/>
          <w:sz w:val="21"/>
          <w:szCs w:val="21"/>
          <w:highlight w:val="none"/>
          <w:lang w:val="en-US"/>
          <w14:textFill>
            <w14:solidFill>
              <w14:schemeClr w14:val="tx1"/>
            </w14:solidFill>
          </w14:textFill>
        </w:rPr>
        <w:t>相关</w:t>
      </w:r>
      <w:r>
        <w:rPr>
          <w:rFonts w:hint="eastAsia" w:hAnsi="宋体" w:cs="宋体"/>
          <w:b w:val="0"/>
          <w:bCs w:val="0"/>
          <w:color w:val="000000" w:themeColor="text1"/>
          <w:sz w:val="21"/>
          <w:szCs w:val="21"/>
          <w:highlight w:val="none"/>
          <w14:textFill>
            <w14:solidFill>
              <w14:schemeClr w14:val="tx1"/>
            </w14:solidFill>
          </w14:textFill>
        </w:rPr>
        <w:t>风险和责任由乙方自行承担。</w:t>
      </w:r>
    </w:p>
    <w:p w14:paraId="3F72709C">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14:paraId="2456ECE9">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第七条 </w:t>
      </w:r>
      <w:bookmarkStart w:id="525" w:name="OLE_LINK82"/>
      <w:r>
        <w:rPr>
          <w:rFonts w:hint="eastAsia" w:ascii="宋体" w:hAnsi="宋体" w:eastAsia="宋体" w:cs="宋体"/>
          <w:b/>
          <w:color w:val="000000" w:themeColor="text1"/>
          <w:szCs w:val="21"/>
          <w:highlight w:val="none"/>
          <w14:textFill>
            <w14:solidFill>
              <w14:schemeClr w14:val="tx1"/>
            </w14:solidFill>
          </w14:textFill>
        </w:rPr>
        <w:t>保险</w:t>
      </w:r>
      <w:bookmarkEnd w:id="525"/>
    </w:p>
    <w:p w14:paraId="35CB7120">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应负责为本合同项下所有货物购买相应的商业保险，并向甲方提供投保证明，投保保险金额应不低于相应设备发票金额的110%，保险费已包含在合同价中。如因乙方未能投保或保险人不予承担相应责任而货物在经甲方项目整体最终验收合格前的运输、装卸、现场照管、安装等过程中发生毁损、灭失的风险由乙方自行承担。</w:t>
      </w:r>
    </w:p>
    <w:p w14:paraId="58BFA13B">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一旦上述货物发生保险事故，乙方除依法向保险人请求赔偿保险金外，应继续依约向甲方提供满足项目要求的货物，由此造成逾期完工的，乙方应</w:t>
      </w:r>
      <w:bookmarkStart w:id="526" w:name="OLE_LINK466"/>
      <w:r>
        <w:rPr>
          <w:rFonts w:hint="eastAsia" w:ascii="宋体" w:hAnsi="宋体" w:eastAsia="宋体" w:cs="宋体"/>
          <w:color w:val="000000" w:themeColor="text1"/>
          <w:szCs w:val="21"/>
          <w:highlight w:val="none"/>
          <w14:textFill>
            <w14:solidFill>
              <w14:schemeClr w14:val="tx1"/>
            </w14:solidFill>
          </w14:textFill>
        </w:rPr>
        <w:t>按合同</w:t>
      </w:r>
      <w:bookmarkEnd w:id="526"/>
      <w:r>
        <w:rPr>
          <w:rFonts w:hint="eastAsia" w:ascii="宋体" w:hAnsi="宋体" w:eastAsia="宋体" w:cs="宋体"/>
          <w:color w:val="000000" w:themeColor="text1"/>
          <w:szCs w:val="21"/>
          <w:highlight w:val="none"/>
          <w14:textFill>
            <w14:solidFill>
              <w14:schemeClr w14:val="tx1"/>
            </w14:solidFill>
          </w14:textFill>
        </w:rPr>
        <w:t>约定承担违约责任。</w:t>
      </w:r>
    </w:p>
    <w:p w14:paraId="4A992EA6">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14:paraId="719F6474">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第八条 </w:t>
      </w:r>
      <w:bookmarkStart w:id="527" w:name="OLE_LINK83"/>
      <w:r>
        <w:rPr>
          <w:rFonts w:hint="eastAsia" w:ascii="宋体" w:hAnsi="宋体" w:eastAsia="宋体" w:cs="宋体"/>
          <w:b/>
          <w:color w:val="000000" w:themeColor="text1"/>
          <w:szCs w:val="21"/>
          <w:highlight w:val="none"/>
          <w14:textFill>
            <w14:solidFill>
              <w14:schemeClr w14:val="tx1"/>
            </w14:solidFill>
          </w14:textFill>
        </w:rPr>
        <w:t>货物的交付</w:t>
      </w:r>
      <w:bookmarkEnd w:id="527"/>
    </w:p>
    <w:p w14:paraId="0ADDA14B">
      <w:pPr>
        <w:adjustRightInd w:val="0"/>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bookmarkStart w:id="528" w:name="OLE_LINK467"/>
      <w:r>
        <w:rPr>
          <w:rFonts w:hint="eastAsia" w:ascii="宋体" w:hAnsi="宋体" w:eastAsia="宋体" w:cs="宋体"/>
          <w:bCs/>
          <w:color w:val="000000" w:themeColor="text1"/>
          <w:szCs w:val="21"/>
          <w:highlight w:val="none"/>
          <w14:textFill>
            <w14:solidFill>
              <w14:schemeClr w14:val="tx1"/>
            </w14:solidFill>
          </w14:textFill>
        </w:rPr>
        <w:t>供货及安装界限：乙方所供货物除了用户需求中所含货物，还应包含：技术文件和图纸资料、维护维修手册（包含维护项目和周期）、备品备件市场通用型号清单、产品检测报告文件。所采购设备的运输、安装调试、试运行工作由乙方负责。</w:t>
      </w:r>
    </w:p>
    <w:bookmarkEnd w:id="528"/>
    <w:p w14:paraId="73816421">
      <w:pPr>
        <w:adjustRightInd w:val="0"/>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2、交货地点及责任：</w:t>
      </w:r>
    </w:p>
    <w:p w14:paraId="45EB346F">
      <w:pPr>
        <w:adjustRightInd w:val="0"/>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乙方负责按甲方要求的时间供货运输至甲方于东莞市内指定地点，包括到场设备搬卸和安全措施，乙方负责将所供货物在调试验收后二次运输装卸至东莞市内甲方指定交货地点。设备相关运输、装卸、安装调试试运行、保险等费用已包含在投标报价总价中。甲方如需变更交货地点，甲方应在原定的最后交货日1天前通知乙方。乙方负责将货物运输至甲方指定位置。</w:t>
      </w:r>
    </w:p>
    <w:p w14:paraId="6B475645">
      <w:pPr>
        <w:adjustRightInd w:val="0"/>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乙方所供的货物送至现场，如甲方检查发现有任何质量问题（如外观有损伤），乙方必须立即以同样型号的货物在甲方商定的时间内更换，确保其使用。</w:t>
      </w:r>
    </w:p>
    <w:p w14:paraId="2AC58E01">
      <w:pPr>
        <w:adjustRightInd w:val="0"/>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合同范围内所供货物在经甲方对本项目最终验收合格前（包含运输、装卸、现场照管、安装），货物的损耗、毁损、灭失的风险和责任均由乙方自行承担。</w:t>
      </w:r>
    </w:p>
    <w:p w14:paraId="77E5766E">
      <w:pPr>
        <w:adjustRightIn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3、运输方式：由乙方自行选择适当的运输方式，并承担全部费用。</w:t>
      </w:r>
    </w:p>
    <w:p w14:paraId="38FD5166">
      <w:pPr>
        <w:pStyle w:val="2"/>
        <w:snapToGrid w:val="0"/>
        <w:spacing w:line="360" w:lineRule="auto"/>
        <w:ind w:right="0" w:firstLine="422" w:firstLineChars="200"/>
        <w:jc w:val="both"/>
        <w:rPr>
          <w:rFonts w:hAnsi="宋体" w:cs="宋体"/>
          <w:b w:val="0"/>
          <w:bCs w:val="0"/>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en-US"/>
          <w14:textFill>
            <w14:solidFill>
              <w14:schemeClr w14:val="tx1"/>
            </w14:solidFill>
          </w14:textFill>
        </w:rPr>
        <w:t>4</w:t>
      </w:r>
      <w:r>
        <w:rPr>
          <w:rFonts w:hint="eastAsia" w:hAnsi="宋体" w:cs="宋体"/>
          <w:color w:val="000000" w:themeColor="text1"/>
          <w:sz w:val="21"/>
          <w:szCs w:val="21"/>
          <w:highlight w:val="none"/>
          <w14:textFill>
            <w14:solidFill>
              <w14:schemeClr w14:val="tx1"/>
            </w14:solidFill>
          </w14:textFill>
        </w:rPr>
        <w:t>、在交货地点的卸货责任及费用，由乙方承担。</w:t>
      </w:r>
    </w:p>
    <w:p w14:paraId="69287E35">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14:paraId="517EB462">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第九条 </w:t>
      </w:r>
      <w:bookmarkStart w:id="529" w:name="OLE_LINK88"/>
      <w:r>
        <w:rPr>
          <w:rFonts w:hint="eastAsia" w:ascii="宋体" w:hAnsi="宋体" w:eastAsia="宋体" w:cs="宋体"/>
          <w:b/>
          <w:color w:val="000000" w:themeColor="text1"/>
          <w:szCs w:val="21"/>
          <w:highlight w:val="none"/>
          <w14:textFill>
            <w14:solidFill>
              <w14:schemeClr w14:val="tx1"/>
            </w14:solidFill>
          </w14:textFill>
        </w:rPr>
        <w:t>安装、调试</w:t>
      </w:r>
      <w:bookmarkEnd w:id="529"/>
    </w:p>
    <w:p w14:paraId="04DAFA7B">
      <w:pPr>
        <w:adjustRightIn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1、乙方应在交接验收合格后，及时开展并完成全部设备的安装，且经甲方初步验收合格。乙方负责在甲方要求的时间内完成单机试运转、项目整体运转，以及性能考核的技术指导工作。</w:t>
      </w:r>
    </w:p>
    <w:p w14:paraId="5FC80338">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在货物安装、调试过程中，乙方应遵守甲方现场的管理规定，并遵守工程施工、安全生产、消防安全的有关管理规定，采取必要的安全防范措施，消除事故隐患，并随时接受甲方（或甲方委托的第三方）安全检查人员的监督检查。在乙方搬运、拆卸、安装、调试、验收过程中所产生的安全责任（包括但不限于对协助人员、施工人员、第三方所造成的财物毁损、人员损伤，以及防火、防电、防盗责任等），乙方应承担全部赔偿责任及相关法律责任，与甲方无关；如因此造成甲方损失的，乙方应按甲方实际损失款项的【2】倍标准进行赔偿。</w:t>
      </w:r>
    </w:p>
    <w:p w14:paraId="17306093">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负责安装、调试，并及时解决安装、调试、试运行中出现的由乙方供货设备导致的问题，相关问题的解决时长以不影响工期为原则，若造成工期延误的，甲方有权追究乙方逾期交货的责任，即每逾期一日，乙方应按合同暂定总价（含税）的5‰向甲方支付违约金。乙方逾期超过30日的，甲方可单方解除本合同，无论甲方是否解除本合同，乙方除支付前述逾期违约金外，还应按合同暂定总价（含税）的5%向甲方支付赔偿金。该部分金额不足以弥补甲方损失的，甲方还有权另行追偿。</w:t>
      </w:r>
    </w:p>
    <w:p w14:paraId="35F5AA17">
      <w:pPr>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乙方现场施工需服从、配合甲方的安全文明施工管理，并与甲方签订安全生产协议。由于乙方原因造成甲方或其他第三方参建单位人员伤亡、财物损失或者被监督部门行政处罚，乙方须承担相应赔偿责任。事故若经认定或调处使甲方对外负担经济支出的，乙方承诺给予全部补偿。</w:t>
      </w:r>
    </w:p>
    <w:p w14:paraId="2C8B0129">
      <w:pPr>
        <w:spacing w:line="360" w:lineRule="auto"/>
        <w:ind w:firstLine="371" w:firstLineChars="177"/>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乙方</w:t>
      </w:r>
      <w:r>
        <w:rPr>
          <w:rFonts w:hint="eastAsia" w:ascii="宋体" w:hAnsi="宋体" w:eastAsia="宋体" w:cs="宋体"/>
          <w:color w:val="000000" w:themeColor="text1"/>
          <w:kern w:val="0"/>
          <w:szCs w:val="21"/>
          <w:highlight w:val="none"/>
          <w:lang w:val="zh-CN"/>
          <w14:textFill>
            <w14:solidFill>
              <w14:schemeClr w14:val="tx1"/>
            </w14:solidFill>
          </w14:textFill>
        </w:rPr>
        <w:t>应严格按照国家有关安全文明施工的标准与规范制定安全文明施工操作规程，配备必要的安全生产和劳动保护设施，加强对施工作业人员的施工安全教育培训，对他们的安全负责。</w:t>
      </w:r>
    </w:p>
    <w:p w14:paraId="6BB83C56">
      <w:pPr>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乙方</w:t>
      </w:r>
      <w:r>
        <w:rPr>
          <w:rFonts w:hint="eastAsia" w:ascii="宋体" w:hAnsi="宋体" w:eastAsia="宋体" w:cs="宋体"/>
          <w:color w:val="000000" w:themeColor="text1"/>
          <w:kern w:val="0"/>
          <w:szCs w:val="21"/>
          <w:highlight w:val="none"/>
          <w:lang w:val="zh-CN"/>
          <w14:textFill>
            <w14:solidFill>
              <w14:schemeClr w14:val="tx1"/>
            </w14:solidFill>
          </w14:textFill>
        </w:rPr>
        <w:t>应对合同工程的安全文明施工负责，采取有效的安全措施消除安全事故隐患，并接受和配合依法实施的监督检查。</w:t>
      </w:r>
    </w:p>
    <w:p w14:paraId="15EFA329">
      <w:pPr>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7、乙方应遵守国家有关环境保护、卫生监督的法律法规，采取有效措施，保证施工场地达到环境保护、卫生部门的管理要求，为现场自有人员提供并维护干净卫生的生活设施，保持施工场地的清洁整齐。</w:t>
      </w:r>
    </w:p>
    <w:p w14:paraId="25530F5F">
      <w:pPr>
        <w:snapToGri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为保证合同设备的性能、满足招标文件要求功能且长期、稳定、正常运行要求所需要的，除施工图纸设计的预留洞口、预埋件、回填、防水外，需要另行发生的开（补）洞口、增加预埋件、填缝、回填材料、水管、电路接驳、安全装置、防水等，均由乙方自行负责，其费用包括在合同价中。</w:t>
      </w:r>
    </w:p>
    <w:p w14:paraId="7E81812E">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14:paraId="4945C177">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bookmarkStart w:id="530" w:name="OLE_LINK258"/>
      <w:r>
        <w:rPr>
          <w:rFonts w:hint="eastAsia" w:ascii="宋体" w:hAnsi="宋体" w:eastAsia="宋体" w:cs="宋体"/>
          <w:b/>
          <w:color w:val="000000" w:themeColor="text1"/>
          <w:szCs w:val="21"/>
          <w:highlight w:val="none"/>
          <w14:textFill>
            <w14:solidFill>
              <w14:schemeClr w14:val="tx1"/>
            </w14:solidFill>
          </w14:textFill>
        </w:rPr>
        <w:t xml:space="preserve">第十条 </w:t>
      </w:r>
      <w:bookmarkEnd w:id="530"/>
      <w:bookmarkStart w:id="531" w:name="OLE_LINK90"/>
      <w:r>
        <w:rPr>
          <w:rFonts w:hint="eastAsia" w:ascii="宋体" w:hAnsi="宋体" w:eastAsia="宋体" w:cs="宋体"/>
          <w:b/>
          <w:color w:val="000000" w:themeColor="text1"/>
          <w:szCs w:val="21"/>
          <w:highlight w:val="none"/>
          <w14:textFill>
            <w14:solidFill>
              <w14:schemeClr w14:val="tx1"/>
            </w14:solidFill>
          </w14:textFill>
        </w:rPr>
        <w:t>验收</w:t>
      </w:r>
      <w:bookmarkEnd w:id="531"/>
    </w:p>
    <w:p w14:paraId="141BC089">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1、验收分为货到交货地点的交接验收，货物完成安装、单机试运转的初步验收，和</w:t>
      </w:r>
      <w:bookmarkStart w:id="532" w:name="OLE_LINK288"/>
      <w:bookmarkStart w:id="533" w:name="OLE_LINK418"/>
      <w:r>
        <w:rPr>
          <w:rFonts w:hint="eastAsia" w:ascii="宋体" w:hAnsi="宋体" w:eastAsia="宋体" w:cs="宋体"/>
          <w:color w:val="000000" w:themeColor="text1"/>
          <w:szCs w:val="21"/>
          <w:highlight w:val="none"/>
          <w14:textFill>
            <w14:solidFill>
              <w14:schemeClr w14:val="tx1"/>
            </w14:solidFill>
          </w14:textFill>
        </w:rPr>
        <w:t>项目整体运转</w:t>
      </w:r>
      <w:bookmarkEnd w:id="532"/>
      <w:bookmarkStart w:id="534" w:name="OLE_LINK415"/>
      <w:r>
        <w:rPr>
          <w:rFonts w:hint="eastAsia" w:ascii="宋体" w:hAnsi="宋体" w:eastAsia="宋体" w:cs="宋体"/>
          <w:color w:val="000000" w:themeColor="text1"/>
          <w:highlight w:val="none"/>
          <w14:textFill>
            <w14:solidFill>
              <w14:schemeClr w14:val="tx1"/>
            </w14:solidFill>
          </w14:textFill>
        </w:rPr>
        <w:t>且并网送电</w:t>
      </w:r>
      <w:bookmarkEnd w:id="533"/>
      <w:bookmarkEnd w:id="534"/>
      <w:r>
        <w:rPr>
          <w:rFonts w:hint="eastAsia" w:ascii="宋体" w:hAnsi="宋体" w:eastAsia="宋体" w:cs="宋体"/>
          <w:color w:val="000000" w:themeColor="text1"/>
          <w:szCs w:val="21"/>
          <w:highlight w:val="none"/>
          <w14:textFill>
            <w14:solidFill>
              <w14:schemeClr w14:val="tx1"/>
            </w14:solidFill>
          </w14:textFill>
        </w:rPr>
        <w:t>的并网验收以及最终验收，并符合</w:t>
      </w:r>
      <w:r>
        <w:rPr>
          <w:rFonts w:hint="eastAsia" w:ascii="宋体" w:hAnsi="宋体" w:eastAsia="宋体" w:cs="宋体"/>
          <w:color w:val="000000" w:themeColor="text1"/>
          <w:kern w:val="0"/>
          <w:szCs w:val="21"/>
          <w:highlight w:val="none"/>
          <w14:textFill>
            <w14:solidFill>
              <w14:schemeClr w14:val="tx1"/>
            </w14:solidFill>
          </w14:textFill>
        </w:rPr>
        <w:t>国家、省或行业现行的</w:t>
      </w:r>
      <w:r>
        <w:rPr>
          <w:rFonts w:hint="eastAsia" w:ascii="宋体" w:hAnsi="宋体" w:eastAsia="宋体" w:cs="宋体"/>
          <w:color w:val="000000" w:themeColor="text1"/>
          <w:szCs w:val="21"/>
          <w:highlight w:val="none"/>
          <w14:textFill>
            <w14:solidFill>
              <w14:schemeClr w14:val="tx1"/>
            </w14:solidFill>
          </w14:textFill>
        </w:rPr>
        <w:t>相关规范。</w:t>
      </w:r>
    </w:p>
    <w:p w14:paraId="07B5F421">
      <w:pPr>
        <w:pStyle w:val="22"/>
        <w:tabs>
          <w:tab w:val="left" w:pos="0"/>
        </w:tabs>
        <w:adjustRightInd w:val="0"/>
        <w:spacing w:line="360" w:lineRule="auto"/>
        <w:ind w:firstLine="422"/>
        <w:textAlignment w:val="baseline"/>
        <w:rPr>
          <w:rFonts w:hAnsi="宋体" w:cs="宋体"/>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2、交接验收：</w:t>
      </w:r>
    </w:p>
    <w:p w14:paraId="6A635DD8">
      <w:pPr>
        <w:pStyle w:val="22"/>
        <w:tabs>
          <w:tab w:val="left" w:pos="0"/>
        </w:tabs>
        <w:adjustRightInd w:val="0"/>
        <w:spacing w:line="360" w:lineRule="auto"/>
        <w:ind w:firstLine="422"/>
        <w:textAlignment w:val="baseline"/>
        <w:rPr>
          <w:rFonts w:hAnsi="宋体" w:cs="宋体"/>
          <w:color w:val="000000" w:themeColor="text1"/>
          <w:szCs w:val="21"/>
          <w:highlight w:val="none"/>
          <w:lang w:val="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w:t>
      </w:r>
      <w:r>
        <w:rPr>
          <w:rFonts w:hint="eastAsia" w:hAnsi="宋体" w:cs="宋体"/>
          <w:color w:val="000000" w:themeColor="text1"/>
          <w:szCs w:val="21"/>
          <w:highlight w:val="none"/>
          <w:lang w:val="zh-CN"/>
          <w14:textFill>
            <w14:solidFill>
              <w14:schemeClr w14:val="tx1"/>
            </w14:solidFill>
          </w14:textFill>
        </w:rPr>
        <w:t>货物运抵交货地点现场后</w:t>
      </w:r>
      <w:bookmarkStart w:id="535" w:name="OLE_LINK289"/>
      <w:r>
        <w:rPr>
          <w:rFonts w:hint="eastAsia" w:hAnsi="宋体" w:cs="宋体"/>
          <w:color w:val="000000" w:themeColor="text1"/>
          <w:szCs w:val="21"/>
          <w:highlight w:val="none"/>
          <w:u w:val="single"/>
          <w14:textFill>
            <w14:solidFill>
              <w14:schemeClr w14:val="tx1"/>
            </w14:solidFill>
          </w14:textFill>
        </w:rPr>
        <w:t xml:space="preserve"> 7 </w:t>
      </w:r>
      <w:r>
        <w:rPr>
          <w:rFonts w:hint="eastAsia" w:hAnsi="宋体" w:cs="宋体"/>
          <w:color w:val="000000" w:themeColor="text1"/>
          <w:szCs w:val="21"/>
          <w:highlight w:val="none"/>
          <w14:textFill>
            <w14:solidFill>
              <w14:schemeClr w14:val="tx1"/>
            </w14:solidFill>
          </w14:textFill>
        </w:rPr>
        <w:t>日内</w:t>
      </w:r>
      <w:bookmarkEnd w:id="535"/>
      <w:r>
        <w:rPr>
          <w:rFonts w:hint="eastAsia" w:hAnsi="宋体" w:cs="宋体"/>
          <w:color w:val="000000" w:themeColor="text1"/>
          <w:szCs w:val="21"/>
          <w:highlight w:val="none"/>
          <w:lang w:val="zh-CN"/>
          <w14:textFill>
            <w14:solidFill>
              <w14:schemeClr w14:val="tx1"/>
            </w14:solidFill>
          </w14:textFill>
        </w:rPr>
        <w:t>，</w:t>
      </w:r>
      <w:bookmarkStart w:id="536" w:name="OLE_LINK252"/>
      <w:r>
        <w:rPr>
          <w:rFonts w:hint="eastAsia" w:hAnsi="宋体" w:cs="宋体"/>
          <w:color w:val="000000" w:themeColor="text1"/>
          <w:szCs w:val="21"/>
          <w:highlight w:val="none"/>
          <w14:textFill>
            <w14:solidFill>
              <w14:schemeClr w14:val="tx1"/>
            </w14:solidFill>
          </w14:textFill>
        </w:rPr>
        <w:t>甲方（或甲方委托的第三方）</w:t>
      </w:r>
      <w:bookmarkEnd w:id="536"/>
      <w:r>
        <w:rPr>
          <w:rFonts w:hint="eastAsia" w:hAnsi="宋体" w:cs="宋体"/>
          <w:color w:val="000000" w:themeColor="text1"/>
          <w:szCs w:val="21"/>
          <w:highlight w:val="none"/>
          <w14:textFill>
            <w14:solidFill>
              <w14:schemeClr w14:val="tx1"/>
            </w14:solidFill>
          </w14:textFill>
        </w:rPr>
        <w:t>、乙方代表共同开箱验货。甲方（或甲方委托的第三方）</w:t>
      </w:r>
      <w:r>
        <w:rPr>
          <w:rFonts w:hint="eastAsia" w:hAnsi="宋体" w:cs="宋体"/>
          <w:color w:val="000000" w:themeColor="text1"/>
          <w:szCs w:val="21"/>
          <w:highlight w:val="none"/>
          <w:lang w:val="zh-CN"/>
          <w14:textFill>
            <w14:solidFill>
              <w14:schemeClr w14:val="tx1"/>
            </w14:solidFill>
          </w14:textFill>
        </w:rPr>
        <w:t>按照本合同及招标文件、投标文件、制造图纸、</w:t>
      </w:r>
      <w:r>
        <w:rPr>
          <w:rFonts w:hint="eastAsia" w:hAnsi="宋体" w:cs="宋体"/>
          <w:color w:val="000000" w:themeColor="text1"/>
          <w:szCs w:val="21"/>
          <w:highlight w:val="none"/>
          <w14:textFill>
            <w14:solidFill>
              <w14:schemeClr w14:val="tx1"/>
            </w14:solidFill>
          </w14:textFill>
        </w:rPr>
        <w:t>国家相关法律法规以及规范的要求</w:t>
      </w:r>
      <w:r>
        <w:rPr>
          <w:rFonts w:hint="eastAsia" w:hAnsi="宋体" w:cs="宋体"/>
          <w:color w:val="000000" w:themeColor="text1"/>
          <w:szCs w:val="21"/>
          <w:highlight w:val="none"/>
          <w:lang w:val="zh-CN"/>
          <w14:textFill>
            <w14:solidFill>
              <w14:schemeClr w14:val="tx1"/>
            </w14:solidFill>
          </w14:textFill>
        </w:rPr>
        <w:t>等相关的规定，对货物的品种、品牌、产地、型号规格、数量、外观质量、资料等进行清点和检查，并根据清点和检查情况作详细的记录。</w:t>
      </w:r>
    </w:p>
    <w:p w14:paraId="011408BB">
      <w:pPr>
        <w:pStyle w:val="22"/>
        <w:tabs>
          <w:tab w:val="left" w:pos="0"/>
        </w:tabs>
        <w:adjustRightInd w:val="0"/>
        <w:spacing w:line="360" w:lineRule="auto"/>
        <w:ind w:firstLine="422"/>
        <w:textAlignment w:val="baseline"/>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若乙方所提供的设备或部件为国外制造，应提供原产地证书、报关资料等必备证明资料。根据法律法规的规定，在货物入境过程中需要实施检验检疫的入境商品，经入境管理部门检验后，如有相关证明的，乙方应提供入境货物检验检疫证明。</w:t>
      </w:r>
    </w:p>
    <w:p w14:paraId="789F9891">
      <w:pPr>
        <w:pStyle w:val="22"/>
        <w:tabs>
          <w:tab w:val="left" w:pos="0"/>
        </w:tabs>
        <w:adjustRightInd w:val="0"/>
        <w:spacing w:line="360" w:lineRule="auto"/>
        <w:ind w:firstLine="420" w:firstLineChars="200"/>
        <w:textAlignment w:val="baseline"/>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w:t>
      </w:r>
      <w:r>
        <w:rPr>
          <w:rFonts w:hint="eastAsia" w:hAnsi="宋体" w:cs="宋体"/>
          <w:color w:val="000000" w:themeColor="text1"/>
          <w:szCs w:val="21"/>
          <w:highlight w:val="none"/>
          <w:lang w:val="zh-CN"/>
          <w14:textFill>
            <w14:solidFill>
              <w14:schemeClr w14:val="tx1"/>
            </w14:solidFill>
          </w14:textFill>
        </w:rPr>
        <w:t>如发现货物的品种、品牌、产地、型号规格、数量、外观质量、资料与合同约定或招标文件规定不符，</w:t>
      </w:r>
      <w:r>
        <w:rPr>
          <w:rFonts w:hint="eastAsia" w:hAnsi="宋体" w:cs="宋体"/>
          <w:color w:val="000000" w:themeColor="text1"/>
          <w:szCs w:val="21"/>
          <w:highlight w:val="none"/>
          <w14:textFill>
            <w14:solidFill>
              <w14:schemeClr w14:val="tx1"/>
            </w14:solidFill>
          </w14:textFill>
        </w:rPr>
        <w:t>或货物短缺、质次、损坏等问题，应作详细纪录，甲方有权拒绝收货并拒绝付款，或由乙方在甲方规定的时间内立即、无条件为甲方免费调换或补齐。调换或补齐后的货物，甲方有权按照本条有关验收的规定进行验收，由此产生的制造、修理和运费及保险费均应由乙方</w:t>
      </w:r>
      <w:bookmarkStart w:id="537" w:name="OLE_LINK417"/>
      <w:r>
        <w:rPr>
          <w:rFonts w:hint="eastAsia" w:hAnsi="宋体" w:cs="宋体"/>
          <w:color w:val="000000" w:themeColor="text1"/>
          <w:szCs w:val="21"/>
          <w:highlight w:val="none"/>
          <w14:textFill>
            <w14:solidFill>
              <w14:schemeClr w14:val="tx1"/>
            </w14:solidFill>
          </w14:textFill>
        </w:rPr>
        <w:t>承担</w:t>
      </w:r>
      <w:bookmarkEnd w:id="537"/>
      <w:r>
        <w:rPr>
          <w:rFonts w:hint="eastAsia" w:hAnsi="宋体" w:cs="宋体"/>
          <w:color w:val="000000" w:themeColor="text1"/>
          <w:szCs w:val="21"/>
          <w:highlight w:val="none"/>
          <w14:textFill>
            <w14:solidFill>
              <w14:schemeClr w14:val="tx1"/>
            </w14:solidFill>
          </w14:textFill>
        </w:rPr>
        <w:t>，与甲方无关。以上调换、更换、补齐货物的时间包含在甲乙双方约定的交货时间内。</w:t>
      </w:r>
    </w:p>
    <w:p w14:paraId="1DACDA15">
      <w:pPr>
        <w:pStyle w:val="22"/>
        <w:tabs>
          <w:tab w:val="left" w:pos="0"/>
        </w:tabs>
        <w:adjustRightInd w:val="0"/>
        <w:spacing w:line="360" w:lineRule="auto"/>
        <w:ind w:firstLine="420" w:firstLineChars="200"/>
        <w:textAlignment w:val="baseline"/>
        <w:rPr>
          <w:rFonts w:hAnsi="宋体" w:cs="宋体"/>
          <w:color w:val="000000" w:themeColor="text1"/>
          <w:szCs w:val="21"/>
          <w:highlight w:val="none"/>
          <w:lang w:val="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由于非甲方原因而引起的设备或部件的修理或更换的时间，应以不影响工期为原则进行，若造成工期延误的，甲方有权追究乙方逾期责任，即每逾期一日，乙方应按合同暂定总价（含税）的5‰向甲方支付违约金。乙方逾期超过30日的，甲方可单方解除本合同，无论甲方是否解除本合同，乙方除支付前述逾期违约金外，还应按合同暂定总价（含税）的5%向甲方支付赔偿金。该部分金额不足以弥补甲方损失的，甲方有权另行追偿。</w:t>
      </w:r>
    </w:p>
    <w:p w14:paraId="0B3709C2">
      <w:pPr>
        <w:pStyle w:val="22"/>
        <w:tabs>
          <w:tab w:val="left" w:pos="0"/>
        </w:tabs>
        <w:adjustRightInd w:val="0"/>
        <w:spacing w:line="360" w:lineRule="auto"/>
        <w:ind w:firstLine="420" w:firstLineChars="200"/>
        <w:textAlignment w:val="baseline"/>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（5）交接验收合格后，甲方</w:t>
      </w:r>
      <w:r>
        <w:rPr>
          <w:rFonts w:hint="eastAsia" w:hAnsi="宋体" w:cs="宋体"/>
          <w:color w:val="000000" w:themeColor="text1"/>
          <w:szCs w:val="21"/>
          <w:highlight w:val="none"/>
          <w:lang w:val="zh-CN"/>
          <w14:textFill>
            <w14:solidFill>
              <w14:schemeClr w14:val="tx1"/>
            </w14:solidFill>
          </w14:textFill>
        </w:rPr>
        <w:t>出具相关签收手续。</w:t>
      </w:r>
    </w:p>
    <w:p w14:paraId="597E1ECF">
      <w:pPr>
        <w:pStyle w:val="22"/>
        <w:tabs>
          <w:tab w:val="left" w:pos="0"/>
        </w:tabs>
        <w:adjustRightInd w:val="0"/>
        <w:spacing w:line="360" w:lineRule="auto"/>
        <w:ind w:firstLine="422" w:firstLineChars="200"/>
        <w:textAlignment w:val="baseline"/>
        <w:rPr>
          <w:rFonts w:hAnsi="宋体" w:cs="宋体"/>
          <w:b/>
          <w:color w:val="000000" w:themeColor="text1"/>
          <w:szCs w:val="21"/>
          <w:highlight w:val="none"/>
          <w14:textFill>
            <w14:solidFill>
              <w14:schemeClr w14:val="tx1"/>
            </w14:solidFill>
          </w14:textFill>
        </w:rPr>
      </w:pPr>
      <w:bookmarkStart w:id="538" w:name="OLE_LINK473"/>
      <w:r>
        <w:rPr>
          <w:rFonts w:hint="eastAsia" w:hAnsi="宋体" w:cs="宋体"/>
          <w:b/>
          <w:bCs/>
          <w:color w:val="000000" w:themeColor="text1"/>
          <w:szCs w:val="21"/>
          <w:highlight w:val="none"/>
          <w14:textFill>
            <w14:solidFill>
              <w14:schemeClr w14:val="tx1"/>
            </w14:solidFill>
          </w14:textFill>
        </w:rPr>
        <w:t>3、初步验收：</w:t>
      </w:r>
      <w:bookmarkEnd w:id="538"/>
    </w:p>
    <w:p w14:paraId="5670C20A">
      <w:pPr>
        <w:pStyle w:val="22"/>
        <w:tabs>
          <w:tab w:val="left" w:pos="0"/>
        </w:tabs>
        <w:adjustRightInd w:val="0"/>
        <w:spacing w:line="360" w:lineRule="auto"/>
        <w:ind w:firstLine="420" w:firstLineChars="200"/>
        <w:textAlignment w:val="baseline"/>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（1）合同项下货物在完成全部安装、逐一单机试运转及性能测试合格后，甲方（含甲方委托的第三方）、乙方一起对设备的</w:t>
      </w:r>
      <w:r>
        <w:rPr>
          <w:rFonts w:hint="eastAsia" w:hAnsi="宋体" w:cs="宋体"/>
          <w:color w:val="000000" w:themeColor="text1"/>
          <w:szCs w:val="21"/>
          <w:highlight w:val="none"/>
          <w:lang w:val="zh-CN"/>
          <w14:textFill>
            <w14:solidFill>
              <w14:schemeClr w14:val="tx1"/>
            </w14:solidFill>
          </w14:textFill>
        </w:rPr>
        <w:t>完整性</w:t>
      </w:r>
      <w:r>
        <w:rPr>
          <w:rFonts w:hint="eastAsia" w:hAnsi="宋体" w:cs="宋体"/>
          <w:color w:val="000000" w:themeColor="text1"/>
          <w:szCs w:val="21"/>
          <w:highlight w:val="none"/>
          <w14:textFill>
            <w14:solidFill>
              <w14:schemeClr w14:val="tx1"/>
            </w14:solidFill>
          </w14:textFill>
        </w:rPr>
        <w:t>，安装与设计图纸符合性和合理性、单机试运转的测试结果进行初步检验。</w:t>
      </w:r>
    </w:p>
    <w:p w14:paraId="3ED0E77A">
      <w:pPr>
        <w:pStyle w:val="22"/>
        <w:tabs>
          <w:tab w:val="left" w:pos="0"/>
        </w:tabs>
        <w:adjustRightInd w:val="0"/>
        <w:spacing w:line="360" w:lineRule="auto"/>
        <w:ind w:firstLine="420" w:firstLineChars="200"/>
        <w:textAlignment w:val="baseline"/>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（2）乙方在货物安装、单机试运转过程中，应做好详细的检验、测试记录和试验结果，检验结果应符合</w:t>
      </w:r>
      <w:r>
        <w:rPr>
          <w:rFonts w:hint="eastAsia" w:hAnsi="宋体" w:cs="宋体"/>
          <w:color w:val="000000" w:themeColor="text1"/>
          <w:szCs w:val="21"/>
          <w:highlight w:val="none"/>
          <w:lang w:val="zh-CN"/>
          <w14:textFill>
            <w14:solidFill>
              <w14:schemeClr w14:val="tx1"/>
            </w14:solidFill>
          </w14:textFill>
        </w:rPr>
        <w:t>本合同及招标文件、投标文件、制造图纸、</w:t>
      </w:r>
      <w:r>
        <w:rPr>
          <w:rFonts w:hint="eastAsia" w:hAnsi="宋体" w:cs="宋体"/>
          <w:color w:val="000000" w:themeColor="text1"/>
          <w:szCs w:val="21"/>
          <w:highlight w:val="none"/>
          <w14:textFill>
            <w14:solidFill>
              <w14:schemeClr w14:val="tx1"/>
            </w14:solidFill>
          </w14:textFill>
        </w:rPr>
        <w:t>国家相关法律法规以及规范的</w:t>
      </w:r>
      <w:r>
        <w:rPr>
          <w:rFonts w:hint="eastAsia" w:hAnsi="宋体" w:cs="宋体"/>
          <w:color w:val="000000" w:themeColor="text1"/>
          <w:szCs w:val="21"/>
          <w:highlight w:val="none"/>
          <w:lang w:val="zh-CN"/>
          <w14:textFill>
            <w14:solidFill>
              <w14:schemeClr w14:val="tx1"/>
            </w14:solidFill>
          </w14:textFill>
        </w:rPr>
        <w:t>规定标准。（当多个标准不一致时，以最高标准作为验收标准）。</w:t>
      </w:r>
      <w:r>
        <w:rPr>
          <w:rFonts w:hint="eastAsia" w:hAnsi="宋体" w:cs="宋体"/>
          <w:color w:val="000000" w:themeColor="text1"/>
          <w:szCs w:val="21"/>
          <w:highlight w:val="none"/>
          <w14:textFill>
            <w14:solidFill>
              <w14:schemeClr w14:val="tx1"/>
            </w14:solidFill>
          </w14:textFill>
        </w:rPr>
        <w:t xml:space="preserve"> </w:t>
      </w:r>
    </w:p>
    <w:p w14:paraId="6F4D1819">
      <w:pPr>
        <w:pStyle w:val="22"/>
        <w:tabs>
          <w:tab w:val="left" w:pos="0"/>
        </w:tabs>
        <w:adjustRightInd w:val="0"/>
        <w:spacing w:line="360" w:lineRule="auto"/>
        <w:ind w:firstLine="420" w:firstLineChars="200"/>
        <w:textAlignment w:val="baseline"/>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（3）达到验收标准，甲、乙双方及相关单位共同签署初步验收记录。乙方同时提供单机试运转报告、测试报告等资料。 </w:t>
      </w:r>
    </w:p>
    <w:p w14:paraId="7BA25CAE">
      <w:pPr>
        <w:pStyle w:val="22"/>
        <w:tabs>
          <w:tab w:val="left" w:pos="0"/>
        </w:tabs>
        <w:adjustRightInd w:val="0"/>
        <w:spacing w:line="360" w:lineRule="auto"/>
        <w:ind w:firstLine="422"/>
        <w:textAlignment w:val="baseline"/>
        <w:rPr>
          <w:rFonts w:hAnsi="宋体" w:cs="宋体"/>
          <w:b/>
          <w:bCs/>
          <w:color w:val="000000" w:themeColor="text1"/>
          <w:szCs w:val="21"/>
          <w:highlight w:val="none"/>
          <w14:textFill>
            <w14:solidFill>
              <w14:schemeClr w14:val="tx1"/>
            </w14:solidFill>
          </w14:textFill>
        </w:rPr>
      </w:pPr>
      <w:bookmarkStart w:id="539" w:name="OLE_LINK474"/>
      <w:r>
        <w:rPr>
          <w:rFonts w:hint="eastAsia" w:hAnsi="宋体" w:cs="宋体"/>
          <w:b/>
          <w:bCs/>
          <w:color w:val="000000" w:themeColor="text1"/>
          <w:szCs w:val="21"/>
          <w:highlight w:val="none"/>
          <w14:textFill>
            <w14:solidFill>
              <w14:schemeClr w14:val="tx1"/>
            </w14:solidFill>
          </w14:textFill>
        </w:rPr>
        <w:t>4、并网验收：</w:t>
      </w:r>
      <w:bookmarkEnd w:id="539"/>
    </w:p>
    <w:p w14:paraId="1ECA8B1B">
      <w:pPr>
        <w:pStyle w:val="22"/>
        <w:tabs>
          <w:tab w:val="left" w:pos="0"/>
        </w:tabs>
        <w:adjustRightInd w:val="0"/>
        <w:spacing w:line="360" w:lineRule="auto"/>
        <w:ind w:firstLine="422"/>
        <w:textAlignment w:val="baseline"/>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项目在设备调试初步验收合格后乙方应根据甲方要求时间内完成整体性能验收，执行国家、省或行业现行的质量验收标准及规范，须达到合格标准，并通过当地相关供电部门的并网验收可启动送电即为并网验收合格。</w:t>
      </w:r>
    </w:p>
    <w:p w14:paraId="5B474314">
      <w:pPr>
        <w:pStyle w:val="22"/>
        <w:tabs>
          <w:tab w:val="left" w:pos="0"/>
        </w:tabs>
        <w:adjustRightInd w:val="0"/>
        <w:spacing w:line="360" w:lineRule="auto"/>
        <w:ind w:firstLine="422"/>
        <w:textAlignment w:val="baseline"/>
        <w:rPr>
          <w:rFonts w:hAnsi="宋体" w:cs="宋体"/>
          <w:color w:val="000000" w:themeColor="text1"/>
          <w:szCs w:val="21"/>
          <w:highlight w:val="none"/>
          <w14:textFill>
            <w14:solidFill>
              <w14:schemeClr w14:val="tx1"/>
            </w14:solidFill>
          </w14:textFill>
        </w:rPr>
      </w:pPr>
      <w:bookmarkStart w:id="540" w:name="OLE_LINK476"/>
      <w:r>
        <w:rPr>
          <w:rFonts w:hint="eastAsia" w:hAnsi="宋体" w:cs="宋体"/>
          <w:b/>
          <w:bCs/>
          <w:color w:val="000000" w:themeColor="text1"/>
          <w:szCs w:val="21"/>
          <w:highlight w:val="none"/>
          <w14:textFill>
            <w14:solidFill>
              <w14:schemeClr w14:val="tx1"/>
            </w14:solidFill>
          </w14:textFill>
        </w:rPr>
        <w:t>5</w:t>
      </w:r>
      <w:bookmarkStart w:id="541" w:name="OLE_LINK475"/>
      <w:r>
        <w:rPr>
          <w:rFonts w:hint="eastAsia" w:hAnsi="宋体" w:cs="宋体"/>
          <w:b/>
          <w:bCs/>
          <w:color w:val="000000" w:themeColor="text1"/>
          <w:szCs w:val="21"/>
          <w:highlight w:val="none"/>
          <w14:textFill>
            <w14:solidFill>
              <w14:schemeClr w14:val="tx1"/>
            </w14:solidFill>
          </w14:textFill>
        </w:rPr>
        <w:t>、最终验收：</w:t>
      </w:r>
      <w:bookmarkEnd w:id="540"/>
    </w:p>
    <w:bookmarkEnd w:id="541"/>
    <w:p w14:paraId="57E53FEA">
      <w:pPr>
        <w:pStyle w:val="22"/>
        <w:tabs>
          <w:tab w:val="left" w:pos="0"/>
        </w:tabs>
        <w:adjustRightInd w:val="0"/>
        <w:spacing w:line="360" w:lineRule="auto"/>
        <w:ind w:firstLine="422"/>
        <w:textAlignment w:val="baseline"/>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（1）本项目在验收并网送电后递交全套竣工图设计文件及项目所有资料文档，经甲方验收合格的，甲方向乙方出具书面的验收合格报告。当乙方取得甲方出具的书面最终验收合格报告，视为最终验收合格。</w:t>
      </w:r>
    </w:p>
    <w:p w14:paraId="10D1D232">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甲方在进行任何一次验收时发现货物或安装不符合相关要求的，可拒绝验收或要求乙方承担免费更换或退货或重新安装责任（注：对货物质量问题不符的，应更换新品，不得以维修修复代替），乙方应在3日内自行拆除、更换新品、运回或重新安装，甲方不承担因验收造成的产品损耗且不对产品承担保管责任，因此产生的一切费用及风险由乙方承担。</w:t>
      </w:r>
    </w:p>
    <w:p w14:paraId="5C798800">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7、甲方根据本条规定对货物所做出的验收，仅作为起算付款及质保期之用，不视为双方对于货物质量的最终认可，乙方仍应在质保期内对产品质量承担保证责任。</w:t>
      </w:r>
    </w:p>
    <w:p w14:paraId="3D635EE9">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8、货物在最终验收合格至移交之日前，其损耗、毁损、灭失等风险及责任由乙方承担，如因发生前述情形，导致不能通过甲方验收移交的，乙方应按甲方要求予以免费更换或退货。</w:t>
      </w:r>
    </w:p>
    <w:p w14:paraId="283CF49A">
      <w:pPr>
        <w:pStyle w:val="22"/>
        <w:tabs>
          <w:tab w:val="left" w:pos="0"/>
        </w:tabs>
        <w:adjustRightInd w:val="0"/>
        <w:spacing w:line="360" w:lineRule="auto"/>
        <w:ind w:firstLine="422"/>
        <w:textAlignment w:val="baseline"/>
        <w:rPr>
          <w:rFonts w:hAnsi="宋体" w:cs="宋体"/>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9、任一验收过程中，</w:t>
      </w:r>
      <w:r>
        <w:rPr>
          <w:rFonts w:hint="eastAsia" w:hAnsi="宋体" w:cs="宋体"/>
          <w:color w:val="000000" w:themeColor="text1"/>
          <w:szCs w:val="21"/>
          <w:highlight w:val="none"/>
          <w14:textFill>
            <w14:solidFill>
              <w14:schemeClr w14:val="tx1"/>
            </w14:solidFill>
          </w14:textFill>
        </w:rPr>
        <w:t>如对检验记录不能取得一致意见时，可委托项目所在地具有资质的第三方检验机构联合进行检验或鉴定，相关费用先由乙方垫付，最终费用由责任方承担。</w:t>
      </w:r>
    </w:p>
    <w:p w14:paraId="45807742">
      <w:pPr>
        <w:pStyle w:val="22"/>
        <w:tabs>
          <w:tab w:val="left" w:pos="0"/>
        </w:tabs>
        <w:adjustRightInd w:val="0"/>
        <w:spacing w:line="360" w:lineRule="auto"/>
        <w:textAlignment w:val="baseline"/>
        <w:rPr>
          <w:rFonts w:hAnsi="宋体" w:cs="宋体"/>
          <w:b/>
          <w:color w:val="000000" w:themeColor="text1"/>
          <w:szCs w:val="21"/>
          <w:highlight w:val="none"/>
          <w14:textFill>
            <w14:solidFill>
              <w14:schemeClr w14:val="tx1"/>
            </w14:solidFill>
          </w14:textFill>
        </w:rPr>
      </w:pPr>
    </w:p>
    <w:p w14:paraId="6C6C0B78">
      <w:pPr>
        <w:pStyle w:val="22"/>
        <w:tabs>
          <w:tab w:val="left" w:pos="0"/>
        </w:tabs>
        <w:adjustRightInd w:val="0"/>
        <w:spacing w:line="360" w:lineRule="auto"/>
        <w:ind w:firstLine="422"/>
        <w:textAlignment w:val="baseline"/>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第十一条 项目照管</w:t>
      </w:r>
    </w:p>
    <w:p w14:paraId="0800FB66">
      <w:pPr>
        <w:pStyle w:val="22"/>
        <w:tabs>
          <w:tab w:val="left" w:pos="0"/>
        </w:tabs>
        <w:adjustRightInd w:val="0"/>
        <w:spacing w:line="360" w:lineRule="auto"/>
        <w:ind w:firstLine="420" w:firstLineChars="200"/>
        <w:textAlignment w:val="baseline"/>
        <w:rPr>
          <w:rFonts w:hAnsi="宋体" w:cs="宋体"/>
          <w:bCs/>
          <w:color w:val="000000" w:themeColor="text1"/>
          <w:szCs w:val="21"/>
          <w:highlight w:val="none"/>
          <w14:textFill>
            <w14:solidFill>
              <w14:schemeClr w14:val="tx1"/>
            </w14:solidFill>
          </w14:textFill>
        </w:rPr>
      </w:pPr>
      <w:bookmarkStart w:id="542" w:name="OLE_LINK484"/>
      <w:r>
        <w:rPr>
          <w:rFonts w:hint="eastAsia" w:hAnsi="宋体" w:cs="宋体"/>
          <w:bCs/>
          <w:color w:val="000000" w:themeColor="text1"/>
          <w:szCs w:val="21"/>
          <w:highlight w:val="none"/>
          <w14:textFill>
            <w14:solidFill>
              <w14:schemeClr w14:val="tx1"/>
            </w14:solidFill>
          </w14:textFill>
        </w:rPr>
        <w:t>从本合同签订之日起，乙方应全面负责照管合同项目及运至现场将用于和安装在合同项目中的材料和设备设施等，直到合同双方当事人确认项目移交之日止。此后，项目的照管即转由甲方负责。如在整个项目移交前，合同双方当事人已经确认移交或甲方提前接管其中任一单位项目，则从确认移交或提前接管之日起乙方无须对该单位项目负责照管，而转由甲方负责。但乙方应继续负责照管尚未完成的项目和将用于或安装在合同项目中的材料和设备设施等，直至完成上述工作并经合同双方当事人确认整个项目移交之日止。乙方在负责项目照管期间，如因自身原因造成合同项目或其任何部分，以及材料和工程设备设施或临时设施的损坏，乙方应自费修复上述损坏或更新更换，保证合同项目质量达到合同约定的标准。</w:t>
      </w:r>
    </w:p>
    <w:bookmarkEnd w:id="542"/>
    <w:p w14:paraId="28B934D3">
      <w:pPr>
        <w:pStyle w:val="22"/>
        <w:tabs>
          <w:tab w:val="left" w:pos="0"/>
        </w:tabs>
        <w:adjustRightInd w:val="0"/>
        <w:spacing w:line="360" w:lineRule="auto"/>
        <w:textAlignment w:val="baseline"/>
        <w:rPr>
          <w:rFonts w:hAnsi="宋体" w:cs="宋体"/>
          <w:b/>
          <w:color w:val="000000" w:themeColor="text1"/>
          <w:szCs w:val="21"/>
          <w:highlight w:val="none"/>
          <w14:textFill>
            <w14:solidFill>
              <w14:schemeClr w14:val="tx1"/>
            </w14:solidFill>
          </w14:textFill>
        </w:rPr>
      </w:pPr>
      <w:bookmarkStart w:id="543" w:name="OLE_LINK482"/>
    </w:p>
    <w:bookmarkEnd w:id="543"/>
    <w:p w14:paraId="642C420A">
      <w:pPr>
        <w:pStyle w:val="22"/>
        <w:tabs>
          <w:tab w:val="left" w:pos="0"/>
        </w:tabs>
        <w:adjustRightInd w:val="0"/>
        <w:spacing w:line="360" w:lineRule="auto"/>
        <w:ind w:firstLine="422"/>
        <w:textAlignment w:val="baseline"/>
        <w:rPr>
          <w:rFonts w:hAnsi="宋体" w:cs="宋体"/>
          <w:b/>
          <w:color w:val="000000" w:themeColor="text1"/>
          <w:szCs w:val="21"/>
          <w:highlight w:val="none"/>
          <w14:textFill>
            <w14:solidFill>
              <w14:schemeClr w14:val="tx1"/>
            </w14:solidFill>
          </w14:textFill>
        </w:rPr>
      </w:pPr>
      <w:bookmarkStart w:id="544" w:name="OLE_LINK483"/>
      <w:r>
        <w:rPr>
          <w:rFonts w:hint="eastAsia" w:hAnsi="宋体" w:cs="宋体"/>
          <w:b/>
          <w:color w:val="000000" w:themeColor="text1"/>
          <w:szCs w:val="21"/>
          <w:highlight w:val="none"/>
          <w14:textFill>
            <w14:solidFill>
              <w14:schemeClr w14:val="tx1"/>
            </w14:solidFill>
          </w14:textFill>
        </w:rPr>
        <w:t xml:space="preserve">第十二条 </w:t>
      </w:r>
      <w:bookmarkStart w:id="545" w:name="OLE_LINK92"/>
      <w:r>
        <w:rPr>
          <w:rFonts w:hint="eastAsia" w:hAnsi="宋体" w:cs="宋体"/>
          <w:b/>
          <w:color w:val="000000" w:themeColor="text1"/>
          <w:szCs w:val="21"/>
          <w:highlight w:val="none"/>
          <w14:textFill>
            <w14:solidFill>
              <w14:schemeClr w14:val="tx1"/>
            </w14:solidFill>
          </w14:textFill>
        </w:rPr>
        <w:t>技术服务、设计联络、设计技术要求和培训</w:t>
      </w:r>
      <w:bookmarkEnd w:id="545"/>
    </w:p>
    <w:bookmarkEnd w:id="544"/>
    <w:p w14:paraId="10EE6D1A">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1、技术服务、设计联络、设计技术要求</w:t>
      </w:r>
    </w:p>
    <w:p w14:paraId="25DC2E67">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设计质量要求：本项目的设计过程和成果必须符合国家、广东省、东莞市颁布的有关设计方面的现行标准、规范、规程、定额、办法，满足甲方的相关功能需求，并通过甲方及有关部门或专业审图机构的审查。在设计过程中，如果国家或有关部门颁发了新的技术标准或规范，应采用新的标准或规范进行设计。</w:t>
      </w:r>
    </w:p>
    <w:p w14:paraId="0AECE27D">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（2）乙方应及时提供与本合同设备有关的工程设计、检验、土建（如有）、安装、调试、验收、试验、运行、检修、运维等相应的技术指导、技术配合、技术培训等全过程的服务。</w:t>
      </w:r>
    </w:p>
    <w:p w14:paraId="3CB98A4F">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在施工图设计阶段，乙方有义务根据实际情况派遣具有丰富经验的专业技术人员到东莞市参加设计联络会议进行技术交流，包括参加设计会签及校核和审查会议，以完成施工图设计。所需的费用均由乙方负责。设计联络的确切日期由</w:t>
      </w:r>
      <w:bookmarkStart w:id="546" w:name="OLE_LINK420"/>
      <w:r>
        <w:rPr>
          <w:rFonts w:hint="eastAsia" w:ascii="宋体" w:hAnsi="宋体" w:eastAsia="宋体" w:cs="宋体"/>
          <w:color w:val="000000" w:themeColor="text1"/>
          <w:szCs w:val="21"/>
          <w:highlight w:val="none"/>
          <w14:textFill>
            <w14:solidFill>
              <w14:schemeClr w14:val="tx1"/>
            </w14:solidFill>
          </w14:textFill>
        </w:rPr>
        <w:t>甲方确定。</w:t>
      </w:r>
    </w:p>
    <w:p w14:paraId="34FBDBAE">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（4）甲方有权将乙方</w:t>
      </w:r>
      <w:bookmarkEnd w:id="546"/>
      <w:r>
        <w:rPr>
          <w:rFonts w:hint="eastAsia" w:ascii="宋体" w:hAnsi="宋体" w:eastAsia="宋体" w:cs="宋体"/>
          <w:color w:val="000000" w:themeColor="text1"/>
          <w:szCs w:val="21"/>
          <w:highlight w:val="none"/>
          <w14:textFill>
            <w14:solidFill>
              <w14:schemeClr w14:val="tx1"/>
            </w14:solidFill>
          </w14:textFill>
        </w:rPr>
        <w:t>所提供的一切与本合同设备有关的资料分发给与本项目有关的各方，并不由此而构成任何侵权，亦无需事先取得乙方的同意，但双方不得向任何与本项目无关的第三方提供。</w:t>
      </w:r>
    </w:p>
    <w:p w14:paraId="3D277A07">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乙方须对一切与本合同有关（包括外购）的供货、设备及技术接口、技术服务等问题负全部责任。凡与本合同设备相连接的其它设备装置，乙方有提供接口和技术配合的义务，并不由此而向甲方主张发生合同价格以外的任何费用。</w:t>
      </w:r>
    </w:p>
    <w:p w14:paraId="2E8133E3">
      <w:pPr>
        <w:adjustRightIn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（6）由于乙方技术服务人员对安装的疏忽和错误以及乙方未按要求派人指导而造成的直接损失应由乙方负责。造成甲方损失的，乙方需足额赔偿。</w:t>
      </w:r>
    </w:p>
    <w:p w14:paraId="2DB06109">
      <w:pPr>
        <w:adjustRightIn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2、人员培训</w:t>
      </w:r>
    </w:p>
    <w:p w14:paraId="62875A61">
      <w:pPr>
        <w:adjustRightIn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（1）现场培训：指在合同履行期间，乙方派专人对操作工人进行培训，务必使这些受训人员能胜任这些设备的检验、运行和维护工作。</w:t>
      </w:r>
    </w:p>
    <w:p w14:paraId="7DA31958">
      <w:pPr>
        <w:adjustRightIn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（2）培训地点规模：由甲方指定，乙方应</w:t>
      </w:r>
      <w:bookmarkStart w:id="547" w:name="OLE_LINK261"/>
      <w:r>
        <w:rPr>
          <w:rFonts w:hint="eastAsia" w:ascii="宋体" w:hAnsi="宋体" w:eastAsia="宋体" w:cs="宋体"/>
          <w:color w:val="000000" w:themeColor="text1"/>
          <w:szCs w:val="21"/>
          <w:highlight w:val="none"/>
          <w14:textFill>
            <w14:solidFill>
              <w14:schemeClr w14:val="tx1"/>
            </w14:solidFill>
          </w14:textFill>
        </w:rPr>
        <w:t>提前 15 日</w:t>
      </w:r>
      <w:bookmarkEnd w:id="547"/>
      <w:r>
        <w:rPr>
          <w:rFonts w:hint="eastAsia" w:ascii="宋体" w:hAnsi="宋体" w:eastAsia="宋体" w:cs="宋体"/>
          <w:color w:val="000000" w:themeColor="text1"/>
          <w:szCs w:val="21"/>
          <w:highlight w:val="none"/>
          <w14:textFill>
            <w14:solidFill>
              <w14:schemeClr w14:val="tx1"/>
            </w14:solidFill>
          </w14:textFill>
        </w:rPr>
        <w:t>提供完整的书面培训计划和方案，列明提供培训的技术人员名单及资质，以及培训完成后甲方人员可达到的水平等。</w:t>
      </w:r>
    </w:p>
    <w:p w14:paraId="75104A90">
      <w:pPr>
        <w:adjustRightIn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培训内容：乙方为甲方免费提供操作及维护培训，主要内容为货物的基本结构、性能、主要部件的构造及原理，日常使用操作、保养与管理，常见故障的原因分析与排除，紧急情况的处理等。进口设备由外籍技术人员给甲方技术人员进行培训时，乙方必须聘请专业的翻译人员，并提供相关的中英文资料。</w:t>
      </w:r>
    </w:p>
    <w:p w14:paraId="0D09716C">
      <w:pPr>
        <w:adjustRightIn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（4）培训次数：不低于【】次，每次不低于【】天，具体根据甲方需求确定。</w:t>
      </w:r>
    </w:p>
    <w:p w14:paraId="3E51007F">
      <w:pPr>
        <w:adjustRightIn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（5）培训费用：培训费用由乙方承担，该费用已包含在合同价中。</w:t>
      </w:r>
    </w:p>
    <w:p w14:paraId="448CCDD2">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14:paraId="68C0C847">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第十三条 </w:t>
      </w:r>
      <w:bookmarkStart w:id="548" w:name="OLE_LINK93"/>
      <w:r>
        <w:rPr>
          <w:rFonts w:hint="eastAsia" w:ascii="宋体" w:hAnsi="宋体" w:eastAsia="宋体" w:cs="宋体"/>
          <w:b/>
          <w:color w:val="000000" w:themeColor="text1"/>
          <w:szCs w:val="21"/>
          <w:highlight w:val="none"/>
          <w14:textFill>
            <w14:solidFill>
              <w14:schemeClr w14:val="tx1"/>
            </w14:solidFill>
          </w14:textFill>
        </w:rPr>
        <w:t>质保期及售后服务</w:t>
      </w:r>
      <w:bookmarkEnd w:id="548"/>
    </w:p>
    <w:p w14:paraId="46D04793">
      <w:pPr>
        <w:pStyle w:val="2"/>
        <w:spacing w:line="360" w:lineRule="auto"/>
        <w:ind w:firstLine="422" w:firstLineChars="200"/>
        <w:jc w:val="lef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en-US"/>
          <w14:textFill>
            <w14:solidFill>
              <w14:schemeClr w14:val="tx1"/>
            </w14:solidFill>
          </w14:textFill>
        </w:rPr>
        <w:t>1、</w:t>
      </w:r>
      <w:bookmarkStart w:id="549" w:name="OLE_LINK423"/>
      <w:bookmarkStart w:id="550" w:name="OLE_LINK422"/>
      <w:r>
        <w:rPr>
          <w:rFonts w:hint="eastAsia" w:hAnsi="宋体" w:cs="宋体"/>
          <w:color w:val="000000" w:themeColor="text1"/>
          <w:sz w:val="21"/>
          <w:szCs w:val="21"/>
          <w:highlight w:val="none"/>
          <w14:textFill>
            <w14:solidFill>
              <w14:schemeClr w14:val="tx1"/>
            </w14:solidFill>
          </w14:textFill>
        </w:rPr>
        <w:t>质保期为项目整体最终验收合格后2年，如个体设备有更高要求的，遵循更高要求</w:t>
      </w:r>
      <w:bookmarkEnd w:id="549"/>
      <w:bookmarkEnd w:id="550"/>
      <w:r>
        <w:rPr>
          <w:rFonts w:hint="eastAsia" w:hAnsi="宋体" w:cs="宋体"/>
          <w:color w:val="000000" w:themeColor="text1"/>
          <w:sz w:val="21"/>
          <w:szCs w:val="21"/>
          <w:highlight w:val="none"/>
          <w:lang w:val="en-US"/>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若在该质保期间任何部件需进行更换，则该部件质保期应从更换日起重新计算。质保期内，乙方对本项目供货、安装质量进行免费保修，免费保修包括但不限于由乙方承担完成质保期的工作而产生的运费、购置费、测试费、人工费等各项费用。</w:t>
      </w:r>
    </w:p>
    <w:p w14:paraId="3F56AEF0">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质保期内乙方应提供免费上门维修、保养及其他售后服务，对设备出现的不符合合同要求的或有瑕疵之处提供免费维修或更换配件服务，经维修、更换配件后的设备质保期从维修或更换并经甲方验收合格后重新计算。</w:t>
      </w:r>
    </w:p>
    <w:p w14:paraId="7B821389">
      <w:pPr>
        <w:adjustRightIn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bookmarkStart w:id="551" w:name="OLE_LINK292"/>
      <w:r>
        <w:rPr>
          <w:rFonts w:hint="eastAsia" w:ascii="宋体" w:hAnsi="宋体" w:eastAsia="宋体" w:cs="宋体"/>
          <w:color w:val="000000" w:themeColor="text1"/>
          <w:szCs w:val="21"/>
          <w:highlight w:val="none"/>
          <w14:textFill>
            <w14:solidFill>
              <w14:schemeClr w14:val="tx1"/>
            </w14:solidFill>
          </w14:textFill>
        </w:rPr>
        <w:t>在质保期内乙方应负责设备的保养，</w:t>
      </w:r>
      <w:bookmarkStart w:id="552" w:name="OLE_LINK262"/>
      <w:r>
        <w:rPr>
          <w:rFonts w:hint="eastAsia" w:ascii="宋体" w:hAnsi="宋体" w:eastAsia="宋体" w:cs="宋体"/>
          <w:color w:val="000000" w:themeColor="text1"/>
          <w:szCs w:val="21"/>
          <w:highlight w:val="none"/>
          <w14:textFill>
            <w14:solidFill>
              <w14:schemeClr w14:val="tx1"/>
            </w14:solidFill>
          </w14:textFill>
        </w:rPr>
        <w:t>并实施每年至少两次（至少半年为一周期）的整体检查</w:t>
      </w:r>
      <w:bookmarkEnd w:id="552"/>
      <w:r>
        <w:rPr>
          <w:rFonts w:hint="eastAsia" w:ascii="宋体" w:hAnsi="宋体" w:eastAsia="宋体" w:cs="宋体"/>
          <w:color w:val="000000" w:themeColor="text1"/>
          <w:szCs w:val="21"/>
          <w:highlight w:val="none"/>
          <w14:textFill>
            <w14:solidFill>
              <w14:schemeClr w14:val="tx1"/>
            </w14:solidFill>
          </w14:textFill>
        </w:rPr>
        <w:t>，并在每次检查后【15】日内向甲方提供书面的检查报告。质保期间如在正常操作情况下，任何机件因设计不当、材质缺陷或制造欠佳等因素而发生故障，</w:t>
      </w:r>
      <w:bookmarkStart w:id="553" w:name="OLE_LINK263"/>
      <w:r>
        <w:rPr>
          <w:rFonts w:hint="eastAsia" w:ascii="宋体" w:hAnsi="宋体" w:eastAsia="宋体" w:cs="宋体"/>
          <w:color w:val="000000" w:themeColor="text1"/>
          <w:szCs w:val="21"/>
          <w:highlight w:val="none"/>
          <w14:textFill>
            <w14:solidFill>
              <w14:schemeClr w14:val="tx1"/>
            </w14:solidFill>
          </w14:textFill>
        </w:rPr>
        <w:t>乙方应在接到报修通知后</w:t>
      </w:r>
      <w:r>
        <w:rPr>
          <w:rFonts w:hint="eastAsia" w:ascii="宋体" w:hAnsi="宋体" w:eastAsia="宋体" w:cs="宋体"/>
          <w:b/>
          <w:color w:val="000000" w:themeColor="text1"/>
          <w:szCs w:val="21"/>
          <w:highlight w:val="none"/>
          <w:u w:val="single"/>
          <w14:textFill>
            <w14:solidFill>
              <w14:schemeClr w14:val="tx1"/>
            </w14:solidFill>
          </w14:textFill>
        </w:rPr>
        <w:t xml:space="preserve"> 1 </w:t>
      </w:r>
      <w:r>
        <w:rPr>
          <w:rFonts w:hint="eastAsia" w:ascii="宋体" w:hAnsi="宋体" w:eastAsia="宋体" w:cs="宋体"/>
          <w:b/>
          <w:color w:val="000000" w:themeColor="text1"/>
          <w:szCs w:val="21"/>
          <w:highlight w:val="none"/>
          <w14:textFill>
            <w14:solidFill>
              <w14:schemeClr w14:val="tx1"/>
            </w14:solidFill>
          </w14:textFill>
        </w:rPr>
        <w:t>小时</w:t>
      </w:r>
      <w:r>
        <w:rPr>
          <w:rFonts w:hint="eastAsia" w:ascii="宋体" w:hAnsi="宋体" w:eastAsia="宋体" w:cs="宋体"/>
          <w:color w:val="000000" w:themeColor="text1"/>
          <w:szCs w:val="21"/>
          <w:highlight w:val="none"/>
          <w14:textFill>
            <w14:solidFill>
              <w14:schemeClr w14:val="tx1"/>
            </w14:solidFill>
          </w14:textFill>
        </w:rPr>
        <w:t>内予以响应，</w:t>
      </w:r>
      <w:r>
        <w:rPr>
          <w:rFonts w:hint="eastAsia" w:ascii="宋体" w:hAnsi="宋体" w:eastAsia="宋体" w:cs="宋体"/>
          <w:b/>
          <w:color w:val="000000" w:themeColor="text1"/>
          <w:szCs w:val="21"/>
          <w:highlight w:val="none"/>
          <w:u w:val="single"/>
          <w14:textFill>
            <w14:solidFill>
              <w14:schemeClr w14:val="tx1"/>
            </w14:solidFill>
          </w14:textFill>
        </w:rPr>
        <w:t xml:space="preserve"> 3 </w:t>
      </w:r>
      <w:r>
        <w:rPr>
          <w:rFonts w:hint="eastAsia" w:ascii="宋体" w:hAnsi="宋体" w:eastAsia="宋体" w:cs="宋体"/>
          <w:b/>
          <w:color w:val="000000" w:themeColor="text1"/>
          <w:szCs w:val="21"/>
          <w:highlight w:val="none"/>
          <w14:textFill>
            <w14:solidFill>
              <w14:schemeClr w14:val="tx1"/>
            </w14:solidFill>
          </w14:textFill>
        </w:rPr>
        <w:t>小时</w:t>
      </w:r>
      <w:r>
        <w:rPr>
          <w:rFonts w:hint="eastAsia" w:ascii="宋体" w:hAnsi="宋体" w:eastAsia="宋体" w:cs="宋体"/>
          <w:color w:val="000000" w:themeColor="text1"/>
          <w:szCs w:val="21"/>
          <w:highlight w:val="none"/>
          <w14:textFill>
            <w14:solidFill>
              <w14:schemeClr w14:val="tx1"/>
            </w14:solidFill>
          </w14:textFill>
        </w:rPr>
        <w:t>内到场修复故障，2日内不能维修的</w:t>
      </w:r>
      <w:bookmarkEnd w:id="553"/>
      <w:r>
        <w:rPr>
          <w:rFonts w:hint="eastAsia" w:ascii="宋体" w:hAnsi="宋体" w:eastAsia="宋体" w:cs="宋体"/>
          <w:color w:val="000000" w:themeColor="text1"/>
          <w:szCs w:val="21"/>
          <w:highlight w:val="none"/>
          <w14:textFill>
            <w14:solidFill>
              <w14:schemeClr w14:val="tx1"/>
            </w14:solidFill>
          </w14:textFill>
        </w:rPr>
        <w:t>，应提供替代设备供甲方临时使用。</w:t>
      </w:r>
      <w:bookmarkEnd w:id="551"/>
      <w:r>
        <w:rPr>
          <w:rFonts w:hint="eastAsia" w:ascii="宋体" w:hAnsi="宋体" w:eastAsia="宋体" w:cs="宋体"/>
          <w:color w:val="000000" w:themeColor="text1"/>
          <w:szCs w:val="21"/>
          <w:highlight w:val="none"/>
          <w14:textFill>
            <w14:solidFill>
              <w14:schemeClr w14:val="tx1"/>
            </w14:solidFill>
          </w14:textFill>
        </w:rPr>
        <w:t>如乙方未在规定的期限内修复，甲方有权采取必要措施</w:t>
      </w:r>
      <w:r>
        <w:rPr>
          <w:rFonts w:hint="eastAsia" w:ascii="宋体" w:hAnsi="宋体" w:eastAsia="宋体" w:cs="宋体"/>
          <w:color w:val="000000" w:themeColor="text1"/>
          <w:szCs w:val="21"/>
          <w:highlight w:val="none"/>
          <w:lang w:eastAsia="zh-Hans"/>
          <w14:textFill>
            <w14:solidFill>
              <w14:schemeClr w14:val="tx1"/>
            </w14:solidFill>
          </w14:textFill>
        </w:rPr>
        <w:t>如</w:t>
      </w:r>
      <w:r>
        <w:rPr>
          <w:rFonts w:hint="eastAsia" w:ascii="宋体" w:hAnsi="宋体" w:eastAsia="宋体" w:cs="宋体"/>
          <w:color w:val="000000" w:themeColor="text1"/>
          <w:szCs w:val="21"/>
          <w:highlight w:val="none"/>
          <w14:textFill>
            <w14:solidFill>
              <w14:schemeClr w14:val="tx1"/>
            </w14:solidFill>
          </w14:textFill>
        </w:rPr>
        <w:t>另行委托第三方对设备进行维修，由此产生的风险和费用由乙方承担，且甲方有权从质保金中直接予以扣除或有权从质量保函中提取质保金予以支付维护、修复等费用。质保金不足以支付的，不足部分由乙方承担，如造成其他损失的，乙方还应承担赔偿责任。</w:t>
      </w:r>
    </w:p>
    <w:p w14:paraId="4834739E">
      <w:pPr>
        <w:adjustRightIn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在质保期内，甲方有权拒绝使用带有缺陷的或与合同要求不符的设备或零件，这些设备或零件由乙方负责免费修好或更换，甲方不承担因其产生的费用。甲方如发现产品的质量、规格、性能、数量等与本招标文件规定不符，或发现产品无论由于任何原因存在隐藏缺陷、瑕疵、工艺问题或使用不良的材料的，或产品出现质量问题的，乙方应根据甲方指示承担免费更换或退货责任。</w:t>
      </w:r>
    </w:p>
    <w:p w14:paraId="1F445030">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在质保期内，如设备出现故障（7天内）无法修复，或一个故障累计出现超过两次（含两次），或货物累计经三次维修后仍无法正常运行的，乙方应无条件根据甲方要求承担免费更换或退货责任以满足正常运行的需求，由此产生的费用由乙方承担，包括但不限于运输费用、搬运费用、采购费用等全部费用。</w:t>
      </w:r>
    </w:p>
    <w:p w14:paraId="1AC50879">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bookmarkStart w:id="554" w:name="OLE_LINK294"/>
      <w:r>
        <w:rPr>
          <w:rFonts w:hint="eastAsia" w:ascii="宋体" w:hAnsi="宋体" w:eastAsia="宋体" w:cs="宋体"/>
          <w:color w:val="000000" w:themeColor="text1"/>
          <w:szCs w:val="21"/>
          <w:highlight w:val="none"/>
          <w14:textFill>
            <w14:solidFill>
              <w14:schemeClr w14:val="tx1"/>
            </w14:solidFill>
          </w14:textFill>
        </w:rPr>
        <w:t>6、质保期内全部服务费（含更换零部件，达到招标文件及合同约定条件的更换货物或退货）和维修费用及乙方技术服务人员的一切费用由乙方全部自理，甲方有权向乙方索赔在质保期内设备缺陷导致的损失。质保期满后的维修，乙方同意只收取合理的零件成本费用。</w:t>
      </w:r>
    </w:p>
    <w:bookmarkEnd w:id="554"/>
    <w:p w14:paraId="13E2C4EE">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7、乙方应建立质量跟踪档案，</w:t>
      </w:r>
      <w:bookmarkStart w:id="555" w:name="OLE_LINK264"/>
      <w:r>
        <w:rPr>
          <w:rFonts w:hint="eastAsia" w:ascii="宋体" w:hAnsi="宋体" w:eastAsia="宋体" w:cs="宋体"/>
          <w:color w:val="000000" w:themeColor="text1"/>
          <w:szCs w:val="21"/>
          <w:highlight w:val="none"/>
          <w14:textFill>
            <w14:solidFill>
              <w14:schemeClr w14:val="tx1"/>
            </w14:solidFill>
          </w14:textFill>
        </w:rPr>
        <w:t>对甲方进行每月一次的定期回访（电话或现场）</w:t>
      </w:r>
      <w:bookmarkEnd w:id="555"/>
      <w:r>
        <w:rPr>
          <w:rFonts w:hint="eastAsia" w:ascii="宋体" w:hAnsi="宋体" w:eastAsia="宋体" w:cs="宋体"/>
          <w:color w:val="000000" w:themeColor="text1"/>
          <w:szCs w:val="21"/>
          <w:highlight w:val="none"/>
          <w14:textFill>
            <w14:solidFill>
              <w14:schemeClr w14:val="tx1"/>
            </w14:solidFill>
          </w14:textFill>
        </w:rPr>
        <w:t>，以保证货物的正常运行。</w:t>
      </w:r>
    </w:p>
    <w:p w14:paraId="7DA9900F">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8、乙方未按上述要求提供售后服务的，甲方有权要求其他第三方提供相关服务，因此产生的费用（</w:t>
      </w:r>
      <w:r>
        <w:rPr>
          <w:rFonts w:hint="eastAsia" w:ascii="宋体" w:hAnsi="宋体" w:eastAsia="宋体" w:cs="宋体"/>
          <w:color w:val="000000" w:themeColor="text1"/>
          <w:szCs w:val="21"/>
          <w:highlight w:val="none"/>
          <w:lang w:eastAsia="zh-Hans"/>
          <w14:textFill>
            <w14:solidFill>
              <w14:schemeClr w14:val="tx1"/>
            </w14:solidFill>
          </w14:textFill>
        </w:rPr>
        <w:t>包括但不限于本合同所约定的总价款、</w:t>
      </w:r>
      <w:r>
        <w:rPr>
          <w:rFonts w:hint="eastAsia" w:ascii="宋体" w:hAnsi="宋体" w:eastAsia="宋体" w:cs="宋体"/>
          <w:color w:val="000000" w:themeColor="text1"/>
          <w:szCs w:val="21"/>
          <w:highlight w:val="none"/>
          <w14:textFill>
            <w14:solidFill>
              <w14:schemeClr w14:val="tx1"/>
            </w14:solidFill>
          </w14:textFill>
        </w:rPr>
        <w:t>第三方提供服务的费用、</w:t>
      </w:r>
      <w:r>
        <w:rPr>
          <w:rFonts w:hint="eastAsia" w:ascii="宋体" w:hAnsi="宋体" w:eastAsia="宋体" w:cs="宋体"/>
          <w:color w:val="000000" w:themeColor="text1"/>
          <w:szCs w:val="21"/>
          <w:highlight w:val="none"/>
          <w:lang w:eastAsia="zh-Hans"/>
          <w14:textFill>
            <w14:solidFill>
              <w14:schemeClr w14:val="tx1"/>
            </w14:solidFill>
          </w14:textFill>
        </w:rPr>
        <w:t>甲方为维护自身权益所支付的律师费、诉讼费、</w:t>
      </w:r>
      <w:r>
        <w:rPr>
          <w:rFonts w:hint="eastAsia" w:ascii="宋体" w:hAnsi="宋体" w:eastAsia="宋体" w:cs="宋体"/>
          <w:color w:val="000000" w:themeColor="text1"/>
          <w:szCs w:val="21"/>
          <w:highlight w:val="none"/>
          <w14:textFill>
            <w14:solidFill>
              <w14:schemeClr w14:val="tx1"/>
            </w14:solidFill>
          </w14:textFill>
        </w:rPr>
        <w:t>财产保全责任保险费/担保费、</w:t>
      </w:r>
      <w:r>
        <w:rPr>
          <w:rFonts w:hint="eastAsia" w:ascii="宋体" w:hAnsi="宋体" w:eastAsia="宋体" w:cs="宋体"/>
          <w:color w:val="000000" w:themeColor="text1"/>
          <w:szCs w:val="21"/>
          <w:highlight w:val="none"/>
          <w:lang w:eastAsia="zh-Hans"/>
          <w14:textFill>
            <w14:solidFill>
              <w14:schemeClr w14:val="tx1"/>
            </w14:solidFill>
          </w14:textFill>
        </w:rPr>
        <w:t>鉴定费、差旅费等</w:t>
      </w:r>
      <w:r>
        <w:rPr>
          <w:rFonts w:hint="eastAsia" w:ascii="宋体" w:hAnsi="宋体" w:eastAsia="宋体" w:cs="宋体"/>
          <w:color w:val="000000" w:themeColor="text1"/>
          <w:szCs w:val="21"/>
          <w:highlight w:val="none"/>
          <w14:textFill>
            <w14:solidFill>
              <w14:schemeClr w14:val="tx1"/>
            </w14:solidFill>
          </w14:textFill>
        </w:rPr>
        <w:t>）全部由乙方承担。</w:t>
      </w:r>
    </w:p>
    <w:p w14:paraId="6D089917">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9、乙方需提供“设备故障率控制方式”的运维说明书，指导甲方对设备的运维管理，尽可能减少设备的故障率。</w:t>
      </w:r>
      <w:bookmarkStart w:id="556" w:name="OLE_LINK291"/>
    </w:p>
    <w:bookmarkEnd w:id="556"/>
    <w:p w14:paraId="7DE5FB1E">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14:paraId="7ADFA029">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第十四条 </w:t>
      </w:r>
      <w:bookmarkStart w:id="557" w:name="OLE_LINK94"/>
      <w:r>
        <w:rPr>
          <w:rFonts w:hint="eastAsia" w:ascii="宋体" w:hAnsi="宋体" w:eastAsia="宋体" w:cs="宋体"/>
          <w:b/>
          <w:color w:val="000000" w:themeColor="text1"/>
          <w:szCs w:val="21"/>
          <w:highlight w:val="none"/>
          <w14:textFill>
            <w14:solidFill>
              <w14:schemeClr w14:val="tx1"/>
            </w14:solidFill>
          </w14:textFill>
        </w:rPr>
        <w:t>项目运维</w:t>
      </w:r>
      <w:bookmarkEnd w:id="557"/>
    </w:p>
    <w:p w14:paraId="7010453E">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1、光伏系统</w:t>
      </w:r>
      <w:bookmarkStart w:id="558" w:name="OLE_LINK486"/>
      <w:r>
        <w:rPr>
          <w:rFonts w:hint="eastAsia" w:ascii="宋体" w:hAnsi="宋体" w:eastAsia="宋体" w:cs="宋体"/>
          <w:color w:val="000000" w:themeColor="text1"/>
          <w:szCs w:val="21"/>
          <w:highlight w:val="none"/>
          <w14:textFill>
            <w14:solidFill>
              <w14:schemeClr w14:val="tx1"/>
            </w14:solidFill>
          </w14:textFill>
        </w:rPr>
        <w:t>在并网验收的同时（不迟于并网验收通过）</w:t>
      </w:r>
      <w:bookmarkEnd w:id="558"/>
      <w:bookmarkStart w:id="559" w:name="OLE_LINK295"/>
      <w:r>
        <w:rPr>
          <w:rFonts w:hint="eastAsia" w:ascii="宋体" w:hAnsi="宋体" w:eastAsia="宋体" w:cs="宋体"/>
          <w:color w:val="000000" w:themeColor="text1"/>
          <w:szCs w:val="21"/>
          <w:highlight w:val="none"/>
          <w14:textFill>
            <w14:solidFill>
              <w14:schemeClr w14:val="tx1"/>
            </w14:solidFill>
          </w14:textFill>
        </w:rPr>
        <w:t>，</w:t>
      </w:r>
      <w:bookmarkEnd w:id="559"/>
      <w:r>
        <w:rPr>
          <w:rFonts w:hint="eastAsia" w:ascii="宋体" w:hAnsi="宋体" w:eastAsia="宋体" w:cs="宋体"/>
          <w:color w:val="000000" w:themeColor="text1"/>
          <w:szCs w:val="21"/>
          <w:highlight w:val="none"/>
          <w14:textFill>
            <w14:solidFill>
              <w14:schemeClr w14:val="tx1"/>
            </w14:solidFill>
          </w14:textFill>
        </w:rPr>
        <w:t>乙方应结合用户需求及投标文件向甲方提交相应的运维制度，成立专门的管理团队，编制运维方案，确保光伏设施的安全运行</w:t>
      </w:r>
      <w:bookmarkStart w:id="560" w:name="OLE_LINK296"/>
      <w:r>
        <w:rPr>
          <w:rFonts w:hint="eastAsia" w:ascii="宋体" w:hAnsi="宋体" w:eastAsia="宋体" w:cs="宋体"/>
          <w:color w:val="000000" w:themeColor="text1"/>
          <w:szCs w:val="21"/>
          <w:highlight w:val="none"/>
          <w14:textFill>
            <w14:solidFill>
              <w14:schemeClr w14:val="tx1"/>
            </w14:solidFill>
          </w14:textFill>
        </w:rPr>
        <w:t>；</w:t>
      </w:r>
      <w:bookmarkEnd w:id="560"/>
      <w:r>
        <w:rPr>
          <w:rFonts w:hint="eastAsia" w:ascii="宋体" w:hAnsi="宋体" w:eastAsia="宋体" w:cs="宋体"/>
          <w:color w:val="000000" w:themeColor="text1"/>
          <w:szCs w:val="21"/>
          <w:highlight w:val="none"/>
          <w14:textFill>
            <w14:solidFill>
              <w14:schemeClr w14:val="tx1"/>
            </w14:solidFill>
          </w14:textFill>
        </w:rPr>
        <w:t>乙方在质保期内需配合甲方安全运维部门进行运维管理。</w:t>
      </w:r>
    </w:p>
    <w:p w14:paraId="3B3D6192">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bookmarkStart w:id="561" w:name="OLE_LINK488"/>
      <w:r>
        <w:rPr>
          <w:rFonts w:hint="eastAsia" w:ascii="宋体" w:hAnsi="宋体" w:eastAsia="宋体" w:cs="宋体"/>
          <w:color w:val="000000" w:themeColor="text1"/>
          <w:szCs w:val="21"/>
          <w:highlight w:val="none"/>
          <w14:textFill>
            <w14:solidFill>
              <w14:schemeClr w14:val="tx1"/>
            </w14:solidFill>
          </w14:textFill>
        </w:rPr>
        <w:t>2、运维基本要求：</w:t>
      </w:r>
    </w:p>
    <w:p w14:paraId="3CD4F63B">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bookmarkStart w:id="562" w:name="OLE_LINK487"/>
      <w:r>
        <w:rPr>
          <w:rFonts w:hint="eastAsia" w:ascii="宋体" w:hAnsi="宋体" w:eastAsia="宋体" w:cs="宋体"/>
          <w:color w:val="000000" w:themeColor="text1"/>
          <w:szCs w:val="21"/>
          <w:highlight w:val="none"/>
          <w14:textFill>
            <w14:solidFill>
              <w14:schemeClr w14:val="tx1"/>
            </w14:solidFill>
          </w14:textFill>
        </w:rPr>
        <w:t>1、乙方负责对项目运行的安全维护</w:t>
      </w:r>
    </w:p>
    <w:p w14:paraId="50F70741">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（1）严格按照国家及地方有关规定规范、用户需求书及投标文件承诺的要求进行项目设备设施运行和维护。</w:t>
      </w:r>
    </w:p>
    <w:p w14:paraId="2FDE2FF1">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（2）每月定期不少于</w:t>
      </w:r>
      <w:bookmarkStart w:id="563" w:name="OLE_LINK489"/>
      <w:r>
        <w:rPr>
          <w:rFonts w:hint="eastAsia" w:ascii="宋体" w:hAnsi="宋体" w:eastAsia="宋体" w:cs="宋体"/>
          <w:color w:val="000000" w:themeColor="text1"/>
          <w:szCs w:val="21"/>
          <w:highlight w:val="none"/>
          <w:u w:val="single"/>
          <w14:textFill>
            <w14:solidFill>
              <w14:schemeClr w14:val="tx1"/>
            </w14:solidFill>
          </w14:textFill>
        </w:rPr>
        <w:t xml:space="preserve">  </w:t>
      </w:r>
      <w:bookmarkEnd w:id="563"/>
      <w:r>
        <w:rPr>
          <w:rFonts w:hint="eastAsia" w:ascii="宋体" w:hAnsi="宋体" w:eastAsia="宋体" w:cs="宋体"/>
          <w:color w:val="000000" w:themeColor="text1"/>
          <w:szCs w:val="21"/>
          <w:highlight w:val="none"/>
          <w14:textFill>
            <w14:solidFill>
              <w14:schemeClr w14:val="tx1"/>
            </w14:solidFill>
          </w14:textFill>
        </w:rPr>
        <w:t>次进行设备现场维护，现场维护至少包括以下内容：</w:t>
      </w:r>
    </w:p>
    <w:p w14:paraId="79E1F688">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①检查各仪表是否有效，按相关要求定期添加更换分析剂；</w:t>
      </w:r>
    </w:p>
    <w:p w14:paraId="6CBBB245">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②检查各设备的运行状态和主要技术参数，判断运行是否正常；</w:t>
      </w:r>
    </w:p>
    <w:p w14:paraId="77B2EC70">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③检查设备情况，检查内外部管线路是否通畅，组件是否清洁，必要时进行清洗，检查自动清洗装置是否运行正常，</w:t>
      </w:r>
    </w:p>
    <w:p w14:paraId="262569C5">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④检查站房内防水、电路系统、通讯系统是否正常；</w:t>
      </w:r>
    </w:p>
    <w:p w14:paraId="04575F65">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⑤对数据存储／控制系统/通讯系统/计量系统工作状态进行检查，观察数据采集传输系统、计量运行情况，对数据进行抽样检查，对比分析数据是否准确、一致；</w:t>
      </w:r>
    </w:p>
    <w:p w14:paraId="26F35B58">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⑥检查项目接地情况、防雷措施、防水情况等。</w:t>
      </w:r>
    </w:p>
    <w:p w14:paraId="6103F48A">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（3）负责运营维护期间的项目照管，对项目设备设施出现的毁损、灭失、耗材等无条件（含不可抗力）进行更换（注：原厂供应）、维修等，确保项目运行正常并承担费用。</w:t>
      </w:r>
    </w:p>
    <w:p w14:paraId="6FC94D76">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2、乙方负责设备与主要器材的故障处理</w:t>
      </w:r>
    </w:p>
    <w:p w14:paraId="18ADA753">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（1）项目发现故障或接到故障通知，应在1小时内响应，3小时内赶到现场进行处理；对故障通知的处理结果要及时返回。</w:t>
      </w:r>
    </w:p>
    <w:p w14:paraId="58F8CD94">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（2）设备若出现故障，2日内可修复的，由乙方进行现场维修；2日内不可修复的应更换设备，保障设备的正常运行。</w:t>
      </w:r>
    </w:p>
    <w:p w14:paraId="5BF389F8">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（3）项目设备出现异常时，需即时填写异常情况报告并提供给甲方及相关监督单位。</w:t>
      </w:r>
    </w:p>
    <w:p w14:paraId="2900DBD1">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3、乙方需对项目设备运营、维护、故障处理、异常数据、校准比对等运营管理工作填写相关报告。报告分现场文档和上交甲方文档两部分，包括但不限于有：</w:t>
      </w:r>
    </w:p>
    <w:p w14:paraId="20FDA9E8">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（1）现场保存文档：《现场巡检记录表》、《维护维修记录表》、《异常情况报告表》、《异常情况处理表》等。</w:t>
      </w:r>
    </w:p>
    <w:p w14:paraId="3E6BFFF9">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（2）上交甲方文档：《月维护报告》、《异常情况报告表》、《异常情况处理表》等。</w:t>
      </w:r>
    </w:p>
    <w:p w14:paraId="5047D35D">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3、在运维期间，乙方无权擅自停运项目。若乙方因项目设施维护之目的，需应提前10日向甲方提交停运的书面申请，经甲方批准后实施。</w:t>
      </w:r>
    </w:p>
    <w:p w14:paraId="6E8483CE">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如因乙方的原因导致项目停运、发电量减损的，则乙方需要赔偿甲方相应时段损失的发电量相应售电收入损失及相应各类补贴损失，其中损失发电量按照前一个自然月日均发电量予以折算；导致设备设施毁损的，应承担恢复责任。</w:t>
      </w:r>
    </w:p>
    <w:p w14:paraId="6CC15AB0">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5、项目的移交</w:t>
      </w:r>
    </w:p>
    <w:p w14:paraId="50C0FEA8">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（1）移交日期</w:t>
      </w:r>
    </w:p>
    <w:p w14:paraId="16F66274">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本项目运营维护期间届满后，乙方应将本项目无偿移交给甲方。</w:t>
      </w:r>
    </w:p>
    <w:p w14:paraId="052BB371">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本项目的移交日为：本项目并网送电之日起一年期满后的第二天。</w:t>
      </w:r>
    </w:p>
    <w:p w14:paraId="788FAB79">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（2）移交范围</w:t>
      </w:r>
    </w:p>
    <w:p w14:paraId="3AB22E5A">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①乙方应将以下范围，无偿移交给甲方或其指定的执行机构：</w:t>
      </w:r>
    </w:p>
    <w:p w14:paraId="60A91407">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设备设施、所有零备件和配件、运营和维护项目设施所要求的在用各类管理章程和运营手册知识产权等无形资产（包括以许可方式取得的）包括专有技术、生产档案、技术档案、文秘档案、图书资料、设计图纸、文件和其它资料，以使本项目能平稳地正常地继续运营。</w:t>
      </w:r>
    </w:p>
    <w:p w14:paraId="51722882">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②涉及到本项目的任何移交，甲方与乙方必须签署移交备忘录，以示移交完毕。</w:t>
      </w:r>
    </w:p>
    <w:p w14:paraId="2388E682">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（3）移交程序及条件</w:t>
      </w:r>
    </w:p>
    <w:p w14:paraId="55FFD68D">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①在本项目运营维护届满前三个月内，甲乙双方须成立本项目移交小组，负责商定项目移交的程序与内容，并处理项目移交过程中的各项事宜。</w:t>
      </w:r>
    </w:p>
    <w:p w14:paraId="52D6CA72">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在本项目的移交日前1个月内，乙方应对本项目进行一次恢复性检查。其恢复性检查时间与内容安排应得到甲方认可，恢复性检查后乙方应在甲方参与下对本项目进行性能测试，经检验的功能参数应恢复至良好正常运行状态。乙方在本项目建设期间所安装设备不符合国家和合同规定的，甲方有权要求乙方在移交前按规定更换合格设备。</w:t>
      </w:r>
    </w:p>
    <w:p w14:paraId="15214E7C">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③在本项目移交日前1个月内，乙方应免费对甲方确定的运营机构的人员进行培训，以便在本项目移交后，这些人员能从事本项目的技术及管理工作和保证项目的正常运作。</w:t>
      </w:r>
    </w:p>
    <w:p w14:paraId="39CCA112">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（4）项目移交的违约责任</w:t>
      </w:r>
    </w:p>
    <w:p w14:paraId="7A4C07F4">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①项目运营维护届满，乙方无故未按期办理项目移交的，每迟延一日，甲方向乙方收取违约金   万元，且甲方有权没收履约担保。导致甲方无法正常接管运营的，所造成的经济损失甲方有权要求乙方按装机容量核定发电量折算市电售价的两倍要求乙方支付电费损失，同时，甲方有权启动诉讼要求乙方移交外，并可按本合同暂定价的20%要求乙方承担违约责任。造成甲方损失的，甲方有权继续向乙方进行追偿。</w:t>
      </w:r>
    </w:p>
    <w:bookmarkEnd w:id="561"/>
    <w:bookmarkEnd w:id="562"/>
    <w:p w14:paraId="51DA025E">
      <w:pPr>
        <w:adjustRightIn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bookmarkStart w:id="564" w:name="OLE_LINK491"/>
      <w:r>
        <w:rPr>
          <w:rFonts w:hint="eastAsia" w:ascii="宋体" w:hAnsi="宋体" w:eastAsia="宋体" w:cs="宋体"/>
          <w:color w:val="000000" w:themeColor="text1"/>
          <w:szCs w:val="21"/>
          <w:highlight w:val="none"/>
          <w14:textFill>
            <w14:solidFill>
              <w14:schemeClr w14:val="tx1"/>
            </w14:solidFill>
          </w14:textFill>
        </w:rPr>
        <w:t>运营期后</w:t>
      </w:r>
      <w:r>
        <w:rPr>
          <w:rFonts w:ascii="宋体" w:hAnsi="宋体" w:eastAsia="宋体" w:cs="宋体"/>
          <w:color w:val="000000" w:themeColor="text1"/>
          <w:szCs w:val="21"/>
          <w:highlight w:val="none"/>
          <w14:textFill>
            <w14:solidFill>
              <w14:schemeClr w14:val="tx1"/>
            </w14:solidFill>
          </w14:textFill>
        </w:rPr>
        <w:t>质保期内</w:t>
      </w:r>
      <w:bookmarkEnd w:id="564"/>
      <w:r>
        <w:rPr>
          <w:rFonts w:hint="eastAsia" w:ascii="宋体" w:hAnsi="宋体" w:eastAsia="宋体" w:cs="宋体"/>
          <w:color w:val="000000" w:themeColor="text1"/>
          <w:szCs w:val="21"/>
          <w:highlight w:val="none"/>
          <w14:textFill>
            <w14:solidFill>
              <w14:schemeClr w14:val="tx1"/>
            </w14:solidFill>
          </w14:textFill>
        </w:rPr>
        <w:t>乙方应确保光伏系统安全、稳定、可靠运行，定期派人检查、监管和记录项目的运行情况，并定期汇总给甲方安全运维部门。</w:t>
      </w:r>
    </w:p>
    <w:p w14:paraId="3399AB30">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7、乙方承诺对光伏系统提供质保期内维修保养服务，并承担维修保养费用。</w:t>
      </w:r>
    </w:p>
    <w:p w14:paraId="29491E84">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14:paraId="75246BC4">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bookmarkStart w:id="565" w:name="OLE_LINK293"/>
      <w:r>
        <w:rPr>
          <w:rFonts w:hint="eastAsia" w:ascii="宋体" w:hAnsi="宋体" w:eastAsia="宋体" w:cs="宋体"/>
          <w:b/>
          <w:color w:val="000000" w:themeColor="text1"/>
          <w:szCs w:val="21"/>
          <w:highlight w:val="none"/>
          <w14:textFill>
            <w14:solidFill>
              <w14:schemeClr w14:val="tx1"/>
            </w14:solidFill>
          </w14:textFill>
        </w:rPr>
        <w:t xml:space="preserve">第十五条 </w:t>
      </w:r>
      <w:bookmarkStart w:id="566" w:name="OLE_LINK95"/>
      <w:r>
        <w:rPr>
          <w:rFonts w:hint="eastAsia" w:ascii="宋体" w:hAnsi="宋体" w:eastAsia="宋体" w:cs="宋体"/>
          <w:b/>
          <w:color w:val="000000" w:themeColor="text1"/>
          <w:szCs w:val="21"/>
          <w:highlight w:val="none"/>
          <w14:textFill>
            <w14:solidFill>
              <w14:schemeClr w14:val="tx1"/>
            </w14:solidFill>
          </w14:textFill>
        </w:rPr>
        <w:t>履约担保</w:t>
      </w:r>
      <w:bookmarkEnd w:id="565"/>
      <w:bookmarkEnd w:id="566"/>
    </w:p>
    <w:p w14:paraId="114738CA">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1、乙方应当根据招标文件的规定在签订本合同前向</w:t>
      </w:r>
      <w:r>
        <w:rPr>
          <w:rFonts w:hint="eastAsia" w:hAnsi="宋体" w:cs="宋体"/>
          <w:b w:val="0"/>
          <w:bCs w:val="0"/>
          <w:color w:val="000000" w:themeColor="text1"/>
          <w:sz w:val="21"/>
          <w:szCs w:val="21"/>
          <w:highlight w:val="none"/>
          <w:lang w:val="en-US"/>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提供履约担保，履约担保形式及金额由乙方从以下方式中任选一种：</w:t>
      </w:r>
    </w:p>
    <w:p w14:paraId="745A5726">
      <w:pPr>
        <w:pStyle w:val="2"/>
        <w:tabs>
          <w:tab w:val="left" w:pos="5504"/>
        </w:tabs>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口履约保证金（银行转账形式）金额为</w:t>
      </w:r>
      <w:r>
        <w:rPr>
          <w:rFonts w:hint="eastAsia" w:hAnsi="宋体" w:cs="宋体"/>
          <w:b w:val="0"/>
          <w:bCs w:val="0"/>
          <w:color w:val="000000" w:themeColor="text1"/>
          <w:sz w:val="21"/>
          <w:szCs w:val="21"/>
          <w:highlight w:val="none"/>
          <w:u w:val="single"/>
          <w14:textFill>
            <w14:solidFill>
              <w14:schemeClr w14:val="tx1"/>
            </w14:solidFill>
          </w14:textFill>
        </w:rPr>
        <w:t>人民币</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lang w:val="en-US"/>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w:t>
      </w:r>
    </w:p>
    <w:p w14:paraId="48CE4EBB">
      <w:pPr>
        <w:pStyle w:val="2"/>
        <w:tabs>
          <w:tab w:val="left" w:pos="4657"/>
          <w:tab w:val="left" w:pos="4874"/>
        </w:tabs>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bookmarkStart w:id="567" w:name="OLE_LINK265"/>
      <w:r>
        <w:rPr>
          <w:rFonts w:hint="eastAsia" w:hAnsi="宋体" w:cs="宋体"/>
          <w:b w:val="0"/>
          <w:bCs w:val="0"/>
          <w:color w:val="000000" w:themeColor="text1"/>
          <w:sz w:val="21"/>
          <w:szCs w:val="21"/>
          <w:highlight w:val="none"/>
          <w14:textFill>
            <w14:solidFill>
              <w14:schemeClr w14:val="tx1"/>
            </w14:solidFill>
          </w14:textFill>
        </w:rPr>
        <w:t>口</w:t>
      </w:r>
      <w:bookmarkEnd w:id="567"/>
      <w:r>
        <w:rPr>
          <w:rFonts w:hint="eastAsia" w:hAnsi="宋体" w:cs="宋体"/>
          <w:b w:val="0"/>
          <w:bCs w:val="0"/>
          <w:color w:val="000000" w:themeColor="text1"/>
          <w:sz w:val="21"/>
          <w:szCs w:val="21"/>
          <w:highlight w:val="none"/>
          <w14:textFill>
            <w14:solidFill>
              <w14:schemeClr w14:val="tx1"/>
            </w14:solidFill>
          </w14:textFill>
        </w:rPr>
        <w:t>银行不可撤销履约保函金额为</w:t>
      </w:r>
      <w:r>
        <w:rPr>
          <w:rFonts w:hint="eastAsia" w:hAnsi="宋体" w:cs="宋体"/>
          <w:b w:val="0"/>
          <w:bCs w:val="0"/>
          <w:color w:val="000000" w:themeColor="text1"/>
          <w:sz w:val="21"/>
          <w:szCs w:val="21"/>
          <w:highlight w:val="none"/>
          <w:u w:val="single"/>
          <w:lang w:val="en-US"/>
          <w14:textFill>
            <w14:solidFill>
              <w14:schemeClr w14:val="tx1"/>
            </w14:solidFill>
          </w14:textFill>
        </w:rPr>
        <w:t xml:space="preserve">人民币      </w:t>
      </w:r>
      <w:r>
        <w:rPr>
          <w:rFonts w:hint="eastAsia" w:hAnsi="宋体" w:cs="宋体"/>
          <w:b w:val="0"/>
          <w:bCs w:val="0"/>
          <w:color w:val="000000" w:themeColor="text1"/>
          <w:sz w:val="21"/>
          <w:szCs w:val="21"/>
          <w:highlight w:val="none"/>
          <w14:textFill>
            <w14:solidFill>
              <w14:schemeClr w14:val="tx1"/>
            </w14:solidFill>
          </w14:textFill>
        </w:rPr>
        <w:t>；</w:t>
      </w:r>
    </w:p>
    <w:p w14:paraId="2DAF3493">
      <w:pPr>
        <w:autoSpaceDE w:val="0"/>
        <w:autoSpaceDN w:val="0"/>
        <w:adjustRightInd w:val="0"/>
        <w:spacing w:line="360" w:lineRule="auto"/>
        <w:ind w:firstLine="420" w:firstLineChars="200"/>
        <w:jc w:val="lef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□履约保证保险凭证金额为人民币</w:t>
      </w:r>
      <w:r>
        <w:rPr>
          <w:rFonts w:hint="eastAsia" w:ascii="宋体" w:hAnsi="宋体" w:eastAsia="宋体" w:cs="Times New Roman"/>
          <w:bCs/>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bCs/>
          <w:color w:val="000000" w:themeColor="text1"/>
          <w:kern w:val="0"/>
          <w:szCs w:val="21"/>
          <w:highlight w:val="none"/>
          <w:lang w:bidi="ar"/>
          <w14:textFill>
            <w14:solidFill>
              <w14:schemeClr w14:val="tx1"/>
            </w14:solidFill>
          </w14:textFill>
        </w:rPr>
        <w:t>；</w:t>
      </w:r>
    </w:p>
    <w:p w14:paraId="3580C0AC">
      <w:pPr>
        <w:pStyle w:val="2"/>
        <w:tabs>
          <w:tab w:val="left" w:pos="4657"/>
          <w:tab w:val="left" w:pos="4874"/>
        </w:tabs>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口担保公司履约担保书金额为</w:t>
      </w:r>
      <w:r>
        <w:rPr>
          <w:rFonts w:hint="eastAsia" w:hAnsi="宋体" w:cs="宋体"/>
          <w:b w:val="0"/>
          <w:bCs w:val="0"/>
          <w:color w:val="000000" w:themeColor="text1"/>
          <w:sz w:val="21"/>
          <w:szCs w:val="21"/>
          <w:highlight w:val="none"/>
          <w:u w:val="single"/>
          <w:lang w:val="en-US"/>
          <w14:textFill>
            <w14:solidFill>
              <w14:schemeClr w14:val="tx1"/>
            </w14:solidFill>
          </w14:textFill>
        </w:rPr>
        <w:t xml:space="preserve">人民币 </w:t>
      </w:r>
      <w:r>
        <w:rPr>
          <w:rFonts w:hint="eastAsia" w:hAnsi="宋体" w:cs="宋体"/>
          <w:b w:val="0"/>
          <w:bCs w:val="0"/>
          <w:color w:val="000000" w:themeColor="text1"/>
          <w:sz w:val="21"/>
          <w:szCs w:val="21"/>
          <w:highlight w:val="none"/>
          <w14:textFill>
            <w14:solidFill>
              <w14:schemeClr w14:val="tx1"/>
            </w14:solidFill>
          </w14:textFill>
        </w:rPr>
        <w:t>；</w:t>
      </w:r>
    </w:p>
    <w:p w14:paraId="276C5516">
      <w:pPr>
        <w:pStyle w:val="2"/>
        <w:tabs>
          <w:tab w:val="left" w:pos="7171"/>
        </w:tabs>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2、履约担保用</w:t>
      </w:r>
      <w:r>
        <w:rPr>
          <w:rFonts w:hint="eastAsia" w:hAnsi="宋体" w:cs="宋体"/>
          <w:b w:val="0"/>
          <w:bCs w:val="0"/>
          <w:color w:val="000000" w:themeColor="text1"/>
          <w:sz w:val="21"/>
          <w:szCs w:val="21"/>
          <w:highlight w:val="none"/>
          <w:lang w:val="en-US"/>
          <w14:textFill>
            <w14:solidFill>
              <w14:schemeClr w14:val="tx1"/>
            </w14:solidFill>
          </w14:textFill>
        </w:rPr>
        <w:t>于</w:t>
      </w:r>
      <w:r>
        <w:rPr>
          <w:rFonts w:hint="eastAsia" w:hAnsi="宋体" w:cs="宋体"/>
          <w:b w:val="0"/>
          <w:bCs w:val="0"/>
          <w:color w:val="000000" w:themeColor="text1"/>
          <w:sz w:val="21"/>
          <w:szCs w:val="21"/>
          <w:highlight w:val="none"/>
          <w14:textFill>
            <w14:solidFill>
              <w14:schemeClr w14:val="tx1"/>
            </w14:solidFill>
          </w14:textFill>
        </w:rPr>
        <w:t>补偿甲方因乙方不能完全履行其合同义务而蒙受的损失或其他合同约定的事项，如发生下列任一</w:t>
      </w:r>
      <w:r>
        <w:rPr>
          <w:rFonts w:hint="eastAsia" w:hAnsi="宋体" w:cs="宋体"/>
          <w:b w:val="0"/>
          <w:bCs w:val="0"/>
          <w:color w:val="000000" w:themeColor="text1"/>
          <w:sz w:val="21"/>
          <w:szCs w:val="21"/>
          <w:highlight w:val="none"/>
          <w:lang w:val="en-US"/>
          <w14:textFill>
            <w14:solidFill>
              <w14:schemeClr w14:val="tx1"/>
            </w14:solidFill>
          </w14:textFill>
        </w:rPr>
        <w:t>情</w:t>
      </w:r>
      <w:r>
        <w:rPr>
          <w:rFonts w:hint="eastAsia" w:hAnsi="宋体" w:cs="宋体"/>
          <w:b w:val="0"/>
          <w:bCs w:val="0"/>
          <w:color w:val="000000" w:themeColor="text1"/>
          <w:sz w:val="21"/>
          <w:szCs w:val="21"/>
          <w:highlight w:val="none"/>
          <w14:textFill>
            <w14:solidFill>
              <w14:schemeClr w14:val="tx1"/>
            </w14:solidFill>
          </w14:textFill>
        </w:rPr>
        <w:t>况时，甲方除有权依合同追究乙方给甲方造成的损失责任外，同时有权提取履约担保并进行相应处理：</w:t>
      </w:r>
    </w:p>
    <w:p w14:paraId="0208F53A">
      <w:pPr>
        <w:pStyle w:val="2"/>
        <w:numPr>
          <w:ilvl w:val="0"/>
          <w:numId w:val="4"/>
        </w:numPr>
        <w:snapToGrid w:val="0"/>
        <w:spacing w:line="360" w:lineRule="auto"/>
        <w:ind w:right="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未经甲方书面同意，乙方将本合同部分或全部的权利义务转让给第三人，甲方可依法没收其</w:t>
      </w:r>
      <w:r>
        <w:rPr>
          <w:rFonts w:hint="eastAsia" w:hAnsi="宋体" w:cs="宋体"/>
          <w:b w:val="0"/>
          <w:bCs w:val="0"/>
          <w:color w:val="000000" w:themeColor="text1"/>
          <w:sz w:val="21"/>
          <w:szCs w:val="21"/>
          <w:highlight w:val="none"/>
          <w:lang w:val="en-US"/>
          <w14:textFill>
            <w14:solidFill>
              <w14:schemeClr w14:val="tx1"/>
            </w14:solidFill>
          </w14:textFill>
        </w:rPr>
        <w:t>履</w:t>
      </w:r>
      <w:r>
        <w:rPr>
          <w:rFonts w:hint="eastAsia" w:hAnsi="宋体" w:cs="宋体"/>
          <w:b w:val="0"/>
          <w:bCs w:val="0"/>
          <w:color w:val="000000" w:themeColor="text1"/>
          <w:sz w:val="21"/>
          <w:szCs w:val="21"/>
          <w:highlight w:val="none"/>
          <w14:textFill>
            <w14:solidFill>
              <w14:schemeClr w14:val="tx1"/>
            </w14:solidFill>
          </w14:textFill>
        </w:rPr>
        <w:t>约担保。</w:t>
      </w:r>
    </w:p>
    <w:p w14:paraId="2CB46972">
      <w:pPr>
        <w:pStyle w:val="2"/>
        <w:numPr>
          <w:ilvl w:val="0"/>
          <w:numId w:val="4"/>
        </w:numPr>
        <w:snapToGrid w:val="0"/>
        <w:spacing w:line="360" w:lineRule="auto"/>
        <w:ind w:right="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在合同履行期间，乙方怠</w:t>
      </w:r>
      <w:r>
        <w:rPr>
          <w:rFonts w:hint="eastAsia" w:hAnsi="宋体" w:cs="宋体"/>
          <w:b w:val="0"/>
          <w:bCs w:val="0"/>
          <w:color w:val="000000" w:themeColor="text1"/>
          <w:sz w:val="21"/>
          <w:szCs w:val="21"/>
          <w:highlight w:val="none"/>
          <w:lang w:val="en-US"/>
          <w14:textFill>
            <w14:solidFill>
              <w14:schemeClr w14:val="tx1"/>
            </w14:solidFill>
          </w14:textFill>
        </w:rPr>
        <w:t>于</w:t>
      </w:r>
      <w:r>
        <w:rPr>
          <w:rFonts w:hint="eastAsia" w:hAnsi="宋体" w:cs="宋体"/>
          <w:b w:val="0"/>
          <w:bCs w:val="0"/>
          <w:color w:val="000000" w:themeColor="text1"/>
          <w:sz w:val="21"/>
          <w:szCs w:val="21"/>
          <w:highlight w:val="none"/>
          <w14:textFill>
            <w14:solidFill>
              <w14:schemeClr w14:val="tx1"/>
            </w14:solidFill>
          </w14:textFill>
        </w:rPr>
        <w:t>履行合同义务，经甲方通知或要求承担含税合同价5%的违约金后仍拒不改正的，甲方可依法没收或适当扣除其履约担保。</w:t>
      </w:r>
    </w:p>
    <w:p w14:paraId="203DF6D0">
      <w:pPr>
        <w:pStyle w:val="2"/>
        <w:numPr>
          <w:ilvl w:val="0"/>
          <w:numId w:val="4"/>
        </w:numPr>
        <w:snapToGrid w:val="0"/>
        <w:spacing w:line="360" w:lineRule="auto"/>
        <w:ind w:right="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在合同履行期间，因乙方货物、</w:t>
      </w:r>
      <w:r>
        <w:rPr>
          <w:rFonts w:hint="eastAsia" w:hAnsi="宋体" w:cs="宋体"/>
          <w:b w:val="0"/>
          <w:bCs w:val="0"/>
          <w:color w:val="000000" w:themeColor="text1"/>
          <w:sz w:val="21"/>
          <w:szCs w:val="21"/>
          <w:highlight w:val="none"/>
          <w:lang w:val="en-US"/>
          <w14:textFill>
            <w14:solidFill>
              <w14:schemeClr w14:val="tx1"/>
            </w14:solidFill>
          </w14:textFill>
        </w:rPr>
        <w:t>运营维护</w:t>
      </w:r>
      <w:r>
        <w:rPr>
          <w:rFonts w:hint="eastAsia" w:hAnsi="宋体" w:cs="宋体"/>
          <w:b w:val="0"/>
          <w:bCs w:val="0"/>
          <w:color w:val="000000" w:themeColor="text1"/>
          <w:sz w:val="21"/>
          <w:szCs w:val="21"/>
          <w:highlight w:val="none"/>
          <w14:textFill>
            <w14:solidFill>
              <w14:schemeClr w14:val="tx1"/>
            </w14:solidFill>
          </w14:textFill>
        </w:rPr>
        <w:t>服务质量问题造成损害、侵权损失（包括但不限于甲方（含其人员）经济损失、乙方所</w:t>
      </w:r>
      <w:r>
        <w:rPr>
          <w:rFonts w:hint="eastAsia" w:hAnsi="宋体" w:cs="宋体"/>
          <w:b w:val="0"/>
          <w:bCs w:val="0"/>
          <w:color w:val="000000" w:themeColor="text1"/>
          <w:sz w:val="21"/>
          <w:szCs w:val="21"/>
          <w:highlight w:val="none"/>
          <w:lang w:val="en-US"/>
          <w14:textFill>
            <w14:solidFill>
              <w14:schemeClr w14:val="tx1"/>
            </w14:solidFill>
          </w14:textFill>
        </w:rPr>
        <w:t>雇</w:t>
      </w:r>
      <w:r>
        <w:rPr>
          <w:rFonts w:hint="eastAsia" w:hAnsi="宋体" w:cs="宋体"/>
          <w:b w:val="0"/>
          <w:bCs w:val="0"/>
          <w:color w:val="000000" w:themeColor="text1"/>
          <w:sz w:val="21"/>
          <w:szCs w:val="21"/>
          <w:highlight w:val="none"/>
          <w14:textFill>
            <w14:solidFill>
              <w14:schemeClr w14:val="tx1"/>
            </w14:solidFill>
          </w14:textFill>
        </w:rPr>
        <w:t>人员及第三人人身财产损失等）、拖欠供应商货款或与其所</w:t>
      </w:r>
      <w:r>
        <w:rPr>
          <w:rFonts w:hint="eastAsia" w:hAnsi="宋体" w:cs="宋体"/>
          <w:b w:val="0"/>
          <w:bCs w:val="0"/>
          <w:color w:val="000000" w:themeColor="text1"/>
          <w:sz w:val="21"/>
          <w:szCs w:val="21"/>
          <w:highlight w:val="none"/>
          <w:lang w:val="en-US"/>
          <w14:textFill>
            <w14:solidFill>
              <w14:schemeClr w14:val="tx1"/>
            </w14:solidFill>
          </w14:textFill>
        </w:rPr>
        <w:t>雇</w:t>
      </w:r>
      <w:r>
        <w:rPr>
          <w:rFonts w:hint="eastAsia" w:hAnsi="宋体" w:cs="宋体"/>
          <w:b w:val="0"/>
          <w:bCs w:val="0"/>
          <w:color w:val="000000" w:themeColor="text1"/>
          <w:sz w:val="21"/>
          <w:szCs w:val="21"/>
          <w:highlight w:val="none"/>
          <w14:textFill>
            <w14:solidFill>
              <w14:schemeClr w14:val="tx1"/>
            </w14:solidFill>
          </w14:textFill>
        </w:rPr>
        <w:t>用员工发生劳资纠纷、上访、闹事或其他影响甲方生产经营等情况而其未及时妥善处理的，甲方有权使用履约担保予以支付或作出相应处理，由此产生的一切法律后果由乙方承担。</w:t>
      </w:r>
    </w:p>
    <w:p w14:paraId="04323D1E">
      <w:pPr>
        <w:pStyle w:val="2"/>
        <w:numPr>
          <w:ilvl w:val="0"/>
          <w:numId w:val="4"/>
        </w:numPr>
        <w:snapToGrid w:val="0"/>
        <w:spacing w:line="360" w:lineRule="auto"/>
        <w:ind w:right="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在合同履行期间，乙方违约产生的违约金、赔偿、罚款或其他应付费用等款项，甲方有权</w:t>
      </w:r>
      <w:r>
        <w:rPr>
          <w:rFonts w:hint="eastAsia" w:hAnsi="宋体" w:cs="宋体"/>
          <w:b w:val="0"/>
          <w:bCs w:val="0"/>
          <w:color w:val="000000" w:themeColor="text1"/>
          <w:sz w:val="21"/>
          <w:szCs w:val="21"/>
          <w:highlight w:val="none"/>
          <w:lang w:val="en-US"/>
          <w14:textFill>
            <w14:solidFill>
              <w14:schemeClr w14:val="tx1"/>
            </w14:solidFill>
          </w14:textFill>
        </w:rPr>
        <w:t>直接</w:t>
      </w:r>
      <w:r>
        <w:rPr>
          <w:rFonts w:hint="eastAsia" w:hAnsi="宋体" w:cs="宋体"/>
          <w:b w:val="0"/>
          <w:bCs w:val="0"/>
          <w:color w:val="000000" w:themeColor="text1"/>
          <w:sz w:val="21"/>
          <w:szCs w:val="21"/>
          <w:highlight w:val="none"/>
          <w14:textFill>
            <w14:solidFill>
              <w14:schemeClr w14:val="tx1"/>
            </w14:solidFill>
          </w14:textFill>
        </w:rPr>
        <w:t>从未付货物款项中扣除或使用履约担保予以支付。</w:t>
      </w:r>
    </w:p>
    <w:p w14:paraId="165F5A2E">
      <w:pPr>
        <w:pStyle w:val="2"/>
        <w:numPr>
          <w:ilvl w:val="0"/>
          <w:numId w:val="4"/>
        </w:numPr>
        <w:snapToGrid w:val="0"/>
        <w:spacing w:line="360" w:lineRule="auto"/>
        <w:ind w:right="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合同期内，乙方不能及时完成合同某项义务的，甲方有权使用履约担保用于处理该项</w:t>
      </w:r>
      <w:r>
        <w:rPr>
          <w:rFonts w:hint="eastAsia" w:hAnsi="宋体" w:cs="宋体"/>
          <w:b w:val="0"/>
          <w:bCs w:val="0"/>
          <w:color w:val="000000" w:themeColor="text1"/>
          <w:sz w:val="21"/>
          <w:szCs w:val="21"/>
          <w:highlight w:val="none"/>
          <w:lang w:val="en-US"/>
          <w14:textFill>
            <w14:solidFill>
              <w14:schemeClr w14:val="tx1"/>
            </w14:solidFill>
          </w14:textFill>
        </w:rPr>
        <w:t>目工</w:t>
      </w:r>
      <w:r>
        <w:rPr>
          <w:rFonts w:hint="eastAsia" w:hAnsi="宋体" w:cs="宋体"/>
          <w:b w:val="0"/>
          <w:bCs w:val="0"/>
          <w:color w:val="000000" w:themeColor="text1"/>
          <w:sz w:val="21"/>
          <w:szCs w:val="21"/>
          <w:highlight w:val="none"/>
          <w14:textFill>
            <w14:solidFill>
              <w14:schemeClr w14:val="tx1"/>
            </w14:solidFill>
          </w14:textFill>
        </w:rPr>
        <w:t>作。</w:t>
      </w:r>
    </w:p>
    <w:p w14:paraId="6313459D">
      <w:pPr>
        <w:pStyle w:val="2"/>
        <w:numPr>
          <w:ilvl w:val="0"/>
          <w:numId w:val="4"/>
        </w:numPr>
        <w:snapToGrid w:val="0"/>
        <w:spacing w:line="360" w:lineRule="auto"/>
        <w:ind w:right="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其他根据本合同约定或法律规定，甲方</w:t>
      </w:r>
      <w:r>
        <w:rPr>
          <w:rFonts w:hint="eastAsia" w:hAnsi="宋体" w:cs="宋体"/>
          <w:b w:val="0"/>
          <w:bCs w:val="0"/>
          <w:color w:val="000000" w:themeColor="text1"/>
          <w:sz w:val="21"/>
          <w:szCs w:val="21"/>
          <w:highlight w:val="none"/>
          <w:lang w:val="en-US"/>
          <w14:textFill>
            <w14:solidFill>
              <w14:schemeClr w14:val="tx1"/>
            </w14:solidFill>
          </w14:textFill>
        </w:rPr>
        <w:t>可</w:t>
      </w:r>
      <w:r>
        <w:rPr>
          <w:rFonts w:hint="eastAsia" w:hAnsi="宋体" w:cs="宋体"/>
          <w:b w:val="0"/>
          <w:bCs w:val="0"/>
          <w:color w:val="000000" w:themeColor="text1"/>
          <w:sz w:val="21"/>
          <w:szCs w:val="21"/>
          <w:highlight w:val="none"/>
          <w14:textFill>
            <w14:solidFill>
              <w14:schemeClr w14:val="tx1"/>
            </w14:solidFill>
          </w14:textFill>
        </w:rPr>
        <w:t>使用履约担保的情形。</w:t>
      </w:r>
    </w:p>
    <w:p w14:paraId="75628CFF">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3、在乙方完成本合同项下全部货物的供货，经甲方最终验收合格且结算完毕后二十八</w:t>
      </w:r>
      <w:r>
        <w:rPr>
          <w:rFonts w:hint="eastAsia" w:hAnsi="宋体" w:cs="宋体"/>
          <w:b w:val="0"/>
          <w:bCs w:val="0"/>
          <w:color w:val="000000" w:themeColor="text1"/>
          <w:sz w:val="21"/>
          <w:szCs w:val="21"/>
          <w:highlight w:val="none"/>
          <w:lang w:val="en-US"/>
          <w14:textFill>
            <w14:solidFill>
              <w14:schemeClr w14:val="tx1"/>
            </w14:solidFill>
          </w14:textFill>
        </w:rPr>
        <w:t>（28）</w:t>
      </w:r>
      <w:r>
        <w:rPr>
          <w:rFonts w:hint="eastAsia" w:hAnsi="宋体" w:cs="宋体"/>
          <w:b w:val="0"/>
          <w:bCs w:val="0"/>
          <w:color w:val="000000" w:themeColor="text1"/>
          <w:sz w:val="21"/>
          <w:szCs w:val="21"/>
          <w:highlight w:val="none"/>
          <w14:textFill>
            <w14:solidFill>
              <w14:schemeClr w14:val="tx1"/>
            </w14:solidFill>
          </w14:textFill>
        </w:rPr>
        <w:t>日内，经甲方确认，乙方可向甲方提交退回履约担保的申请。甲方审核无异议后，办理履约担保退还手续，履约保证金形式提交的履约担保余额退回时一律以银行转账的形式无息退回到乙方的账户。</w:t>
      </w:r>
    </w:p>
    <w:p w14:paraId="60C8013B">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4、如乙方提供不可撤销银行履约保函（或履约保证保险或</w:t>
      </w:r>
      <w:r>
        <w:rPr>
          <w:rFonts w:hint="eastAsia" w:hAnsi="宋体" w:cs="宋体"/>
          <w:b w:val="0"/>
          <w:bCs w:val="0"/>
          <w:color w:val="000000" w:themeColor="text1"/>
          <w:sz w:val="21"/>
          <w:szCs w:val="21"/>
          <w:highlight w:val="none"/>
          <w:lang w:val="en-US"/>
          <w14:textFill>
            <w14:solidFill>
              <w14:schemeClr w14:val="tx1"/>
            </w14:solidFill>
          </w14:textFill>
        </w:rPr>
        <w:t>担</w:t>
      </w:r>
      <w:r>
        <w:rPr>
          <w:rFonts w:hint="eastAsia" w:hAnsi="宋体" w:cs="宋体"/>
          <w:b w:val="0"/>
          <w:bCs w:val="0"/>
          <w:color w:val="000000" w:themeColor="text1"/>
          <w:sz w:val="21"/>
          <w:szCs w:val="21"/>
          <w:highlight w:val="none"/>
          <w14:textFill>
            <w14:solidFill>
              <w14:schemeClr w14:val="tx1"/>
            </w14:solidFill>
          </w14:textFill>
        </w:rPr>
        <w:t>保公司履约担保书）作为履约担保的，不可</w:t>
      </w:r>
      <w:r>
        <w:rPr>
          <w:rFonts w:hint="eastAsia" w:hAnsi="宋体" w:cs="宋体"/>
          <w:b w:val="0"/>
          <w:bCs w:val="0"/>
          <w:color w:val="000000" w:themeColor="text1"/>
          <w:sz w:val="21"/>
          <w:szCs w:val="21"/>
          <w:highlight w:val="none"/>
          <w:lang w:val="en-US"/>
          <w14:textFill>
            <w14:solidFill>
              <w14:schemeClr w14:val="tx1"/>
            </w14:solidFill>
          </w14:textFill>
        </w:rPr>
        <w:t>撤</w:t>
      </w:r>
      <w:r>
        <w:rPr>
          <w:rFonts w:hint="eastAsia" w:hAnsi="宋体" w:cs="宋体"/>
          <w:b w:val="0"/>
          <w:bCs w:val="0"/>
          <w:color w:val="000000" w:themeColor="text1"/>
          <w:sz w:val="21"/>
          <w:szCs w:val="21"/>
          <w:highlight w:val="none"/>
          <w14:textFill>
            <w14:solidFill>
              <w14:schemeClr w14:val="tx1"/>
            </w14:solidFill>
          </w14:textFill>
        </w:rPr>
        <w:t>销银行履约保函（或履约保证保险或担保公司履约担保书）应从合同签</w:t>
      </w:r>
      <w:bookmarkStart w:id="568" w:name="OLE_LINK444"/>
      <w:r>
        <w:rPr>
          <w:rFonts w:hint="eastAsia" w:hAnsi="宋体" w:cs="宋体"/>
          <w:b w:val="0"/>
          <w:bCs w:val="0"/>
          <w:color w:val="000000" w:themeColor="text1"/>
          <w:sz w:val="21"/>
          <w:szCs w:val="21"/>
          <w:highlight w:val="none"/>
          <w14:textFill>
            <w14:solidFill>
              <w14:schemeClr w14:val="tx1"/>
            </w14:solidFill>
          </w14:textFill>
        </w:rPr>
        <w:t>订之日起</w:t>
      </w:r>
      <w:bookmarkStart w:id="569" w:name="OLE_LINK445"/>
      <w:r>
        <w:rPr>
          <w:rFonts w:hint="eastAsia" w:hAnsi="宋体" w:cs="宋体"/>
          <w:b w:val="0"/>
          <w:bCs w:val="0"/>
          <w:color w:val="000000" w:themeColor="text1"/>
          <w:sz w:val="21"/>
          <w:szCs w:val="21"/>
          <w:highlight w:val="none"/>
          <w14:textFill>
            <w14:solidFill>
              <w14:schemeClr w14:val="tx1"/>
            </w14:solidFill>
          </w14:textFill>
        </w:rPr>
        <w:t>至</w:t>
      </w:r>
      <w:bookmarkStart w:id="570" w:name="OLE_LINK443"/>
      <w:r>
        <w:rPr>
          <w:rFonts w:hint="eastAsia" w:hAnsi="宋体" w:cs="宋体"/>
          <w:b w:val="0"/>
          <w:bCs w:val="0"/>
          <w:color w:val="000000" w:themeColor="text1"/>
          <w:sz w:val="21"/>
          <w:szCs w:val="21"/>
          <w:highlight w:val="none"/>
          <w:lang w:val="en-US"/>
          <w14:textFill>
            <w14:solidFill>
              <w14:schemeClr w14:val="tx1"/>
            </w14:solidFill>
          </w14:textFill>
        </w:rPr>
        <w:t>依法完成本项目的所有合同义务</w:t>
      </w:r>
      <w:bookmarkEnd w:id="568"/>
      <w:bookmarkEnd w:id="569"/>
      <w:bookmarkEnd w:id="570"/>
      <w:r>
        <w:rPr>
          <w:rFonts w:hint="eastAsia" w:hAnsi="宋体" w:cs="宋体"/>
          <w:b w:val="0"/>
          <w:bCs w:val="0"/>
          <w:color w:val="000000" w:themeColor="text1"/>
          <w:sz w:val="21"/>
          <w:szCs w:val="21"/>
          <w:highlight w:val="none"/>
          <w14:textFill>
            <w14:solidFill>
              <w14:schemeClr w14:val="tx1"/>
            </w14:solidFill>
          </w14:textFill>
        </w:rPr>
        <w:t>且</w:t>
      </w:r>
      <w:r>
        <w:rPr>
          <w:rFonts w:hint="eastAsia" w:hAnsi="宋体" w:cs="宋体"/>
          <w:b w:val="0"/>
          <w:bCs w:val="0"/>
          <w:color w:val="000000" w:themeColor="text1"/>
          <w:sz w:val="21"/>
          <w:szCs w:val="21"/>
          <w:highlight w:val="none"/>
          <w:lang w:val="en-US"/>
          <w14:textFill>
            <w14:solidFill>
              <w14:schemeClr w14:val="tx1"/>
            </w14:solidFill>
          </w14:textFill>
        </w:rPr>
        <w:t>双方</w:t>
      </w:r>
      <w:r>
        <w:rPr>
          <w:rFonts w:hint="eastAsia" w:hAnsi="宋体" w:cs="宋体"/>
          <w:b w:val="0"/>
          <w:bCs w:val="0"/>
          <w:color w:val="000000" w:themeColor="text1"/>
          <w:sz w:val="21"/>
          <w:szCs w:val="21"/>
          <w:highlight w:val="none"/>
          <w14:textFill>
            <w14:solidFill>
              <w14:schemeClr w14:val="tx1"/>
            </w14:solidFill>
          </w14:textFill>
        </w:rPr>
        <w:t>结算完毕后28日内保待有效。如不可撤销银行履约保函（或履约保证保险或担保公司履约担保书）在规定有效期届满时而乙方未完成全部供货（含最终验收合格）并结算完毕的，乙方必须在不可撤销银行履约保函（或履约保证保险或担保公司履约担保书）到期15日前无条件办理办妥符合甲方要求的延期手续或重新提供不可撤销银行履约保</w:t>
      </w:r>
      <w:r>
        <w:rPr>
          <w:rFonts w:hint="eastAsia" w:hAnsi="宋体" w:cs="宋体"/>
          <w:b w:val="0"/>
          <w:bCs w:val="0"/>
          <w:color w:val="000000" w:themeColor="text1"/>
          <w:sz w:val="21"/>
          <w:szCs w:val="21"/>
          <w:highlight w:val="none"/>
          <w:lang w:val="en-US"/>
          <w14:textFill>
            <w14:solidFill>
              <w14:schemeClr w14:val="tx1"/>
            </w14:solidFill>
          </w14:textFill>
        </w:rPr>
        <w:t>函</w:t>
      </w:r>
      <w:r>
        <w:rPr>
          <w:rFonts w:hint="eastAsia" w:hAnsi="宋体" w:cs="宋体"/>
          <w:b w:val="0"/>
          <w:bCs w:val="0"/>
          <w:color w:val="000000" w:themeColor="text1"/>
          <w:sz w:val="21"/>
          <w:szCs w:val="21"/>
          <w:highlight w:val="none"/>
          <w14:textFill>
            <w14:solidFill>
              <w14:schemeClr w14:val="tx1"/>
            </w14:solidFill>
          </w14:textFill>
        </w:rPr>
        <w:t>（或履约保证保险或担保公司履约担保书）；否则视为乙方违约，甲方有权在不可撤销银行</w:t>
      </w:r>
      <w:r>
        <w:rPr>
          <w:rFonts w:hint="eastAsia" w:hAnsi="宋体" w:cs="宋体"/>
          <w:b w:val="0"/>
          <w:bCs w:val="0"/>
          <w:color w:val="000000" w:themeColor="text1"/>
          <w:sz w:val="21"/>
          <w:szCs w:val="21"/>
          <w:highlight w:val="none"/>
          <w:lang w:val="en-US"/>
          <w14:textFill>
            <w14:solidFill>
              <w14:schemeClr w14:val="tx1"/>
            </w14:solidFill>
          </w14:textFill>
        </w:rPr>
        <w:t>履</w:t>
      </w:r>
      <w:r>
        <w:rPr>
          <w:rFonts w:hint="eastAsia" w:hAnsi="宋体" w:cs="宋体"/>
          <w:b w:val="0"/>
          <w:bCs w:val="0"/>
          <w:color w:val="000000" w:themeColor="text1"/>
          <w:sz w:val="21"/>
          <w:szCs w:val="21"/>
          <w:highlight w:val="none"/>
          <w14:textFill>
            <w14:solidFill>
              <w14:schemeClr w14:val="tx1"/>
            </w14:solidFill>
          </w14:textFill>
        </w:rPr>
        <w:t>约保函（或履约保证保险或担保公司履约担保书）到期前向出具</w:t>
      </w:r>
      <w:r>
        <w:rPr>
          <w:rFonts w:hint="eastAsia" w:hAnsi="宋体" w:cs="宋体"/>
          <w:b w:val="0"/>
          <w:bCs w:val="0"/>
          <w:color w:val="000000" w:themeColor="text1"/>
          <w:sz w:val="21"/>
          <w:szCs w:val="21"/>
          <w:highlight w:val="none"/>
          <w:lang w:val="en-US"/>
          <w14:textFill>
            <w14:solidFill>
              <w14:schemeClr w14:val="tx1"/>
            </w14:solidFill>
          </w14:textFill>
        </w:rPr>
        <w:t>履</w:t>
      </w:r>
      <w:r>
        <w:rPr>
          <w:rFonts w:hint="eastAsia" w:hAnsi="宋体" w:cs="宋体"/>
          <w:b w:val="0"/>
          <w:bCs w:val="0"/>
          <w:color w:val="000000" w:themeColor="text1"/>
          <w:sz w:val="21"/>
          <w:szCs w:val="21"/>
          <w:highlight w:val="none"/>
          <w14:textFill>
            <w14:solidFill>
              <w14:schemeClr w14:val="tx1"/>
            </w14:solidFill>
          </w14:textFill>
        </w:rPr>
        <w:t>约担保的机构提取履约担保。在不可撤销银行履约保函（或履约保证保险或担保公司履约担保书）到期后乙方未按甲方要求重新提供的，甲方有权要求乙方以履约担保金额为限承担违约金，违约金甲方可直接从未付款项中扣除。</w:t>
      </w:r>
    </w:p>
    <w:p w14:paraId="73E4122B">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5、在合同</w:t>
      </w:r>
      <w:r>
        <w:rPr>
          <w:rFonts w:hint="eastAsia" w:hAnsi="宋体" w:cs="宋体"/>
          <w:b w:val="0"/>
          <w:bCs w:val="0"/>
          <w:color w:val="000000" w:themeColor="text1"/>
          <w:sz w:val="21"/>
          <w:szCs w:val="21"/>
          <w:highlight w:val="none"/>
          <w:lang w:val="en-US"/>
          <w14:textFill>
            <w14:solidFill>
              <w14:schemeClr w14:val="tx1"/>
            </w14:solidFill>
          </w14:textFill>
        </w:rPr>
        <w:t>履</w:t>
      </w:r>
      <w:r>
        <w:rPr>
          <w:rFonts w:hint="eastAsia" w:hAnsi="宋体" w:cs="宋体"/>
          <w:b w:val="0"/>
          <w:bCs w:val="0"/>
          <w:color w:val="000000" w:themeColor="text1"/>
          <w:sz w:val="21"/>
          <w:szCs w:val="21"/>
          <w:highlight w:val="none"/>
          <w14:textFill>
            <w14:solidFill>
              <w14:schemeClr w14:val="tx1"/>
            </w14:solidFill>
          </w14:textFill>
        </w:rPr>
        <w:t>行过程中，不论何种原因导致履约担保数额不符合招标文件要求的，乙</w:t>
      </w:r>
      <w:r>
        <w:rPr>
          <w:rFonts w:hint="eastAsia" w:hAnsi="宋体" w:cs="宋体"/>
          <w:b w:val="0"/>
          <w:bCs w:val="0"/>
          <w:color w:val="000000" w:themeColor="text1"/>
          <w:sz w:val="21"/>
          <w:szCs w:val="21"/>
          <w:highlight w:val="none"/>
          <w:lang w:val="en-US"/>
          <w14:textFill>
            <w14:solidFill>
              <w14:schemeClr w14:val="tx1"/>
            </w14:solidFill>
          </w14:textFill>
        </w:rPr>
        <w:t>方</w:t>
      </w:r>
      <w:r>
        <w:rPr>
          <w:rFonts w:hint="eastAsia" w:hAnsi="宋体" w:cs="宋体"/>
          <w:b w:val="0"/>
          <w:bCs w:val="0"/>
          <w:color w:val="000000" w:themeColor="text1"/>
          <w:sz w:val="21"/>
          <w:szCs w:val="21"/>
          <w:highlight w:val="none"/>
          <w14:textFill>
            <w14:solidFill>
              <w14:schemeClr w14:val="tx1"/>
            </w14:solidFill>
          </w14:textFill>
        </w:rPr>
        <w:t>应当在5日内予以补足。逾期不予补足的，甲</w:t>
      </w:r>
      <w:r>
        <w:rPr>
          <w:rFonts w:hint="eastAsia" w:hAnsi="宋体" w:cs="宋体"/>
          <w:b w:val="0"/>
          <w:bCs w:val="0"/>
          <w:color w:val="000000" w:themeColor="text1"/>
          <w:sz w:val="21"/>
          <w:szCs w:val="21"/>
          <w:highlight w:val="none"/>
          <w:lang w:val="en-US"/>
          <w14:textFill>
            <w14:solidFill>
              <w14:schemeClr w14:val="tx1"/>
            </w14:solidFill>
          </w14:textFill>
        </w:rPr>
        <w:t>方</w:t>
      </w:r>
      <w:r>
        <w:rPr>
          <w:rFonts w:hint="eastAsia" w:hAnsi="宋体" w:cs="宋体"/>
          <w:b w:val="0"/>
          <w:bCs w:val="0"/>
          <w:color w:val="000000" w:themeColor="text1"/>
          <w:sz w:val="21"/>
          <w:szCs w:val="21"/>
          <w:highlight w:val="none"/>
          <w14:textFill>
            <w14:solidFill>
              <w14:schemeClr w14:val="tx1"/>
            </w14:solidFill>
          </w14:textFill>
        </w:rPr>
        <w:t>有权按需补足的金额要求乙方承担违约金，并要求限期补足。如乙方仍不补足的，甲方有权单方解除合同。</w:t>
      </w:r>
    </w:p>
    <w:p w14:paraId="0F99DE61">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14:paraId="1CF4F24D">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第十六条 </w:t>
      </w:r>
      <w:bookmarkStart w:id="571" w:name="OLE_LINK99"/>
      <w:r>
        <w:rPr>
          <w:rFonts w:hint="eastAsia" w:ascii="宋体" w:hAnsi="宋体" w:eastAsia="宋体" w:cs="宋体"/>
          <w:b/>
          <w:color w:val="000000" w:themeColor="text1"/>
          <w:szCs w:val="21"/>
          <w:highlight w:val="none"/>
          <w14:textFill>
            <w14:solidFill>
              <w14:schemeClr w14:val="tx1"/>
            </w14:solidFill>
          </w14:textFill>
        </w:rPr>
        <w:t>技术资料</w:t>
      </w:r>
      <w:bookmarkEnd w:id="571"/>
    </w:p>
    <w:p w14:paraId="7C003D40">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应按《用户需求书》的要求向甲方提供完整的所有供货设备的必要技术资料。乙方必须保证技术资料符合项目安装需求，如因乙方提供的技术资料错误导致设备无法安装的，由此造成的一切损失由乙方承担。具体技术资料要求按照招标文件用户需求书的规定执行。</w:t>
      </w:r>
    </w:p>
    <w:p w14:paraId="303AB2D1">
      <w:pPr>
        <w:adjustRightIn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2、乙方在设备交货的同时应提供最终设备的全套（简体中文，如是外文应附中文译本）资料（含纸质和电子文件）给甲方，包括但不限于：</w:t>
      </w:r>
    </w:p>
    <w:p w14:paraId="56EACB6C">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（1）完整的装箱单、产品出厂检验合格证书（含主要元器件的出厂合格证）、出厂试验报告、检验报告（或测试性能、测试报告）；</w:t>
      </w:r>
    </w:p>
    <w:p w14:paraId="088AE3BA">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（2）产品说明书；</w:t>
      </w:r>
    </w:p>
    <w:p w14:paraId="534F02DA">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（3）质量保证书、保修保证书；</w:t>
      </w:r>
    </w:p>
    <w:p w14:paraId="192D4C73">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（4）各单体设备技术规格及说明；</w:t>
      </w:r>
    </w:p>
    <w:p w14:paraId="79DA96CA">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（5）安装调试、维修、保养手册等招标文件用户需求书规定数量和类型的技术资料；</w:t>
      </w:r>
    </w:p>
    <w:p w14:paraId="51D7BA5E">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（6）与货物使用、维护或检验等所需的相关其他文件；</w:t>
      </w:r>
    </w:p>
    <w:p w14:paraId="5C159312">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（7）符合国家规定的验收标准、厂方标准及验收手册；</w:t>
      </w:r>
    </w:p>
    <w:p w14:paraId="42B7FB19">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（8）甲方要求提供的其他检验检测报告等。</w:t>
      </w:r>
    </w:p>
    <w:p w14:paraId="2728B497">
      <w:pPr>
        <w:adjustRightInd w:val="0"/>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3、乙方</w:t>
      </w:r>
      <w:r>
        <w:rPr>
          <w:rFonts w:hint="eastAsia" w:ascii="宋体" w:hAnsi="宋体" w:eastAsia="宋体" w:cs="宋体"/>
          <w:color w:val="000000" w:themeColor="text1"/>
          <w:szCs w:val="21"/>
          <w:highlight w:val="none"/>
          <w14:textFill>
            <w14:solidFill>
              <w14:schemeClr w14:val="tx1"/>
            </w14:solidFill>
          </w14:textFill>
        </w:rPr>
        <w:t>必须保证在设备使用寿命内，甲方无偿获得PLC通讯、</w:t>
      </w:r>
      <w:bookmarkStart w:id="572" w:name="OLE_LINK298"/>
      <w:r>
        <w:rPr>
          <w:rFonts w:hint="eastAsia" w:ascii="宋体" w:hAnsi="宋体" w:eastAsia="宋体" w:cs="宋体"/>
          <w:color w:val="000000" w:themeColor="text1"/>
          <w:szCs w:val="21"/>
          <w:highlight w:val="none"/>
          <w14:textFill>
            <w14:solidFill>
              <w14:schemeClr w14:val="tx1"/>
            </w14:solidFill>
          </w14:textFill>
        </w:rPr>
        <w:t>现场实时监测数据、APP监控等</w:t>
      </w:r>
      <w:bookmarkEnd w:id="572"/>
      <w:r>
        <w:rPr>
          <w:rFonts w:hint="eastAsia" w:ascii="宋体" w:hAnsi="宋体" w:eastAsia="宋体" w:cs="宋体"/>
          <w:color w:val="000000" w:themeColor="text1"/>
          <w:szCs w:val="21"/>
          <w:highlight w:val="none"/>
          <w14:textFill>
            <w14:solidFill>
              <w14:schemeClr w14:val="tx1"/>
            </w14:solidFill>
          </w14:textFill>
        </w:rPr>
        <w:t>软件的知识产权，相关程序均不得设置密码（或免费向甲方提供密码）、随机附带的软件程序等不得设置妨碍设备正常工作的后门程序。涉及设备正常使用、维护的一切软件在设备验收时也应一并交付甲方。</w:t>
      </w:r>
    </w:p>
    <w:p w14:paraId="5FA4DBC5">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4、乙方在完成最终验收合格后1个月内，</w:t>
      </w:r>
      <w:bookmarkStart w:id="573" w:name="OLE_LINK299"/>
      <w:r>
        <w:rPr>
          <w:rFonts w:hint="eastAsia" w:ascii="宋体" w:hAnsi="宋体" w:eastAsia="宋体" w:cs="宋体"/>
          <w:color w:val="000000" w:themeColor="text1"/>
          <w:szCs w:val="21"/>
          <w:highlight w:val="none"/>
          <w14:textFill>
            <w14:solidFill>
              <w14:schemeClr w14:val="tx1"/>
            </w14:solidFill>
          </w14:textFill>
        </w:rPr>
        <w:t>向甲方移交</w:t>
      </w:r>
      <w:bookmarkStart w:id="574" w:name="OLE_LINK297"/>
      <w:r>
        <w:rPr>
          <w:rFonts w:hint="eastAsia" w:ascii="宋体" w:hAnsi="宋体" w:eastAsia="宋体" w:cs="宋体"/>
          <w:color w:val="000000" w:themeColor="text1"/>
          <w:szCs w:val="21"/>
          <w:highlight w:val="none"/>
          <w14:textFill>
            <w14:solidFill>
              <w14:schemeClr w14:val="tx1"/>
            </w14:solidFill>
          </w14:textFill>
        </w:rPr>
        <w:t>四套</w:t>
      </w:r>
      <w:bookmarkEnd w:id="574"/>
      <w:r>
        <w:rPr>
          <w:rFonts w:hint="eastAsia" w:ascii="宋体" w:hAnsi="宋体" w:eastAsia="宋体" w:cs="宋体"/>
          <w:color w:val="000000" w:themeColor="text1"/>
          <w:szCs w:val="21"/>
          <w:highlight w:val="none"/>
          <w14:textFill>
            <w14:solidFill>
              <w14:schemeClr w14:val="tx1"/>
            </w14:solidFill>
          </w14:textFill>
        </w:rPr>
        <w:t>符合</w:t>
      </w:r>
      <w:r>
        <w:rPr>
          <w:rFonts w:hint="eastAsia" w:ascii="宋体" w:hAnsi="宋体" w:eastAsia="宋体" w:cs="宋体"/>
          <w:color w:val="000000" w:themeColor="text1"/>
          <w:kern w:val="0"/>
          <w:szCs w:val="21"/>
          <w:highlight w:val="none"/>
          <w14:textFill>
            <w14:solidFill>
              <w14:schemeClr w14:val="tx1"/>
            </w14:solidFill>
          </w14:textFill>
        </w:rPr>
        <w:t>国家、省或行业现行的质量验收标准及规范</w:t>
      </w:r>
      <w:r>
        <w:rPr>
          <w:rFonts w:hint="eastAsia" w:ascii="宋体" w:hAnsi="宋体" w:eastAsia="宋体" w:cs="宋体"/>
          <w:color w:val="000000" w:themeColor="text1"/>
          <w:szCs w:val="21"/>
          <w:highlight w:val="none"/>
          <w14:textFill>
            <w14:solidFill>
              <w14:schemeClr w14:val="tx1"/>
            </w14:solidFill>
          </w14:textFill>
        </w:rPr>
        <w:t xml:space="preserve">的完工资料和一套电子档扫描件（以光盘或U盘作为存储介质交付）。 </w:t>
      </w:r>
      <w:bookmarkEnd w:id="573"/>
    </w:p>
    <w:p w14:paraId="52900961">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14:paraId="7AC4AEE4">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第十七条 </w:t>
      </w:r>
      <w:bookmarkStart w:id="575" w:name="OLE_LINK100"/>
      <w:r>
        <w:rPr>
          <w:rFonts w:hint="eastAsia" w:ascii="宋体" w:hAnsi="宋体" w:eastAsia="宋体" w:cs="宋体"/>
          <w:b/>
          <w:color w:val="000000" w:themeColor="text1"/>
          <w:szCs w:val="21"/>
          <w:highlight w:val="none"/>
          <w14:textFill>
            <w14:solidFill>
              <w14:schemeClr w14:val="tx1"/>
            </w14:solidFill>
          </w14:textFill>
        </w:rPr>
        <w:t>权利保证</w:t>
      </w:r>
      <w:bookmarkEnd w:id="575"/>
    </w:p>
    <w:p w14:paraId="66766D2B">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bookmarkStart w:id="576" w:name="OLE_LINK266"/>
      <w:r>
        <w:rPr>
          <w:rFonts w:hint="eastAsia" w:ascii="宋体" w:hAnsi="宋体" w:eastAsia="宋体" w:cs="宋体"/>
          <w:color w:val="000000" w:themeColor="text1"/>
          <w:szCs w:val="21"/>
          <w:highlight w:val="none"/>
          <w14:textFill>
            <w14:solidFill>
              <w14:schemeClr w14:val="tx1"/>
            </w14:solidFill>
          </w14:textFill>
        </w:rPr>
        <w:t>1、</w:t>
      </w:r>
      <w:bookmarkStart w:id="577" w:name="OLE_LINK268"/>
      <w:r>
        <w:rPr>
          <w:rFonts w:hint="eastAsia" w:ascii="宋体" w:hAnsi="宋体" w:eastAsia="宋体" w:cs="宋体"/>
          <w:color w:val="000000" w:themeColor="text1"/>
          <w:szCs w:val="21"/>
          <w:highlight w:val="none"/>
          <w14:textFill>
            <w14:solidFill>
              <w14:schemeClr w14:val="tx1"/>
            </w14:solidFill>
          </w14:textFill>
        </w:rPr>
        <w:t>乙方</w:t>
      </w:r>
      <w:bookmarkStart w:id="578" w:name="OLE_LINK269"/>
      <w:r>
        <w:rPr>
          <w:rFonts w:hint="eastAsia" w:ascii="宋体" w:hAnsi="宋体" w:eastAsia="宋体" w:cs="宋体"/>
          <w:color w:val="000000" w:themeColor="text1"/>
          <w:szCs w:val="21"/>
          <w:highlight w:val="none"/>
          <w14:textFill>
            <w14:solidFill>
              <w14:schemeClr w14:val="tx1"/>
            </w14:solidFill>
          </w14:textFill>
        </w:rPr>
        <w:t>应</w:t>
      </w:r>
      <w:bookmarkEnd w:id="578"/>
      <w:r>
        <w:rPr>
          <w:rFonts w:hint="eastAsia" w:ascii="宋体" w:hAnsi="宋体" w:eastAsia="宋体" w:cs="宋体"/>
          <w:color w:val="000000" w:themeColor="text1"/>
          <w:szCs w:val="21"/>
          <w:highlight w:val="none"/>
          <w14:textFill>
            <w14:solidFill>
              <w14:schemeClr w14:val="tx1"/>
            </w14:solidFill>
          </w14:textFill>
        </w:rPr>
        <w:t>保证合同项下提供的货物不侵犯任何第三方的专利、商标、版权以及其它权利，否则，乙方须承担因此产生的全部责任及费用，如因此造成甲方损失的，乙方应予以足额赔偿。</w:t>
      </w:r>
      <w:bookmarkEnd w:id="577"/>
    </w:p>
    <w:bookmarkEnd w:id="576"/>
    <w:p w14:paraId="6846ECB3">
      <w:pPr>
        <w:adjustRightInd w:val="0"/>
        <w:spacing w:line="360" w:lineRule="auto"/>
        <w:ind w:firstLine="373" w:firstLineChars="177"/>
        <w:rPr>
          <w:rFonts w:ascii="宋体" w:hAnsi="宋体" w:eastAsia="宋体" w:cs="宋体"/>
          <w:b/>
          <w:bCs/>
          <w:color w:val="000000" w:themeColor="text1"/>
          <w:szCs w:val="21"/>
          <w:highlight w:val="none"/>
          <w14:textFill>
            <w14:solidFill>
              <w14:schemeClr w14:val="tx1"/>
            </w14:solidFill>
          </w14:textFill>
        </w:rPr>
      </w:pPr>
      <w:bookmarkStart w:id="579" w:name="OLE_LINK267"/>
      <w:r>
        <w:rPr>
          <w:rFonts w:hint="eastAsia" w:ascii="宋体" w:hAnsi="宋体" w:eastAsia="宋体" w:cs="宋体"/>
          <w:b/>
          <w:bCs/>
          <w:color w:val="000000" w:themeColor="text1"/>
          <w:szCs w:val="21"/>
          <w:highlight w:val="none"/>
          <w14:textFill>
            <w14:solidFill>
              <w14:schemeClr w14:val="tx1"/>
            </w14:solidFill>
          </w14:textFill>
        </w:rPr>
        <w:t>2、乙方</w:t>
      </w:r>
      <w:bookmarkStart w:id="580" w:name="OLE_LINK270"/>
      <w:r>
        <w:rPr>
          <w:rFonts w:hint="eastAsia" w:ascii="宋体" w:hAnsi="宋体" w:eastAsia="宋体" w:cs="宋体"/>
          <w:b/>
          <w:bCs/>
          <w:color w:val="000000" w:themeColor="text1"/>
          <w:szCs w:val="21"/>
          <w:highlight w:val="none"/>
          <w14:textFill>
            <w14:solidFill>
              <w14:schemeClr w14:val="tx1"/>
            </w14:solidFill>
          </w14:textFill>
        </w:rPr>
        <w:t>须</w:t>
      </w:r>
      <w:bookmarkEnd w:id="580"/>
      <w:r>
        <w:rPr>
          <w:rFonts w:hint="eastAsia" w:ascii="宋体" w:hAnsi="宋体" w:eastAsia="宋体" w:cs="宋体"/>
          <w:b/>
          <w:bCs/>
          <w:color w:val="000000" w:themeColor="text1"/>
          <w:szCs w:val="21"/>
          <w:highlight w:val="none"/>
          <w14:textFill>
            <w14:solidFill>
              <w14:schemeClr w14:val="tx1"/>
            </w14:solidFill>
          </w14:textFill>
        </w:rPr>
        <w:t xml:space="preserve">保证其向甲方提供的所有软硬件系统不会侵犯任何第三方的知识产权。乙方应保证甲方免于遭受因第三方提起侵权索赔而产生的任何损失，如果任何第三方向甲方提起侵权索赔，乙方应负责与之交涉并承担因此引起的一切法律责任。因乙方提供的软硬件侵犯第三方知识产权，导致甲方无法正常使用的，乙方应向甲方支付合同总价（含税）的20%作为违约金，并赔偿甲方因此产生的全部损失。 </w:t>
      </w:r>
    </w:p>
    <w:bookmarkEnd w:id="579"/>
    <w:p w14:paraId="03F38651">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14:paraId="30748B7F">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第十八条 </w:t>
      </w:r>
      <w:bookmarkStart w:id="581" w:name="OLE_LINK101"/>
      <w:r>
        <w:rPr>
          <w:rFonts w:hint="eastAsia" w:ascii="宋体" w:hAnsi="宋体" w:eastAsia="宋体" w:cs="宋体"/>
          <w:b/>
          <w:color w:val="000000" w:themeColor="text1"/>
          <w:szCs w:val="21"/>
          <w:highlight w:val="none"/>
          <w14:textFill>
            <w14:solidFill>
              <w14:schemeClr w14:val="tx1"/>
            </w14:solidFill>
          </w14:textFill>
        </w:rPr>
        <w:t>不可抗力</w:t>
      </w:r>
      <w:bookmarkEnd w:id="581"/>
    </w:p>
    <w:p w14:paraId="02185837">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14:paraId="7AFCD79F">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14:paraId="50E8DDF5">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第十九条 </w:t>
      </w:r>
      <w:bookmarkStart w:id="582" w:name="OLE_LINK102"/>
      <w:r>
        <w:rPr>
          <w:rFonts w:hint="eastAsia" w:ascii="宋体" w:hAnsi="宋体" w:eastAsia="宋体" w:cs="宋体"/>
          <w:b/>
          <w:color w:val="000000" w:themeColor="text1"/>
          <w:szCs w:val="21"/>
          <w:highlight w:val="none"/>
          <w14:textFill>
            <w14:solidFill>
              <w14:schemeClr w14:val="tx1"/>
            </w14:solidFill>
          </w14:textFill>
        </w:rPr>
        <w:t>索赔</w:t>
      </w:r>
      <w:bookmarkEnd w:id="582"/>
    </w:p>
    <w:p w14:paraId="1097DFD7">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l、在货物验收、使用过程中，甲方如对货物（包括但不限于其规格、数</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等）有异议的，有权向乙</w:t>
      </w:r>
      <w:r>
        <w:rPr>
          <w:rFonts w:hint="eastAsia" w:hAnsi="宋体" w:cs="宋体"/>
          <w:b w:val="0"/>
          <w:bCs w:val="0"/>
          <w:color w:val="000000" w:themeColor="text1"/>
          <w:sz w:val="21"/>
          <w:szCs w:val="21"/>
          <w:highlight w:val="none"/>
          <w:lang w:val="en-US"/>
          <w14:textFill>
            <w14:solidFill>
              <w14:schemeClr w14:val="tx1"/>
            </w14:solidFill>
          </w14:textFill>
        </w:rPr>
        <w:t>方</w:t>
      </w:r>
      <w:r>
        <w:rPr>
          <w:rFonts w:hint="eastAsia" w:hAnsi="宋体" w:cs="宋体"/>
          <w:b w:val="0"/>
          <w:bCs w:val="0"/>
          <w:color w:val="000000" w:themeColor="text1"/>
          <w:sz w:val="21"/>
          <w:szCs w:val="21"/>
          <w:highlight w:val="none"/>
          <w14:textFill>
            <w14:solidFill>
              <w14:schemeClr w14:val="tx1"/>
            </w14:solidFill>
          </w14:textFill>
        </w:rPr>
        <w:t>提出索赔，乙方应在</w:t>
      </w:r>
      <w:r>
        <w:rPr>
          <w:rFonts w:hint="eastAsia" w:hAnsi="宋体" w:cs="宋体"/>
          <w:b w:val="0"/>
          <w:bCs w:val="0"/>
          <w:color w:val="000000" w:themeColor="text1"/>
          <w:sz w:val="21"/>
          <w:szCs w:val="21"/>
          <w:highlight w:val="none"/>
          <w:lang w:val="en-US"/>
          <w14:textFill>
            <w14:solidFill>
              <w14:schemeClr w14:val="tx1"/>
            </w14:solidFill>
          </w14:textFill>
        </w:rPr>
        <w:t>甲</w:t>
      </w:r>
      <w:r>
        <w:rPr>
          <w:rFonts w:hint="eastAsia" w:hAnsi="宋体" w:cs="宋体"/>
          <w:b w:val="0"/>
          <w:bCs w:val="0"/>
          <w:color w:val="000000" w:themeColor="text1"/>
          <w:sz w:val="21"/>
          <w:szCs w:val="21"/>
          <w:highlight w:val="none"/>
          <w14:textFill>
            <w14:solidFill>
              <w14:schemeClr w14:val="tx1"/>
            </w14:solidFill>
          </w14:textFill>
        </w:rPr>
        <w:t>方发出索赔通知后7日内作出答复，并与甲方现场确认货物的质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问题后进行理赔；乙方根据合同约定应承担更换或退货责任的，乙方应立即根据本合同的约定承担免费更换或退货责任。逾期更换或退货，乙方需按</w:t>
      </w:r>
      <w:bookmarkStart w:id="583" w:name="OLE_LINK492"/>
      <w:r>
        <w:rPr>
          <w:rFonts w:hint="eastAsia" w:hAnsi="宋体" w:cs="宋体"/>
          <w:b w:val="0"/>
          <w:bCs w:val="0"/>
          <w:color w:val="000000" w:themeColor="text1"/>
          <w:sz w:val="21"/>
          <w:szCs w:val="21"/>
          <w:highlight w:val="none"/>
          <w:lang w:val="en-US"/>
          <w14:textFill>
            <w14:solidFill>
              <w14:schemeClr w14:val="tx1"/>
            </w14:solidFill>
          </w14:textFill>
        </w:rPr>
        <w:t>合同约定</w:t>
      </w:r>
      <w:bookmarkEnd w:id="583"/>
      <w:r>
        <w:rPr>
          <w:rFonts w:hint="eastAsia" w:hAnsi="宋体" w:cs="宋体"/>
          <w:b w:val="0"/>
          <w:bCs w:val="0"/>
          <w:color w:val="000000" w:themeColor="text1"/>
          <w:sz w:val="21"/>
          <w:szCs w:val="21"/>
          <w:highlight w:val="none"/>
          <w14:textFill>
            <w14:solidFill>
              <w14:schemeClr w14:val="tx1"/>
            </w14:solidFill>
          </w14:textFill>
        </w:rPr>
        <w:t>承担违约责任。</w:t>
      </w:r>
    </w:p>
    <w:p w14:paraId="2D72FACC">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2、如双方对货物的质量问题存在争议的，双方同意在</w:t>
      </w:r>
      <w:r>
        <w:rPr>
          <w:rFonts w:hint="eastAsia" w:hAnsi="宋体" w:cs="宋体"/>
          <w:b w:val="0"/>
          <w:bCs w:val="0"/>
          <w:color w:val="000000" w:themeColor="text1"/>
          <w:sz w:val="21"/>
          <w:szCs w:val="21"/>
          <w:highlight w:val="none"/>
          <w:lang w:val="en-US"/>
          <w14:textFill>
            <w14:solidFill>
              <w14:schemeClr w14:val="tx1"/>
            </w14:solidFill>
          </w14:textFill>
        </w:rPr>
        <w:t>质量</w:t>
      </w:r>
      <w:r>
        <w:rPr>
          <w:rFonts w:hint="eastAsia" w:hAnsi="宋体" w:cs="宋体"/>
          <w:b w:val="0"/>
          <w:bCs w:val="0"/>
          <w:color w:val="000000" w:themeColor="text1"/>
          <w:sz w:val="21"/>
          <w:szCs w:val="21"/>
          <w:highlight w:val="none"/>
          <w14:textFill>
            <w14:solidFill>
              <w14:schemeClr w14:val="tx1"/>
            </w14:solidFill>
          </w14:textFill>
        </w:rPr>
        <w:t>问题发生后7日内提交货物交付地的第三方检验机构进行质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鉴定后确认，鉴定费</w:t>
      </w:r>
      <w:r>
        <w:rPr>
          <w:rFonts w:hint="eastAsia" w:hAnsi="宋体" w:cs="宋体"/>
          <w:b w:val="0"/>
          <w:bCs w:val="0"/>
          <w:color w:val="000000" w:themeColor="text1"/>
          <w:sz w:val="21"/>
          <w:szCs w:val="21"/>
          <w:highlight w:val="none"/>
          <w:lang w:val="en-US"/>
          <w14:textFill>
            <w14:solidFill>
              <w14:schemeClr w14:val="tx1"/>
            </w14:solidFill>
          </w14:textFill>
        </w:rPr>
        <w:t>由</w:t>
      </w:r>
      <w:r>
        <w:rPr>
          <w:rFonts w:hint="eastAsia" w:hAnsi="宋体" w:cs="宋体"/>
          <w:b w:val="0"/>
          <w:bCs w:val="0"/>
          <w:color w:val="000000" w:themeColor="text1"/>
          <w:sz w:val="21"/>
          <w:szCs w:val="21"/>
          <w:highlight w:val="none"/>
          <w14:textFill>
            <w14:solidFill>
              <w14:schemeClr w14:val="tx1"/>
            </w14:solidFill>
          </w14:textFill>
        </w:rPr>
        <w:t>乙方先行垫付，鉴定结果确定后，质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符合合同（含附件）约定的，鉴定费由甲方承担，否则由乙方承担。</w:t>
      </w:r>
    </w:p>
    <w:p w14:paraId="2F0C26B9">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3、如果乙方对甲方提出的异议及索赔负有责任，乙方应按照甲方同意的下列一种或多种方式解决索赔事宜：</w:t>
      </w:r>
    </w:p>
    <w:p w14:paraId="00364D0B">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(1)根据甲方要求予以退货，在甲方发出退货通知后7日内将退货货物运回，返还甲方已支付的全部货款（含合同价及税费），并承担因此产生的全部费用和本合同约定的违约金，以及赔偿因此给甲方造成的损失。</w:t>
      </w:r>
    </w:p>
    <w:p w14:paraId="3E365D90">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(2)根据甲方要求承担货物的更换责任，乙方应</w:t>
      </w:r>
      <w:r>
        <w:rPr>
          <w:rFonts w:hint="eastAsia" w:hAnsi="宋体" w:cs="宋体"/>
          <w:b w:val="0"/>
          <w:bCs w:val="0"/>
          <w:color w:val="000000" w:themeColor="text1"/>
          <w:sz w:val="21"/>
          <w:szCs w:val="21"/>
          <w:highlight w:val="none"/>
          <w:lang w:val="en-US"/>
          <w14:textFill>
            <w14:solidFill>
              <w14:schemeClr w14:val="tx1"/>
            </w14:solidFill>
          </w14:textFill>
        </w:rPr>
        <w:t>于</w:t>
      </w:r>
      <w:r>
        <w:rPr>
          <w:rFonts w:hint="eastAsia" w:hAnsi="宋体" w:cs="宋体"/>
          <w:b w:val="0"/>
          <w:bCs w:val="0"/>
          <w:color w:val="000000" w:themeColor="text1"/>
          <w:sz w:val="21"/>
          <w:szCs w:val="21"/>
          <w:highlight w:val="none"/>
          <w14:textFill>
            <w14:solidFill>
              <w14:schemeClr w14:val="tx1"/>
            </w14:solidFill>
          </w14:textFill>
        </w:rPr>
        <w:t>甲方发出更换通知后7日内更换</w:t>
      </w:r>
      <w:r>
        <w:rPr>
          <w:rFonts w:hint="eastAsia" w:hAnsi="宋体" w:cs="宋体"/>
          <w:b w:val="0"/>
          <w:bCs w:val="0"/>
          <w:color w:val="000000" w:themeColor="text1"/>
          <w:sz w:val="21"/>
          <w:szCs w:val="21"/>
          <w:highlight w:val="none"/>
          <w:lang w:val="en-US"/>
          <w14:textFill>
            <w14:solidFill>
              <w14:schemeClr w14:val="tx1"/>
            </w14:solidFill>
          </w14:textFill>
        </w:rPr>
        <w:t>全</w:t>
      </w:r>
      <w:r>
        <w:rPr>
          <w:rFonts w:hint="eastAsia" w:hAnsi="宋体" w:cs="宋体"/>
          <w:b w:val="0"/>
          <w:bCs w:val="0"/>
          <w:color w:val="000000" w:themeColor="text1"/>
          <w:sz w:val="21"/>
          <w:szCs w:val="21"/>
          <w:highlight w:val="none"/>
          <w14:textFill>
            <w14:solidFill>
              <w14:schemeClr w14:val="tx1"/>
            </w14:solidFill>
          </w14:textFill>
        </w:rPr>
        <w:t>新并符合本合同的规定的货物，乙方应承担因此产生的全部费用并赔偿甲方因此遭受的损失，更换货物的质保期应按本合同的相关规定重新计算。</w:t>
      </w:r>
    </w:p>
    <w:p w14:paraId="46B02A7D">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(3)甲方可根据货物低劣程度、损坏程度以及甲方所遭受损失的数额，要求乙方降低货物的价格，即按销售折扣减少合同价（销售额）。</w:t>
      </w:r>
    </w:p>
    <w:p w14:paraId="6F5AE914">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(4)当甲方损失无法计算时，乙方同意按含税合同价的20%计算赔偿金。</w:t>
      </w:r>
    </w:p>
    <w:p w14:paraId="0DACA525">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(5)如果在甲方发出索赔通知后30天内，乙方未作书面答复，上述索赔应视为已被乙方接受。甲方将启动履约担保支付或从未付货款中扣除索赔金额。如果该等款项不足以补偿索赔金额，甲方有权向乙方提出不足部分的补偿。</w:t>
      </w:r>
    </w:p>
    <w:p w14:paraId="3348401A">
      <w:pPr>
        <w:pStyle w:val="2"/>
        <w:snapToGrid w:val="0"/>
        <w:spacing w:line="360" w:lineRule="auto"/>
        <w:ind w:right="0" w:firstLine="420" w:firstLineChars="200"/>
        <w:jc w:val="left"/>
        <w:rPr>
          <w:rFonts w:hAnsi="宋体" w:cs="宋体"/>
          <w:b w:val="0"/>
          <w:bCs w:val="0"/>
          <w:color w:val="000000" w:themeColor="text1"/>
          <w:sz w:val="21"/>
          <w:szCs w:val="21"/>
          <w:highlight w:val="none"/>
          <w:lang w:val="en-US"/>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4、光伏组件安装时，乙方必须对甲方屋面做好相应的保护措施，避免安装过程中对甲方屋面造成损坏(尤其是屋面的防水层、油漆层)。如不慎造成损坏，乙方必须无条件维修好并承担所需全部费用。若由此造成屋面漏水的，乙方应按照甲方遭受的连带损失统一进行赔偿。</w:t>
      </w:r>
    </w:p>
    <w:p w14:paraId="75D0001B">
      <w:pPr>
        <w:pStyle w:val="2"/>
        <w:snapToGrid w:val="0"/>
        <w:spacing w:line="360" w:lineRule="auto"/>
        <w:ind w:right="0" w:firstLine="420" w:firstLineChars="200"/>
        <w:jc w:val="left"/>
        <w:rPr>
          <w:rFonts w:hAnsi="宋体" w:cs="宋体"/>
          <w:b w:val="0"/>
          <w:bCs w:val="0"/>
          <w:color w:val="000000" w:themeColor="text1"/>
          <w:sz w:val="21"/>
          <w:szCs w:val="21"/>
          <w:highlight w:val="none"/>
          <w:lang w:val="en-US"/>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5、在安装过程中严禁直接踩踏光伏组件（包括边框），如有损坏需无条件进行更换并承担所需全部费用。</w:t>
      </w:r>
    </w:p>
    <w:p w14:paraId="47A103C5">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14:paraId="071A6F11">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第二十条 </w:t>
      </w:r>
      <w:bookmarkStart w:id="584" w:name="OLE_LINK105"/>
      <w:r>
        <w:rPr>
          <w:rFonts w:hint="eastAsia" w:ascii="宋体" w:hAnsi="宋体" w:eastAsia="宋体" w:cs="宋体"/>
          <w:b/>
          <w:color w:val="000000" w:themeColor="text1"/>
          <w:szCs w:val="21"/>
          <w:highlight w:val="none"/>
          <w14:textFill>
            <w14:solidFill>
              <w14:schemeClr w14:val="tx1"/>
            </w14:solidFill>
          </w14:textFill>
        </w:rPr>
        <w:t>违约责任</w:t>
      </w:r>
      <w:bookmarkEnd w:id="584"/>
    </w:p>
    <w:p w14:paraId="1C239221">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未在甲方要求或约定的时间内完成交货（部分交货视为未完成交货），或未按时完成安装、调试并经甲方最终验收合格的，或未在规定的时间内承担相应的更换、退货责任以及其他未按照合同约定时间完成服务内容的，每逾期一日，应按合同总价（含税）的5‰向甲方支付违约金。乙方逾期超过_</w:t>
      </w:r>
      <w:r>
        <w:rPr>
          <w:rFonts w:hint="eastAsia" w:ascii="宋体" w:hAnsi="宋体" w:eastAsia="宋体" w:cs="宋体"/>
          <w:color w:val="000000" w:themeColor="text1"/>
          <w:szCs w:val="21"/>
          <w:highlight w:val="none"/>
          <w:u w:val="single"/>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_日的，甲方可单方解除本合同，无论甲方是否解除本合同，乙方除支付前述逾期违约金外，还应按合同总价（含税）的5%向甲方支付赔偿金。该部分金额不足以弥补甲方损失的，甲方还有权另行追偿。</w:t>
      </w:r>
    </w:p>
    <w:p w14:paraId="1BA9C33F">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所交货物（包括但不限于品种、型号、规格、质量、性能）不符合合同规定的，甲方有权拒收，并要求乙方免费予以更换或退货，同时乙方应向甲方支付该批货款金额（含税）的5%的违约金。若因乙方原因导致乙方无法按照本合同约定供货的，甲方有权单方解除合同，且有权要求乙方支付合同总价（含税）【20%】的违约金。</w:t>
      </w:r>
    </w:p>
    <w:p w14:paraId="5AB417C2">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未按约定履行培训或质保期及售后服务义务的，甲方有权要求限期改正，如逾期仍未改正的，甲方有权另行委托第三方进行培训或售后质保等，由此产生的全部费用及损失由乙方承担；且甲方有权视违约情况给予每次人民币5000元至20000元违约处罚。合同期间连续或累计达3次违反培训或售后质保服务义务的，甲方有权解除合同，且剩余款项无需再支付，同时甲方有权没收质保金，甲方有权没收履约担保。</w:t>
      </w:r>
    </w:p>
    <w:p w14:paraId="4A005F71">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乙方未按约定履行运营维护义务的，甲方有权要求限期改正，逾期仍未改正的，每次人民币5000元至20000元违约处罚。运维期间连续或累计达3次违反运营维护义务的，甲方有权选择解除合同，且剩余款项无需再支付，同时有权没收履约担保。</w:t>
      </w:r>
    </w:p>
    <w:p w14:paraId="0B5A5675">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5、无论是否在质保期内，因货物质量问题发生安全事故或引起其他损失、造成不良后果的，乙方应承担全部责任及损失赔偿。</w:t>
      </w:r>
    </w:p>
    <w:p w14:paraId="23B38944">
      <w:pPr>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乙方不得拖欠第三方任何款项，否则，甲方有权从合同应付款中或启动履约担保直接支付给第三方。若造成甲方参加诉讼，相关费用（包括但不限于诉讼费、财产保全责任保险费/担保费、律师费、鉴定费、公证费、交通住宿费等全部）及损失全部由乙方承担，甲方有权在合同价款中直接扣除或启动履约担保予以支付。如导致甲方对外承担责任的，甲方有权解除本合同，并有权要求乙方支付甲方对外承担费用，同时并应按甲方对外承担费用2倍赔偿甲方损失，如不足以赔偿的，应按甲方实际损失赔偿。</w:t>
      </w:r>
    </w:p>
    <w:p w14:paraId="39A5C979">
      <w:pPr>
        <w:spacing w:line="360" w:lineRule="auto"/>
        <w:ind w:firstLine="371" w:firstLineChars="177"/>
        <w:rPr>
          <w:rFonts w:ascii="宋体" w:hAnsi="宋体" w:eastAsia="宋体" w:cs="宋体"/>
          <w:color w:val="000000" w:themeColor="text1"/>
          <w:szCs w:val="21"/>
          <w:highlight w:val="none"/>
          <w:lang w:eastAsia="zh-Han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eastAsia="zh-Hans"/>
          <w14:textFill>
            <w14:solidFill>
              <w14:schemeClr w14:val="tx1"/>
            </w14:solidFill>
          </w14:textFill>
        </w:rPr>
        <w:t>在本合同履行期限内，乙方未经甲方书面同意即将本合同约定项下的全部项目或部分项目转包给第三方的，</w:t>
      </w:r>
      <w:r>
        <w:rPr>
          <w:rFonts w:hint="eastAsia" w:ascii="宋体" w:hAnsi="宋体" w:eastAsia="宋体" w:cs="宋体"/>
          <w:color w:val="000000" w:themeColor="text1"/>
          <w:szCs w:val="21"/>
          <w:highlight w:val="none"/>
          <w14:textFill>
            <w14:solidFill>
              <w14:schemeClr w14:val="tx1"/>
            </w14:solidFill>
          </w14:textFill>
        </w:rPr>
        <w:t>甲方</w:t>
      </w:r>
      <w:r>
        <w:rPr>
          <w:rFonts w:hint="eastAsia" w:ascii="宋体" w:hAnsi="宋体" w:eastAsia="宋体" w:cs="宋体"/>
          <w:color w:val="000000" w:themeColor="text1"/>
          <w:szCs w:val="21"/>
          <w:highlight w:val="none"/>
          <w:lang w:eastAsia="zh-Hans"/>
          <w14:textFill>
            <w14:solidFill>
              <w14:schemeClr w14:val="tx1"/>
            </w14:solidFill>
          </w14:textFill>
        </w:rPr>
        <w:t>有权单方解除本合同</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Hans"/>
          <w14:textFill>
            <w14:solidFill>
              <w14:schemeClr w14:val="tx1"/>
            </w14:solidFill>
          </w14:textFill>
        </w:rPr>
        <w:t>且</w:t>
      </w:r>
      <w:r>
        <w:rPr>
          <w:rFonts w:hint="eastAsia" w:ascii="宋体" w:hAnsi="宋体" w:eastAsia="宋体" w:cs="宋体"/>
          <w:color w:val="000000" w:themeColor="text1"/>
          <w:szCs w:val="21"/>
          <w:highlight w:val="none"/>
          <w14:textFill>
            <w14:solidFill>
              <w14:schemeClr w14:val="tx1"/>
            </w14:solidFill>
          </w14:textFill>
        </w:rPr>
        <w:t>甲方</w:t>
      </w:r>
      <w:r>
        <w:rPr>
          <w:rFonts w:hint="eastAsia" w:ascii="宋体" w:hAnsi="宋体" w:eastAsia="宋体" w:cs="宋体"/>
          <w:color w:val="000000" w:themeColor="text1"/>
          <w:szCs w:val="21"/>
          <w:highlight w:val="none"/>
          <w:lang w:eastAsia="zh-Hans"/>
          <w14:textFill>
            <w14:solidFill>
              <w14:schemeClr w14:val="tx1"/>
            </w14:solidFill>
          </w14:textFill>
        </w:rPr>
        <w:t>有权要求乙方</w:t>
      </w:r>
      <w:r>
        <w:rPr>
          <w:rFonts w:hint="eastAsia" w:ascii="宋体" w:hAnsi="宋体" w:eastAsia="宋体" w:cs="宋体"/>
          <w:color w:val="000000" w:themeColor="text1"/>
          <w:szCs w:val="21"/>
          <w:highlight w:val="none"/>
          <w14:textFill>
            <w14:solidFill>
              <w14:schemeClr w14:val="tx1"/>
            </w14:solidFill>
          </w14:textFill>
        </w:rPr>
        <w:t>合同总价（含税）</w:t>
      </w:r>
      <w:r>
        <w:rPr>
          <w:rFonts w:hint="eastAsia" w:ascii="宋体" w:hAnsi="宋体" w:eastAsia="宋体" w:cs="宋体"/>
          <w:color w:val="000000" w:themeColor="text1"/>
          <w:szCs w:val="21"/>
          <w:highlight w:val="none"/>
          <w:lang w:eastAsia="zh-Hans"/>
          <w14:textFill>
            <w14:solidFill>
              <w14:schemeClr w14:val="tx1"/>
            </w14:solidFill>
          </w14:textFill>
        </w:rPr>
        <w:t>的【20】%承担违约责任。</w:t>
      </w:r>
    </w:p>
    <w:p w14:paraId="282F03A5">
      <w:pPr>
        <w:spacing w:line="360" w:lineRule="auto"/>
        <w:ind w:firstLine="371" w:firstLineChars="177"/>
        <w:rPr>
          <w:rFonts w:ascii="宋体" w:hAnsi="宋体" w:eastAsia="宋体" w:cs="宋体"/>
          <w:color w:val="000000" w:themeColor="text1"/>
          <w:szCs w:val="21"/>
          <w:highlight w:val="none"/>
          <w:lang w:eastAsia="zh-Han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r>
        <w:rPr>
          <w:rFonts w:hint="eastAsia" w:ascii="宋体" w:hAnsi="宋体" w:eastAsia="宋体" w:cs="宋体"/>
          <w:color w:val="000000" w:themeColor="text1"/>
          <w:szCs w:val="21"/>
          <w:highlight w:val="none"/>
          <w:lang w:eastAsia="zh-Hans"/>
          <w14:textFill>
            <w14:solidFill>
              <w14:schemeClr w14:val="tx1"/>
            </w14:solidFill>
          </w14:textFill>
        </w:rPr>
        <w:t>乙方违反本合同任意一项约定，均视为乙方严重违约。甲方有权单方解除本合同、</w:t>
      </w:r>
      <w:r>
        <w:rPr>
          <w:rFonts w:hint="eastAsia" w:ascii="宋体" w:hAnsi="宋体" w:eastAsia="宋体" w:cs="宋体"/>
          <w:color w:val="000000" w:themeColor="text1"/>
          <w:szCs w:val="21"/>
          <w:highlight w:val="none"/>
          <w14:textFill>
            <w14:solidFill>
              <w14:schemeClr w14:val="tx1"/>
            </w14:solidFill>
          </w14:textFill>
        </w:rPr>
        <w:t>甲方有权没收</w:t>
      </w:r>
      <w:r>
        <w:rPr>
          <w:rFonts w:hint="eastAsia" w:ascii="宋体" w:hAnsi="宋体" w:eastAsia="宋体" w:cs="宋体"/>
          <w:color w:val="000000" w:themeColor="text1"/>
          <w:szCs w:val="21"/>
          <w:highlight w:val="none"/>
          <w:lang w:eastAsia="zh-Hans"/>
          <w14:textFill>
            <w14:solidFill>
              <w14:schemeClr w14:val="tx1"/>
            </w14:solidFill>
          </w14:textFill>
        </w:rPr>
        <w:t>履约</w:t>
      </w:r>
      <w:r>
        <w:rPr>
          <w:rFonts w:hint="eastAsia" w:ascii="宋体" w:hAnsi="宋体" w:eastAsia="宋体" w:cs="宋体"/>
          <w:color w:val="000000" w:themeColor="text1"/>
          <w:szCs w:val="21"/>
          <w:highlight w:val="none"/>
          <w14:textFill>
            <w14:solidFill>
              <w14:schemeClr w14:val="tx1"/>
            </w14:solidFill>
          </w14:textFill>
        </w:rPr>
        <w:t>担保</w:t>
      </w:r>
      <w:r>
        <w:rPr>
          <w:rFonts w:hint="eastAsia" w:ascii="宋体" w:hAnsi="宋体" w:eastAsia="宋体" w:cs="宋体"/>
          <w:color w:val="000000" w:themeColor="text1"/>
          <w:szCs w:val="21"/>
          <w:highlight w:val="none"/>
          <w:lang w:eastAsia="zh-Hans"/>
          <w14:textFill>
            <w14:solidFill>
              <w14:schemeClr w14:val="tx1"/>
            </w14:solidFill>
          </w14:textFill>
        </w:rPr>
        <w:t>且要求乙方按</w:t>
      </w:r>
      <w:r>
        <w:rPr>
          <w:rFonts w:hint="eastAsia" w:ascii="宋体" w:hAnsi="宋体" w:eastAsia="宋体" w:cs="宋体"/>
          <w:color w:val="000000" w:themeColor="text1"/>
          <w:szCs w:val="21"/>
          <w:highlight w:val="none"/>
          <w14:textFill>
            <w14:solidFill>
              <w14:schemeClr w14:val="tx1"/>
            </w14:solidFill>
          </w14:textFill>
        </w:rPr>
        <w:t>合同总价（含税）</w:t>
      </w:r>
      <w:r>
        <w:rPr>
          <w:rFonts w:hint="eastAsia" w:ascii="宋体" w:hAnsi="宋体" w:eastAsia="宋体" w:cs="宋体"/>
          <w:color w:val="000000" w:themeColor="text1"/>
          <w:szCs w:val="21"/>
          <w:highlight w:val="none"/>
          <w:lang w:eastAsia="zh-Hans"/>
          <w14:textFill>
            <w14:solidFill>
              <w14:schemeClr w14:val="tx1"/>
            </w14:solidFill>
          </w14:textFill>
        </w:rPr>
        <w:t>的【20】%承担违约责任。</w:t>
      </w:r>
    </w:p>
    <w:p w14:paraId="2EAB9EDE">
      <w:pPr>
        <w:spacing w:line="360" w:lineRule="auto"/>
        <w:ind w:firstLine="371" w:firstLineChars="177"/>
        <w:rPr>
          <w:rFonts w:ascii="宋体" w:hAnsi="宋体" w:eastAsia="宋体" w:cs="宋体"/>
          <w:color w:val="000000" w:themeColor="text1"/>
          <w:szCs w:val="21"/>
          <w:highlight w:val="none"/>
          <w:lang w:eastAsia="zh-Han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eastAsia="zh-Hans"/>
          <w14:textFill>
            <w14:solidFill>
              <w14:schemeClr w14:val="tx1"/>
            </w14:solidFill>
          </w14:textFill>
        </w:rPr>
        <w:t>因乙方违反本合同约定导致甲方权益受损的，甲方为维护自身权益所支付的所有费用均由乙方承担，包括但不限于甲方为此支付的</w:t>
      </w:r>
      <w:r>
        <w:rPr>
          <w:rFonts w:hint="eastAsia" w:ascii="宋体" w:hAnsi="宋体" w:eastAsia="宋体" w:cs="宋体"/>
          <w:color w:val="000000" w:themeColor="text1"/>
          <w:szCs w:val="21"/>
          <w:highlight w:val="none"/>
          <w14:textFill>
            <w14:solidFill>
              <w14:schemeClr w14:val="tx1"/>
            </w14:solidFill>
          </w14:textFill>
        </w:rPr>
        <w:t>诉讼费、律师费、鉴定费、公证费、交通住宿费、财产保全责任保险费、调查取证费等全部</w:t>
      </w:r>
      <w:r>
        <w:rPr>
          <w:rFonts w:hint="eastAsia" w:ascii="宋体" w:hAnsi="宋体" w:eastAsia="宋体" w:cs="宋体"/>
          <w:color w:val="000000" w:themeColor="text1"/>
          <w:szCs w:val="21"/>
          <w:highlight w:val="none"/>
          <w:lang w:eastAsia="zh-Hans"/>
          <w14:textFill>
            <w14:solidFill>
              <w14:schemeClr w14:val="tx1"/>
            </w14:solidFill>
          </w14:textFill>
        </w:rPr>
        <w:t>费用。</w:t>
      </w:r>
    </w:p>
    <w:p w14:paraId="08FA80E5">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14:paraId="0D2F874B">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w:t>
      </w:r>
      <w:bookmarkStart w:id="585" w:name="OLE_LINK432"/>
      <w:r>
        <w:rPr>
          <w:rFonts w:hint="eastAsia" w:ascii="宋体" w:hAnsi="宋体" w:eastAsia="宋体" w:cs="宋体"/>
          <w:b/>
          <w:color w:val="000000" w:themeColor="text1"/>
          <w:szCs w:val="21"/>
          <w:highlight w:val="none"/>
          <w14:textFill>
            <w14:solidFill>
              <w14:schemeClr w14:val="tx1"/>
            </w14:solidFill>
          </w14:textFill>
        </w:rPr>
        <w:t>二十</w:t>
      </w:r>
      <w:bookmarkEnd w:id="585"/>
      <w:r>
        <w:rPr>
          <w:rFonts w:hint="eastAsia" w:ascii="宋体" w:hAnsi="宋体" w:eastAsia="宋体" w:cs="宋体"/>
          <w:b/>
          <w:color w:val="000000" w:themeColor="text1"/>
          <w:szCs w:val="21"/>
          <w:highlight w:val="none"/>
          <w14:textFill>
            <w14:solidFill>
              <w14:schemeClr w14:val="tx1"/>
            </w14:solidFill>
          </w14:textFill>
        </w:rPr>
        <w:t xml:space="preserve">一条 </w:t>
      </w:r>
      <w:bookmarkStart w:id="586" w:name="OLE_LINK106"/>
      <w:r>
        <w:rPr>
          <w:rFonts w:hint="eastAsia" w:ascii="宋体" w:hAnsi="宋体" w:eastAsia="宋体" w:cs="宋体"/>
          <w:b/>
          <w:color w:val="000000" w:themeColor="text1"/>
          <w:szCs w:val="21"/>
          <w:highlight w:val="none"/>
          <w14:textFill>
            <w14:solidFill>
              <w14:schemeClr w14:val="tx1"/>
            </w14:solidFill>
          </w14:textFill>
        </w:rPr>
        <w:t>争议解决</w:t>
      </w:r>
      <w:bookmarkEnd w:id="586"/>
    </w:p>
    <w:p w14:paraId="73660144">
      <w:pPr>
        <w:pStyle w:val="2"/>
        <w:snapToGrid w:val="0"/>
        <w:spacing w:line="360" w:lineRule="auto"/>
        <w:ind w:right="0" w:firstLine="420" w:firstLineChars="20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1、</w:t>
      </w:r>
      <w:r>
        <w:rPr>
          <w:rFonts w:hint="eastAsia" w:hAnsi="宋体" w:cs="宋体"/>
          <w:b w:val="0"/>
          <w:bCs w:val="0"/>
          <w:color w:val="000000" w:themeColor="text1"/>
          <w:sz w:val="21"/>
          <w:szCs w:val="21"/>
          <w:highlight w:val="none"/>
          <w14:textFill>
            <w14:solidFill>
              <w14:schemeClr w14:val="tx1"/>
            </w14:solidFill>
          </w14:textFill>
        </w:rPr>
        <w:t>双方在履约中发生争执和分歧，双方应通过友好协商解决，如不能通过友好协商解决的，任何一方均可向甲方住所地有管辖权的人民法院提起诉讼解决。</w:t>
      </w:r>
    </w:p>
    <w:p w14:paraId="2B4B704F">
      <w:pPr>
        <w:pStyle w:val="2"/>
        <w:snapToGrid w:val="0"/>
        <w:spacing w:line="360" w:lineRule="auto"/>
        <w:ind w:right="0" w:firstLine="420" w:firstLineChars="200"/>
        <w:jc w:val="left"/>
        <w:rPr>
          <w:rFonts w:hAnsi="宋体" w:cs="宋体"/>
          <w:b w:val="0"/>
          <w:bCs w:val="0"/>
          <w:color w:val="000000" w:themeColor="text1"/>
          <w:sz w:val="21"/>
          <w:szCs w:val="21"/>
          <w:highlight w:val="none"/>
          <w:lang w:val="en-US"/>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2、因一方违约，导致另一方为解决纠纷而产生的所有费用（包括但不限于律师费、诉讼费、财产保全费、财产保全担保费、执行费、公证费、鉴定费、差旅费等）均由违约一方承担。</w:t>
      </w:r>
    </w:p>
    <w:p w14:paraId="0820620A">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14:paraId="5D5DDD37">
      <w:pPr>
        <w:pStyle w:val="2"/>
        <w:snapToGrid w:val="0"/>
        <w:spacing w:line="360" w:lineRule="auto"/>
        <w:ind w:right="0" w:firstLine="422" w:firstLineChars="200"/>
        <w:jc w:val="both"/>
        <w:rPr>
          <w:rFonts w:hAnsi="宋体" w:cs="宋体"/>
          <w:color w:val="000000" w:themeColor="text1"/>
          <w:sz w:val="21"/>
          <w:szCs w:val="21"/>
          <w:highlight w:val="none"/>
          <w:lang w:val="en-US"/>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w:t>
      </w:r>
      <w:r>
        <w:rPr>
          <w:rFonts w:hint="eastAsia" w:hAnsi="宋体" w:cs="宋体"/>
          <w:color w:val="000000" w:themeColor="text1"/>
          <w:sz w:val="21"/>
          <w:szCs w:val="21"/>
          <w:highlight w:val="none"/>
          <w:lang w:val="en-US"/>
          <w14:textFill>
            <w14:solidFill>
              <w14:schemeClr w14:val="tx1"/>
            </w14:solidFill>
          </w14:textFill>
        </w:rPr>
        <w:t>二十二</w:t>
      </w:r>
      <w:r>
        <w:rPr>
          <w:rFonts w:hint="eastAsia" w:hAnsi="宋体" w:cs="宋体"/>
          <w:color w:val="000000" w:themeColor="text1"/>
          <w:sz w:val="21"/>
          <w:szCs w:val="21"/>
          <w:highlight w:val="none"/>
          <w14:textFill>
            <w14:solidFill>
              <w14:schemeClr w14:val="tx1"/>
            </w14:solidFill>
          </w14:textFill>
        </w:rPr>
        <w:t>条</w:t>
      </w:r>
      <w:r>
        <w:rPr>
          <w:rFonts w:hint="eastAsia" w:hAnsi="宋体" w:cs="宋体"/>
          <w:color w:val="000000" w:themeColor="text1"/>
          <w:sz w:val="21"/>
          <w:szCs w:val="21"/>
          <w:highlight w:val="none"/>
          <w:lang w:val="en-US"/>
          <w14:textFill>
            <w14:solidFill>
              <w14:schemeClr w14:val="tx1"/>
            </w14:solidFill>
          </w14:textFill>
        </w:rPr>
        <w:t xml:space="preserve"> </w:t>
      </w:r>
      <w:bookmarkStart w:id="587" w:name="OLE_LINK111"/>
      <w:r>
        <w:rPr>
          <w:rFonts w:hint="eastAsia" w:hAnsi="宋体" w:cs="宋体"/>
          <w:color w:val="000000" w:themeColor="text1"/>
          <w:sz w:val="21"/>
          <w:szCs w:val="21"/>
          <w:highlight w:val="none"/>
          <w:lang w:val="en-US"/>
          <w14:textFill>
            <w14:solidFill>
              <w14:schemeClr w14:val="tx1"/>
            </w14:solidFill>
          </w14:textFill>
        </w:rPr>
        <w:t>送达</w:t>
      </w:r>
      <w:bookmarkEnd w:id="587"/>
    </w:p>
    <w:p w14:paraId="74FC8109">
      <w:pPr>
        <w:pStyle w:val="2"/>
        <w:snapToGrid w:val="0"/>
        <w:spacing w:line="360" w:lineRule="auto"/>
        <w:ind w:right="0" w:firstLine="420" w:firstLineChars="200"/>
        <w:jc w:val="both"/>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 xml:space="preserve">1、甲乙双方就本合同中涉及各类通知、协议等文件以及就合同发生纠纷时相关文件和法律文书送达时的送达地址及法律后果作如下约定： </w:t>
      </w:r>
    </w:p>
    <w:p w14:paraId="15EF325B">
      <w:pPr>
        <w:pStyle w:val="2"/>
        <w:snapToGrid w:val="0"/>
        <w:spacing w:line="360" w:lineRule="auto"/>
        <w:ind w:right="0" w:firstLine="420" w:firstLineChars="200"/>
        <w:jc w:val="both"/>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 xml:space="preserve">甲方确认其有效的送达地址为【】；联系人：【】；联系电话【】。 </w:t>
      </w:r>
    </w:p>
    <w:p w14:paraId="146B78BF">
      <w:pPr>
        <w:pStyle w:val="2"/>
        <w:snapToGrid w:val="0"/>
        <w:spacing w:line="360" w:lineRule="auto"/>
        <w:ind w:right="0" w:firstLine="420" w:firstLineChars="200"/>
        <w:jc w:val="both"/>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乙方确认其有效的送达地址为【 】；联系人：【】；联系电话【】。</w:t>
      </w:r>
    </w:p>
    <w:p w14:paraId="7A03E6E3">
      <w:pPr>
        <w:pStyle w:val="2"/>
        <w:snapToGrid w:val="0"/>
        <w:spacing w:line="360" w:lineRule="auto"/>
        <w:ind w:right="0" w:firstLine="420" w:firstLineChars="200"/>
        <w:jc w:val="both"/>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02BD98D1">
      <w:pPr>
        <w:pStyle w:val="2"/>
        <w:snapToGrid w:val="0"/>
        <w:spacing w:line="360" w:lineRule="auto"/>
        <w:ind w:right="0" w:firstLine="420" w:firstLineChars="200"/>
        <w:jc w:val="both"/>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3E9C3143">
      <w:pPr>
        <w:pStyle w:val="2"/>
        <w:snapToGrid w:val="0"/>
        <w:spacing w:line="360" w:lineRule="auto"/>
        <w:ind w:right="0" w:firstLine="420" w:firstLineChars="200"/>
        <w:jc w:val="both"/>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3、甲方的送达地址需要变更时应当履行及时通知的义务，应提前【</w:t>
      </w:r>
      <w:r>
        <w:rPr>
          <w:rFonts w:hint="eastAsia" w:hAnsi="宋体" w:cs="宋体"/>
          <w:b w:val="0"/>
          <w:bCs w:val="0"/>
          <w:color w:val="000000" w:themeColor="text1"/>
          <w:sz w:val="21"/>
          <w:szCs w:val="21"/>
          <w:highlight w:val="none"/>
          <w:lang w:val="en-US"/>
          <w14:textFill>
            <w14:solidFill>
              <w14:schemeClr w14:val="tx1"/>
            </w14:solidFill>
          </w14:textFill>
        </w:rPr>
        <w:t>3</w:t>
      </w:r>
      <w:r>
        <w:rPr>
          <w:rFonts w:hint="eastAsia" w:hAnsi="宋体" w:cs="宋体"/>
          <w:b w:val="0"/>
          <w:bCs w:val="0"/>
          <w:color w:val="000000" w:themeColor="text1"/>
          <w:sz w:val="21"/>
          <w:szCs w:val="21"/>
          <w:highlight w:val="none"/>
          <w14:textFill>
            <w14:solidFill>
              <w14:schemeClr w14:val="tx1"/>
            </w14:solidFill>
          </w14:textFill>
        </w:rPr>
        <w:t xml:space="preserve"> 】个工作日通过【 </w:t>
      </w:r>
      <w:r>
        <w:rPr>
          <w:rFonts w:hint="eastAsia" w:hAnsi="宋体" w:cs="宋体"/>
          <w:b w:val="0"/>
          <w:bCs w:val="0"/>
          <w:color w:val="000000" w:themeColor="text1"/>
          <w:sz w:val="21"/>
          <w:szCs w:val="21"/>
          <w:highlight w:val="none"/>
          <w:lang w:val="en-US"/>
          <w14:textFill>
            <w14:solidFill>
              <w14:schemeClr w14:val="tx1"/>
            </w14:solidFill>
          </w14:textFill>
        </w:rPr>
        <w:t>电话</w:t>
      </w:r>
      <w:r>
        <w:rPr>
          <w:rFonts w:hint="eastAsia" w:hAnsi="宋体" w:cs="宋体"/>
          <w:b w:val="0"/>
          <w:bCs w:val="0"/>
          <w:color w:val="000000" w:themeColor="text1"/>
          <w:sz w:val="21"/>
          <w:szCs w:val="21"/>
          <w:highlight w:val="none"/>
          <w14:textFill>
            <w14:solidFill>
              <w14:schemeClr w14:val="tx1"/>
            </w14:solidFill>
          </w14:textFill>
        </w:rPr>
        <w:t>】 的方式向乙方进行通知；乙方的送达地址需要变更时应当履行及时通知的义务，应提前【</w:t>
      </w:r>
      <w:r>
        <w:rPr>
          <w:rFonts w:hint="eastAsia" w:hAnsi="宋体" w:cs="宋体"/>
          <w:b w:val="0"/>
          <w:bCs w:val="0"/>
          <w:color w:val="000000" w:themeColor="text1"/>
          <w:sz w:val="21"/>
          <w:szCs w:val="21"/>
          <w:highlight w:val="none"/>
          <w:lang w:val="en-US"/>
          <w14:textFill>
            <w14:solidFill>
              <w14:schemeClr w14:val="tx1"/>
            </w14:solidFill>
          </w14:textFill>
        </w:rPr>
        <w:t>3</w:t>
      </w:r>
      <w:r>
        <w:rPr>
          <w:rFonts w:hint="eastAsia" w:hAnsi="宋体" w:cs="宋体"/>
          <w:b w:val="0"/>
          <w:bCs w:val="0"/>
          <w:color w:val="000000" w:themeColor="text1"/>
          <w:sz w:val="21"/>
          <w:szCs w:val="21"/>
          <w:highlight w:val="none"/>
          <w14:textFill>
            <w14:solidFill>
              <w14:schemeClr w14:val="tx1"/>
            </w14:solidFill>
          </w14:textFill>
        </w:rPr>
        <w:t xml:space="preserve"> 】个工作日通过【 </w:t>
      </w:r>
      <w:r>
        <w:rPr>
          <w:rFonts w:hint="eastAsia" w:hAnsi="宋体" w:cs="宋体"/>
          <w:b w:val="0"/>
          <w:bCs w:val="0"/>
          <w:color w:val="000000" w:themeColor="text1"/>
          <w:sz w:val="21"/>
          <w:szCs w:val="21"/>
          <w:highlight w:val="none"/>
          <w:lang w:val="en-US"/>
          <w14:textFill>
            <w14:solidFill>
              <w14:schemeClr w14:val="tx1"/>
            </w14:solidFill>
          </w14:textFill>
        </w:rPr>
        <w:t>电话</w:t>
      </w:r>
      <w:r>
        <w:rPr>
          <w:rFonts w:hint="eastAsia" w:hAnsi="宋体" w:cs="宋体"/>
          <w:b w:val="0"/>
          <w:bCs w:val="0"/>
          <w:color w:val="000000" w:themeColor="text1"/>
          <w:sz w:val="21"/>
          <w:szCs w:val="21"/>
          <w:highlight w:val="none"/>
          <w14:textFill>
            <w14:solidFill>
              <w14:schemeClr w14:val="tx1"/>
            </w14:solidFill>
          </w14:textFill>
        </w:rPr>
        <w:t>】的方式向甲方进行通知。</w:t>
      </w:r>
    </w:p>
    <w:p w14:paraId="091ABF0C">
      <w:pPr>
        <w:pStyle w:val="2"/>
        <w:snapToGrid w:val="0"/>
        <w:spacing w:line="360" w:lineRule="auto"/>
        <w:ind w:right="0" w:firstLine="420" w:firstLineChars="200"/>
        <w:jc w:val="both"/>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 xml:space="preserve"> 4、本条款具有独立法律效力，不因合同其他条款的无效而无效。</w:t>
      </w:r>
    </w:p>
    <w:p w14:paraId="621FE275">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14:paraId="7C3F9E0F">
      <w:pPr>
        <w:adjustRightInd w:val="0"/>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第二十三条 其他</w:t>
      </w:r>
    </w:p>
    <w:p w14:paraId="2F9F9372">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1、在本合同履行过程中，乙方不得消极怠工或拒不履行合同义务（包括但不限于交货、指导安装、安装、指导调试、调试、培训、技术支持、售后、现场配合等），否则将视为乙方违约，除按</w:t>
      </w:r>
      <w:bookmarkStart w:id="588" w:name="OLE_LINK271"/>
      <w:r>
        <w:rPr>
          <w:rFonts w:hint="eastAsia" w:ascii="宋体" w:hAnsi="宋体" w:eastAsia="宋体" w:cs="宋体"/>
          <w:color w:val="000000" w:themeColor="text1"/>
          <w:szCs w:val="21"/>
          <w:highlight w:val="none"/>
          <w14:textFill>
            <w14:solidFill>
              <w14:schemeClr w14:val="tx1"/>
            </w14:solidFill>
          </w14:textFill>
        </w:rPr>
        <w:t>本合同</w:t>
      </w:r>
      <w:bookmarkEnd w:id="588"/>
      <w:r>
        <w:rPr>
          <w:rFonts w:hint="eastAsia" w:ascii="宋体" w:hAnsi="宋体" w:eastAsia="宋体" w:cs="宋体"/>
          <w:color w:val="000000" w:themeColor="text1"/>
          <w:szCs w:val="21"/>
          <w:highlight w:val="none"/>
          <w14:textFill>
            <w14:solidFill>
              <w14:schemeClr w14:val="tx1"/>
            </w14:solidFill>
          </w14:textFill>
        </w:rPr>
        <w:t>约定追究违约责任外，甲方仍有权就违约事宜向乙方提出改正的通知，如在甲方限期内乙方仍拒不改正的，甲方有权单方解除合同，甲方有权要求其按合同总价（含税）的20%支付违约金，并有权依法委托有资质的第三方继续履行本合同义务，由此造成的一切损失（包括但不限于再行采购的费用、委托第三人继续履行时超出本合同费用部分等）由乙方全部承担。</w:t>
      </w:r>
    </w:p>
    <w:p w14:paraId="17E848C5">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在合同期内，乙方在进入甲方场地前应签订《安全生产管理协议》。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453C6490">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3、合同履约过程中，若发现</w:t>
      </w:r>
      <w:r>
        <w:rPr>
          <w:rFonts w:hint="eastAsia" w:ascii="宋体" w:hAnsi="宋体" w:eastAsia="宋体" w:cs="宋体"/>
          <w:color w:val="000000" w:themeColor="text1"/>
          <w:szCs w:val="21"/>
          <w:highlight w:val="none"/>
          <w:lang w:val="zh-CN"/>
          <w14:textFill>
            <w14:solidFill>
              <w14:schemeClr w14:val="tx1"/>
            </w14:solidFill>
          </w14:textFill>
        </w:rPr>
        <w:t>同一种货物存在有选择性的报价或不是固定的报价的，或存在</w:t>
      </w:r>
      <w:r>
        <w:rPr>
          <w:rFonts w:hint="eastAsia" w:ascii="宋体" w:hAnsi="宋体" w:eastAsia="宋体" w:cs="宋体"/>
          <w:color w:val="000000" w:themeColor="text1"/>
          <w:szCs w:val="21"/>
          <w:highlight w:val="none"/>
          <w14:textFill>
            <w14:solidFill>
              <w14:schemeClr w14:val="tx1"/>
            </w14:solidFill>
          </w14:textFill>
        </w:rPr>
        <w:t>多种理解方式的情况发生时，按最有利甲方的方式解释。</w:t>
      </w:r>
    </w:p>
    <w:p w14:paraId="38EACE97">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在合同履行期间，若发现乙方投标文件更改或删除了招标文件用户需求书招标设备清单内的项目或数量等情况时，并不能免除乙方按照图纸、标准与规范实施合同的任何责任，并将视为该项费用已包括在合同价款内，甲方不另行向乙方支付费用。</w:t>
      </w:r>
    </w:p>
    <w:p w14:paraId="23044E60">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双方确认合同签订后开展本项目工作存在的一切风险(包括项目取消、项目延期或停工、项目调整、项目范围及内容调整、服务范围及内容调整、总投资额调整等)，项目实施过程中因发生上述风险时甲方有权单方解除或变更合同，不视为甲方违约，乙方承诺不因上述风险的发生而向甲方提出申请费用(或补偿费用、赔偿等)。若因上述风险的发生导致本合同解除或终止时，以合同解除或终止之日为标准先由双方协商退货处理，无法协商一致的按乙方实际已安装的组件进行结算，甲方无需对其他未安装或未交付货物及服务折算支付或补偿/赔偿。</w:t>
      </w:r>
    </w:p>
    <w:p w14:paraId="773F7258">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6、本合同壹式</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份，甲方执</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份，乙方执</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份，招标代理机构</w:t>
      </w:r>
      <w:r>
        <w:rPr>
          <w:rFonts w:hint="eastAsia" w:ascii="宋体" w:hAnsi="宋体" w:eastAsia="宋体" w:cs="宋体"/>
          <w:color w:val="000000" w:themeColor="text1"/>
          <w:szCs w:val="21"/>
          <w:highlight w:val="none"/>
          <w:u w:val="single"/>
          <w14:textFill>
            <w14:solidFill>
              <w14:schemeClr w14:val="tx1"/>
            </w14:solidFill>
          </w14:textFill>
        </w:rPr>
        <w:t xml:space="preserve"> 壹 </w:t>
      </w:r>
      <w:r>
        <w:rPr>
          <w:rFonts w:hint="eastAsia" w:ascii="宋体" w:hAnsi="宋体" w:eastAsia="宋体" w:cs="宋体"/>
          <w:color w:val="000000" w:themeColor="text1"/>
          <w:szCs w:val="21"/>
          <w:highlight w:val="none"/>
          <w14:textFill>
            <w14:solidFill>
              <w14:schemeClr w14:val="tx1"/>
            </w14:solidFill>
          </w14:textFill>
        </w:rPr>
        <w:t>份，均具有同等法律效力。</w:t>
      </w:r>
    </w:p>
    <w:p w14:paraId="58128005">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7、本合同自甲乙双方法定代表人或负责人签字并盖章之日起生效，至全部合同义务履行完毕时终止。</w:t>
      </w:r>
    </w:p>
    <w:p w14:paraId="58C628F1">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本合同所有附件及本项目的招标文件、答疑文件、投标文件、补充通知及相关承诺、协议等均为本合同有效组成部分，与本合同同具法律效力，该等文件与本合同正文约定不一致的，以有利于甲方的约定为准。</w:t>
      </w:r>
    </w:p>
    <w:p w14:paraId="451D7952">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甲方依据本合同条款对乙方处以违约金、赔偿金、扣款、其他应付费用等款项的，乙方应在收到违约（赔偿、扣款或其他应付费用等款项）处理通知书之日起的五个工作日内书面授权乙方相关工作人员将款项交至甲方指定账户（须备注本项目名称），甲方向乙方提供收据。如乙方未按上述要求交纳违约金、赔偿、扣款等款项的，甲方不予审批乙方当期的请款。</w:t>
      </w:r>
    </w:p>
    <w:p w14:paraId="16C41B7A">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开户名称：</w:t>
      </w:r>
    </w:p>
    <w:p w14:paraId="7C5EE53E">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p w14:paraId="5F8D7821">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银行账号：</w:t>
      </w:r>
    </w:p>
    <w:p w14:paraId="51466686">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bookmarkStart w:id="589" w:name="OLE_LINK272"/>
      <w:r>
        <w:rPr>
          <w:rFonts w:hint="eastAsia" w:ascii="宋体" w:hAnsi="宋体" w:eastAsia="宋体" w:cs="宋体"/>
          <w:color w:val="000000" w:themeColor="text1"/>
          <w:szCs w:val="21"/>
          <w:highlight w:val="none"/>
          <w14:textFill>
            <w14:solidFill>
              <w14:schemeClr w14:val="tx1"/>
            </w14:solidFill>
          </w14:textFill>
        </w:rPr>
        <w:t>10、本合同未尽事宜，由双方协商处理。</w:t>
      </w:r>
    </w:p>
    <w:bookmarkEnd w:id="589"/>
    <w:p w14:paraId="14D80909">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合同附件：</w:t>
      </w:r>
    </w:p>
    <w:p w14:paraId="3EDF5664">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1.投标报价表</w:t>
      </w:r>
    </w:p>
    <w:p w14:paraId="1902160B">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2.用户需求书</w:t>
      </w:r>
    </w:p>
    <w:p w14:paraId="00146410">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3.中标通知书</w:t>
      </w:r>
    </w:p>
    <w:p w14:paraId="294F78E7">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bookmarkStart w:id="590" w:name="OLE_LINK312"/>
      <w:r>
        <w:rPr>
          <w:rFonts w:hint="eastAsia" w:ascii="宋体" w:hAnsi="宋体" w:eastAsia="宋体" w:cs="宋体"/>
          <w:color w:val="000000" w:themeColor="text1"/>
          <w:szCs w:val="21"/>
          <w:highlight w:val="none"/>
          <w14:textFill>
            <w14:solidFill>
              <w14:schemeClr w14:val="tx1"/>
            </w14:solidFill>
          </w14:textFill>
        </w:rPr>
        <w:t>安全生产管理协议</w:t>
      </w:r>
      <w:bookmarkEnd w:id="590"/>
    </w:p>
    <w:p w14:paraId="68DE0D82">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bookmarkStart w:id="591" w:name="OLE_LINK113"/>
      <w:r>
        <w:rPr>
          <w:rFonts w:hint="eastAsia" w:ascii="宋体" w:hAnsi="宋体" w:eastAsia="宋体" w:cs="宋体"/>
          <w:color w:val="000000" w:themeColor="text1"/>
          <w:szCs w:val="21"/>
          <w:highlight w:val="none"/>
          <w14:textFill>
            <w14:solidFill>
              <w14:schemeClr w14:val="tx1"/>
            </w14:solidFill>
          </w14:textFill>
        </w:rPr>
        <w:t>廉洁协议书</w:t>
      </w:r>
      <w:bookmarkEnd w:id="591"/>
    </w:p>
    <w:p w14:paraId="29B928AB">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6.履约担保</w:t>
      </w:r>
    </w:p>
    <w:p w14:paraId="3F59E5F0">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bookmarkStart w:id="592" w:name="OLE_LINK302"/>
      <w:r>
        <w:rPr>
          <w:rFonts w:hint="eastAsia" w:ascii="宋体" w:hAnsi="宋体" w:eastAsia="宋体" w:cs="宋体"/>
          <w:color w:val="000000" w:themeColor="text1"/>
          <w:szCs w:val="21"/>
          <w:highlight w:val="none"/>
          <w14:textFill>
            <w14:solidFill>
              <w14:schemeClr w14:val="tx1"/>
            </w14:solidFill>
          </w14:textFill>
        </w:rPr>
        <w:t>质量保修保函</w:t>
      </w:r>
      <w:bookmarkEnd w:id="592"/>
    </w:p>
    <w:p w14:paraId="76D6FC67">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bookmarkStart w:id="593" w:name="OLE_LINK273"/>
      <w:r>
        <w:rPr>
          <w:rFonts w:hint="eastAsia" w:ascii="宋体" w:hAnsi="宋体" w:eastAsia="宋体" w:cs="宋体"/>
          <w:color w:val="000000" w:themeColor="text1"/>
          <w:szCs w:val="21"/>
          <w:highlight w:val="none"/>
          <w14:textFill>
            <w14:solidFill>
              <w14:schemeClr w14:val="tx1"/>
            </w14:solidFill>
          </w14:textFill>
        </w:rPr>
        <w:t>8.招标文件（另附）</w:t>
      </w:r>
    </w:p>
    <w:p w14:paraId="309E01EA">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9.投标文件（另附）</w:t>
      </w:r>
    </w:p>
    <w:bookmarkEnd w:id="593"/>
    <w:p w14:paraId="38BC49A5">
      <w:pPr>
        <w:adjustRightInd w:val="0"/>
        <w:spacing w:line="360" w:lineRule="auto"/>
        <w:ind w:firstLine="373" w:firstLineChars="177"/>
        <w:rPr>
          <w:rFonts w:ascii="宋体" w:hAnsi="宋体" w:eastAsia="宋体" w:cs="宋体"/>
          <w:color w:val="000000" w:themeColor="text1"/>
          <w:szCs w:val="21"/>
          <w:highlight w:val="none"/>
          <w14:textFill>
            <w14:solidFill>
              <w14:schemeClr w14:val="tx1"/>
            </w14:solidFill>
          </w14:textFill>
        </w:rPr>
      </w:pPr>
      <w:bookmarkStart w:id="594" w:name="OLE_LINK274"/>
      <w:r>
        <w:rPr>
          <w:rFonts w:hint="eastAsia" w:ascii="宋体" w:hAnsi="宋体" w:eastAsia="宋体" w:cs="Times New Roman"/>
          <w:b/>
          <w:bCs/>
          <w:color w:val="000000" w:themeColor="text1"/>
          <w:kern w:val="0"/>
          <w:szCs w:val="21"/>
          <w:highlight w:val="none"/>
          <w14:textFill>
            <w14:solidFill>
              <w14:schemeClr w14:val="tx1"/>
            </w14:solidFill>
          </w14:textFill>
        </w:rPr>
        <w:t>(以下无正文)</w:t>
      </w:r>
    </w:p>
    <w:p w14:paraId="2A621E67">
      <w:pPr>
        <w:adjustRightInd w:val="0"/>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p>
    <w:p w14:paraId="113518A2">
      <w:pPr>
        <w:snapToGrid w:val="0"/>
        <w:spacing w:line="560" w:lineRule="exact"/>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br w:type="page"/>
      </w:r>
    </w:p>
    <w:p w14:paraId="3CFEAFB5">
      <w:pPr>
        <w:pStyle w:val="2"/>
        <w:snapToGrid w:val="0"/>
        <w:spacing w:line="560" w:lineRule="exact"/>
        <w:ind w:right="0"/>
        <w:jc w:val="left"/>
        <w:rPr>
          <w:rFonts w:hAnsi="宋体" w:cs="宋体"/>
          <w:b w:val="0"/>
          <w:bCs w:val="0"/>
          <w:color w:val="000000" w:themeColor="text1"/>
          <w:sz w:val="21"/>
          <w:szCs w:val="21"/>
          <w:highlight w:val="none"/>
          <w:lang w:val="en-US"/>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甲方：</w:t>
      </w:r>
      <w:r>
        <w:rPr>
          <w:rFonts w:hint="eastAsia" w:hAnsi="宋体" w:cs="宋体"/>
          <w:b w:val="0"/>
          <w:bCs w:val="0"/>
          <w:color w:val="000000" w:themeColor="text1"/>
          <w:sz w:val="21"/>
          <w:szCs w:val="21"/>
          <w:highlight w:val="none"/>
          <w:lang w:val="en-US"/>
          <w14:textFill>
            <w14:solidFill>
              <w14:schemeClr w14:val="tx1"/>
            </w14:solidFill>
          </w14:textFill>
        </w:rPr>
        <w:t xml:space="preserve">     </w:t>
      </w:r>
    </w:p>
    <w:p w14:paraId="11A776B8">
      <w:pPr>
        <w:pStyle w:val="2"/>
        <w:snapToGrid w:val="0"/>
        <w:spacing w:line="560" w:lineRule="exact"/>
        <w:ind w:right="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法定代表（或负责）人：</w:t>
      </w:r>
      <w:r>
        <w:rPr>
          <w:rFonts w:hint="eastAsia" w:hAnsi="宋体" w:cs="宋体"/>
          <w:b w:val="0"/>
          <w:bCs w:val="0"/>
          <w:color w:val="000000" w:themeColor="text1"/>
          <w:sz w:val="21"/>
          <w:szCs w:val="21"/>
          <w:highlight w:val="none"/>
          <w:lang w:val="en-US"/>
          <w14:textFill>
            <w14:solidFill>
              <w14:schemeClr w14:val="tx1"/>
            </w14:solidFill>
          </w14:textFill>
        </w:rPr>
        <w:t xml:space="preserve">                   </w:t>
      </w:r>
    </w:p>
    <w:p w14:paraId="60821AA7">
      <w:pPr>
        <w:pStyle w:val="2"/>
        <w:snapToGrid w:val="0"/>
        <w:spacing w:line="560" w:lineRule="exact"/>
        <w:ind w:right="0"/>
        <w:jc w:val="left"/>
        <w:rPr>
          <w:rFonts w:hAnsi="宋体" w:cs="宋体"/>
          <w:color w:val="000000" w:themeColor="text1"/>
          <w:sz w:val="21"/>
          <w:szCs w:val="21"/>
          <w:highlight w:val="none"/>
          <w:lang w:val="en-US"/>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 xml:space="preserve">                     </w:t>
      </w:r>
    </w:p>
    <w:p w14:paraId="7A456024">
      <w:pPr>
        <w:snapToGrid w:val="0"/>
        <w:spacing w:line="560" w:lineRule="exact"/>
        <w:rPr>
          <w:rFonts w:ascii="宋体" w:hAnsi="宋体" w:eastAsia="宋体" w:cs="宋体"/>
          <w:color w:val="000000" w:themeColor="text1"/>
          <w:szCs w:val="21"/>
          <w:highlight w:val="none"/>
          <w14:textFill>
            <w14:solidFill>
              <w14:schemeClr w14:val="tx1"/>
            </w14:solidFill>
          </w14:textFill>
        </w:rPr>
      </w:pPr>
    </w:p>
    <w:p w14:paraId="52863F5C">
      <w:pPr>
        <w:rPr>
          <w:rFonts w:ascii="宋体" w:hAnsi="宋体" w:eastAsia="宋体" w:cs="宋体"/>
          <w:color w:val="000000" w:themeColor="text1"/>
          <w:szCs w:val="21"/>
          <w:highlight w:val="none"/>
          <w14:textFill>
            <w14:solidFill>
              <w14:schemeClr w14:val="tx1"/>
            </w14:solidFill>
          </w14:textFill>
        </w:rPr>
      </w:pPr>
    </w:p>
    <w:p w14:paraId="0339970D">
      <w:pPr>
        <w:rPr>
          <w:rFonts w:ascii="宋体" w:hAnsi="宋体" w:eastAsia="宋体" w:cs="宋体"/>
          <w:color w:val="000000" w:themeColor="text1"/>
          <w:szCs w:val="21"/>
          <w:highlight w:val="none"/>
          <w14:textFill>
            <w14:solidFill>
              <w14:schemeClr w14:val="tx1"/>
            </w14:solidFill>
          </w14:textFill>
        </w:rPr>
      </w:pPr>
    </w:p>
    <w:p w14:paraId="53646D0B">
      <w:pPr>
        <w:pStyle w:val="2"/>
        <w:snapToGrid w:val="0"/>
        <w:spacing w:line="560" w:lineRule="exact"/>
        <w:ind w:right="0"/>
        <w:jc w:val="left"/>
        <w:rPr>
          <w:rFonts w:hAnsi="宋体" w:cs="宋体"/>
          <w:color w:val="000000" w:themeColor="text1"/>
          <w:sz w:val="21"/>
          <w:szCs w:val="21"/>
          <w:highlight w:val="none"/>
          <w14:textFill>
            <w14:solidFill>
              <w14:schemeClr w14:val="tx1"/>
            </w14:solidFill>
          </w14:textFill>
        </w:rPr>
      </w:pPr>
    </w:p>
    <w:p w14:paraId="4EB815FD">
      <w:pPr>
        <w:pStyle w:val="2"/>
        <w:snapToGrid w:val="0"/>
        <w:spacing w:line="560" w:lineRule="exact"/>
        <w:ind w:right="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乙</w:t>
      </w:r>
      <w:r>
        <w:rPr>
          <w:rFonts w:hint="eastAsia" w:hAnsi="宋体" w:cs="宋体"/>
          <w:b w:val="0"/>
          <w:bCs w:val="0"/>
          <w:color w:val="000000" w:themeColor="text1"/>
          <w:sz w:val="21"/>
          <w:szCs w:val="21"/>
          <w:highlight w:val="none"/>
          <w14:textFill>
            <w14:solidFill>
              <w14:schemeClr w14:val="tx1"/>
            </w14:solidFill>
          </w14:textFill>
        </w:rPr>
        <w:t>方：</w:t>
      </w:r>
    </w:p>
    <w:p w14:paraId="07307756">
      <w:pPr>
        <w:pStyle w:val="2"/>
        <w:snapToGrid w:val="0"/>
        <w:spacing w:line="560" w:lineRule="exact"/>
        <w:ind w:right="0"/>
        <w:jc w:val="left"/>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法定代表（或负责）人：</w:t>
      </w:r>
    </w:p>
    <w:p w14:paraId="695ECB59">
      <w:pPr>
        <w:pStyle w:val="2"/>
        <w:snapToGrid w:val="0"/>
        <w:spacing w:line="560" w:lineRule="exact"/>
        <w:ind w:right="0"/>
        <w:jc w:val="left"/>
        <w:rPr>
          <w:rFonts w:hAnsi="宋体" w:cs="宋体"/>
          <w:b w:val="0"/>
          <w:bCs w:val="0"/>
          <w:color w:val="000000" w:themeColor="text1"/>
          <w:sz w:val="21"/>
          <w:szCs w:val="21"/>
          <w:highlight w:val="none"/>
          <w14:textFill>
            <w14:solidFill>
              <w14:schemeClr w14:val="tx1"/>
            </w14:solidFill>
          </w14:textFill>
        </w:rPr>
      </w:pPr>
    </w:p>
    <w:p w14:paraId="74ABFC81">
      <w:pPr>
        <w:pStyle w:val="2"/>
        <w:snapToGrid w:val="0"/>
        <w:spacing w:line="560" w:lineRule="exact"/>
        <w:ind w:right="0"/>
        <w:jc w:val="left"/>
        <w:rPr>
          <w:rFonts w:hAnsi="宋体" w:cs="宋体"/>
          <w:b w:val="0"/>
          <w:bCs w:val="0"/>
          <w:color w:val="000000" w:themeColor="text1"/>
          <w:sz w:val="21"/>
          <w:szCs w:val="21"/>
          <w:highlight w:val="none"/>
          <w14:textFill>
            <w14:solidFill>
              <w14:schemeClr w14:val="tx1"/>
            </w14:solidFill>
          </w14:textFill>
        </w:rPr>
      </w:pPr>
    </w:p>
    <w:p w14:paraId="0502E5A4">
      <w:pPr>
        <w:rPr>
          <w:rFonts w:ascii="宋体" w:hAnsi="宋体" w:eastAsia="宋体" w:cs="宋体"/>
          <w:color w:val="000000" w:themeColor="text1"/>
          <w:szCs w:val="21"/>
          <w:highlight w:val="none"/>
          <w14:textFill>
            <w14:solidFill>
              <w14:schemeClr w14:val="tx1"/>
            </w14:solidFill>
          </w14:textFill>
        </w:rPr>
      </w:pPr>
    </w:p>
    <w:p w14:paraId="5B3072F5">
      <w:pPr>
        <w:pStyle w:val="2"/>
        <w:snapToGrid w:val="0"/>
        <w:spacing w:line="560" w:lineRule="exact"/>
        <w:ind w:right="0"/>
        <w:jc w:val="left"/>
        <w:rPr>
          <w:rFonts w:hAnsi="宋体" w:cs="宋体"/>
          <w:b w:val="0"/>
          <w:bCs w:val="0"/>
          <w:color w:val="000000" w:themeColor="text1"/>
          <w:sz w:val="21"/>
          <w:szCs w:val="21"/>
          <w:highlight w:val="none"/>
          <w:lang w:val="en-US"/>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签约日期：</w:t>
      </w:r>
      <w:r>
        <w:rPr>
          <w:rFonts w:hint="eastAsia" w:hAnsi="宋体" w:cs="宋体"/>
          <w:b w:val="0"/>
          <w:bCs w:val="0"/>
          <w:color w:val="000000" w:themeColor="text1"/>
          <w:sz w:val="21"/>
          <w:szCs w:val="21"/>
          <w:highlight w:val="none"/>
          <w:lang w:val="en-US"/>
          <w14:textFill>
            <w14:solidFill>
              <w14:schemeClr w14:val="tx1"/>
            </w14:solidFill>
          </w14:textFill>
        </w:rPr>
        <w:t xml:space="preserve">  年    月     日       </w:t>
      </w:r>
    </w:p>
    <w:p w14:paraId="6CB70B8D">
      <w:pPr>
        <w:pStyle w:val="2"/>
        <w:snapToGrid w:val="0"/>
        <w:spacing w:line="560" w:lineRule="exact"/>
        <w:ind w:right="0"/>
        <w:jc w:val="left"/>
        <w:rPr>
          <w:rFonts w:hAnsi="宋体" w:cs="宋体"/>
          <w:b w:val="0"/>
          <w:bCs w:val="0"/>
          <w:color w:val="000000" w:themeColor="text1"/>
          <w:sz w:val="21"/>
          <w:szCs w:val="21"/>
          <w:highlight w:val="none"/>
          <w:lang w:val="en-US"/>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签约地点：</w:t>
      </w:r>
      <w:r>
        <w:rPr>
          <w:rFonts w:hint="eastAsia" w:hAnsi="宋体" w:cs="宋体"/>
          <w:b w:val="0"/>
          <w:bCs w:val="0"/>
          <w:color w:val="000000" w:themeColor="text1"/>
          <w:sz w:val="21"/>
          <w:szCs w:val="21"/>
          <w:highlight w:val="none"/>
          <w:lang w:val="en-US"/>
          <w14:textFill>
            <w14:solidFill>
              <w14:schemeClr w14:val="tx1"/>
            </w14:solidFill>
          </w14:textFill>
        </w:rPr>
        <w:t>广东省东莞市</w:t>
      </w:r>
    </w:p>
    <w:p w14:paraId="4543054D">
      <w:pPr>
        <w:rPr>
          <w:rFonts w:ascii="宋体" w:hAnsi="宋体" w:eastAsia="宋体" w:cs="宋体"/>
          <w:color w:val="000000" w:themeColor="text1"/>
          <w:szCs w:val="21"/>
          <w:highlight w:val="none"/>
          <w14:textFill>
            <w14:solidFill>
              <w14:schemeClr w14:val="tx1"/>
            </w14:solidFill>
          </w14:textFill>
        </w:rPr>
      </w:pPr>
      <w:bookmarkStart w:id="595" w:name="OLE_LINK275"/>
      <w:r>
        <w:rPr>
          <w:rFonts w:hint="eastAsia" w:ascii="宋体" w:hAnsi="宋体" w:eastAsia="宋体" w:cs="宋体"/>
          <w:color w:val="000000" w:themeColor="text1"/>
          <w:szCs w:val="21"/>
          <w:highlight w:val="none"/>
          <w14:textFill>
            <w14:solidFill>
              <w14:schemeClr w14:val="tx1"/>
            </w14:solidFill>
          </w14:textFill>
        </w:rPr>
        <w:br w:type="page"/>
      </w:r>
    </w:p>
    <w:p w14:paraId="372F3629">
      <w:pPr>
        <w:wordWrap w:val="0"/>
        <w:spacing w:line="360" w:lineRule="auto"/>
        <w:rPr>
          <w:rFonts w:ascii="宋体" w:hAnsi="宋体" w:eastAsia="宋体" w:cs="宋体"/>
          <w:b/>
          <w:bCs/>
          <w:color w:val="000000" w:themeColor="text1"/>
          <w:szCs w:val="21"/>
          <w:highlight w:val="none"/>
          <w14:textFill>
            <w14:solidFill>
              <w14:schemeClr w14:val="tx1"/>
            </w14:solidFill>
          </w14:textFill>
        </w:rPr>
      </w:pPr>
      <w:bookmarkStart w:id="596" w:name="OLE_LINK276"/>
      <w:r>
        <w:rPr>
          <w:rFonts w:hint="eastAsia" w:ascii="宋体" w:hAnsi="宋体" w:eastAsia="宋体" w:cs="宋体"/>
          <w:b/>
          <w:bCs/>
          <w:color w:val="000000" w:themeColor="text1"/>
          <w:szCs w:val="21"/>
          <w:highlight w:val="none"/>
          <w14:textFill>
            <w14:solidFill>
              <w14:schemeClr w14:val="tx1"/>
            </w14:solidFill>
          </w14:textFill>
        </w:rPr>
        <w:t>附件4：安全生产管理协议</w:t>
      </w:r>
    </w:p>
    <w:p w14:paraId="293D9EE8">
      <w:pPr>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bookmarkStart w:id="597" w:name="OLE_LINK434"/>
      <w:r>
        <w:rPr>
          <w:rFonts w:hint="eastAsia" w:ascii="宋体" w:hAnsi="宋体" w:eastAsia="宋体" w:cs="宋体"/>
          <w:b/>
          <w:bCs/>
          <w:color w:val="000000" w:themeColor="text1"/>
          <w:sz w:val="36"/>
          <w:szCs w:val="36"/>
          <w:highlight w:val="none"/>
          <w14:textFill>
            <w14:solidFill>
              <w14:schemeClr w14:val="tx1"/>
            </w14:solidFill>
          </w14:textFill>
        </w:rPr>
        <w:t>安全生产管理协议</w:t>
      </w:r>
    </w:p>
    <w:bookmarkEnd w:id="597"/>
    <w:p w14:paraId="3C060638">
      <w:pPr>
        <w:spacing w:line="360" w:lineRule="auto"/>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E296750">
      <w:pPr>
        <w:pStyle w:val="32"/>
        <w:shd w:val="clear" w:color="auto" w:fill="FFFFFF"/>
        <w:spacing w:line="360" w:lineRule="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乙方：</w:t>
      </w:r>
      <w:r>
        <w:rPr>
          <w:rFonts w:hint="eastAsia" w:ascii="宋体" w:hAnsi="宋体" w:cs="宋体"/>
          <w:color w:val="000000" w:themeColor="text1"/>
          <w:highlight w:val="none"/>
          <w:u w:val="single"/>
          <w14:textFill>
            <w14:solidFill>
              <w14:schemeClr w14:val="tx1"/>
            </w14:solidFill>
          </w14:textFill>
        </w:rPr>
        <w:t xml:space="preserve">                             </w:t>
      </w:r>
    </w:p>
    <w:p w14:paraId="256D4127">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14:paraId="6B694DE1">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bookmarkStart w:id="598" w:name="OLE_LINK428"/>
      <w:r>
        <w:rPr>
          <w:rFonts w:hint="eastAsia" w:ascii="宋体" w:hAnsi="宋体" w:eastAsia="宋体" w:cs="宋体"/>
          <w:color w:val="000000" w:themeColor="text1"/>
          <w:szCs w:val="21"/>
          <w:highlight w:val="none"/>
          <w14:textFill>
            <w14:solidFill>
              <w14:schemeClr w14:val="tx1"/>
            </w14:solidFill>
          </w14:textFill>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w:t>
      </w:r>
    </w:p>
    <w:bookmarkEnd w:id="598"/>
    <w:p w14:paraId="41DDB357">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7135DB28">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3、乙方使用被派遣劳动者的，应当将被派遣劳动者纳入本单位从业人员统一管理，对被派遣劳动者进行岗位安全操作规程和安全操作技能的教育和培训。</w:t>
      </w:r>
    </w:p>
    <w:p w14:paraId="3A258378">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bookmarkStart w:id="599" w:name="OLE_LINK429"/>
      <w:r>
        <w:rPr>
          <w:rFonts w:hint="eastAsia" w:ascii="宋体" w:hAnsi="宋体" w:eastAsia="宋体" w:cs="宋体"/>
          <w:color w:val="000000" w:themeColor="text1"/>
          <w:szCs w:val="21"/>
          <w:highlight w:val="none"/>
          <w14:textFill>
            <w14:solidFill>
              <w14:schemeClr w14:val="tx1"/>
            </w14:solidFill>
          </w14:textFill>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4C3168D6">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5、乙方应当教育和督促从业人员严格执行本单位的安全生产规章制度和安全操作规程；并向从业人员如实告知作业场所和工作岗位存在的危险因素、防范措施以及事故应急措施。</w:t>
      </w:r>
    </w:p>
    <w:bookmarkEnd w:id="599"/>
    <w:p w14:paraId="1E8FB635">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6、乙方应严格遵守国家、地方政府有关安全生产及劳动保护的法律法规、标准、规定，贯彻执行甲方的各项安全管理规章制度。</w:t>
      </w:r>
    </w:p>
    <w:p w14:paraId="0A4DC847">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7、乙方依法参加工伤保险，为从业人员缴纳保险费，并应当为从事危险作业的人员办理意外伤害保险。</w:t>
      </w:r>
    </w:p>
    <w:p w14:paraId="65090809">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26861C9C">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02045043">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14:paraId="7A87C7AB">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解除合同，并要求乙方清退出场。</w:t>
      </w:r>
    </w:p>
    <w:p w14:paraId="4603E734">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1EC99F04">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13、在施工过程中，需要进行动土、动火、登高、吊装、断路、进入限制性空间等危险性较高的作业时，乙方的施工负责人、专职或兼职安全员必须现场确认，确保安全后，方可开始施工。</w:t>
      </w:r>
    </w:p>
    <w:p w14:paraId="37E63039">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14、因乙方原因，造成乙方损失，由乙方自负，给甲方造成财产损失和人员伤害，乙方要负全部责任，并全额赔偿甲方。</w:t>
      </w:r>
    </w:p>
    <w:p w14:paraId="14D4D765">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15、非因甲方原因，造成乙方损失的，甲方不承担任何责任，由乙方自行承担全部责任。</w:t>
      </w:r>
    </w:p>
    <w:p w14:paraId="44580B9E">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16、乙方应严格遵守法律法规以及甲方的安全管理要求，并接受甲方的安全生产工作协调和监督，积极消除安全隐患。安全管理的基本要求包括但不限于以下条款：</w:t>
      </w:r>
    </w:p>
    <w:p w14:paraId="00C282A5">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①禁火区内严禁吸烟、动火。有火灾危险的作业区域，乙方必须配置足够的灭火设施。</w:t>
      </w:r>
    </w:p>
    <w:p w14:paraId="411AAA0A">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②焊接、气割作业时两瓶距离必须达到5M及以上，气瓶距可能产生火花的电器、设备和其它火源的间距必须达到10M及以上。</w:t>
      </w:r>
    </w:p>
    <w:p w14:paraId="36FA2105">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③严禁在厂内道路、消防通道内搭建临时建筑或堆放物资。</w:t>
      </w:r>
    </w:p>
    <w:p w14:paraId="34D18486">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④施工场所的电动工具、电焊机等须有漏电保护器和相应的安全防护装置。</w:t>
      </w:r>
    </w:p>
    <w:p w14:paraId="64D5DBFF">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⑤施工现场及居住室、办公室内的用电设施必须符合要求，严禁电线乱接、乱拉，刀闸和开关无盖，在电器设施上堆放物品。</w:t>
      </w:r>
    </w:p>
    <w:p w14:paraId="7B65C53C">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⑥防雷、防静电设施及用电设施要有良好接地。</w:t>
      </w:r>
    </w:p>
    <w:p w14:paraId="0A4C9BD1">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⑦施工现场的危险区域，如临边、深坑、土方堆填区等，必须设置围栏和危险标志，夜间要设信号灯。</w:t>
      </w:r>
    </w:p>
    <w:p w14:paraId="38024EB5">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4B924EEB">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46EA6D0E">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2A668A34">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17、乙方必须接受甲方的检查与监督，并应主动配合，做好安全工作，凡有违反上述协议的即视为乙方违约，甲方有权视情况从工程结算款/服务价款中扣除（1000-2000）元/次作为违约金。</w:t>
      </w:r>
    </w:p>
    <w:p w14:paraId="3AD0B7BF">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18、乙方对施工过程中潜在的安全风险不明确的，不可盲目施工，否则，造成的不良后果由乙方独自承担。</w:t>
      </w:r>
    </w:p>
    <w:p w14:paraId="7425DF78">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19、本协议一式</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份，甲方执</w:t>
      </w:r>
      <w:bookmarkStart w:id="600" w:name="OLE_LINK431"/>
      <w:r>
        <w:rPr>
          <w:rFonts w:hint="eastAsia" w:ascii="宋体" w:hAnsi="宋体" w:eastAsia="宋体" w:cs="宋体"/>
          <w:color w:val="000000" w:themeColor="text1"/>
          <w:szCs w:val="21"/>
          <w:highlight w:val="none"/>
          <w:u w:val="single"/>
          <w14:textFill>
            <w14:solidFill>
              <w14:schemeClr w14:val="tx1"/>
            </w14:solidFill>
          </w14:textFill>
        </w:rPr>
        <w:t xml:space="preserve">   </w:t>
      </w:r>
      <w:bookmarkEnd w:id="600"/>
      <w:r>
        <w:rPr>
          <w:rFonts w:hint="eastAsia" w:ascii="宋体" w:hAnsi="宋体" w:eastAsia="宋体" w:cs="宋体"/>
          <w:color w:val="000000" w:themeColor="text1"/>
          <w:szCs w:val="21"/>
          <w:highlight w:val="none"/>
          <w14:textFill>
            <w14:solidFill>
              <w14:schemeClr w14:val="tx1"/>
            </w14:solidFill>
          </w14:textFill>
        </w:rPr>
        <w:t>份，乙方执</w:t>
      </w:r>
      <w:bookmarkStart w:id="601" w:name="OLE_LINK430"/>
      <w:r>
        <w:rPr>
          <w:rFonts w:hint="eastAsia" w:ascii="宋体" w:hAnsi="宋体" w:eastAsia="宋体" w:cs="宋体"/>
          <w:color w:val="000000" w:themeColor="text1"/>
          <w:szCs w:val="21"/>
          <w:highlight w:val="none"/>
          <w:u w:val="single"/>
          <w14:textFill>
            <w14:solidFill>
              <w14:schemeClr w14:val="tx1"/>
            </w14:solidFill>
          </w14:textFill>
        </w:rPr>
        <w:t xml:space="preserve">   </w:t>
      </w:r>
      <w:bookmarkEnd w:id="601"/>
      <w:r>
        <w:rPr>
          <w:rFonts w:hint="eastAsia" w:ascii="宋体" w:hAnsi="宋体" w:eastAsia="宋体" w:cs="宋体"/>
          <w:color w:val="000000" w:themeColor="text1"/>
          <w:szCs w:val="21"/>
          <w:highlight w:val="none"/>
          <w14:textFill>
            <w14:solidFill>
              <w14:schemeClr w14:val="tx1"/>
            </w14:solidFill>
          </w14:textFill>
        </w:rPr>
        <w:t>份，自双方法定代表人或负责人签字后生效。</w:t>
      </w:r>
    </w:p>
    <w:p w14:paraId="6BFAEA90">
      <w:pPr>
        <w:spacing w:line="360" w:lineRule="auto"/>
        <w:rPr>
          <w:rFonts w:ascii="宋体" w:hAnsi="宋体" w:eastAsia="宋体" w:cs="宋体"/>
          <w:color w:val="000000" w:themeColor="text1"/>
          <w:szCs w:val="21"/>
          <w:highlight w:val="none"/>
          <w14:textFill>
            <w14:solidFill>
              <w14:schemeClr w14:val="tx1"/>
            </w14:solidFill>
          </w14:textFill>
        </w:rPr>
      </w:pPr>
    </w:p>
    <w:p w14:paraId="14058CC7">
      <w:pPr>
        <w:spacing w:line="360" w:lineRule="auto"/>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乙方声明：</w:t>
      </w:r>
    </w:p>
    <w:p w14:paraId="33F66883">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乙方已认真阅读协议内容，对协议条款、</w:t>
      </w:r>
      <w:r>
        <w:rPr>
          <w:rFonts w:hint="eastAsia" w:ascii="宋体" w:hAnsi="宋体" w:eastAsia="宋体" w:cs="宋体"/>
          <w:color w:val="000000" w:themeColor="text1"/>
          <w:szCs w:val="21"/>
          <w:highlight w:val="none"/>
          <w:u w:val="single"/>
          <w14:textFill>
            <w14:solidFill>
              <w14:schemeClr w14:val="tx1"/>
            </w14:solidFill>
          </w14:textFill>
        </w:rPr>
        <w:t>东莞市水务集团科技发展有限公司</w:t>
      </w:r>
      <w:r>
        <w:rPr>
          <w:rFonts w:hint="eastAsia" w:ascii="宋体" w:hAnsi="宋体" w:eastAsia="宋体" w:cs="宋体"/>
          <w:color w:val="000000" w:themeColor="text1"/>
          <w:szCs w:val="21"/>
          <w:highlight w:val="none"/>
          <w14:textFill>
            <w14:solidFill>
              <w14:schemeClr w14:val="tx1"/>
            </w14:solidFill>
          </w14:textFill>
        </w:rPr>
        <w:t>的安全管理要求、安全风险充分理解，并自愿承担因违约造成的一切后果。</w:t>
      </w:r>
    </w:p>
    <w:p w14:paraId="0F14489A">
      <w:pPr>
        <w:spacing w:line="360" w:lineRule="auto"/>
        <w:rPr>
          <w:rFonts w:ascii="宋体" w:hAnsi="宋体" w:eastAsia="宋体" w:cs="宋体"/>
          <w:color w:val="000000" w:themeColor="text1"/>
          <w:szCs w:val="21"/>
          <w:highlight w:val="none"/>
          <w14:textFill>
            <w14:solidFill>
              <w14:schemeClr w14:val="tx1"/>
            </w14:solidFill>
          </w14:textFill>
        </w:rPr>
      </w:pPr>
    </w:p>
    <w:p w14:paraId="1831FBB6">
      <w:pPr>
        <w:spacing w:line="360" w:lineRule="auto"/>
        <w:ind w:firstLine="424" w:firstLineChars="201"/>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 xml:space="preserve">  </w:t>
      </w:r>
    </w:p>
    <w:p w14:paraId="50923EB2">
      <w:pPr>
        <w:pStyle w:val="2"/>
        <w:spacing w:line="360" w:lineRule="auto"/>
        <w:rPr>
          <w:rFonts w:hAnsi="宋体" w:cs="宋体"/>
          <w:color w:val="000000" w:themeColor="text1"/>
          <w:sz w:val="21"/>
          <w:szCs w:val="21"/>
          <w:highlight w:val="none"/>
          <w14:textFill>
            <w14:solidFill>
              <w14:schemeClr w14:val="tx1"/>
            </w14:solidFill>
          </w14:textFill>
        </w:rPr>
      </w:pPr>
    </w:p>
    <w:p w14:paraId="157C1ABE">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甲方（盖章）：                                   乙方（盖章）：</w:t>
      </w:r>
    </w:p>
    <w:p w14:paraId="551AA9F6">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p>
    <w:p w14:paraId="7AF73262">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法定代表（或负责人）：                           法定代表（或负责人）：</w:t>
      </w:r>
    </w:p>
    <w:p w14:paraId="7854C8A4">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p>
    <w:p w14:paraId="67A24345">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签订日期：    年  月  日</w:t>
      </w:r>
    </w:p>
    <w:p w14:paraId="56FBAC78">
      <w:pPr>
        <w:spacing w:line="360" w:lineRule="auto"/>
        <w:rPr>
          <w:color w:val="000000" w:themeColor="text1"/>
          <w:szCs w:val="21"/>
          <w:highlight w:val="none"/>
          <w14:textFill>
            <w14:solidFill>
              <w14:schemeClr w14:val="tx1"/>
            </w14:solidFill>
          </w14:textFill>
        </w:rPr>
      </w:pPr>
    </w:p>
    <w:p w14:paraId="101461D8">
      <w:pPr>
        <w:wordWrap w:val="0"/>
        <w:spacing w:line="360" w:lineRule="auto"/>
        <w:rPr>
          <w:rFonts w:ascii="宋体" w:hAnsi="宋体" w:eastAsia="宋体" w:cs="宋体"/>
          <w:b/>
          <w:bCs/>
          <w:color w:val="000000" w:themeColor="text1"/>
          <w:szCs w:val="21"/>
          <w:highlight w:val="none"/>
          <w14:textFill>
            <w14:solidFill>
              <w14:schemeClr w14:val="tx1"/>
            </w14:solidFill>
          </w14:textFill>
        </w:rPr>
      </w:pPr>
    </w:p>
    <w:p w14:paraId="78FA64AC">
      <w:pPr>
        <w:wordWrap w:val="0"/>
        <w:spacing w:line="360" w:lineRule="auto"/>
        <w:rPr>
          <w:rFonts w:ascii="宋体" w:hAnsi="宋体" w:eastAsia="宋体" w:cs="宋体"/>
          <w:b/>
          <w:bCs/>
          <w:color w:val="000000" w:themeColor="text1"/>
          <w:szCs w:val="21"/>
          <w:highlight w:val="none"/>
          <w14:textFill>
            <w14:solidFill>
              <w14:schemeClr w14:val="tx1"/>
            </w14:solidFill>
          </w14:textFill>
        </w:rPr>
      </w:pPr>
    </w:p>
    <w:p w14:paraId="38F50615">
      <w:pPr>
        <w:rPr>
          <w:rFonts w:ascii="宋体" w:hAnsi="宋体" w:eastAsia="宋体" w:cs="宋体"/>
          <w:b/>
          <w:bCs/>
          <w:color w:val="000000" w:themeColor="text1"/>
          <w:szCs w:val="21"/>
          <w:highlight w:val="none"/>
          <w14:textFill>
            <w14:solidFill>
              <w14:schemeClr w14:val="tx1"/>
            </w14:solidFill>
          </w14:textFill>
        </w:rPr>
      </w:pPr>
      <w:bookmarkStart w:id="602" w:name="OLE_LINK311"/>
      <w:r>
        <w:rPr>
          <w:rFonts w:hint="eastAsia" w:ascii="宋体" w:hAnsi="宋体" w:eastAsia="宋体" w:cs="宋体"/>
          <w:b/>
          <w:bCs/>
          <w:color w:val="000000" w:themeColor="text1"/>
          <w:szCs w:val="21"/>
          <w:highlight w:val="none"/>
          <w14:textFill>
            <w14:solidFill>
              <w14:schemeClr w14:val="tx1"/>
            </w14:solidFill>
          </w14:textFill>
        </w:rPr>
        <w:br w:type="page"/>
      </w:r>
    </w:p>
    <w:p w14:paraId="2AF7272D">
      <w:pPr>
        <w:wordWrap w:val="0"/>
        <w:spacing w:line="360"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附件5：廉洁协议书</w:t>
      </w:r>
    </w:p>
    <w:bookmarkEnd w:id="596"/>
    <w:bookmarkEnd w:id="602"/>
    <w:p w14:paraId="66A6B120">
      <w:pPr>
        <w:spacing w:line="360" w:lineRule="auto"/>
        <w:jc w:val="center"/>
        <w:rPr>
          <w:rFonts w:ascii="宋体" w:hAnsi="宋体" w:eastAsia="宋体" w:cs="宋体"/>
          <w:b/>
          <w:bCs/>
          <w:color w:val="000000" w:themeColor="text1"/>
          <w:szCs w:val="21"/>
          <w:highlight w:val="none"/>
          <w14:textFill>
            <w14:solidFill>
              <w14:schemeClr w14:val="tx1"/>
            </w14:solidFill>
          </w14:textFill>
        </w:rPr>
      </w:pPr>
      <w:bookmarkStart w:id="603" w:name="OLE_LINK435"/>
      <w:r>
        <w:rPr>
          <w:rFonts w:hint="eastAsia" w:ascii="宋体" w:hAnsi="宋体" w:eastAsia="宋体" w:cs="宋体"/>
          <w:b/>
          <w:bCs/>
          <w:color w:val="000000" w:themeColor="text1"/>
          <w:sz w:val="24"/>
          <w:szCs w:val="24"/>
          <w:highlight w:val="none"/>
          <w14:textFill>
            <w14:solidFill>
              <w14:schemeClr w14:val="tx1"/>
            </w14:solidFill>
          </w14:textFill>
        </w:rPr>
        <w:t>廉洁协议书</w:t>
      </w:r>
      <w:bookmarkEnd w:id="603"/>
    </w:p>
    <w:p w14:paraId="23E61947">
      <w:pPr>
        <w:spacing w:line="360" w:lineRule="auto"/>
        <w:rPr>
          <w:rFonts w:ascii="宋体" w:hAnsi="宋体" w:eastAsia="宋体" w:cs="宋体"/>
          <w:color w:val="000000" w:themeColor="text1"/>
          <w:szCs w:val="21"/>
          <w:highlight w:val="none"/>
          <w14:textFill>
            <w14:solidFill>
              <w14:schemeClr w14:val="tx1"/>
            </w14:solidFill>
          </w14:textFill>
        </w:rPr>
      </w:pPr>
    </w:p>
    <w:p w14:paraId="4D648DE9">
      <w:pPr>
        <w:wordWrap w:val="0"/>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项目名称：东莞市水务集团科技发展有限公司屋顶分布式光伏发电（一期）采购项目（招标编号：    ）</w:t>
      </w:r>
    </w:p>
    <w:p w14:paraId="25A50AAC">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甲方：东莞市水务集团科技发展有限公司</w:t>
      </w:r>
    </w:p>
    <w:p w14:paraId="479738F5">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w:t>
      </w:r>
    </w:p>
    <w:p w14:paraId="0F70EBFE">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7A1A32B5">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第一条  甲乙双方的权利和义务</w:t>
      </w:r>
    </w:p>
    <w:p w14:paraId="5A1835E0">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（一）严格遵守党和国家有关法律法规等有关廉洁从业规定。</w:t>
      </w:r>
    </w:p>
    <w:p w14:paraId="6DD7B068">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（二）严格执行本项目的合同文件，自觉按合同办事。</w:t>
      </w:r>
    </w:p>
    <w:p w14:paraId="0697846A">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（三）双方的业务活动坚持公开、公正、诚信、透明的原则（除法律认定的商业秘密和合同文件另有规定之外）不得损害国家和集体利益，违反工程建设管理及其他法律法规规章制度。</w:t>
      </w:r>
    </w:p>
    <w:p w14:paraId="7DBF8915">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（四）建立健全廉洁制度，开展廉洁教育，设立廉洁监督公示牌，公布举报电话，监督并认真查处违法违纪行为。</w:t>
      </w:r>
    </w:p>
    <w:p w14:paraId="37FADBC5">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（五）发现对方在业务活动中有违反廉洁规定的行为，有及时提醒对方纠正的权利和义务。</w:t>
      </w:r>
    </w:p>
    <w:p w14:paraId="2DCDF932">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（六）发现对方严重违反本协议义务条款的行为，有向其上级有关部门举报、建议给予处理并要求告知处理结果的权利。</w:t>
      </w:r>
    </w:p>
    <w:p w14:paraId="51DDCAD4">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第二条  甲方的义务</w:t>
      </w:r>
    </w:p>
    <w:p w14:paraId="44BB14C9">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（一）甲方及其工作人员不得索要或接受乙方的礼金、有价证券和贵重物品，不得在乙方报销任何应由甲方或个人支付的费用。</w:t>
      </w:r>
    </w:p>
    <w:p w14:paraId="581940D4">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（二）甲方工作人员不得参加乙方安排的高消费宴请和娱乐活动；不得接受乙方提供的通讯工具、交通工具和高档办公用品。</w:t>
      </w:r>
    </w:p>
    <w:p w14:paraId="5BD8EEBD">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（三）甲方及其工作人员不得要求或者接受乙方为其住房装修、婚丧嫁娶活动、家属或亲友的工作安排以及出国出境、旅游等提供方便。</w:t>
      </w:r>
    </w:p>
    <w:p w14:paraId="2C4BADD1">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（四）甲方工作人员不得向乙方介绍其家属或者亲友（包括家属或亲友开办的公司企业）从事于本项目涉及的经济业务活动。</w:t>
      </w:r>
    </w:p>
    <w:p w14:paraId="6E57E6A4">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（五）甲方及其工作人员不得以任何理由向乙方推荐分包单位，不得要求乙方购买合同规定外的材料和设备。</w:t>
      </w:r>
    </w:p>
    <w:p w14:paraId="3D3818DD">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（六）甲方及其工作人员不得进行违反廉洁规定的其他活动。</w:t>
      </w:r>
    </w:p>
    <w:p w14:paraId="2C1EB6B8">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（七）甲方应对甲方工作人员进行廉洁监督管理，如甲方工作人员违反本协议第一、第二条，甲方应依据有关法律法规、党纪规定对其进行处理；涉嫌犯罪的，甲方应将其移交司法机关追究刑事责任。</w:t>
      </w:r>
    </w:p>
    <w:p w14:paraId="315481EB">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第三条  乙方义务</w:t>
      </w:r>
    </w:p>
    <w:p w14:paraId="1208DC61">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（一）乙方不得以任何理由向甲方及其工作人员馈赠礼金、有价证券、贵重礼品，或报销应由甲方单位或个人支付的任何费用。</w:t>
      </w:r>
    </w:p>
    <w:p w14:paraId="78FB3E11">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（二）乙方及其工作人员不得以考察、参观、洽谈业务、签订合同等的借口邀请甲方及其工作人员参加高消费的宴请、娱乐和健身等活动。</w:t>
      </w:r>
    </w:p>
    <w:p w14:paraId="5989014B">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（三）乙方不得为甲方单位和个人购置或提供通讯工具、交通工具和高档办公用品等。</w:t>
      </w:r>
    </w:p>
    <w:p w14:paraId="78038278">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（四）乙方及其工作人员不得为甲方工作人员购买、装修、维修私人住房、汽车等。</w:t>
      </w:r>
    </w:p>
    <w:p w14:paraId="39B128D6">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（五）乙方及其工作人员不得为甲方工作人员的婚丧嫁娶、家属或亲友的工作安排，及出国出境提供方便以及报销任何私人消费的费用。</w:t>
      </w:r>
    </w:p>
    <w:p w14:paraId="5C785B4E">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（六）乙方及其工作人员不得进行影响甲方及其工作人员公正执行合同和履行职务的其他活动。</w:t>
      </w:r>
    </w:p>
    <w:p w14:paraId="105396B5">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71C94949">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第四条  违约责任</w:t>
      </w:r>
    </w:p>
    <w:p w14:paraId="520D63D0">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（一）甲方违反本协议第一、第二条给乙方单位造成经济损失的，应予以赔偿。</w:t>
      </w:r>
    </w:p>
    <w:p w14:paraId="66BB0AC9">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（二）乙方违反本协议第一、第三条给甲方单位造成经济损失的，应予以赔偿。</w:t>
      </w:r>
    </w:p>
    <w:p w14:paraId="3099B443">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第五条  监督检查</w:t>
      </w:r>
    </w:p>
    <w:p w14:paraId="13A52FC1">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甲乙双方的廉洁从业行为由双方或双方上级单位的纪检、监察部门负责监督，对本协议履行情况进行检查。</w:t>
      </w:r>
    </w:p>
    <w:p w14:paraId="4325C88B">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第六条 举报信访受理</w:t>
      </w:r>
    </w:p>
    <w:p w14:paraId="1B8B56A3">
      <w:pPr>
        <w:spacing w:line="360" w:lineRule="auto"/>
        <w:ind w:firstLine="56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（一）举报受理部门：东莞市水务集团有限公司纪检监察部。</w:t>
      </w:r>
    </w:p>
    <w:p w14:paraId="4B877265">
      <w:pPr>
        <w:spacing w:line="360" w:lineRule="auto"/>
        <w:ind w:firstLine="56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（二）举报电话：（0769）23076092。</w:t>
      </w:r>
    </w:p>
    <w:p w14:paraId="263C7BF6">
      <w:pPr>
        <w:spacing w:line="360" w:lineRule="auto"/>
        <w:ind w:firstLine="56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（三）举报邮箱：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"mailto:jcsj@dgswjt.cn。" </w:instrText>
      </w:r>
      <w:r>
        <w:rPr>
          <w:color w:val="000000" w:themeColor="text1"/>
          <w:highlight w:val="none"/>
          <w14:textFill>
            <w14:solidFill>
              <w14:schemeClr w14:val="tx1"/>
            </w14:solidFill>
          </w14:textFill>
        </w:rPr>
        <w:fldChar w:fldCharType="separate"/>
      </w:r>
      <w:r>
        <w:rPr>
          <w:rStyle w:val="43"/>
          <w:rFonts w:hint="eastAsia" w:ascii="宋体" w:hAnsi="宋体" w:eastAsia="宋体" w:cs="宋体"/>
          <w:color w:val="000000" w:themeColor="text1"/>
          <w:sz w:val="21"/>
          <w:szCs w:val="21"/>
          <w:highlight w:val="none"/>
          <w14:textFill>
            <w14:solidFill>
              <w14:schemeClr w14:val="tx1"/>
            </w14:solidFill>
          </w14:textFill>
        </w:rPr>
        <w:t>jcsj@dgswjt.cn。</w:t>
      </w:r>
      <w:r>
        <w:rPr>
          <w:rStyle w:val="43"/>
          <w:rFonts w:hint="eastAsia" w:ascii="宋体" w:hAnsi="宋体" w:eastAsia="宋体" w:cs="宋体"/>
          <w:color w:val="000000" w:themeColor="text1"/>
          <w:sz w:val="21"/>
          <w:szCs w:val="21"/>
          <w:highlight w:val="none"/>
          <w14:textFill>
            <w14:solidFill>
              <w14:schemeClr w14:val="tx1"/>
            </w14:solidFill>
          </w14:textFill>
        </w:rPr>
        <w:fldChar w:fldCharType="end"/>
      </w:r>
    </w:p>
    <w:p w14:paraId="796C5C16">
      <w:pPr>
        <w:spacing w:line="360" w:lineRule="auto"/>
        <w:ind w:firstLine="56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（四）信访地址：广东省东莞市东城街道育华路1号。</w:t>
      </w:r>
    </w:p>
    <w:p w14:paraId="4D15C262">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第七条 其他</w:t>
      </w:r>
    </w:p>
    <w:p w14:paraId="56CF1652">
      <w:pPr>
        <w:spacing w:line="360" w:lineRule="auto"/>
        <w:ind w:firstLine="56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本协议有效期为甲乙双方签字并加盖公章之日起至该工程/采购项目竣工验收完毕，质保期/服务期满后止。本协议一式陆份，甲方执叁份，乙方执贰份，招标代理执壹份。均具有同等效力。</w:t>
      </w:r>
    </w:p>
    <w:p w14:paraId="61983721">
      <w:pPr>
        <w:pStyle w:val="28"/>
        <w:spacing w:line="360" w:lineRule="auto"/>
        <w:rPr>
          <w:rFonts w:ascii="宋体" w:hAnsi="宋体" w:eastAsia="宋体" w:cs="宋体"/>
          <w:color w:val="000000" w:themeColor="text1"/>
          <w:szCs w:val="21"/>
          <w:highlight w:val="none"/>
          <w14:textFill>
            <w14:solidFill>
              <w14:schemeClr w14:val="tx1"/>
            </w14:solidFill>
          </w14:textFill>
        </w:rPr>
      </w:pPr>
    </w:p>
    <w:p w14:paraId="2787EA0C">
      <w:pPr>
        <w:spacing w:line="360" w:lineRule="auto"/>
        <w:ind w:firstLine="56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甲方：东莞市水务集团科技发展有限公司    </w:t>
      </w:r>
    </w:p>
    <w:p w14:paraId="242A87E8">
      <w:pPr>
        <w:spacing w:line="360" w:lineRule="auto"/>
        <w:ind w:firstLine="56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法定代表（或负责）人：                  </w:t>
      </w:r>
    </w:p>
    <w:p w14:paraId="0EAC95F1">
      <w:pPr>
        <w:spacing w:line="360" w:lineRule="auto"/>
        <w:ind w:firstLine="560"/>
        <w:rPr>
          <w:rFonts w:ascii="宋体" w:hAnsi="宋体" w:eastAsia="宋体" w:cs="宋体"/>
          <w:color w:val="000000" w:themeColor="text1"/>
          <w:szCs w:val="21"/>
          <w:highlight w:val="none"/>
          <w14:textFill>
            <w14:solidFill>
              <w14:schemeClr w14:val="tx1"/>
            </w14:solidFill>
          </w14:textFill>
        </w:rPr>
      </w:pPr>
    </w:p>
    <w:p w14:paraId="0E00FD0B">
      <w:pPr>
        <w:spacing w:line="360" w:lineRule="auto"/>
        <w:ind w:firstLine="56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w:t>
      </w:r>
    </w:p>
    <w:p w14:paraId="56F85534">
      <w:pPr>
        <w:spacing w:line="360" w:lineRule="auto"/>
        <w:ind w:firstLine="56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法定代表（或负责）人：</w:t>
      </w:r>
    </w:p>
    <w:p w14:paraId="0FE98D4D">
      <w:pPr>
        <w:spacing w:line="360" w:lineRule="auto"/>
        <w:rPr>
          <w:rFonts w:ascii="宋体" w:hAnsi="宋体" w:eastAsia="宋体" w:cs="宋体"/>
          <w:color w:val="000000" w:themeColor="text1"/>
          <w:szCs w:val="21"/>
          <w:highlight w:val="none"/>
          <w14:textFill>
            <w14:solidFill>
              <w14:schemeClr w14:val="tx1"/>
            </w14:solidFill>
          </w14:textFill>
        </w:rPr>
      </w:pPr>
    </w:p>
    <w:p w14:paraId="0DDE7B8C">
      <w:pPr>
        <w:spacing w:line="360" w:lineRule="auto"/>
        <w:ind w:firstLine="560"/>
        <w:rPr>
          <w:rFonts w:ascii="宋体" w:hAnsi="宋体" w:eastAsia="宋体" w:cs="宋体"/>
          <w:color w:val="000000" w:themeColor="text1"/>
          <w:szCs w:val="21"/>
          <w:highlight w:val="none"/>
          <w14:textFill>
            <w14:solidFill>
              <w14:schemeClr w14:val="tx1"/>
            </w14:solidFill>
          </w14:textFill>
        </w:rPr>
      </w:pPr>
      <w:bookmarkStart w:id="604" w:name="OLE_LINK300"/>
      <w:r>
        <w:rPr>
          <w:rFonts w:hint="eastAsia" w:ascii="宋体" w:hAnsi="宋体" w:eastAsia="宋体" w:cs="宋体"/>
          <w:color w:val="000000" w:themeColor="text1"/>
          <w:szCs w:val="21"/>
          <w:highlight w:val="none"/>
          <w14:textFill>
            <w14:solidFill>
              <w14:schemeClr w14:val="tx1"/>
            </w14:solidFill>
          </w14:textFill>
        </w:rPr>
        <w:t xml:space="preserve">签约日期： 年   月   日  </w:t>
      </w:r>
    </w:p>
    <w:bookmarkEnd w:id="604"/>
    <w:p w14:paraId="2B3662A8">
      <w:pPr>
        <w:spacing w:line="360" w:lineRule="auto"/>
        <w:ind w:firstLine="56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签约地点：广东省东莞市</w:t>
      </w:r>
      <w:bookmarkEnd w:id="595"/>
      <w:bookmarkStart w:id="605" w:name="_Toc143199570"/>
      <w:bookmarkStart w:id="606" w:name="_Toc30397"/>
    </w:p>
    <w:p w14:paraId="607394BB">
      <w:pPr>
        <w:wordWrap w:val="0"/>
        <w:spacing w:line="360"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附件7</w:t>
      </w:r>
      <w:bookmarkStart w:id="607" w:name="OLE_LINK303"/>
      <w:r>
        <w:rPr>
          <w:rFonts w:hint="eastAsia" w:ascii="宋体" w:hAnsi="宋体" w:eastAsia="宋体" w:cs="宋体"/>
          <w:b/>
          <w:bCs/>
          <w:color w:val="000000" w:themeColor="text1"/>
          <w:szCs w:val="21"/>
          <w:highlight w:val="none"/>
          <w14:textFill>
            <w14:solidFill>
              <w14:schemeClr w14:val="tx1"/>
            </w14:solidFill>
          </w14:textFill>
        </w:rPr>
        <w:t>：质量保修</w:t>
      </w:r>
      <w:bookmarkEnd w:id="607"/>
      <w:r>
        <w:rPr>
          <w:rFonts w:hint="eastAsia" w:ascii="宋体" w:hAnsi="宋体" w:eastAsia="宋体" w:cs="宋体"/>
          <w:b/>
          <w:bCs/>
          <w:color w:val="000000" w:themeColor="text1"/>
          <w:szCs w:val="21"/>
          <w:highlight w:val="none"/>
          <w14:textFill>
            <w14:solidFill>
              <w14:schemeClr w14:val="tx1"/>
            </w14:solidFill>
          </w14:textFill>
        </w:rPr>
        <w:t>保函格式</w:t>
      </w:r>
      <w:bookmarkEnd w:id="605"/>
      <w:bookmarkEnd w:id="606"/>
    </w:p>
    <w:p w14:paraId="4D1DB1A2">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不可撤销银行</w:t>
      </w:r>
      <w:bookmarkStart w:id="608" w:name="OLE_LINK304"/>
      <w:bookmarkStart w:id="609" w:name="OLE_LINK308"/>
      <w:r>
        <w:rPr>
          <w:rFonts w:hint="eastAsia" w:ascii="宋体" w:hAnsi="宋体" w:eastAsia="宋体" w:cs="Times New Roman"/>
          <w:b/>
          <w:color w:val="000000" w:themeColor="text1"/>
          <w:kern w:val="0"/>
          <w:sz w:val="30"/>
          <w:szCs w:val="30"/>
          <w:highlight w:val="none"/>
          <w14:textFill>
            <w14:solidFill>
              <w14:schemeClr w14:val="tx1"/>
            </w14:solidFill>
          </w14:textFill>
        </w:rPr>
        <w:t>质量保修</w:t>
      </w:r>
      <w:bookmarkEnd w:id="608"/>
      <w:r>
        <w:rPr>
          <w:rFonts w:hint="eastAsia" w:ascii="宋体" w:hAnsi="宋体" w:eastAsia="宋体" w:cs="Times New Roman"/>
          <w:b/>
          <w:color w:val="000000" w:themeColor="text1"/>
          <w:kern w:val="0"/>
          <w:sz w:val="30"/>
          <w:szCs w:val="30"/>
          <w:highlight w:val="none"/>
          <w14:textFill>
            <w14:solidFill>
              <w14:schemeClr w14:val="tx1"/>
            </w14:solidFill>
          </w14:textFill>
        </w:rPr>
        <w:t>保</w:t>
      </w:r>
      <w:bookmarkEnd w:id="609"/>
      <w:r>
        <w:rPr>
          <w:rFonts w:hint="eastAsia" w:ascii="宋体" w:hAnsi="宋体" w:eastAsia="宋体" w:cs="Times New Roman"/>
          <w:b/>
          <w:color w:val="000000" w:themeColor="text1"/>
          <w:kern w:val="0"/>
          <w:sz w:val="30"/>
          <w:szCs w:val="30"/>
          <w:highlight w:val="none"/>
          <w14:textFill>
            <w14:solidFill>
              <w14:schemeClr w14:val="tx1"/>
            </w14:solidFill>
          </w14:textFill>
        </w:rPr>
        <w:t>函</w:t>
      </w:r>
    </w:p>
    <w:p w14:paraId="07347CAE">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039FD71D">
      <w:pPr>
        <w:autoSpaceDE w:val="0"/>
        <w:autoSpaceDN w:val="0"/>
        <w:adjustRightInd w:val="0"/>
        <w:spacing w:line="360" w:lineRule="auto"/>
        <w:ind w:firstLine="6300"/>
        <w:jc w:val="left"/>
        <w:rPr>
          <w:rFonts w:ascii="宋体" w:hAnsi="宋体" w:eastAsia="宋体" w:cs="Times New Roman"/>
          <w:color w:val="000000" w:themeColor="text1"/>
          <w:kern w:val="0"/>
          <w:szCs w:val="21"/>
          <w:highlight w:val="none"/>
          <w:u w:val="singl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银行编号：</w:t>
      </w:r>
    </w:p>
    <w:p w14:paraId="260C13FB">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3867509C">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申请人</w:t>
      </w:r>
      <w:r>
        <w:rPr>
          <w:rFonts w:ascii="宋体" w:hAnsi="宋体" w:eastAsia="宋体" w:cs="宋体"/>
          <w:color w:val="000000" w:themeColor="text1"/>
          <w:kern w:val="0"/>
          <w:szCs w:val="21"/>
          <w:highlight w:val="none"/>
          <w:u w:val="single"/>
          <w14:textFill>
            <w14:solidFill>
              <w14:schemeClr w14:val="tx1"/>
            </w14:solidFill>
          </w14:textFill>
        </w:rPr>
        <w:t xml:space="preserve">的名称与地址）  </w:t>
      </w:r>
      <w:r>
        <w:rPr>
          <w:rFonts w:hint="eastAsia" w:ascii="宋体" w:hAnsi="宋体" w:eastAsia="宋体" w:cs="宋体"/>
          <w:color w:val="000000" w:themeColor="text1"/>
          <w:kern w:val="0"/>
          <w:szCs w:val="21"/>
          <w:highlight w:val="none"/>
          <w14:textFill>
            <w14:solidFill>
              <w14:schemeClr w14:val="tx1"/>
            </w14:solidFill>
          </w14:textFill>
        </w:rPr>
        <w:t>（下称“申请人”），已保证按拟签订的</w:t>
      </w:r>
      <w:r>
        <w:rPr>
          <w:rFonts w:ascii="宋体" w:hAnsi="宋体" w:eastAsia="宋体" w:cs="宋体"/>
          <w:color w:val="000000" w:themeColor="text1"/>
          <w:kern w:val="0"/>
          <w:szCs w:val="21"/>
          <w:highlight w:val="none"/>
          <w:u w:val="single"/>
          <w14:textFill>
            <w14:solidFill>
              <w14:schemeClr w14:val="tx1"/>
            </w14:solidFill>
          </w14:textFill>
        </w:rPr>
        <w:t xml:space="preserve"> 项目名称       （招标编号：         ）</w:t>
      </w:r>
      <w:r>
        <w:rPr>
          <w:rFonts w:hint="eastAsia" w:ascii="宋体" w:hAnsi="宋体" w:eastAsia="宋体" w:cs="宋体"/>
          <w:color w:val="000000" w:themeColor="text1"/>
          <w:kern w:val="0"/>
          <w:szCs w:val="21"/>
          <w:highlight w:val="none"/>
          <w14:textFill>
            <w14:solidFill>
              <w14:schemeClr w14:val="tx1"/>
            </w14:solidFill>
          </w14:textFill>
        </w:rPr>
        <w:t>合同（招标文件）中规定的义务履行合同。</w:t>
      </w:r>
    </w:p>
    <w:p w14:paraId="6E8C5500">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根据上述合同（招标文件）规定，申请人应向受益人提供一份金额为人民币（大写）</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RMB</w:t>
      </w:r>
      <w:r>
        <w:rPr>
          <w:rFonts w:ascii="宋体" w:hAnsi="宋体" w:eastAsia="宋体" w:cs="宋体"/>
          <w:color w:val="000000" w:themeColor="text1"/>
          <w:kern w:val="0"/>
          <w:szCs w:val="21"/>
          <w:highlight w:val="none"/>
          <w:u w:val="single"/>
          <w14:textFill>
            <w14:solidFill>
              <w14:schemeClr w14:val="tx1"/>
            </w14:solidFill>
          </w14:textFill>
        </w:rPr>
        <w:t>元）</w:t>
      </w:r>
      <w:r>
        <w:rPr>
          <w:rFonts w:hint="eastAsia" w:ascii="宋体" w:hAnsi="宋体" w:eastAsia="宋体" w:cs="宋体"/>
          <w:color w:val="000000" w:themeColor="text1"/>
          <w:kern w:val="0"/>
          <w:szCs w:val="21"/>
          <w:highlight w:val="none"/>
          <w14:textFill>
            <w14:solidFill>
              <w14:schemeClr w14:val="tx1"/>
            </w14:solidFill>
          </w14:textFill>
        </w:rPr>
        <w:t>的无条件</w:t>
      </w:r>
      <w:bookmarkStart w:id="610" w:name="OLE_LINK305"/>
      <w:r>
        <w:rPr>
          <w:rFonts w:hint="eastAsia" w:ascii="宋体" w:hAnsi="宋体" w:eastAsia="宋体" w:cs="宋体"/>
          <w:color w:val="000000" w:themeColor="text1"/>
          <w:kern w:val="0"/>
          <w:szCs w:val="21"/>
          <w:highlight w:val="none"/>
          <w14:textFill>
            <w14:solidFill>
              <w14:schemeClr w14:val="tx1"/>
            </w14:solidFill>
          </w14:textFill>
        </w:rPr>
        <w:t>、</w:t>
      </w:r>
      <w:bookmarkStart w:id="611" w:name="OLE_LINK309"/>
      <w:r>
        <w:rPr>
          <w:rFonts w:hint="eastAsia" w:ascii="宋体" w:hAnsi="宋体" w:eastAsia="宋体" w:cs="宋体"/>
          <w:color w:val="000000" w:themeColor="text1"/>
          <w:kern w:val="0"/>
          <w:szCs w:val="21"/>
          <w:highlight w:val="none"/>
          <w14:textFill>
            <w14:solidFill>
              <w14:schemeClr w14:val="tx1"/>
            </w14:solidFill>
          </w14:textFill>
        </w:rPr>
        <w:t>见索即付、</w:t>
      </w:r>
      <w:bookmarkEnd w:id="610"/>
      <w:bookmarkEnd w:id="611"/>
      <w:r>
        <w:rPr>
          <w:rFonts w:hint="eastAsia" w:ascii="宋体" w:hAnsi="宋体" w:eastAsia="宋体" w:cs="宋体"/>
          <w:color w:val="000000" w:themeColor="text1"/>
          <w:kern w:val="0"/>
          <w:szCs w:val="21"/>
          <w:highlight w:val="none"/>
          <w14:textFill>
            <w14:solidFill>
              <w14:schemeClr w14:val="tx1"/>
            </w14:solidFill>
          </w14:textFill>
        </w:rPr>
        <w:t>不可撤销银行质量保修保函，作为申请人履行上述合同的担保。</w:t>
      </w:r>
    </w:p>
    <w:p w14:paraId="18A5C329">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（银行名称）</w:t>
      </w:r>
      <w:r>
        <w:rPr>
          <w:rFonts w:hint="eastAsia" w:ascii="宋体" w:hAnsi="宋体" w:eastAsia="宋体" w:cs="宋体"/>
          <w:color w:val="000000" w:themeColor="text1"/>
          <w:kern w:val="0"/>
          <w:szCs w:val="21"/>
          <w:highlight w:val="none"/>
          <w14:textFill>
            <w14:solidFill>
              <w14:schemeClr w14:val="tx1"/>
            </w14:solidFill>
          </w14:textFill>
        </w:rPr>
        <w:t>，受申请人的委托，无条件、见索即付、不可撤销地在受益人出具本保函原件且提出因申请人没有履行上述合同规定，而要求我方承担保证责任后，在保函限额内向受益人支付不超过人民币（大写）_________（¥_______元）的款项。</w:t>
      </w:r>
    </w:p>
    <w:p w14:paraId="2A3CAD93">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在向我行提出要求前，我行将不坚持要求受益人首先向申请人提出上述款项的索赔。</w:t>
      </w:r>
    </w:p>
    <w:p w14:paraId="74DBA449">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我方还同意，任何受益人与申请人之间可能对合同条款的修改、规范或其他合同文件的变动补充，都不能免除我方按本保函所承担的责任。因此，有关上述变动、补充和修改无须通知或征得我方同意。</w:t>
      </w:r>
    </w:p>
    <w:p w14:paraId="293A7417">
      <w:pPr>
        <w:widowControl/>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w:t>
      </w:r>
      <w:bookmarkStart w:id="612" w:name="OLE_LINK310"/>
      <w:r>
        <w:rPr>
          <w:rFonts w:hint="eastAsia" w:ascii="宋体" w:hAnsi="宋体" w:eastAsia="宋体" w:cs="Times New Roman"/>
          <w:color w:val="000000" w:themeColor="text1"/>
          <w:kern w:val="0"/>
          <w:szCs w:val="21"/>
          <w:highlight w:val="none"/>
          <w14:textFill>
            <w14:solidFill>
              <w14:schemeClr w14:val="tx1"/>
            </w14:solidFill>
          </w14:textFill>
        </w:rPr>
        <w:t>自项目整体最终验收合格届满二年之日起</w:t>
      </w:r>
      <w:bookmarkStart w:id="613" w:name="OLE_LINK306"/>
      <w:r>
        <w:rPr>
          <w:rFonts w:hint="eastAsia" w:ascii="宋体" w:hAnsi="宋体" w:eastAsia="宋体" w:cs="Times New Roman"/>
          <w:color w:val="000000" w:themeColor="text1"/>
          <w:kern w:val="0"/>
          <w:szCs w:val="21"/>
          <w:highlight w:val="none"/>
          <w14:textFill>
            <w14:solidFill>
              <w14:schemeClr w14:val="tx1"/>
            </w14:solidFill>
          </w14:textFill>
        </w:rPr>
        <w:t xml:space="preserve"> 1 </w:t>
      </w:r>
      <w:bookmarkEnd w:id="613"/>
      <w:r>
        <w:rPr>
          <w:rFonts w:hint="eastAsia" w:ascii="宋体" w:hAnsi="宋体" w:eastAsia="宋体" w:cs="Times New Roman"/>
          <w:color w:val="000000" w:themeColor="text1"/>
          <w:kern w:val="0"/>
          <w:szCs w:val="21"/>
          <w:highlight w:val="none"/>
          <w14:textFill>
            <w14:solidFill>
              <w14:schemeClr w14:val="tx1"/>
            </w14:solidFill>
          </w14:textFill>
        </w:rPr>
        <w:t>年</w:t>
      </w:r>
      <w:bookmarkEnd w:id="612"/>
      <w:r>
        <w:rPr>
          <w:rFonts w:hint="eastAsia" w:ascii="宋体" w:hAnsi="宋体" w:eastAsia="宋体" w:cs="Times New Roman"/>
          <w:color w:val="000000" w:themeColor="text1"/>
          <w:kern w:val="0"/>
          <w:szCs w:val="21"/>
          <w:highlight w:val="none"/>
          <w14:textFill>
            <w14:solidFill>
              <w14:schemeClr w14:val="tx1"/>
            </w14:solidFill>
          </w14:textFill>
        </w:rPr>
        <w:t>保持有效。</w:t>
      </w:r>
    </w:p>
    <w:p w14:paraId="42845BAA">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p>
    <w:p w14:paraId="6ABD6345">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保</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银</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行：</w:t>
      </w:r>
      <w:r>
        <w:rPr>
          <w:rFonts w:ascii="宋体" w:hAnsi="宋体" w:eastAsia="宋体" w:cs="宋体"/>
          <w:color w:val="000000" w:themeColor="text1"/>
          <w:kern w:val="0"/>
          <w:szCs w:val="21"/>
          <w:highlight w:val="none"/>
          <w:u w:val="single"/>
          <w14:textFill>
            <w14:solidFill>
              <w14:schemeClr w14:val="tx1"/>
            </w14:solidFill>
          </w14:textFill>
        </w:rPr>
        <w:t xml:space="preserve">          银行全称          (盖章)   </w:t>
      </w:r>
    </w:p>
    <w:p w14:paraId="7E963816">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法定代表人或其授权的代表人：</w:t>
      </w:r>
      <w:r>
        <w:rPr>
          <w:rFonts w:ascii="宋体" w:hAnsi="宋体" w:eastAsia="宋体" w:cs="宋体"/>
          <w:color w:val="000000" w:themeColor="text1"/>
          <w:kern w:val="0"/>
          <w:szCs w:val="21"/>
          <w:highlight w:val="none"/>
          <w:u w:val="single"/>
          <w14:textFill>
            <w14:solidFill>
              <w14:schemeClr w14:val="tx1"/>
            </w14:solidFill>
          </w14:textFill>
        </w:rPr>
        <w:t xml:space="preserve">       (职务)         </w:t>
      </w:r>
    </w:p>
    <w:p w14:paraId="63F2A504">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(姓名)         </w:t>
      </w:r>
    </w:p>
    <w:p w14:paraId="6EB18290">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(签章)         </w:t>
      </w:r>
    </w:p>
    <w:p w14:paraId="2AEAAEAC">
      <w:pPr>
        <w:autoSpaceDE w:val="0"/>
        <w:autoSpaceDN w:val="0"/>
        <w:adjustRightInd w:val="0"/>
        <w:spacing w:line="360" w:lineRule="auto"/>
        <w:ind w:left="84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14:paraId="083BC6BE">
      <w:pPr>
        <w:pStyle w:val="33"/>
        <w:spacing w:before="0" w:beforeAutospacing="0" w:after="0" w:afterAutospacing="0" w:line="360" w:lineRule="auto"/>
        <w:jc w:val="center"/>
        <w:rPr>
          <w:rFonts w:eastAsia="宋体" w:cs="宋体"/>
          <w:b/>
          <w:color w:val="000000" w:themeColor="text1"/>
          <w:sz w:val="21"/>
          <w:szCs w:val="21"/>
          <w:highlight w:val="none"/>
          <w14:textFill>
            <w14:solidFill>
              <w14:schemeClr w14:val="tx1"/>
            </w14:solidFill>
          </w14:textFill>
        </w:rPr>
      </w:pPr>
    </w:p>
    <w:p w14:paraId="78441AB9">
      <w:pPr>
        <w:pStyle w:val="33"/>
        <w:spacing w:before="0" w:beforeAutospacing="0" w:after="0" w:afterAutospacing="0" w:line="360" w:lineRule="auto"/>
        <w:jc w:val="center"/>
        <w:rPr>
          <w:rFonts w:eastAsia="宋体" w:cs="宋体"/>
          <w:b/>
          <w:color w:val="000000" w:themeColor="text1"/>
          <w:sz w:val="21"/>
          <w:szCs w:val="21"/>
          <w:highlight w:val="none"/>
          <w14:textFill>
            <w14:solidFill>
              <w14:schemeClr w14:val="tx1"/>
            </w14:solidFill>
          </w14:textFill>
        </w:rPr>
      </w:pPr>
    </w:p>
    <w:p w14:paraId="67C211C8">
      <w:pP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br w:type="page"/>
      </w:r>
    </w:p>
    <w:p w14:paraId="1B311920">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担保公司质量保修担保书</w:t>
      </w:r>
    </w:p>
    <w:p w14:paraId="459D9094">
      <w:pPr>
        <w:widowControl/>
        <w:autoSpaceDE w:val="0"/>
        <w:autoSpaceDN w:val="0"/>
        <w:adjustRightInd w:val="0"/>
        <w:spacing w:before="100" w:beforeAutospacing="1" w:after="100" w:afterAutospacing="1"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48C06132">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鉴于</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申请人</w:t>
      </w:r>
      <w:r>
        <w:rPr>
          <w:rFonts w:ascii="宋体" w:hAnsi="宋体" w:eastAsia="宋体" w:cs="Times New Roman"/>
          <w:color w:val="000000" w:themeColor="text1"/>
          <w:kern w:val="0"/>
          <w:szCs w:val="21"/>
          <w:highlight w:val="none"/>
          <w:u w:val="single"/>
          <w14:textFill>
            <w14:solidFill>
              <w14:schemeClr w14:val="tx1"/>
            </w14:solidFill>
          </w14:textFill>
        </w:rPr>
        <w:t xml:space="preserve">的名称与地址）  </w:t>
      </w:r>
      <w:r>
        <w:rPr>
          <w:rFonts w:ascii="宋体" w:hAnsi="宋体" w:eastAsia="宋体" w:cs="Times New Roman"/>
          <w:color w:val="000000" w:themeColor="text1"/>
          <w:kern w:val="0"/>
          <w:szCs w:val="21"/>
          <w:highlight w:val="none"/>
          <w14:textFill>
            <w14:solidFill>
              <w14:schemeClr w14:val="tx1"/>
            </w14:solidFill>
          </w14:textFill>
        </w:rPr>
        <w:t>（下称“</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”），已保证按</w:t>
      </w:r>
      <w:r>
        <w:rPr>
          <w:rFonts w:hint="eastAsia" w:ascii="宋体" w:hAnsi="宋体" w:eastAsia="宋体" w:cs="宋体"/>
          <w:color w:val="000000" w:themeColor="text1"/>
          <w:kern w:val="0"/>
          <w:szCs w:val="21"/>
          <w:highlight w:val="none"/>
          <w14:textFill>
            <w14:solidFill>
              <w14:schemeClr w14:val="tx1"/>
            </w14:solidFill>
          </w14:textFill>
        </w:rPr>
        <w:t>拟签订的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合同（招标文件）</w:t>
      </w:r>
      <w:r>
        <w:rPr>
          <w:rFonts w:ascii="宋体" w:hAnsi="宋体" w:eastAsia="宋体" w:cs="Times New Roman"/>
          <w:color w:val="000000" w:themeColor="text1"/>
          <w:kern w:val="0"/>
          <w:szCs w:val="21"/>
          <w:highlight w:val="none"/>
          <w14:textFill>
            <w14:solidFill>
              <w14:schemeClr w14:val="tx1"/>
            </w14:solidFill>
          </w14:textFill>
        </w:rPr>
        <w:t>中规定的义务履行合同。</w:t>
      </w:r>
    </w:p>
    <w:p w14:paraId="175D966E">
      <w:pPr>
        <w:widowControl/>
        <w:autoSpaceDE w:val="0"/>
        <w:autoSpaceDN w:val="0"/>
        <w:adjustRightInd w:val="0"/>
        <w:spacing w:line="360" w:lineRule="auto"/>
        <w:ind w:firstLine="567" w:firstLineChars="27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根据上述合同（招标文件）规定，</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应向受益人提供一份金额为人民币</w:t>
      </w:r>
      <w:r>
        <w:rPr>
          <w:rFonts w:hint="eastAsia" w:ascii="宋体" w:hAnsi="宋体" w:eastAsia="宋体" w:cs="宋体"/>
          <w:color w:val="000000" w:themeColor="text1"/>
          <w:kern w:val="0"/>
          <w:szCs w:val="21"/>
          <w:highlight w:val="none"/>
          <w14:textFill>
            <w14:solidFill>
              <w14:schemeClr w14:val="tx1"/>
            </w14:solidFill>
          </w14:textFill>
        </w:rPr>
        <w:t>（大写）</w:t>
      </w:r>
      <w:r>
        <w:rPr>
          <w:rFonts w:ascii="宋体" w:hAnsi="宋体" w:eastAsia="宋体" w:cs="Times New Roman"/>
          <w:color w:val="000000" w:themeColor="text1"/>
          <w:kern w:val="0"/>
          <w:szCs w:val="21"/>
          <w:highlight w:val="none"/>
          <w:u w:val="single"/>
          <w14:textFill>
            <w14:solidFill>
              <w14:schemeClr w14:val="tx1"/>
            </w14:solidFill>
          </w14:textFill>
        </w:rPr>
        <w:t xml:space="preserve">     （RMB元）</w:t>
      </w:r>
      <w:r>
        <w:rPr>
          <w:rFonts w:ascii="宋体" w:hAnsi="宋体" w:eastAsia="宋体" w:cs="Times New Roman"/>
          <w:color w:val="000000" w:themeColor="text1"/>
          <w:kern w:val="0"/>
          <w:szCs w:val="21"/>
          <w:highlight w:val="none"/>
          <w14:textFill>
            <w14:solidFill>
              <w14:schemeClr w14:val="tx1"/>
            </w14:solidFill>
          </w14:textFill>
        </w:rPr>
        <w:t>的</w:t>
      </w:r>
      <w:r>
        <w:rPr>
          <w:rFonts w:hint="eastAsia" w:ascii="宋体" w:hAnsi="宋体" w:eastAsia="宋体" w:cs="Times New Roman"/>
          <w:color w:val="000000" w:themeColor="text1"/>
          <w:kern w:val="0"/>
          <w:szCs w:val="21"/>
          <w:highlight w:val="none"/>
          <w14:textFill>
            <w14:solidFill>
              <w14:schemeClr w14:val="tx1"/>
            </w14:solidFill>
          </w14:textFill>
        </w:rPr>
        <w:t>无条件、</w:t>
      </w:r>
      <w:r>
        <w:rPr>
          <w:rFonts w:hint="eastAsia" w:ascii="宋体" w:hAnsi="宋体" w:eastAsia="宋体" w:cs="宋体"/>
          <w:color w:val="000000" w:themeColor="text1"/>
          <w:kern w:val="0"/>
          <w:szCs w:val="21"/>
          <w:highlight w:val="none"/>
          <w14:textFill>
            <w14:solidFill>
              <w14:schemeClr w14:val="tx1"/>
            </w14:solidFill>
          </w14:textFill>
        </w:rPr>
        <w:t>见索即付、</w:t>
      </w:r>
      <w:r>
        <w:rPr>
          <w:rFonts w:ascii="宋体" w:hAnsi="宋体" w:eastAsia="宋体" w:cs="Times New Roman"/>
          <w:bCs/>
          <w:color w:val="000000" w:themeColor="text1"/>
          <w:kern w:val="0"/>
          <w:szCs w:val="21"/>
          <w:highlight w:val="none"/>
          <w14:textFill>
            <w14:solidFill>
              <w14:schemeClr w14:val="tx1"/>
            </w14:solidFill>
          </w14:textFill>
        </w:rPr>
        <w:t>不可撤销</w:t>
      </w:r>
      <w:r>
        <w:rPr>
          <w:rFonts w:ascii="宋体" w:hAnsi="宋体" w:eastAsia="宋体" w:cs="Times New Roman"/>
          <w:color w:val="000000" w:themeColor="text1"/>
          <w:kern w:val="0"/>
          <w:szCs w:val="21"/>
          <w:highlight w:val="none"/>
          <w14:textFill>
            <w14:solidFill>
              <w14:schemeClr w14:val="tx1"/>
            </w14:solidFill>
          </w14:textFill>
        </w:rPr>
        <w:t>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，作为</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履行上述合同的担保</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Hans"/>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名称）</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Hans"/>
          <w14:textFill>
            <w14:solidFill>
              <w14:schemeClr w14:val="tx1"/>
            </w14:solidFill>
          </w14:textFill>
        </w:rPr>
        <w:t>本合同项下的保证责任为连带责任保证</w:t>
      </w:r>
      <w:r>
        <w:rPr>
          <w:rFonts w:hint="eastAsia" w:ascii="宋体" w:hAnsi="宋体" w:eastAsia="宋体" w:cs="宋体"/>
          <w:color w:val="000000" w:themeColor="text1"/>
          <w:kern w:val="0"/>
          <w:szCs w:val="21"/>
          <w:highlight w:val="none"/>
          <w14:textFill>
            <w14:solidFill>
              <w14:schemeClr w14:val="tx1"/>
            </w14:solidFill>
          </w14:textFill>
        </w:rPr>
        <w:t>。</w:t>
      </w:r>
    </w:p>
    <w:p w14:paraId="7C60B693">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 xml:space="preserve">名称）  </w:t>
      </w:r>
      <w:r>
        <w:rPr>
          <w:rFonts w:ascii="宋体" w:hAnsi="宋体" w:eastAsia="宋体" w:cs="Times New Roman"/>
          <w:color w:val="000000" w:themeColor="text1"/>
          <w:kern w:val="0"/>
          <w:szCs w:val="21"/>
          <w:highlight w:val="none"/>
          <w14:textFill>
            <w14:solidFill>
              <w14:schemeClr w14:val="tx1"/>
            </w14:solidFill>
          </w14:textFill>
        </w:rPr>
        <w:t>，受</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的委托，</w:t>
      </w:r>
      <w:r>
        <w:rPr>
          <w:rFonts w:hint="eastAsia" w:ascii="宋体" w:hAnsi="宋体" w:eastAsia="宋体" w:cs="宋体"/>
          <w:color w:val="000000" w:themeColor="text1"/>
          <w:kern w:val="0"/>
          <w:szCs w:val="21"/>
          <w:highlight w:val="none"/>
          <w14:textFill>
            <w14:solidFill>
              <w14:schemeClr w14:val="tx1"/>
            </w14:solidFill>
          </w14:textFill>
        </w:rPr>
        <w:t>无条件、见索即付、不可撤销地在受益人出具本担保书原件且提出因申请人没有履行上述合同规定，在担保书限额内向受益人支付不超过人民币（大写）_________（¥</w:t>
      </w:r>
      <w:r>
        <w:rPr>
          <w:rFonts w:ascii="宋体" w:hAnsi="宋体" w:eastAsia="宋体" w:cs="宋体"/>
          <w:color w:val="000000" w:themeColor="text1"/>
          <w:kern w:val="0"/>
          <w:szCs w:val="21"/>
          <w:highlight w:val="none"/>
          <w14:textFill>
            <w14:solidFill>
              <w14:schemeClr w14:val="tx1"/>
            </w14:solidFill>
          </w14:textFill>
        </w:rPr>
        <w:t>_______元）</w:t>
      </w:r>
      <w:r>
        <w:rPr>
          <w:rFonts w:hint="eastAsia" w:ascii="宋体" w:hAnsi="宋体" w:eastAsia="宋体" w:cs="宋体"/>
          <w:color w:val="000000" w:themeColor="text1"/>
          <w:kern w:val="0"/>
          <w:szCs w:val="21"/>
          <w:highlight w:val="none"/>
          <w14:textFill>
            <w14:solidFill>
              <w14:schemeClr w14:val="tx1"/>
            </w14:solidFill>
          </w14:textFill>
        </w:rPr>
        <w:t>的款项。</w:t>
      </w:r>
    </w:p>
    <w:p w14:paraId="25492395">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我方还同意，任何受益人与</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之间可能对合同条款的修改、规范或其他合同文件的变动补充，都不能免除我方按本</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函所承担的责任。因此，有关上述变动、补充和修改无须通知</w:t>
      </w:r>
      <w:r>
        <w:rPr>
          <w:rFonts w:hint="eastAsia" w:ascii="宋体" w:hAnsi="宋体" w:eastAsia="宋体" w:cs="Times New Roman"/>
          <w:color w:val="000000" w:themeColor="text1"/>
          <w:kern w:val="0"/>
          <w:szCs w:val="21"/>
          <w:highlight w:val="none"/>
          <w14:textFill>
            <w14:solidFill>
              <w14:schemeClr w14:val="tx1"/>
            </w14:solidFill>
          </w14:textFill>
        </w:rPr>
        <w:t>或征得</w:t>
      </w:r>
      <w:r>
        <w:rPr>
          <w:rFonts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01E6E07A">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应自项目整体最终验收合格届满二年之日起 1 年保持有效。</w:t>
      </w:r>
    </w:p>
    <w:p w14:paraId="113E5787">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1FB09A28">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法定代表人或其授权的代理人：（签字或盖私章）</w:t>
      </w:r>
    </w:p>
    <w:p w14:paraId="5516BF48">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担保公司盖章：</w:t>
      </w:r>
    </w:p>
    <w:p w14:paraId="64B50352">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联系电话：</w:t>
      </w:r>
    </w:p>
    <w:p w14:paraId="0F4D5CA6">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地址：</w:t>
      </w:r>
    </w:p>
    <w:p w14:paraId="25E80973">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日期：    年   月   日</w:t>
      </w:r>
    </w:p>
    <w:p w14:paraId="51BF3CA5">
      <w:pPr>
        <w:spacing w:line="360" w:lineRule="auto"/>
        <w:ind w:firstLine="560"/>
        <w:rPr>
          <w:rFonts w:ascii="宋体" w:hAnsi="宋体" w:eastAsia="宋体" w:cs="Times New Roman"/>
          <w:b/>
          <w:bCs/>
          <w:color w:val="000000" w:themeColor="text1"/>
          <w:kern w:val="0"/>
          <w:szCs w:val="21"/>
          <w:highlight w:val="none"/>
          <w14:textFill>
            <w14:solidFill>
              <w14:schemeClr w14:val="tx1"/>
            </w14:solidFill>
          </w14:textFill>
        </w:rPr>
      </w:pPr>
    </w:p>
    <w:bookmarkEnd w:id="594"/>
    <w:p w14:paraId="308664CD">
      <w:pPr>
        <w:pageBreakBefore/>
        <w:spacing w:before="120" w:beforeLines="50" w:after="120" w:afterLines="50" w:line="360" w:lineRule="auto"/>
        <w:ind w:firstLine="640"/>
        <w:jc w:val="center"/>
        <w:outlineLvl w:val="0"/>
        <w:rPr>
          <w:rFonts w:ascii="宋体" w:hAnsi="宋体" w:eastAsia="宋体" w:cs="Times New Roman"/>
          <w:b/>
          <w:bCs/>
          <w:color w:val="000000" w:themeColor="text1"/>
          <w:sz w:val="32"/>
          <w:szCs w:val="32"/>
          <w:highlight w:val="none"/>
          <w:lang w:val="zh-CN"/>
          <w14:textFill>
            <w14:solidFill>
              <w14:schemeClr w14:val="tx1"/>
            </w14:solidFill>
          </w14:textFill>
        </w:rPr>
      </w:pPr>
      <w:bookmarkStart w:id="614" w:name="_Toc447045090"/>
      <w:bookmarkStart w:id="615" w:name="_Toc447044479"/>
      <w:bookmarkStart w:id="616" w:name="_Toc22246"/>
      <w:bookmarkStart w:id="617" w:name="_Toc447044603"/>
      <w:bookmarkStart w:id="618" w:name="_Toc4016"/>
      <w:bookmarkStart w:id="619" w:name="_Toc142508360"/>
      <w:bookmarkStart w:id="620" w:name="_Toc512353083"/>
      <w:bookmarkStart w:id="621" w:name="_Toc24427_WPSOffice_Level1"/>
      <w:r>
        <w:rPr>
          <w:rFonts w:hint="eastAsia" w:ascii="宋体" w:hAnsi="宋体" w:eastAsia="宋体" w:cs="Times New Roman"/>
          <w:b/>
          <w:bCs/>
          <w:color w:val="000000" w:themeColor="text1"/>
          <w:sz w:val="32"/>
          <w:szCs w:val="32"/>
          <w:highlight w:val="none"/>
          <w:lang w:val="zh-CN"/>
          <w14:textFill>
            <w14:solidFill>
              <w14:schemeClr w14:val="tx1"/>
            </w14:solidFill>
          </w14:textFill>
        </w:rPr>
        <w:t>第五篇</w:t>
      </w:r>
      <w:r>
        <w:rPr>
          <w:rFonts w:ascii="宋体" w:hAnsi="宋体" w:eastAsia="宋体" w:cs="Times New Roman"/>
          <w:b/>
          <w:bCs/>
          <w:color w:val="000000" w:themeColor="text1"/>
          <w:sz w:val="32"/>
          <w:szCs w:val="32"/>
          <w:highlight w:val="none"/>
          <w:lang w:val="zh-CN"/>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相关保函格式</w:t>
      </w:r>
      <w:bookmarkEnd w:id="614"/>
      <w:bookmarkEnd w:id="615"/>
      <w:bookmarkEnd w:id="616"/>
      <w:bookmarkEnd w:id="617"/>
      <w:bookmarkEnd w:id="618"/>
      <w:bookmarkEnd w:id="619"/>
      <w:bookmarkEnd w:id="620"/>
      <w:bookmarkEnd w:id="621"/>
      <w:bookmarkStart w:id="622" w:name="_Toc447044480"/>
      <w:bookmarkStart w:id="623" w:name="_Toc447044604"/>
      <w:bookmarkStart w:id="624" w:name="_Toc447045091"/>
    </w:p>
    <w:p w14:paraId="2ED5E4AA">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bookmarkStart w:id="625" w:name="_Toc26521_WPSOffice_Level2"/>
      <w:r>
        <w:rPr>
          <w:rFonts w:hint="eastAsia" w:ascii="宋体" w:hAnsi="宋体" w:eastAsia="宋体" w:cs="Times New Roman"/>
          <w:b/>
          <w:color w:val="000000" w:themeColor="text1"/>
          <w:kern w:val="0"/>
          <w:sz w:val="28"/>
          <w:szCs w:val="28"/>
          <w:highlight w:val="none"/>
          <w14:textFill>
            <w14:solidFill>
              <w14:schemeClr w14:val="tx1"/>
            </w14:solidFill>
          </w14:textFill>
        </w:rPr>
        <w:t>一、</w:t>
      </w:r>
      <w:bookmarkStart w:id="626" w:name="OLE_LINK114"/>
      <w:r>
        <w:rPr>
          <w:rFonts w:hint="eastAsia" w:ascii="宋体" w:hAnsi="宋体" w:eastAsia="宋体" w:cs="Times New Roman"/>
          <w:b/>
          <w:color w:val="000000" w:themeColor="text1"/>
          <w:kern w:val="0"/>
          <w:sz w:val="28"/>
          <w:szCs w:val="28"/>
          <w:highlight w:val="none"/>
          <w14:textFill>
            <w14:solidFill>
              <w14:schemeClr w14:val="tx1"/>
            </w14:solidFill>
          </w14:textFill>
        </w:rPr>
        <w:t>不可撤销银行履约保函格</w:t>
      </w:r>
      <w:bookmarkEnd w:id="626"/>
      <w:r>
        <w:rPr>
          <w:rFonts w:hint="eastAsia" w:ascii="宋体" w:hAnsi="宋体" w:eastAsia="宋体" w:cs="Times New Roman"/>
          <w:b/>
          <w:color w:val="000000" w:themeColor="text1"/>
          <w:kern w:val="0"/>
          <w:sz w:val="28"/>
          <w:szCs w:val="28"/>
          <w:highlight w:val="none"/>
          <w14:textFill>
            <w14:solidFill>
              <w14:schemeClr w14:val="tx1"/>
            </w14:solidFill>
          </w14:textFill>
        </w:rPr>
        <w:t>式</w:t>
      </w:r>
      <w:bookmarkEnd w:id="622"/>
      <w:bookmarkEnd w:id="623"/>
      <w:bookmarkEnd w:id="624"/>
      <w:bookmarkEnd w:id="625"/>
    </w:p>
    <w:p w14:paraId="5EB21F94">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bookmarkStart w:id="627" w:name="OLE_LINK116"/>
      <w:bookmarkStart w:id="628" w:name="OLE_LINK301"/>
      <w:r>
        <w:rPr>
          <w:rFonts w:hint="eastAsia" w:ascii="宋体" w:hAnsi="宋体" w:eastAsia="宋体" w:cs="Times New Roman"/>
          <w:b/>
          <w:color w:val="000000" w:themeColor="text1"/>
          <w:kern w:val="0"/>
          <w:sz w:val="30"/>
          <w:szCs w:val="30"/>
          <w:highlight w:val="none"/>
          <w14:textFill>
            <w14:solidFill>
              <w14:schemeClr w14:val="tx1"/>
            </w14:solidFill>
          </w14:textFill>
        </w:rPr>
        <w:t>不可撤销银行履约保函</w:t>
      </w:r>
      <w:bookmarkEnd w:id="627"/>
    </w:p>
    <w:p w14:paraId="72725817">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27AA56B4">
      <w:pPr>
        <w:autoSpaceDE w:val="0"/>
        <w:autoSpaceDN w:val="0"/>
        <w:adjustRightInd w:val="0"/>
        <w:spacing w:line="360" w:lineRule="auto"/>
        <w:ind w:firstLine="6300"/>
        <w:jc w:val="left"/>
        <w:rPr>
          <w:rFonts w:ascii="宋体" w:hAnsi="宋体" w:eastAsia="宋体" w:cs="Times New Roman"/>
          <w:color w:val="000000" w:themeColor="text1"/>
          <w:kern w:val="0"/>
          <w:szCs w:val="21"/>
          <w:highlight w:val="none"/>
          <w:u w:val="singl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银行编号：</w:t>
      </w:r>
    </w:p>
    <w:p w14:paraId="4CCD040B">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7020ECDD">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申请人</w:t>
      </w:r>
      <w:r>
        <w:rPr>
          <w:rFonts w:ascii="宋体" w:hAnsi="宋体" w:eastAsia="宋体" w:cs="宋体"/>
          <w:color w:val="000000" w:themeColor="text1"/>
          <w:kern w:val="0"/>
          <w:szCs w:val="21"/>
          <w:highlight w:val="none"/>
          <w:u w:val="single"/>
          <w14:textFill>
            <w14:solidFill>
              <w14:schemeClr w14:val="tx1"/>
            </w14:solidFill>
          </w14:textFill>
        </w:rPr>
        <w:t xml:space="preserve">的名称与地址）  </w:t>
      </w:r>
      <w:r>
        <w:rPr>
          <w:rFonts w:hint="eastAsia" w:ascii="宋体" w:hAnsi="宋体" w:eastAsia="宋体" w:cs="宋体"/>
          <w:color w:val="000000" w:themeColor="text1"/>
          <w:kern w:val="0"/>
          <w:szCs w:val="21"/>
          <w:highlight w:val="none"/>
          <w14:textFill>
            <w14:solidFill>
              <w14:schemeClr w14:val="tx1"/>
            </w14:solidFill>
          </w14:textFill>
        </w:rPr>
        <w:t>（下称“申请人”），已保证按拟签订的</w:t>
      </w:r>
      <w:r>
        <w:rPr>
          <w:rFonts w:ascii="宋体" w:hAnsi="宋体" w:eastAsia="宋体" w:cs="宋体"/>
          <w:color w:val="000000" w:themeColor="text1"/>
          <w:kern w:val="0"/>
          <w:szCs w:val="21"/>
          <w:highlight w:val="none"/>
          <w:u w:val="single"/>
          <w14:textFill>
            <w14:solidFill>
              <w14:schemeClr w14:val="tx1"/>
            </w14:solidFill>
          </w14:textFill>
        </w:rPr>
        <w:t xml:space="preserve"> 项目名称       （招标编号：         ）</w:t>
      </w:r>
      <w:r>
        <w:rPr>
          <w:rFonts w:hint="eastAsia" w:ascii="宋体" w:hAnsi="宋体" w:eastAsia="宋体" w:cs="宋体"/>
          <w:color w:val="000000" w:themeColor="text1"/>
          <w:kern w:val="0"/>
          <w:szCs w:val="21"/>
          <w:highlight w:val="none"/>
          <w14:textFill>
            <w14:solidFill>
              <w14:schemeClr w14:val="tx1"/>
            </w14:solidFill>
          </w14:textFill>
        </w:rPr>
        <w:t>合同（招标文件）中规定的义务履行合同。</w:t>
      </w:r>
    </w:p>
    <w:p w14:paraId="3A2BD671">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根据上述合同（招标文件）规定，申请人应向受益人提供一份金额为人民币（大写）</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RMB</w:t>
      </w:r>
      <w:r>
        <w:rPr>
          <w:rFonts w:ascii="宋体" w:hAnsi="宋体" w:eastAsia="宋体" w:cs="宋体"/>
          <w:color w:val="000000" w:themeColor="text1"/>
          <w:kern w:val="0"/>
          <w:szCs w:val="21"/>
          <w:highlight w:val="none"/>
          <w:u w:val="single"/>
          <w14:textFill>
            <w14:solidFill>
              <w14:schemeClr w14:val="tx1"/>
            </w14:solidFill>
          </w14:textFill>
        </w:rPr>
        <w:t>元）</w:t>
      </w:r>
      <w:r>
        <w:rPr>
          <w:rFonts w:hint="eastAsia" w:ascii="宋体" w:hAnsi="宋体" w:eastAsia="宋体" w:cs="宋体"/>
          <w:color w:val="000000" w:themeColor="text1"/>
          <w:kern w:val="0"/>
          <w:szCs w:val="21"/>
          <w:highlight w:val="none"/>
          <w14:textFill>
            <w14:solidFill>
              <w14:schemeClr w14:val="tx1"/>
            </w14:solidFill>
          </w14:textFill>
        </w:rPr>
        <w:t>的无条件、不可撤销银行履约保函，作为申请人履行上述合同的担保。</w:t>
      </w:r>
    </w:p>
    <w:p w14:paraId="3ECE8624">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（银行名称）</w:t>
      </w:r>
      <w:r>
        <w:rPr>
          <w:rFonts w:hint="eastAsia" w:ascii="宋体" w:hAnsi="宋体" w:eastAsia="宋体" w:cs="宋体"/>
          <w:color w:val="000000" w:themeColor="text1"/>
          <w:kern w:val="0"/>
          <w:szCs w:val="21"/>
          <w:highlight w:val="none"/>
          <w14:textFill>
            <w14:solidFill>
              <w14:schemeClr w14:val="tx1"/>
            </w14:solidFill>
          </w14:textFill>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13FCEBCC">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在向我行提出要求前，我行将不坚持要求受益人首先向申请人提出上述款项的索赔。</w:t>
      </w:r>
    </w:p>
    <w:p w14:paraId="68EEA6FB">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我方还同意，任何受益人与申请人之间可能对合同条款的修改、规范或其他合同文件的变动补充，都不能免除我方按本保函所承担的责任。因此，有关上述变动、补充和修改无须通知或征得我方同意。</w:t>
      </w:r>
    </w:p>
    <w:p w14:paraId="2688DC07">
      <w:pPr>
        <w:widowControl/>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应从合同签订之日起至依法完成本项目的所有合同义务且双方结算完毕后二十八（28）日内保持有效。</w:t>
      </w:r>
    </w:p>
    <w:p w14:paraId="6B6DC125">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p>
    <w:p w14:paraId="6C97A904">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保</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银</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行：</w:t>
      </w:r>
      <w:r>
        <w:rPr>
          <w:rFonts w:ascii="宋体" w:hAnsi="宋体" w:eastAsia="宋体" w:cs="宋体"/>
          <w:color w:val="000000" w:themeColor="text1"/>
          <w:kern w:val="0"/>
          <w:szCs w:val="21"/>
          <w:highlight w:val="none"/>
          <w:u w:val="single"/>
          <w14:textFill>
            <w14:solidFill>
              <w14:schemeClr w14:val="tx1"/>
            </w14:solidFill>
          </w14:textFill>
        </w:rPr>
        <w:t xml:space="preserve">          银行全称          (盖章)   </w:t>
      </w:r>
    </w:p>
    <w:p w14:paraId="113BF2F8">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法定代表人或其授权的代表人：</w:t>
      </w:r>
      <w:r>
        <w:rPr>
          <w:rFonts w:ascii="宋体" w:hAnsi="宋体" w:eastAsia="宋体" w:cs="宋体"/>
          <w:color w:val="000000" w:themeColor="text1"/>
          <w:kern w:val="0"/>
          <w:szCs w:val="21"/>
          <w:highlight w:val="none"/>
          <w:u w:val="single"/>
          <w14:textFill>
            <w14:solidFill>
              <w14:schemeClr w14:val="tx1"/>
            </w14:solidFill>
          </w14:textFill>
        </w:rPr>
        <w:t xml:space="preserve">       (职务)         </w:t>
      </w:r>
    </w:p>
    <w:p w14:paraId="43E4D8F4">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(姓名)         </w:t>
      </w:r>
    </w:p>
    <w:p w14:paraId="3D63DFB5">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(签章)         </w:t>
      </w:r>
    </w:p>
    <w:p w14:paraId="3B89FF24">
      <w:pPr>
        <w:autoSpaceDE w:val="0"/>
        <w:autoSpaceDN w:val="0"/>
        <w:adjustRightInd w:val="0"/>
        <w:spacing w:line="360" w:lineRule="auto"/>
        <w:ind w:left="84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bookmarkEnd w:id="628"/>
    <w:p w14:paraId="380DE07F">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076A2881">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42255066">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40F94956">
      <w:pPr>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b/>
          <w:color w:val="000000" w:themeColor="text1"/>
          <w:kern w:val="0"/>
          <w:sz w:val="28"/>
          <w:szCs w:val="28"/>
          <w:highlight w:val="none"/>
          <w14:textFill>
            <w14:solidFill>
              <w14:schemeClr w14:val="tx1"/>
            </w14:solidFill>
          </w14:textFill>
        </w:rPr>
        <w:t>二、履约保证保险凭证格式</w:t>
      </w:r>
    </w:p>
    <w:p w14:paraId="367F508B">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p>
    <w:p w14:paraId="4D41B857">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bookmarkStart w:id="629" w:name="OLE_LINK117"/>
      <w:r>
        <w:rPr>
          <w:rFonts w:hint="eastAsia" w:ascii="宋体" w:hAnsi="宋体" w:eastAsia="宋体" w:cs="Times New Roman"/>
          <w:b/>
          <w:color w:val="000000" w:themeColor="text1"/>
          <w:kern w:val="0"/>
          <w:sz w:val="30"/>
          <w:szCs w:val="30"/>
          <w:highlight w:val="none"/>
          <w14:textFill>
            <w14:solidFill>
              <w14:schemeClr w14:val="tx1"/>
            </w14:solidFill>
          </w14:textFill>
        </w:rPr>
        <w:t>履约保证保险凭证</w:t>
      </w:r>
      <w:bookmarkEnd w:id="629"/>
    </w:p>
    <w:p w14:paraId="6D49C542">
      <w:pPr>
        <w:autoSpaceDE w:val="0"/>
        <w:autoSpaceDN w:val="0"/>
        <w:adjustRightInd w:val="0"/>
        <w:spacing w:line="360" w:lineRule="auto"/>
        <w:ind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42216525">
      <w:pPr>
        <w:autoSpaceDE w:val="0"/>
        <w:autoSpaceDN w:val="0"/>
        <w:adjustRightInd w:val="0"/>
        <w:spacing w:line="360" w:lineRule="auto"/>
        <w:ind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编号：</w:t>
      </w:r>
    </w:p>
    <w:p w14:paraId="16321323">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（下称“受益人”）： </w:t>
      </w:r>
    </w:p>
    <w:p w14:paraId="1A14DF43">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p>
    <w:p w14:paraId="2DC5D400">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（下称“申请人”）已与贵方签订了</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14:textFill>
            <w14:solidFill>
              <w14:schemeClr w14:val="tx1"/>
            </w14:solidFill>
          </w14:textFill>
        </w:rPr>
        <w:t>。我方已接受申请人的请求，并出具《履约保证保险》保险单。</w:t>
      </w:r>
      <w:r>
        <w:rPr>
          <w:rFonts w:ascii="宋体" w:hAnsi="宋体" w:eastAsia="宋体" w:cs="宋体"/>
          <w:color w:val="000000" w:themeColor="text1"/>
          <w:kern w:val="0"/>
          <w:szCs w:val="21"/>
          <w:highlight w:val="none"/>
          <w14:textFill>
            <w14:solidFill>
              <w14:schemeClr w14:val="tx1"/>
            </w14:solidFill>
          </w14:textFill>
        </w:rPr>
        <w:t xml:space="preserve"> </w:t>
      </w:r>
    </w:p>
    <w:p w14:paraId="1962C27E">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一、保证保险金额 </w:t>
      </w:r>
    </w:p>
    <w:p w14:paraId="7CCC21FA">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我方承担的履约保证保险的保险金额（最高限额）为人民币（大写）</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元 （</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3E407B97">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二、保证保险的责任范围 </w:t>
      </w:r>
    </w:p>
    <w:p w14:paraId="4AD22ECA">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在保险期间内，申请人因自身原因未按照与贵方签订的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14:textFill>
            <w14:solidFill>
              <w14:schemeClr w14:val="tx1"/>
            </w14:solidFill>
          </w14:textFill>
        </w:rPr>
        <w:t xml:space="preserve">履行相关义务，给贵方造成损失的，贵方可向我方提出索赔，我方按照保险合同的约定承担损失赔偿责任。 </w:t>
      </w:r>
    </w:p>
    <w:p w14:paraId="7C59DA8A">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三、代偿的安排 </w:t>
      </w:r>
    </w:p>
    <w:p w14:paraId="1E21D433">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12D669F1">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四、生效时间 </w:t>
      </w:r>
    </w:p>
    <w:p w14:paraId="46AB0BFB">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本保险凭证自我方法定代表人（或其授权代理人）签字并加盖保险承保章之日起生效。 </w:t>
      </w:r>
    </w:p>
    <w:p w14:paraId="2AF77653">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五、其他</w:t>
      </w:r>
    </w:p>
    <w:p w14:paraId="72831555">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14:textFill>
            <w14:solidFill>
              <w14:schemeClr w14:val="tx1"/>
            </w14:solidFill>
          </w14:textFill>
        </w:rPr>
        <w:t>履约保证保险</w:t>
      </w:r>
      <w:r>
        <w:rPr>
          <w:rFonts w:hint="eastAsia" w:ascii="宋体" w:hAnsi="宋体" w:eastAsia="宋体" w:cs="Times New Roman"/>
          <w:color w:val="000000" w:themeColor="text1"/>
          <w:kern w:val="0"/>
          <w:szCs w:val="21"/>
          <w:highlight w:val="none"/>
          <w14:textFill>
            <w14:solidFill>
              <w14:schemeClr w14:val="tx1"/>
            </w14:solidFill>
          </w14:textFill>
        </w:rPr>
        <w:t>应</w:t>
      </w:r>
      <w:bookmarkStart w:id="630" w:name="OLE_LINK389"/>
      <w:r>
        <w:rPr>
          <w:rFonts w:hint="eastAsia" w:ascii="宋体" w:hAnsi="宋体" w:eastAsia="宋体" w:cs="Times New Roman"/>
          <w:color w:val="000000" w:themeColor="text1"/>
          <w:kern w:val="0"/>
          <w:szCs w:val="21"/>
          <w:highlight w:val="none"/>
          <w14:textFill>
            <w14:solidFill>
              <w14:schemeClr w14:val="tx1"/>
            </w14:solidFill>
          </w14:textFill>
        </w:rPr>
        <w:t>从合同签订之日起至依法完成本项目的所有合同义务且双方结算完毕后二十八（28）日内</w:t>
      </w:r>
      <w:bookmarkEnd w:id="630"/>
      <w:r>
        <w:rPr>
          <w:rFonts w:hint="eastAsia" w:ascii="宋体" w:hAnsi="宋体" w:eastAsia="宋体" w:cs="Times New Roman"/>
          <w:color w:val="000000" w:themeColor="text1"/>
          <w:kern w:val="0"/>
          <w:szCs w:val="21"/>
          <w:highlight w:val="none"/>
          <w14:textFill>
            <w14:solidFill>
              <w14:schemeClr w14:val="tx1"/>
            </w14:solidFill>
          </w14:textFill>
        </w:rPr>
        <w:t>保持有效。</w:t>
      </w:r>
    </w:p>
    <w:p w14:paraId="29D64D26">
      <w:pPr>
        <w:pStyle w:val="5"/>
        <w:rPr>
          <w:color w:val="000000" w:themeColor="text1"/>
          <w:highlight w:val="none"/>
          <w14:textFill>
            <w14:solidFill>
              <w14:schemeClr w14:val="tx1"/>
            </w14:solidFill>
          </w14:textFill>
        </w:rPr>
      </w:pPr>
    </w:p>
    <w:p w14:paraId="1D5A7A9B">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w:t>
      </w:r>
      <w:r>
        <w:rPr>
          <w:rFonts w:ascii="宋体" w:hAnsi="宋体" w:eastAsia="宋体" w:cs="宋体"/>
          <w:color w:val="000000" w:themeColor="text1"/>
          <w:kern w:val="0"/>
          <w:szCs w:val="21"/>
          <w:highlight w:val="none"/>
          <w14:textFill>
            <w14:solidFill>
              <w14:schemeClr w14:val="tx1"/>
            </w14:solidFill>
          </w14:textFill>
        </w:rPr>
        <w:t xml:space="preserve">XXX </w:t>
      </w:r>
      <w:r>
        <w:rPr>
          <w:rFonts w:hint="eastAsia" w:ascii="宋体" w:hAnsi="宋体" w:eastAsia="宋体" w:cs="宋体"/>
          <w:color w:val="000000" w:themeColor="text1"/>
          <w:kern w:val="0"/>
          <w:szCs w:val="21"/>
          <w:highlight w:val="none"/>
          <w14:textFill>
            <w14:solidFill>
              <w14:schemeClr w14:val="tx1"/>
            </w14:solidFill>
          </w14:textFill>
        </w:rPr>
        <w:t>保险有限公司履约保证保险（</w:t>
      </w:r>
      <w:r>
        <w:rPr>
          <w:rFonts w:ascii="宋体" w:hAnsi="宋体" w:eastAsia="宋体" w:cs="宋体"/>
          <w:color w:val="000000" w:themeColor="text1"/>
          <w:kern w:val="0"/>
          <w:szCs w:val="21"/>
          <w:highlight w:val="none"/>
          <w14:textFill>
            <w14:solidFill>
              <w14:schemeClr w14:val="tx1"/>
            </w14:solidFill>
          </w14:textFill>
        </w:rPr>
        <w:t xml:space="preserve">X </w:t>
      </w:r>
      <w:r>
        <w:rPr>
          <w:rFonts w:hint="eastAsia" w:ascii="宋体" w:hAnsi="宋体" w:eastAsia="宋体" w:cs="宋体"/>
          <w:color w:val="000000" w:themeColor="text1"/>
          <w:kern w:val="0"/>
          <w:szCs w:val="21"/>
          <w:highlight w:val="none"/>
          <w14:textFill>
            <w14:solidFill>
              <w14:schemeClr w14:val="tx1"/>
            </w14:solidFill>
          </w14:textFill>
        </w:rPr>
        <w:t xml:space="preserve">款）条款》及保单 </w:t>
      </w:r>
    </w:p>
    <w:p w14:paraId="331E50F2">
      <w:pPr>
        <w:autoSpaceDE w:val="0"/>
        <w:autoSpaceDN w:val="0"/>
        <w:adjustRightInd w:val="0"/>
        <w:spacing w:line="360" w:lineRule="auto"/>
        <w:ind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2D141614">
      <w:pPr>
        <w:autoSpaceDE w:val="0"/>
        <w:autoSpaceDN w:val="0"/>
        <w:adjustRightInd w:val="0"/>
        <w:spacing w:line="360" w:lineRule="auto"/>
        <w:ind w:firstLine="437"/>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保险人：（盖章）</w:t>
      </w:r>
    </w:p>
    <w:p w14:paraId="769FBFA6">
      <w:pPr>
        <w:autoSpaceDE w:val="0"/>
        <w:autoSpaceDN w:val="0"/>
        <w:adjustRightInd w:val="0"/>
        <w:spacing w:line="360" w:lineRule="auto"/>
        <w:ind w:firstLine="437"/>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法定代表人或授权代理人：</w:t>
      </w:r>
      <w:r>
        <w:rPr>
          <w:rFonts w:ascii="宋体" w:hAnsi="宋体" w:eastAsia="宋体" w:cs="宋体"/>
          <w:color w:val="000000" w:themeColor="text1"/>
          <w:kern w:val="0"/>
          <w:szCs w:val="21"/>
          <w:highlight w:val="none"/>
          <w14:textFill>
            <w14:solidFill>
              <w14:schemeClr w14:val="tx1"/>
            </w14:solidFill>
          </w14:textFill>
        </w:rPr>
        <w:t xml:space="preserve">________ </w:t>
      </w:r>
    </w:p>
    <w:p w14:paraId="698840F5">
      <w:pPr>
        <w:jc w:val="right"/>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Times New Roman"/>
          <w:b/>
          <w:color w:val="000000" w:themeColor="text1"/>
          <w:kern w:val="0"/>
          <w:sz w:val="28"/>
          <w:szCs w:val="28"/>
          <w:highlight w:val="none"/>
          <w14:textFill>
            <w14:solidFill>
              <w14:schemeClr w14:val="tx1"/>
            </w14:solidFill>
          </w14:textFill>
        </w:rPr>
        <w:br w:type="page"/>
      </w:r>
    </w:p>
    <w:p w14:paraId="2B30E85F">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b/>
          <w:color w:val="000000" w:themeColor="text1"/>
          <w:kern w:val="0"/>
          <w:sz w:val="28"/>
          <w:szCs w:val="28"/>
          <w:highlight w:val="none"/>
          <w14:textFill>
            <w14:solidFill>
              <w14:schemeClr w14:val="tx1"/>
            </w14:solidFill>
          </w14:textFill>
        </w:rPr>
        <w:t>三、担保公司履约担保书格式</w:t>
      </w:r>
    </w:p>
    <w:p w14:paraId="0E4F5789">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bookmarkStart w:id="631" w:name="OLE_LINK118"/>
      <w:bookmarkStart w:id="632" w:name="OLE_LINK307"/>
      <w:r>
        <w:rPr>
          <w:rFonts w:hint="eastAsia" w:ascii="宋体" w:hAnsi="宋体" w:eastAsia="宋体" w:cs="Times New Roman"/>
          <w:b/>
          <w:color w:val="000000" w:themeColor="text1"/>
          <w:kern w:val="0"/>
          <w:sz w:val="30"/>
          <w:szCs w:val="30"/>
          <w:highlight w:val="none"/>
          <w14:textFill>
            <w14:solidFill>
              <w14:schemeClr w14:val="tx1"/>
            </w14:solidFill>
          </w14:textFill>
        </w:rPr>
        <w:t>担保公司履约担保书</w:t>
      </w:r>
      <w:bookmarkEnd w:id="631"/>
    </w:p>
    <w:p w14:paraId="14DDE024">
      <w:pPr>
        <w:widowControl/>
        <w:autoSpaceDE w:val="0"/>
        <w:autoSpaceDN w:val="0"/>
        <w:adjustRightInd w:val="0"/>
        <w:spacing w:before="100" w:beforeAutospacing="1" w:after="100" w:afterAutospacing="1"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1EEC6F7D">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鉴于</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申请人</w:t>
      </w:r>
      <w:r>
        <w:rPr>
          <w:rFonts w:ascii="宋体" w:hAnsi="宋体" w:eastAsia="宋体" w:cs="Times New Roman"/>
          <w:color w:val="000000" w:themeColor="text1"/>
          <w:kern w:val="0"/>
          <w:szCs w:val="21"/>
          <w:highlight w:val="none"/>
          <w:u w:val="single"/>
          <w14:textFill>
            <w14:solidFill>
              <w14:schemeClr w14:val="tx1"/>
            </w14:solidFill>
          </w14:textFill>
        </w:rPr>
        <w:t xml:space="preserve">的名称与地址）  </w:t>
      </w:r>
      <w:r>
        <w:rPr>
          <w:rFonts w:ascii="宋体" w:hAnsi="宋体" w:eastAsia="宋体" w:cs="Times New Roman"/>
          <w:color w:val="000000" w:themeColor="text1"/>
          <w:kern w:val="0"/>
          <w:szCs w:val="21"/>
          <w:highlight w:val="none"/>
          <w14:textFill>
            <w14:solidFill>
              <w14:schemeClr w14:val="tx1"/>
            </w14:solidFill>
          </w14:textFill>
        </w:rPr>
        <w:t>（下称“</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”），已保证按</w:t>
      </w:r>
      <w:r>
        <w:rPr>
          <w:rFonts w:hint="eastAsia" w:ascii="宋体" w:hAnsi="宋体" w:eastAsia="宋体" w:cs="宋体"/>
          <w:color w:val="000000" w:themeColor="text1"/>
          <w:kern w:val="0"/>
          <w:szCs w:val="21"/>
          <w:highlight w:val="none"/>
          <w14:textFill>
            <w14:solidFill>
              <w14:schemeClr w14:val="tx1"/>
            </w14:solidFill>
          </w14:textFill>
        </w:rPr>
        <w:t>拟签订的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合同（招标文件）</w:t>
      </w:r>
      <w:r>
        <w:rPr>
          <w:rFonts w:ascii="宋体" w:hAnsi="宋体" w:eastAsia="宋体" w:cs="Times New Roman"/>
          <w:color w:val="000000" w:themeColor="text1"/>
          <w:kern w:val="0"/>
          <w:szCs w:val="21"/>
          <w:highlight w:val="none"/>
          <w14:textFill>
            <w14:solidFill>
              <w14:schemeClr w14:val="tx1"/>
            </w14:solidFill>
          </w14:textFill>
        </w:rPr>
        <w:t>中规定的义务履行合同。</w:t>
      </w:r>
    </w:p>
    <w:p w14:paraId="6F7DE0E7">
      <w:pPr>
        <w:widowControl/>
        <w:autoSpaceDE w:val="0"/>
        <w:autoSpaceDN w:val="0"/>
        <w:adjustRightInd w:val="0"/>
        <w:spacing w:line="360" w:lineRule="auto"/>
        <w:ind w:firstLine="567" w:firstLineChars="27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根据上述合同（招标文件）规定，</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应向受益人提供一份金额为人民币</w:t>
      </w:r>
      <w:r>
        <w:rPr>
          <w:rFonts w:hint="eastAsia" w:ascii="宋体" w:hAnsi="宋体" w:eastAsia="宋体" w:cs="宋体"/>
          <w:color w:val="000000" w:themeColor="text1"/>
          <w:kern w:val="0"/>
          <w:szCs w:val="21"/>
          <w:highlight w:val="none"/>
          <w14:textFill>
            <w14:solidFill>
              <w14:schemeClr w14:val="tx1"/>
            </w14:solidFill>
          </w14:textFill>
        </w:rPr>
        <w:t>（大写）</w:t>
      </w:r>
      <w:r>
        <w:rPr>
          <w:rFonts w:ascii="宋体" w:hAnsi="宋体" w:eastAsia="宋体" w:cs="Times New Roman"/>
          <w:color w:val="000000" w:themeColor="text1"/>
          <w:kern w:val="0"/>
          <w:szCs w:val="21"/>
          <w:highlight w:val="none"/>
          <w:u w:val="single"/>
          <w14:textFill>
            <w14:solidFill>
              <w14:schemeClr w14:val="tx1"/>
            </w14:solidFill>
          </w14:textFill>
        </w:rPr>
        <w:t xml:space="preserve">     （RMB元）</w:t>
      </w:r>
      <w:r>
        <w:rPr>
          <w:rFonts w:ascii="宋体" w:hAnsi="宋体" w:eastAsia="宋体" w:cs="Times New Roman"/>
          <w:color w:val="000000" w:themeColor="text1"/>
          <w:kern w:val="0"/>
          <w:szCs w:val="21"/>
          <w:highlight w:val="none"/>
          <w14:textFill>
            <w14:solidFill>
              <w14:schemeClr w14:val="tx1"/>
            </w14:solidFill>
          </w14:textFill>
        </w:rPr>
        <w:t>的</w:t>
      </w:r>
      <w:r>
        <w:rPr>
          <w:rFonts w:hint="eastAsia" w:ascii="宋体" w:hAnsi="宋体" w:eastAsia="宋体" w:cs="Times New Roman"/>
          <w:color w:val="000000" w:themeColor="text1"/>
          <w:kern w:val="0"/>
          <w:szCs w:val="21"/>
          <w:highlight w:val="none"/>
          <w14:textFill>
            <w14:solidFill>
              <w14:schemeClr w14:val="tx1"/>
            </w14:solidFill>
          </w14:textFill>
        </w:rPr>
        <w:t>无条件、</w:t>
      </w:r>
      <w:r>
        <w:rPr>
          <w:rFonts w:ascii="宋体" w:hAnsi="宋体" w:eastAsia="宋体" w:cs="Times New Roman"/>
          <w:bCs/>
          <w:color w:val="000000" w:themeColor="text1"/>
          <w:kern w:val="0"/>
          <w:szCs w:val="21"/>
          <w:highlight w:val="none"/>
          <w14:textFill>
            <w14:solidFill>
              <w14:schemeClr w14:val="tx1"/>
            </w14:solidFill>
          </w14:textFill>
        </w:rPr>
        <w:t>不可撤销</w:t>
      </w:r>
      <w:r>
        <w:rPr>
          <w:rFonts w:ascii="宋体" w:hAnsi="宋体" w:eastAsia="宋体" w:cs="Times New Roman"/>
          <w:color w:val="000000" w:themeColor="text1"/>
          <w:kern w:val="0"/>
          <w:szCs w:val="21"/>
          <w:highlight w:val="none"/>
          <w14:textFill>
            <w14:solidFill>
              <w14:schemeClr w14:val="tx1"/>
            </w14:solidFill>
          </w14:textFill>
        </w:rPr>
        <w:t>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，作为</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履行上述合同的担保</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Hans"/>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名称）</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Hans"/>
          <w14:textFill>
            <w14:solidFill>
              <w14:schemeClr w14:val="tx1"/>
            </w14:solidFill>
          </w14:textFill>
        </w:rPr>
        <w:t>本合同项下的保证责任为连带责任保证</w:t>
      </w:r>
      <w:r>
        <w:rPr>
          <w:rFonts w:hint="eastAsia" w:ascii="宋体" w:hAnsi="宋体" w:eastAsia="宋体" w:cs="宋体"/>
          <w:color w:val="000000" w:themeColor="text1"/>
          <w:kern w:val="0"/>
          <w:szCs w:val="21"/>
          <w:highlight w:val="none"/>
          <w14:textFill>
            <w14:solidFill>
              <w14:schemeClr w14:val="tx1"/>
            </w14:solidFill>
          </w14:textFill>
        </w:rPr>
        <w:t>。</w:t>
      </w:r>
    </w:p>
    <w:p w14:paraId="4B29FD98">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 xml:space="preserve">名称）  </w:t>
      </w:r>
      <w:r>
        <w:rPr>
          <w:rFonts w:ascii="宋体" w:hAnsi="宋体" w:eastAsia="宋体" w:cs="Times New Roman"/>
          <w:color w:val="000000" w:themeColor="text1"/>
          <w:kern w:val="0"/>
          <w:szCs w:val="21"/>
          <w:highlight w:val="none"/>
          <w14:textFill>
            <w14:solidFill>
              <w14:schemeClr w14:val="tx1"/>
            </w14:solidFill>
          </w14:textFill>
        </w:rPr>
        <w:t>，受</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的委托，</w:t>
      </w:r>
      <w:r>
        <w:rPr>
          <w:rFonts w:hint="eastAsia" w:ascii="宋体" w:hAnsi="宋体" w:eastAsia="宋体" w:cs="宋体"/>
          <w:color w:val="000000" w:themeColor="text1"/>
          <w:kern w:val="0"/>
          <w:szCs w:val="21"/>
          <w:highlight w:val="none"/>
          <w14:textFill>
            <w14:solidFill>
              <w14:schemeClr w14:val="tx1"/>
            </w14:solidFill>
          </w14:textFill>
        </w:rPr>
        <w:t>无条件和不可撤销地在受益人出具本担保书原件且提出因申请人没有履行上述合同规定，在担保书限额内向受益人支付不超过人民币（大写）_________（¥</w:t>
      </w:r>
      <w:r>
        <w:rPr>
          <w:rFonts w:ascii="宋体" w:hAnsi="宋体" w:eastAsia="宋体" w:cs="宋体"/>
          <w:color w:val="000000" w:themeColor="text1"/>
          <w:kern w:val="0"/>
          <w:szCs w:val="21"/>
          <w:highlight w:val="none"/>
          <w14:textFill>
            <w14:solidFill>
              <w14:schemeClr w14:val="tx1"/>
            </w14:solidFill>
          </w14:textFill>
        </w:rPr>
        <w:t>_______元）</w:t>
      </w:r>
      <w:r>
        <w:rPr>
          <w:rFonts w:hint="eastAsia" w:ascii="宋体" w:hAnsi="宋体" w:eastAsia="宋体" w:cs="宋体"/>
          <w:color w:val="000000" w:themeColor="text1"/>
          <w:kern w:val="0"/>
          <w:szCs w:val="21"/>
          <w:highlight w:val="none"/>
          <w14:textFill>
            <w14:solidFill>
              <w14:schemeClr w14:val="tx1"/>
            </w14:solidFill>
          </w14:textFill>
        </w:rPr>
        <w:t>的款项。</w:t>
      </w:r>
    </w:p>
    <w:p w14:paraId="24F29DD7">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我方还同意，任何受益人与</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之间可能对合同条款的修改、规范或其他合同文件的变动补充，都不能免除我方按本</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函所承担的责任。因此，有关上述变动、补充和修改无须通知</w:t>
      </w:r>
      <w:r>
        <w:rPr>
          <w:rFonts w:hint="eastAsia" w:ascii="宋体" w:hAnsi="宋体" w:eastAsia="宋体" w:cs="Times New Roman"/>
          <w:color w:val="000000" w:themeColor="text1"/>
          <w:kern w:val="0"/>
          <w:szCs w:val="21"/>
          <w:highlight w:val="none"/>
          <w14:textFill>
            <w14:solidFill>
              <w14:schemeClr w14:val="tx1"/>
            </w14:solidFill>
          </w14:textFill>
        </w:rPr>
        <w:t>或征得</w:t>
      </w:r>
      <w:r>
        <w:rPr>
          <w:rFonts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0A9E10FC">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w:t>
      </w:r>
      <w:bookmarkStart w:id="633" w:name="OLE_LINK388"/>
      <w:r>
        <w:rPr>
          <w:rFonts w:hint="eastAsia" w:ascii="宋体" w:hAnsi="宋体" w:eastAsia="宋体" w:cs="Times New Roman"/>
          <w:color w:val="000000" w:themeColor="text1"/>
          <w:kern w:val="0"/>
          <w:szCs w:val="21"/>
          <w:highlight w:val="none"/>
          <w14:textFill>
            <w14:solidFill>
              <w14:schemeClr w14:val="tx1"/>
            </w14:solidFill>
          </w14:textFill>
        </w:rPr>
        <w:t>从合同签订之日起至依法完成本项目的所有合同义务且双方结算完毕后二十八（28）日内</w:t>
      </w:r>
      <w:bookmarkEnd w:id="633"/>
      <w:r>
        <w:rPr>
          <w:rFonts w:hint="eastAsia" w:ascii="宋体" w:hAnsi="宋体" w:eastAsia="宋体" w:cs="Times New Roman"/>
          <w:color w:val="000000" w:themeColor="text1"/>
          <w:kern w:val="0"/>
          <w:szCs w:val="21"/>
          <w:highlight w:val="none"/>
          <w14:textFill>
            <w14:solidFill>
              <w14:schemeClr w14:val="tx1"/>
            </w14:solidFill>
          </w14:textFill>
        </w:rPr>
        <w:t>保持有效。</w:t>
      </w:r>
    </w:p>
    <w:p w14:paraId="6CFE38C9">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6FD55B6C">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法定代表人或其授权的代理人：（签字或盖私章）</w:t>
      </w:r>
    </w:p>
    <w:p w14:paraId="6721275B">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担保公司盖章：</w:t>
      </w:r>
    </w:p>
    <w:p w14:paraId="7DEFC843">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联系电话：</w:t>
      </w:r>
    </w:p>
    <w:p w14:paraId="72E2BC5B">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地址：</w:t>
      </w:r>
    </w:p>
    <w:p w14:paraId="7F60DF5F">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日期：    年   月   日</w:t>
      </w:r>
    </w:p>
    <w:bookmarkEnd w:id="632"/>
    <w:p w14:paraId="42664A81">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pPr>
    </w:p>
    <w:p w14:paraId="69450E9A">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pPr>
    </w:p>
    <w:p w14:paraId="194E1EB0">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64FBF943">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31966971">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7257CF51">
      <w:pPr>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2DB94A44">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634" w:name="_Toc486167708"/>
      <w:bookmarkStart w:id="635" w:name="_Toc450662895"/>
      <w:bookmarkStart w:id="636" w:name="_Toc142508361"/>
      <w:bookmarkStart w:id="637" w:name="_Toc12794"/>
      <w:bookmarkStart w:id="638" w:name="_Toc32761_WPSOffice_Level1"/>
      <w:bookmarkStart w:id="639" w:name="_Toc28486"/>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第六篇 投标文件格式</w:t>
      </w:r>
      <w:bookmarkEnd w:id="634"/>
      <w:bookmarkEnd w:id="635"/>
      <w:bookmarkEnd w:id="636"/>
      <w:bookmarkEnd w:id="637"/>
      <w:bookmarkEnd w:id="638"/>
      <w:bookmarkEnd w:id="639"/>
    </w:p>
    <w:p w14:paraId="3862E5A6">
      <w:pPr>
        <w:pStyle w:val="19"/>
        <w:spacing w:line="360" w:lineRule="auto"/>
        <w:jc w:val="center"/>
        <w:rPr>
          <w:rFonts w:ascii="宋体" w:hAnsi="宋体" w:cs="宋体"/>
          <w:b/>
          <w:color w:val="000000" w:themeColor="text1"/>
          <w:kern w:val="0"/>
          <w:sz w:val="32"/>
          <w:szCs w:val="32"/>
          <w:highlight w:val="none"/>
          <w14:textFill>
            <w14:solidFill>
              <w14:schemeClr w14:val="tx1"/>
            </w14:solidFill>
          </w14:textFill>
        </w:rPr>
      </w:pPr>
      <w:bookmarkStart w:id="640" w:name="_Toc533708121"/>
      <w:bookmarkStart w:id="641" w:name="_Toc140596921"/>
      <w:bookmarkStart w:id="642" w:name="_Toc21133_WPSOffice_Level2"/>
      <w:bookmarkStart w:id="643" w:name="_Toc94107202"/>
      <w:bookmarkStart w:id="644" w:name="_Toc102860411"/>
      <w:bookmarkStart w:id="645" w:name="_Toc102860067"/>
      <w:bookmarkStart w:id="646" w:name="_Toc104991868"/>
      <w:bookmarkStart w:id="647" w:name="_Toc142508362"/>
      <w:bookmarkStart w:id="648" w:name="_Toc486167709"/>
      <w:bookmarkStart w:id="649" w:name="_Toc1977721"/>
      <w:r>
        <w:rPr>
          <w:rFonts w:hint="eastAsia" w:ascii="宋体" w:hAnsi="宋体" w:cs="宋体"/>
          <w:b/>
          <w:color w:val="000000" w:themeColor="text1"/>
          <w:kern w:val="0"/>
          <w:sz w:val="32"/>
          <w:szCs w:val="32"/>
          <w:highlight w:val="none"/>
          <w14:textFill>
            <w14:solidFill>
              <w14:schemeClr w14:val="tx1"/>
            </w14:solidFill>
          </w14:textFill>
        </w:rPr>
        <w:br w:type="page"/>
      </w:r>
    </w:p>
    <w:p w14:paraId="4510EE11">
      <w:pPr>
        <w:pStyle w:val="19"/>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3589D712">
      <w:pPr>
        <w:pStyle w:val="19"/>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040C9FAA">
      <w:pPr>
        <w:pStyle w:val="19"/>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7355F33A">
      <w:pPr>
        <w:pStyle w:val="19"/>
        <w:spacing w:line="360" w:lineRule="auto"/>
        <w:jc w:val="center"/>
        <w:rPr>
          <w:rFonts w:ascii="宋体" w:hAnsi="宋体" w:cs="宋体"/>
          <w:color w:val="000000" w:themeColor="text1"/>
          <w:sz w:val="84"/>
          <w:highlight w:val="none"/>
          <w14:textFill>
            <w14:solidFill>
              <w14:schemeClr w14:val="tx1"/>
            </w14:solidFill>
          </w14:textFill>
        </w:rPr>
      </w:pPr>
    </w:p>
    <w:p w14:paraId="4360FA4C">
      <w:pPr>
        <w:pStyle w:val="19"/>
        <w:spacing w:line="360" w:lineRule="auto"/>
        <w:jc w:val="center"/>
        <w:rPr>
          <w:rFonts w:ascii="宋体" w:hAnsi="宋体" w:cs="宋体"/>
          <w:color w:val="000000" w:themeColor="text1"/>
          <w:sz w:val="84"/>
          <w:highlight w:val="none"/>
          <w14:textFill>
            <w14:solidFill>
              <w14:schemeClr w14:val="tx1"/>
            </w14:solidFill>
          </w14:textFill>
        </w:rPr>
      </w:pPr>
      <w:r>
        <w:rPr>
          <w:rFonts w:hint="eastAsia" w:ascii="宋体" w:hAnsi="宋体" w:cs="宋体"/>
          <w:color w:val="000000" w:themeColor="text1"/>
          <w:sz w:val="84"/>
          <w:highlight w:val="none"/>
          <w14:textFill>
            <w14:solidFill>
              <w14:schemeClr w14:val="tx1"/>
            </w14:solidFill>
          </w14:textFill>
        </w:rPr>
        <w:t>投 标 文 件</w:t>
      </w:r>
    </w:p>
    <w:p w14:paraId="7A6F03C2">
      <w:pPr>
        <w:pStyle w:val="19"/>
        <w:spacing w:line="360" w:lineRule="auto"/>
        <w:rPr>
          <w:rFonts w:ascii="宋体" w:hAnsi="宋体" w:cs="宋体"/>
          <w:color w:val="000000" w:themeColor="text1"/>
          <w:highlight w:val="none"/>
          <w14:textFill>
            <w14:solidFill>
              <w14:schemeClr w14:val="tx1"/>
            </w14:solidFill>
          </w14:textFill>
        </w:rPr>
      </w:pPr>
    </w:p>
    <w:p w14:paraId="0FF014A1">
      <w:pPr>
        <w:pStyle w:val="19"/>
        <w:spacing w:line="360" w:lineRule="auto"/>
        <w:rPr>
          <w:rFonts w:ascii="宋体" w:hAnsi="宋体" w:cs="宋体"/>
          <w:color w:val="000000" w:themeColor="text1"/>
          <w:highlight w:val="none"/>
          <w14:textFill>
            <w14:solidFill>
              <w14:schemeClr w14:val="tx1"/>
            </w14:solidFill>
          </w14:textFill>
        </w:rPr>
      </w:pPr>
    </w:p>
    <w:p w14:paraId="08540E60">
      <w:pPr>
        <w:pStyle w:val="19"/>
        <w:spacing w:line="360" w:lineRule="auto"/>
        <w:rPr>
          <w:rFonts w:ascii="宋体" w:hAnsi="宋体" w:cs="宋体"/>
          <w:color w:val="000000" w:themeColor="text1"/>
          <w:highlight w:val="none"/>
          <w14:textFill>
            <w14:solidFill>
              <w14:schemeClr w14:val="tx1"/>
            </w14:solidFill>
          </w14:textFill>
        </w:rPr>
      </w:pPr>
    </w:p>
    <w:p w14:paraId="1BB840F5">
      <w:pPr>
        <w:pStyle w:val="19"/>
        <w:spacing w:line="360" w:lineRule="auto"/>
        <w:rPr>
          <w:rFonts w:ascii="宋体" w:hAnsi="宋体" w:cs="宋体"/>
          <w:color w:val="000000" w:themeColor="text1"/>
          <w:highlight w:val="none"/>
          <w14:textFill>
            <w14:solidFill>
              <w14:schemeClr w14:val="tx1"/>
            </w14:solidFill>
          </w14:textFill>
        </w:rPr>
      </w:pPr>
    </w:p>
    <w:p w14:paraId="06A0C6CE">
      <w:pPr>
        <w:pStyle w:val="19"/>
        <w:spacing w:line="360" w:lineRule="auto"/>
        <w:rPr>
          <w:rFonts w:ascii="宋体" w:hAnsi="宋体" w:cs="宋体"/>
          <w:color w:val="000000" w:themeColor="text1"/>
          <w:highlight w:val="none"/>
          <w14:textFill>
            <w14:solidFill>
              <w14:schemeClr w14:val="tx1"/>
            </w14:solidFill>
          </w14:textFill>
        </w:rPr>
      </w:pPr>
    </w:p>
    <w:p w14:paraId="60F79178">
      <w:pPr>
        <w:pStyle w:val="19"/>
        <w:spacing w:line="360" w:lineRule="auto"/>
        <w:rPr>
          <w:rFonts w:ascii="宋体" w:hAnsi="宋体" w:cs="宋体"/>
          <w:color w:val="000000" w:themeColor="text1"/>
          <w:highlight w:val="none"/>
          <w14:textFill>
            <w14:solidFill>
              <w14:schemeClr w14:val="tx1"/>
            </w14:solidFill>
          </w14:textFill>
        </w:rPr>
      </w:pPr>
    </w:p>
    <w:p w14:paraId="1494911F">
      <w:pPr>
        <w:pStyle w:val="19"/>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招标编号：</w:t>
      </w:r>
      <w:r>
        <w:rPr>
          <w:rFonts w:hint="eastAsia" w:ascii="宋体" w:hAnsi="宋体" w:cs="宋体"/>
          <w:color w:val="000000" w:themeColor="text1"/>
          <w:sz w:val="30"/>
          <w:highlight w:val="none"/>
          <w:u w:val="single"/>
          <w14:textFill>
            <w14:solidFill>
              <w14:schemeClr w14:val="tx1"/>
            </w14:solidFill>
          </w14:textFill>
        </w:rPr>
        <w:t xml:space="preserve">                      </w:t>
      </w:r>
    </w:p>
    <w:p w14:paraId="229014A6">
      <w:pPr>
        <w:pStyle w:val="19"/>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项目名称：</w:t>
      </w:r>
      <w:r>
        <w:rPr>
          <w:rFonts w:hint="eastAsia" w:ascii="宋体" w:hAnsi="宋体" w:cs="宋体"/>
          <w:color w:val="000000" w:themeColor="text1"/>
          <w:sz w:val="30"/>
          <w:highlight w:val="none"/>
          <w:u w:val="single"/>
          <w14:textFill>
            <w14:solidFill>
              <w14:schemeClr w14:val="tx1"/>
            </w14:solidFill>
          </w14:textFill>
        </w:rPr>
        <w:t xml:space="preserve">                      </w:t>
      </w:r>
    </w:p>
    <w:p w14:paraId="0C74FB9A">
      <w:pPr>
        <w:pStyle w:val="19"/>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投标文件内容：</w:t>
      </w:r>
      <w:r>
        <w:rPr>
          <w:rFonts w:hint="eastAsia" w:ascii="宋体" w:hAnsi="宋体" w:cs="宋体"/>
          <w:color w:val="000000" w:themeColor="text1"/>
          <w:sz w:val="30"/>
          <w:highlight w:val="none"/>
          <w:u w:val="single"/>
          <w14:textFill>
            <w14:solidFill>
              <w14:schemeClr w14:val="tx1"/>
            </w14:solidFill>
          </w14:textFill>
        </w:rPr>
        <w:t xml:space="preserve"> 投标文件商务部分 </w:t>
      </w:r>
    </w:p>
    <w:p w14:paraId="7EE4E782">
      <w:pPr>
        <w:pStyle w:val="19"/>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招标人：</w:t>
      </w:r>
      <w:r>
        <w:rPr>
          <w:rFonts w:hint="eastAsia" w:ascii="宋体" w:hAnsi="宋体" w:cs="宋体"/>
          <w:color w:val="000000" w:themeColor="text1"/>
          <w:sz w:val="30"/>
          <w:highlight w:val="none"/>
          <w:u w:val="single"/>
          <w14:textFill>
            <w14:solidFill>
              <w14:schemeClr w14:val="tx1"/>
            </w14:solidFill>
          </w14:textFill>
        </w:rPr>
        <w:t xml:space="preserve">                        </w:t>
      </w:r>
    </w:p>
    <w:p w14:paraId="2E9258A5">
      <w:pPr>
        <w:pStyle w:val="19"/>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投标人：</w:t>
      </w:r>
      <w:r>
        <w:rPr>
          <w:rFonts w:hint="eastAsia" w:ascii="宋体" w:hAnsi="宋体" w:cs="宋体"/>
          <w:color w:val="000000" w:themeColor="text1"/>
          <w:sz w:val="30"/>
          <w:highlight w:val="none"/>
          <w:u w:val="single"/>
          <w14:textFill>
            <w14:solidFill>
              <w14:schemeClr w14:val="tx1"/>
            </w14:solidFill>
          </w14:textFill>
        </w:rPr>
        <w:t xml:space="preserve">                        </w:t>
      </w:r>
    </w:p>
    <w:p w14:paraId="3F5F7381">
      <w:pPr>
        <w:pStyle w:val="19"/>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日  期：</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年</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月</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日</w:t>
      </w:r>
    </w:p>
    <w:p w14:paraId="4BDEF33B">
      <w:pPr>
        <w:pStyle w:val="19"/>
        <w:spacing w:line="360" w:lineRule="auto"/>
        <w:rPr>
          <w:rFonts w:ascii="宋体" w:hAnsi="宋体" w:cs="宋体"/>
          <w:color w:val="000000" w:themeColor="text1"/>
          <w:highlight w:val="none"/>
          <w14:textFill>
            <w14:solidFill>
              <w14:schemeClr w14:val="tx1"/>
            </w14:solidFill>
          </w14:textFill>
        </w:rPr>
      </w:pPr>
    </w:p>
    <w:p w14:paraId="4325F055">
      <w:pPr>
        <w:pStyle w:val="1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2181B4D0">
      <w:pPr>
        <w:pStyle w:val="19"/>
        <w:spacing w:line="360" w:lineRule="auto"/>
        <w:rPr>
          <w:rFonts w:ascii="宋体" w:hAnsi="宋体" w:cs="宋体"/>
          <w:color w:val="000000" w:themeColor="text1"/>
          <w:highlight w:val="none"/>
          <w14:textFill>
            <w14:solidFill>
              <w14:schemeClr w14:val="tx1"/>
            </w14:solidFill>
          </w14:textFill>
        </w:rPr>
      </w:pPr>
    </w:p>
    <w:p w14:paraId="0802516E">
      <w:pPr>
        <w:pBdr>
          <w:bottom w:val="single" w:color="auto" w:sz="6" w:space="0"/>
        </w:pBdr>
        <w:spacing w:line="480" w:lineRule="auto"/>
        <w:ind w:firstLine="472" w:firstLineChars="224"/>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582D8B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5BFA8F79">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337" w:type="pct"/>
            <w:vAlign w:val="center"/>
          </w:tcPr>
          <w:p w14:paraId="365EFCBC">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861" w:type="pct"/>
            <w:vAlign w:val="center"/>
          </w:tcPr>
          <w:p w14:paraId="751281B9">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招标文件上的满分值</w:t>
            </w:r>
          </w:p>
        </w:tc>
        <w:tc>
          <w:tcPr>
            <w:tcW w:w="2136" w:type="pct"/>
            <w:tcBorders>
              <w:left w:val="single" w:color="auto" w:sz="4" w:space="0"/>
            </w:tcBorders>
            <w:vAlign w:val="center"/>
          </w:tcPr>
          <w:p w14:paraId="620796B5">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14:paraId="6E0C4C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6648B1BF">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0DD7DE5B">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2D7A071A">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3D6F3335">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r>
      <w:tr w14:paraId="4A4EBA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8CD5EDD">
            <w:pP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29BD38A7">
            <w:pPr>
              <w:rPr>
                <w:rFonts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5B331584">
            <w:pP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51CD414B">
            <w:pPr>
              <w:adjustRightInd w:val="0"/>
              <w:snapToGrid w:val="0"/>
              <w:spacing w:line="360" w:lineRule="auto"/>
              <w:ind w:firstLine="105" w:firstLineChars="50"/>
              <w:rPr>
                <w:rFonts w:ascii="宋体" w:hAnsi="宋体" w:eastAsia="宋体" w:cs="宋体"/>
                <w:bCs/>
                <w:color w:val="000000" w:themeColor="text1"/>
                <w:szCs w:val="21"/>
                <w:highlight w:val="none"/>
                <w14:textFill>
                  <w14:solidFill>
                    <w14:schemeClr w14:val="tx1"/>
                  </w14:solidFill>
                </w14:textFill>
              </w:rPr>
            </w:pPr>
          </w:p>
        </w:tc>
      </w:tr>
      <w:tr w14:paraId="48FB7A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49429772">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1AB8DD83">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4116B00C">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1E6CA4D0">
            <w:pPr>
              <w:spacing w:line="360" w:lineRule="auto"/>
              <w:ind w:firstLine="8" w:firstLineChars="4"/>
              <w:rPr>
                <w:rFonts w:ascii="宋体" w:hAnsi="宋体" w:eastAsia="宋体" w:cs="宋体"/>
                <w:bCs/>
                <w:color w:val="000000" w:themeColor="text1"/>
                <w:szCs w:val="21"/>
                <w:highlight w:val="none"/>
                <w14:textFill>
                  <w14:solidFill>
                    <w14:schemeClr w14:val="tx1"/>
                  </w14:solidFill>
                </w14:textFill>
              </w:rPr>
            </w:pPr>
          </w:p>
        </w:tc>
      </w:tr>
      <w:tr w14:paraId="3A0DCB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72A9CA98">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tcBorders>
              <w:top w:val="single" w:color="auto" w:sz="6" w:space="0"/>
              <w:left w:val="single" w:color="auto" w:sz="6" w:space="0"/>
              <w:bottom w:val="outset" w:color="808080" w:sz="6" w:space="0"/>
              <w:right w:val="single" w:color="auto" w:sz="6" w:space="0"/>
            </w:tcBorders>
            <w:vAlign w:val="center"/>
          </w:tcPr>
          <w:p w14:paraId="76CE1A22">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c>
          <w:tcPr>
            <w:tcW w:w="861" w:type="pct"/>
            <w:tcBorders>
              <w:top w:val="single" w:color="auto" w:sz="6" w:space="0"/>
              <w:left w:val="single" w:color="auto" w:sz="6" w:space="0"/>
              <w:bottom w:val="outset" w:color="808080" w:sz="6" w:space="0"/>
              <w:right w:val="single" w:color="auto" w:sz="6" w:space="0"/>
            </w:tcBorders>
            <w:vAlign w:val="center"/>
          </w:tcPr>
          <w:p w14:paraId="5BCD805D">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top w:val="single" w:color="auto" w:sz="6" w:space="0"/>
              <w:left w:val="single" w:color="auto" w:sz="4" w:space="0"/>
              <w:bottom w:val="outset" w:color="808080" w:sz="6" w:space="0"/>
              <w:right w:val="single" w:color="auto" w:sz="6" w:space="0"/>
            </w:tcBorders>
            <w:vAlign w:val="center"/>
          </w:tcPr>
          <w:p w14:paraId="75C24CEB">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r>
      <w:tr w14:paraId="3337BE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3E35AED7">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861" w:type="pct"/>
            <w:tcBorders>
              <w:bottom w:val="single" w:color="auto" w:sz="4" w:space="0"/>
            </w:tcBorders>
            <w:vAlign w:val="center"/>
          </w:tcPr>
          <w:p w14:paraId="2C813464">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bottom w:val="single" w:color="auto" w:sz="4" w:space="0"/>
            </w:tcBorders>
            <w:vAlign w:val="center"/>
          </w:tcPr>
          <w:p w14:paraId="73C3A256">
            <w:pPr>
              <w:spacing w:line="360" w:lineRule="auto"/>
              <w:jc w:val="center"/>
              <w:rPr>
                <w:rFonts w:ascii="宋体" w:hAnsi="宋体" w:eastAsia="宋体" w:cs="宋体"/>
                <w:bCs/>
                <w:color w:val="000000" w:themeColor="text1"/>
                <w:szCs w:val="21"/>
                <w:highlight w:val="none"/>
                <w14:textFill>
                  <w14:solidFill>
                    <w14:schemeClr w14:val="tx1"/>
                  </w14:solidFill>
                </w14:textFill>
              </w:rPr>
            </w:pPr>
          </w:p>
        </w:tc>
      </w:tr>
    </w:tbl>
    <w:p w14:paraId="7C90EE67">
      <w:pPr>
        <w:pStyle w:val="19"/>
        <w:spacing w:line="360" w:lineRule="auto"/>
        <w:rPr>
          <w:rFonts w:ascii="宋体" w:hAnsi="宋体" w:cs="宋体"/>
          <w:color w:val="000000" w:themeColor="text1"/>
          <w:highlight w:val="none"/>
          <w14:textFill>
            <w14:solidFill>
              <w14:schemeClr w14:val="tx1"/>
            </w14:solidFill>
          </w14:textFill>
        </w:rPr>
      </w:pPr>
    </w:p>
    <w:p w14:paraId="5F16D5F5">
      <w:pPr>
        <w:pStyle w:val="19"/>
        <w:spacing w:line="360" w:lineRule="auto"/>
        <w:rPr>
          <w:rFonts w:ascii="宋体" w:hAnsi="宋体" w:cs="宋体"/>
          <w:color w:val="000000" w:themeColor="text1"/>
          <w:highlight w:val="none"/>
          <w14:textFill>
            <w14:solidFill>
              <w14:schemeClr w14:val="tx1"/>
            </w14:solidFill>
          </w14:textFill>
        </w:rPr>
      </w:pPr>
    </w:p>
    <w:p w14:paraId="0A1B119E">
      <w:pPr>
        <w:widowControl/>
        <w:jc w:val="left"/>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4B7F864E">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650" w:name="_Toc18591"/>
      <w:bookmarkStart w:id="651" w:name="_Toc23254"/>
      <w:bookmarkStart w:id="652" w:name="_Toc18706"/>
      <w:bookmarkStart w:id="653" w:name="_Toc13477"/>
      <w:bookmarkStart w:id="654" w:name="_Toc13331"/>
      <w:r>
        <w:rPr>
          <w:rFonts w:hint="eastAsia" w:ascii="宋体" w:hAnsi="宋体" w:eastAsia="宋体" w:cs="宋体"/>
          <w:b/>
          <w:color w:val="000000" w:themeColor="text1"/>
          <w:kern w:val="0"/>
          <w:sz w:val="32"/>
          <w:szCs w:val="32"/>
          <w:highlight w:val="none"/>
          <w14:textFill>
            <w14:solidFill>
              <w14:schemeClr w14:val="tx1"/>
            </w14:solidFill>
          </w14:textFill>
        </w:rPr>
        <w:t>一、投标函格式</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7650491B">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655" w:name="_Toc16695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 标 函</w:t>
      </w:r>
      <w:bookmarkEnd w:id="655"/>
    </w:p>
    <w:p w14:paraId="01118ACC">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14:paraId="19065C80">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致：</w:t>
      </w:r>
      <w:r>
        <w:rPr>
          <w:rFonts w:hint="eastAsia" w:ascii="宋体" w:hAnsi="宋体" w:eastAsia="宋体" w:cs="宋体"/>
          <w:color w:val="000000" w:themeColor="text1"/>
          <w:kern w:val="0"/>
          <w:szCs w:val="21"/>
          <w:highlight w:val="none"/>
          <w:u w:val="single"/>
          <w14:textFill>
            <w14:solidFill>
              <w14:schemeClr w14:val="tx1"/>
            </w14:solidFill>
          </w14:textFill>
        </w:rPr>
        <w:t>东莞市水务集团科技发展有限公司</w:t>
      </w:r>
    </w:p>
    <w:p w14:paraId="24174A4F">
      <w:pPr>
        <w:autoSpaceDE w:val="0"/>
        <w:autoSpaceDN w:val="0"/>
        <w:adjustRightInd w:val="0"/>
        <w:spacing w:line="360" w:lineRule="auto"/>
        <w:rPr>
          <w:rFonts w:ascii="宋体" w:hAnsi="宋体" w:eastAsia="宋体" w:cs="宋体"/>
          <w:color w:val="000000" w:themeColor="text1"/>
          <w:szCs w:val="21"/>
          <w:highlight w:val="none"/>
          <w14:textFill>
            <w14:solidFill>
              <w14:schemeClr w14:val="tx1"/>
            </w14:solidFill>
          </w14:textFill>
        </w:rPr>
      </w:pPr>
    </w:p>
    <w:p w14:paraId="2C8A7355">
      <w:pPr>
        <w:wordWrap w:val="0"/>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根据贵方为</w:t>
      </w:r>
      <w:r>
        <w:rPr>
          <w:rFonts w:hint="eastAsia" w:ascii="宋体" w:hAnsi="宋体" w:eastAsia="宋体" w:cs="宋体"/>
          <w:color w:val="000000" w:themeColor="text1"/>
          <w:kern w:val="0"/>
          <w:szCs w:val="21"/>
          <w:highlight w:val="none"/>
          <w:u w:val="single"/>
          <w14:textFill>
            <w14:solidFill>
              <w14:schemeClr w14:val="tx1"/>
            </w14:solidFill>
          </w14:textFill>
        </w:rPr>
        <w:t>东莞市水务集团科技发展有限公司屋顶分布式光伏发电（一期）采购项目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广建咨询（东招）2024-0133号</w:t>
      </w:r>
      <w:r>
        <w:rPr>
          <w:rFonts w:hint="eastAsia" w:ascii="宋体" w:hAnsi="宋体" w:eastAsia="宋体" w:cs="宋体"/>
          <w:color w:val="000000" w:themeColor="text1"/>
          <w:szCs w:val="21"/>
          <w:highlight w:val="none"/>
          <w:lang w:val="zh-CN"/>
          <w14:textFill>
            <w14:solidFill>
              <w14:schemeClr w14:val="tx1"/>
            </w14:solidFill>
          </w14:textFill>
        </w:rPr>
        <w:t>)的投标邀请，我方（投标人名称）作为投标人正式授权</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授权代表全名，职务）代表我方进行有关本次投标的一切事宜。</w:t>
      </w:r>
    </w:p>
    <w:p w14:paraId="56774FAB">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在此提交的投标文件，包括如下等内容，并已单独密封封装：</w:t>
      </w:r>
    </w:p>
    <w:p w14:paraId="3A3835C4">
      <w:pPr>
        <w:autoSpaceDE w:val="0"/>
        <w:autoSpaceDN w:val="0"/>
        <w:adjustRightInd w:val="0"/>
        <w:spacing w:line="360" w:lineRule="auto"/>
        <w:ind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份】（含投标文件电子文件）；</w:t>
      </w:r>
    </w:p>
    <w:p w14:paraId="19736BE2">
      <w:pPr>
        <w:autoSpaceDE w:val="0"/>
        <w:autoSpaceDN w:val="0"/>
        <w:adjustRightInd w:val="0"/>
        <w:spacing w:line="360" w:lineRule="auto"/>
        <w:ind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（二）投标文件【正本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份，副本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w:t>
      </w:r>
    </w:p>
    <w:p w14:paraId="7BFE821B">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我方已完全明白招标文件的所有条款要求，并重申以下几点：</w:t>
      </w:r>
    </w:p>
    <w:p w14:paraId="6DD2512C">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w:t>
      </w:r>
      <w:r>
        <w:rPr>
          <w:rFonts w:hint="eastAsia" w:ascii="宋体" w:hAnsi="宋体" w:eastAsia="宋体" w:cs="Times New Roman"/>
          <w:color w:val="000000" w:themeColor="text1"/>
          <w:szCs w:val="21"/>
          <w:highlight w:val="none"/>
          <w:lang w:val="zh-CN"/>
          <w14:textFill>
            <w14:solidFill>
              <w14:schemeClr w14:val="tx1"/>
            </w14:solidFill>
          </w14:textFill>
        </w:rPr>
        <w:t>决定</w:t>
      </w:r>
      <w:r>
        <w:rPr>
          <w:rFonts w:hint="eastAsia" w:ascii="宋体" w:hAnsi="宋体" w:eastAsia="宋体" w:cs="宋体"/>
          <w:color w:val="000000" w:themeColor="text1"/>
          <w:szCs w:val="21"/>
          <w:highlight w:val="none"/>
          <w:lang w:val="zh-CN"/>
          <w14:textFill>
            <w14:solidFill>
              <w14:schemeClr w14:val="tx1"/>
            </w14:solidFill>
          </w14:textFill>
        </w:rPr>
        <w:t>参加招标编号为</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广建咨询（东招）2024-0133号</w:t>
      </w:r>
      <w:r>
        <w:rPr>
          <w:rFonts w:hint="eastAsia" w:ascii="宋体" w:hAnsi="宋体" w:eastAsia="宋体" w:cs="宋体"/>
          <w:color w:val="000000" w:themeColor="text1"/>
          <w:szCs w:val="21"/>
          <w:highlight w:val="none"/>
          <w:lang w:val="zh-CN"/>
          <w14:textFill>
            <w14:solidFill>
              <w14:schemeClr w14:val="tx1"/>
            </w14:solidFill>
          </w14:textFill>
        </w:rPr>
        <w:t>的投标；</w:t>
      </w:r>
    </w:p>
    <w:p w14:paraId="3880FF7E">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（二）本投标文件的有效期</w:t>
      </w:r>
      <w:r>
        <w:rPr>
          <w:rFonts w:hint="eastAsia" w:ascii="宋体" w:hAnsi="宋体" w:eastAsia="宋体" w:cs="宋体"/>
          <w:color w:val="000000" w:themeColor="text1"/>
          <w:szCs w:val="21"/>
          <w:highlight w:val="none"/>
          <w14:textFill>
            <w14:solidFill>
              <w14:schemeClr w14:val="tx1"/>
            </w14:solidFill>
          </w14:textFill>
        </w:rPr>
        <w:t>为从投标文件提交截止之日起90日历天</w:t>
      </w:r>
      <w:r>
        <w:rPr>
          <w:rFonts w:hint="eastAsia" w:ascii="宋体" w:hAnsi="宋体" w:eastAsia="宋体" w:cs="宋体"/>
          <w:color w:val="000000" w:themeColor="text1"/>
          <w:szCs w:val="21"/>
          <w:highlight w:val="none"/>
          <w:lang w:val="zh-CN"/>
          <w14:textFill>
            <w14:solidFill>
              <w14:schemeClr w14:val="tx1"/>
            </w14:solidFill>
          </w14:textFill>
        </w:rPr>
        <w:t>，如中标，有效期将延至合同终止日为止；</w:t>
      </w:r>
    </w:p>
    <w:p w14:paraId="47D65E03">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（三）我方已详细研究了招标文件的所有内容包括修正文（如有）和所有已提供的参考资料以及有关附件并完全明白，我方放弃在此方面提出含糊意见或误解的一切权力；</w:t>
      </w:r>
    </w:p>
    <w:p w14:paraId="05E17FBF">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（四）我方明白并愿意在规定的递交投标文件截止时间和日期之后，投标有效期之内撤回投标，则不予退还我方投标保证金；</w:t>
      </w:r>
    </w:p>
    <w:p w14:paraId="36EE7005">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（五）我方同意按照贵方可能提出的要求而提供与投标有关的任何其它数据或信息；</w:t>
      </w:r>
    </w:p>
    <w:p w14:paraId="744C3B0B">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（六）我方理解贵方不一定接受最低报价或任何贵方可能收到的报价；</w:t>
      </w:r>
    </w:p>
    <w:p w14:paraId="2B81FCEC">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（七）我方如果中标，将保证履行招标文件以及招标文件修改书（如有）中的全部责任和义务，按质、按量、按期完成《合同书》中的全部任务；</w:t>
      </w:r>
    </w:p>
    <w:p w14:paraId="34D0C12D">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（八）保证投标文件中所有资料均真实有效，否则按无效投标处理或可取消中标资格，并愿意接受按弄虚作假骗取中标的有关规定进行处理，并不予退还我方投标保证金；</w:t>
      </w:r>
    </w:p>
    <w:p w14:paraId="478FB436">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（九）若我方中标后，我方一定按照招标文件的要求和投标文件的承诺签订和履行合同，否则贵方可取消我方中标资格，并依法不予退还我方投标保证金或履约担保，我方愿意接受违约处罚；</w:t>
      </w:r>
    </w:p>
    <w:p w14:paraId="6F0165CA">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（十）若我方中标后，核查出投标文件内容前后不一致，我方愿按最高标准的承诺履约义务；</w:t>
      </w:r>
    </w:p>
    <w:p w14:paraId="23AADEFC">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w:t>
      </w:r>
      <w:r>
        <w:rPr>
          <w:rFonts w:hint="eastAsia" w:ascii="宋体" w:hAnsi="宋体" w:eastAsia="宋体" w:cs="宋体"/>
          <w:color w:val="000000" w:themeColor="text1"/>
          <w:szCs w:val="21"/>
          <w:highlight w:val="none"/>
          <w14:textFill>
            <w14:solidFill>
              <w14:schemeClr w14:val="tx1"/>
            </w14:solidFill>
          </w14:textFill>
        </w:rPr>
        <w:t>一</w:t>
      </w:r>
      <w:r>
        <w:rPr>
          <w:rFonts w:hint="eastAsia" w:ascii="宋体" w:hAnsi="宋体" w:eastAsia="宋体" w:cs="宋体"/>
          <w:color w:val="000000" w:themeColor="text1"/>
          <w:szCs w:val="21"/>
          <w:highlight w:val="none"/>
          <w:lang w:val="zh-CN"/>
          <w14:textFill>
            <w14:solidFill>
              <w14:schemeClr w14:val="tx1"/>
            </w14:solidFill>
          </w14:textFill>
        </w:rPr>
        <w:t>）我方与其他投标人不存在单位负责人为同一人或者存在控股、管理关系。</w:t>
      </w:r>
    </w:p>
    <w:p w14:paraId="6D3932E6">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w:t>
      </w:r>
      <w:r>
        <w:rPr>
          <w:rFonts w:hint="eastAsia" w:ascii="宋体" w:hAnsi="宋体" w:eastAsia="宋体" w:cs="宋体"/>
          <w:color w:val="000000" w:themeColor="text1"/>
          <w:szCs w:val="21"/>
          <w:highlight w:val="none"/>
          <w14:textFill>
            <w14:solidFill>
              <w14:schemeClr w14:val="tx1"/>
            </w14:solidFill>
          </w14:textFill>
        </w:rPr>
        <w:t>二</w:t>
      </w:r>
      <w:r>
        <w:rPr>
          <w:rFonts w:hint="eastAsia" w:ascii="宋体" w:hAnsi="宋体" w:eastAsia="宋体" w:cs="宋体"/>
          <w:color w:val="000000" w:themeColor="text1"/>
          <w:szCs w:val="21"/>
          <w:highlight w:val="none"/>
          <w:lang w:val="zh-CN"/>
          <w14:textFill>
            <w14:solidFill>
              <w14:schemeClr w14:val="tx1"/>
            </w14:solidFill>
          </w14:textFill>
        </w:rPr>
        <w:t>）所有与本投标有关的函件请发往下列地址：</w:t>
      </w:r>
    </w:p>
    <w:p w14:paraId="46629B17">
      <w:pPr>
        <w:autoSpaceDE w:val="0"/>
        <w:autoSpaceDN w:val="0"/>
        <w:adjustRightInd w:val="0"/>
        <w:spacing w:line="360" w:lineRule="auto"/>
        <w:ind w:left="395" w:leftChars="-12" w:hanging="420" w:hangingChars="200"/>
        <w:rPr>
          <w:rFonts w:ascii="宋体" w:hAnsi="宋体" w:eastAsia="宋体" w:cs="宋体"/>
          <w:color w:val="000000" w:themeColor="text1"/>
          <w:szCs w:val="21"/>
          <w:highlight w:val="none"/>
          <w:u w:val="single"/>
          <w:lang w:val="zh-CN"/>
          <w14:textFill>
            <w14:solidFill>
              <w14:schemeClr w14:val="tx1"/>
            </w14:solidFill>
          </w14:textFill>
        </w:rPr>
      </w:pPr>
    </w:p>
    <w:p w14:paraId="4FE48CCF">
      <w:pPr>
        <w:autoSpaceDE w:val="0"/>
        <w:autoSpaceDN w:val="0"/>
        <w:adjustRightInd w:val="0"/>
        <w:spacing w:line="360" w:lineRule="auto"/>
        <w:ind w:firstLine="420" w:firstLineChars="200"/>
        <w:rPr>
          <w:rFonts w:ascii="宋体" w:hAnsi="宋体" w:eastAsia="宋体" w:cs="宋体"/>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地  　址：</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邮政编码：</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0DFAB7AB">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电　　话：</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代表姓名：</w:t>
      </w:r>
      <w:r>
        <w:rPr>
          <w:rFonts w:hint="eastAsia" w:ascii="宋体" w:hAnsi="宋体" w:eastAsia="宋体" w:cs="宋体"/>
          <w:color w:val="000000" w:themeColor="text1"/>
          <w:szCs w:val="21"/>
          <w:highlight w:val="none"/>
          <w:u w:val="single"/>
          <w:lang w:val="zh-CN"/>
          <w14:textFill>
            <w14:solidFill>
              <w14:schemeClr w14:val="tx1"/>
            </w14:solidFill>
          </w14:textFill>
        </w:rPr>
        <w:t>　　　　　　　　　　　</w:t>
      </w:r>
    </w:p>
    <w:p w14:paraId="6664E61F">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传　　真：</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 xml:space="preserve">        职　　务：</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47DD2CA5">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电子邮箱：</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p>
    <w:p w14:paraId="0B0699AD">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17422C43">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14:paraId="60A8B279">
      <w:pPr>
        <w:autoSpaceDE w:val="0"/>
        <w:autoSpaceDN w:val="0"/>
        <w:adjustRightInd w:val="0"/>
        <w:spacing w:line="360" w:lineRule="auto"/>
        <w:ind w:firstLine="4960" w:firstLineChars="2362"/>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42D3A546">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br w:type="page"/>
      </w:r>
      <w:bookmarkStart w:id="656" w:name="_Toc533708122"/>
      <w:bookmarkStart w:id="657" w:name="_Toc20704"/>
      <w:bookmarkStart w:id="658" w:name="_Toc1977722"/>
      <w:bookmarkStart w:id="659" w:name="_Toc102860068"/>
      <w:bookmarkStart w:id="660" w:name="_Toc142508363"/>
      <w:bookmarkStart w:id="661" w:name="_Toc7211"/>
      <w:bookmarkStart w:id="662" w:name="_Toc102860412"/>
      <w:bookmarkStart w:id="663" w:name="_Toc8696"/>
      <w:bookmarkStart w:id="664" w:name="_Toc104991869"/>
      <w:bookmarkStart w:id="665" w:name="_Toc18633"/>
      <w:bookmarkStart w:id="666" w:name="_Toc486167710"/>
      <w:bookmarkStart w:id="667" w:name="_Toc140596922"/>
      <w:bookmarkStart w:id="668" w:name="_Toc94107203"/>
      <w:bookmarkStart w:id="669" w:name="_Toc28613_WPSOffice_Level2"/>
      <w:bookmarkStart w:id="670" w:name="_Toc26795"/>
      <w:r>
        <w:rPr>
          <w:rFonts w:hint="eastAsia" w:ascii="宋体" w:hAnsi="宋体" w:eastAsia="宋体" w:cs="宋体"/>
          <w:b/>
          <w:color w:val="000000" w:themeColor="text1"/>
          <w:kern w:val="0"/>
          <w:sz w:val="32"/>
          <w:szCs w:val="32"/>
          <w:highlight w:val="none"/>
          <w14:textFill>
            <w14:solidFill>
              <w14:schemeClr w14:val="tx1"/>
            </w14:solidFill>
          </w14:textFill>
        </w:rPr>
        <w:t>二、投标承诺书格式</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4C7835B0">
      <w:pPr>
        <w:autoSpaceDE w:val="0"/>
        <w:autoSpaceDN w:val="0"/>
        <w:adjustRightInd w:val="0"/>
        <w:spacing w:line="360" w:lineRule="auto"/>
        <w:jc w:val="center"/>
        <w:rPr>
          <w:rFonts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投标承诺书</w:t>
      </w:r>
    </w:p>
    <w:p w14:paraId="3AB070D0">
      <w:pPr>
        <w:widowControl/>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1DE4A72B">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（投标人名称）已完整阅读了</w:t>
      </w:r>
      <w:r>
        <w:rPr>
          <w:rFonts w:hint="eastAsia" w:ascii="宋体" w:hAnsi="宋体" w:eastAsia="宋体" w:cs="Times New Roman"/>
          <w:color w:val="000000" w:themeColor="text1"/>
          <w:kern w:val="0"/>
          <w:szCs w:val="21"/>
          <w:highlight w:val="none"/>
          <w:u w:val="single"/>
          <w14:textFill>
            <w14:solidFill>
              <w14:schemeClr w14:val="tx1"/>
            </w14:solidFill>
          </w14:textFill>
        </w:rPr>
        <w:t>东莞市水务集团科技发展有限公司屋顶分布式光伏发电（一期）采购项目</w:t>
      </w:r>
      <w:r>
        <w:rPr>
          <w:rFonts w:hint="eastAsia" w:ascii="宋体" w:hAnsi="宋体" w:eastAsia="宋体" w:cs="Times New Roman"/>
          <w:color w:val="000000" w:themeColor="text1"/>
          <w:kern w:val="0"/>
          <w:szCs w:val="21"/>
          <w:highlight w:val="none"/>
          <w14:textFill>
            <w14:solidFill>
              <w14:schemeClr w14:val="tx1"/>
            </w14:solidFill>
          </w14:textFill>
        </w:rPr>
        <w:t>（招标编号：广建咨询（东招）2024-0133号）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000000" w:themeColor="text1"/>
          <w:kern w:val="0"/>
          <w:szCs w:val="21"/>
          <w:highlight w:val="none"/>
          <w14:textFill>
            <w14:solidFill>
              <w14:schemeClr w14:val="tx1"/>
            </w14:solidFill>
          </w14:textFill>
        </w:rPr>
        <w:cr/>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14:textFill>
            <w14:solidFill>
              <w14:schemeClr w14:val="tx1"/>
            </w14:solidFill>
          </w14:textFill>
        </w:rPr>
        <w:t>承诺，若我方存在通过弄虚作假、虚假响应招标文件要求等手段骗取中标的，招标人有权或协助主管部门认定我方严重失信的不良行为，纳入相关</w:t>
      </w:r>
      <w:r>
        <w:rPr>
          <w:rFonts w:ascii="宋体" w:hAnsi="宋体" w:eastAsia="宋体" w:cs="宋体"/>
          <w:color w:val="000000" w:themeColor="text1"/>
          <w:kern w:val="0"/>
          <w:szCs w:val="21"/>
          <w:highlight w:val="none"/>
          <w14:textFill>
            <w14:solidFill>
              <w14:schemeClr w14:val="tx1"/>
            </w14:solidFill>
          </w14:textFill>
        </w:rPr>
        <w:t>企业信用“黑名单”</w:t>
      </w:r>
      <w:r>
        <w:rPr>
          <w:rFonts w:hint="eastAsia" w:ascii="宋体" w:hAnsi="宋体" w:eastAsia="宋体" w:cs="宋体"/>
          <w:color w:val="000000" w:themeColor="text1"/>
          <w:kern w:val="0"/>
          <w:szCs w:val="21"/>
          <w:highlight w:val="none"/>
          <w14:textFill>
            <w14:solidFill>
              <w14:schemeClr w14:val="tx1"/>
            </w14:solidFill>
          </w14:textFill>
        </w:rPr>
        <w:t>，限制我方参与依法必须招标项目的投标，并</w:t>
      </w:r>
      <w:r>
        <w:rPr>
          <w:rFonts w:ascii="宋体" w:hAnsi="宋体" w:eastAsia="宋体" w:cs="宋体"/>
          <w:color w:val="000000" w:themeColor="text1"/>
          <w:kern w:val="0"/>
          <w:szCs w:val="21"/>
          <w:highlight w:val="none"/>
          <w14:textFill>
            <w14:solidFill>
              <w14:schemeClr w14:val="tx1"/>
            </w14:solidFill>
          </w14:textFill>
        </w:rPr>
        <w:t>向</w:t>
      </w:r>
      <w:r>
        <w:rPr>
          <w:rFonts w:hint="eastAsia" w:ascii="宋体" w:hAnsi="宋体" w:eastAsia="宋体" w:cs="宋体"/>
          <w:color w:val="000000" w:themeColor="text1"/>
          <w:kern w:val="0"/>
          <w:szCs w:val="21"/>
          <w:highlight w:val="none"/>
          <w14:textFill>
            <w14:solidFill>
              <w14:schemeClr w14:val="tx1"/>
            </w14:solidFill>
          </w14:textFill>
        </w:rPr>
        <w:t>行政主管部门报送</w:t>
      </w:r>
      <w:r>
        <w:rPr>
          <w:rFonts w:ascii="宋体" w:hAnsi="宋体" w:eastAsia="宋体" w:cs="宋体"/>
          <w:color w:val="000000" w:themeColor="text1"/>
          <w:kern w:val="0"/>
          <w:szCs w:val="21"/>
          <w:highlight w:val="none"/>
          <w14:textFill>
            <w14:solidFill>
              <w14:schemeClr w14:val="tx1"/>
            </w14:solidFill>
          </w14:textFill>
        </w:rPr>
        <w:t>结果。</w:t>
      </w:r>
      <w:r>
        <w:rPr>
          <w:rFonts w:hint="eastAsia" w:ascii="宋体" w:hAnsi="宋体" w:eastAsia="宋体" w:cs="宋体"/>
          <w:color w:val="000000" w:themeColor="text1"/>
          <w:kern w:val="0"/>
          <w:szCs w:val="21"/>
          <w:highlight w:val="none"/>
          <w14:textFill>
            <w14:solidFill>
              <w14:schemeClr w14:val="tx1"/>
            </w14:solidFill>
          </w14:textFill>
        </w:rPr>
        <w:t>同时，招标人有权根据《关于对环境保护领域失信生产经营单位及其有关人员开展联合惩戒的合作备忘录》等规定，通过“信用中国”网站向社会公示我方的失信行为，实现“一处失信、处处受限”。</w:t>
      </w:r>
    </w:p>
    <w:p w14:paraId="67EDDAA9">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若我方在投标或履行本合同过程中存在提供虚假材料、虚假响应招标文件要求等弄虚作假行为，或未能根据招标文件投标人须知第2</w:t>
      </w:r>
      <w:r>
        <w:rPr>
          <w:rFonts w:ascii="宋体" w:hAnsi="宋体" w:eastAsia="宋体" w:cs="宋体"/>
          <w:color w:val="000000" w:themeColor="text1"/>
          <w:kern w:val="0"/>
          <w:szCs w:val="21"/>
          <w:highlight w:val="none"/>
          <w14:textFill>
            <w14:solidFill>
              <w14:schemeClr w14:val="tx1"/>
            </w14:solidFill>
          </w14:textFill>
        </w:rPr>
        <w:t>9.2</w:t>
      </w:r>
      <w:r>
        <w:rPr>
          <w:rFonts w:hint="eastAsia" w:ascii="宋体" w:hAnsi="宋体" w:eastAsia="宋体" w:cs="宋体"/>
          <w:color w:val="000000" w:themeColor="text1"/>
          <w:kern w:val="0"/>
          <w:szCs w:val="21"/>
          <w:highlight w:val="none"/>
          <w14:textFill>
            <w14:solidFill>
              <w14:schemeClr w14:val="tx1"/>
            </w14:solidFill>
          </w14:textFill>
        </w:rPr>
        <w:t>款约定按时提供原件核查的，因此导致我方无法参与东莞市水务集团有限公司相关招标采购活动的，由我方自行承担全部后果。</w:t>
      </w:r>
    </w:p>
    <w:p w14:paraId="2AEA6E85">
      <w:pPr>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7E9EB815">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14:paraId="2A0900AE">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14:paraId="366BE136">
      <w:pPr>
        <w:autoSpaceDE w:val="0"/>
        <w:autoSpaceDN w:val="0"/>
        <w:adjustRightInd w:val="0"/>
        <w:spacing w:line="360" w:lineRule="auto"/>
        <w:ind w:firstLine="5040"/>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14:paraId="63ABB1D3">
      <w:pPr>
        <w:autoSpaceDE w:val="0"/>
        <w:autoSpaceDN w:val="0"/>
        <w:adjustRightInd w:val="0"/>
        <w:spacing w:line="360" w:lineRule="auto"/>
        <w:ind w:firstLine="504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法定代表人或其授权代表签名（或盖私章）：</w:t>
      </w:r>
    </w:p>
    <w:p w14:paraId="4CD1EA5B">
      <w:pPr>
        <w:autoSpaceDE w:val="0"/>
        <w:autoSpaceDN w:val="0"/>
        <w:adjustRightInd w:val="0"/>
        <w:spacing w:line="360" w:lineRule="auto"/>
        <w:ind w:firstLine="5040"/>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14:paraId="2C1884D2">
      <w:pPr>
        <w:autoSpaceDE w:val="0"/>
        <w:autoSpaceDN w:val="0"/>
        <w:adjustRightInd w:val="0"/>
        <w:spacing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p>
    <w:p w14:paraId="43AC2503">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p>
    <w:p w14:paraId="3E14AAD3">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bookmarkStart w:id="671" w:name="_Toc326768876"/>
      <w:bookmarkStart w:id="672" w:name="_Toc316896755"/>
      <w:bookmarkStart w:id="673" w:name="_Toc311032584"/>
    </w:p>
    <w:p w14:paraId="39EA261D">
      <w:pPr>
        <w:pageBreakBefore/>
        <w:autoSpaceDE w:val="0"/>
        <w:autoSpaceDN w:val="0"/>
        <w:adjustRightInd w:val="0"/>
        <w:spacing w:line="360" w:lineRule="auto"/>
        <w:jc w:val="left"/>
        <w:outlineLvl w:val="2"/>
        <w:rPr>
          <w:rFonts w:ascii="宋体" w:hAnsi="宋体" w:eastAsia="宋体" w:cs="宋体"/>
          <w:b/>
          <w:color w:val="000000" w:themeColor="text1"/>
          <w:kern w:val="44"/>
          <w:sz w:val="32"/>
          <w:szCs w:val="32"/>
          <w:highlight w:val="none"/>
          <w14:textFill>
            <w14:solidFill>
              <w14:schemeClr w14:val="tx1"/>
            </w14:solidFill>
          </w14:textFill>
        </w:rPr>
      </w:pPr>
      <w:bookmarkStart w:id="674" w:name="_Toc12590"/>
      <w:bookmarkStart w:id="675" w:name="_Toc86764083"/>
      <w:bookmarkStart w:id="676" w:name="_Toc102860413"/>
      <w:bookmarkStart w:id="677" w:name="_Toc142508364"/>
      <w:bookmarkStart w:id="678" w:name="_Toc94107204"/>
      <w:bookmarkStart w:id="679" w:name="_Toc140596923"/>
      <w:bookmarkStart w:id="680" w:name="_Toc12371"/>
      <w:bookmarkStart w:id="681" w:name="_Toc82182546"/>
      <w:bookmarkStart w:id="682" w:name="_Toc104991870"/>
      <w:bookmarkStart w:id="683" w:name="_Toc9778"/>
      <w:bookmarkStart w:id="684" w:name="_Toc102860069"/>
      <w:bookmarkStart w:id="685" w:name="_Toc32131"/>
      <w:bookmarkStart w:id="686" w:name="_Toc2363"/>
      <w:bookmarkStart w:id="687" w:name="_Toc486167711"/>
      <w:bookmarkStart w:id="688" w:name="_Toc1977723"/>
      <w:bookmarkStart w:id="689" w:name="_Toc533708123"/>
      <w:bookmarkStart w:id="690" w:name="_Toc7024_WPSOffice_Level2"/>
      <w:r>
        <w:rPr>
          <w:rFonts w:hint="eastAsia" w:ascii="宋体" w:hAnsi="宋体" w:eastAsia="宋体" w:cs="宋体"/>
          <w:b/>
          <w:color w:val="000000" w:themeColor="text1"/>
          <w:kern w:val="44"/>
          <w:sz w:val="32"/>
          <w:szCs w:val="32"/>
          <w:highlight w:val="none"/>
          <w14:textFill>
            <w14:solidFill>
              <w14:schemeClr w14:val="tx1"/>
            </w14:solidFill>
          </w14:textFill>
        </w:rPr>
        <w:t>三、供货及/或提供服务过程承诺函格式</w:t>
      </w:r>
      <w:bookmarkEnd w:id="674"/>
      <w:bookmarkEnd w:id="675"/>
      <w:bookmarkEnd w:id="676"/>
      <w:bookmarkEnd w:id="677"/>
      <w:bookmarkEnd w:id="678"/>
      <w:bookmarkEnd w:id="679"/>
      <w:bookmarkEnd w:id="680"/>
      <w:bookmarkEnd w:id="681"/>
      <w:bookmarkEnd w:id="682"/>
      <w:bookmarkEnd w:id="683"/>
      <w:bookmarkEnd w:id="684"/>
      <w:bookmarkEnd w:id="685"/>
      <w:bookmarkEnd w:id="686"/>
    </w:p>
    <w:p w14:paraId="66C4E89F">
      <w:pPr>
        <w:autoSpaceDE w:val="0"/>
        <w:autoSpaceDN w:val="0"/>
        <w:adjustRightInd w:val="0"/>
        <w:spacing w:line="360" w:lineRule="auto"/>
        <w:jc w:val="center"/>
        <w:rPr>
          <w:rFonts w:ascii="宋体" w:hAnsi="宋体" w:eastAsia="宋体" w:cs="宋体"/>
          <w:b/>
          <w:color w:val="000000" w:themeColor="text1"/>
          <w:kern w:val="44"/>
          <w:sz w:val="30"/>
          <w:szCs w:val="30"/>
          <w:highlight w:val="none"/>
          <w14:textFill>
            <w14:solidFill>
              <w14:schemeClr w14:val="tx1"/>
            </w14:solidFill>
          </w14:textFill>
        </w:rPr>
      </w:pPr>
      <w:r>
        <w:rPr>
          <w:rFonts w:hint="eastAsia" w:ascii="宋体" w:hAnsi="宋体" w:eastAsia="宋体" w:cs="宋体"/>
          <w:b/>
          <w:color w:val="000000" w:themeColor="text1"/>
          <w:kern w:val="44"/>
          <w:sz w:val="30"/>
          <w:szCs w:val="30"/>
          <w:highlight w:val="none"/>
          <w14:textFill>
            <w14:solidFill>
              <w14:schemeClr w14:val="tx1"/>
            </w14:solidFill>
          </w14:textFill>
        </w:rPr>
        <w:t>供货及/或提供服务过程承诺函</w:t>
      </w:r>
    </w:p>
    <w:p w14:paraId="2B1CFD8B">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致东莞市水务集团科技发展有限公司：</w:t>
      </w:r>
    </w:p>
    <w:p w14:paraId="123798E9">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（投标人名称）为招标人公开招标的</w:t>
      </w:r>
      <w:r>
        <w:rPr>
          <w:rFonts w:hint="eastAsia" w:ascii="宋体" w:hAnsi="宋体" w:eastAsia="宋体" w:cs="Times New Roman"/>
          <w:color w:val="000000" w:themeColor="text1"/>
          <w:kern w:val="0"/>
          <w:szCs w:val="21"/>
          <w:highlight w:val="none"/>
          <w14:textFill>
            <w14:solidFill>
              <w14:schemeClr w14:val="tx1"/>
            </w14:solidFill>
          </w14:textFill>
        </w:rPr>
        <w:t>东莞市水务集团科技发展有限公司屋顶分布式光伏发电（一期）采购项目</w:t>
      </w:r>
      <w:r>
        <w:rPr>
          <w:rFonts w:hint="eastAsia" w:ascii="宋体" w:hAnsi="宋体" w:eastAsia="宋体" w:cs="宋体"/>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广建咨询（东招）2024-0133号</w:t>
      </w:r>
      <w:r>
        <w:rPr>
          <w:rFonts w:hint="eastAsia" w:ascii="宋体" w:hAnsi="宋体" w:eastAsia="宋体" w:cs="宋体"/>
          <w:color w:val="000000" w:themeColor="text1"/>
          <w:kern w:val="0"/>
          <w:szCs w:val="21"/>
          <w:highlight w:val="none"/>
          <w14:textFill>
            <w14:solidFill>
              <w14:schemeClr w14:val="tx1"/>
            </w14:solidFill>
          </w14:textFill>
        </w:rPr>
        <w:t>)的投标单位，为确保供货及/或提供服务过程中的人身、财产安全，我方承诺，如我方获得中标资格，将严格按照下列要求开展工作。</w:t>
      </w:r>
    </w:p>
    <w:p w14:paraId="79F1ED32">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1、我方承诺将严格遵守国家、地方政府有关安全生产及劳动保护的法律法规、标准、规定，贯彻执行招标人的各项安全管理规章制度。</w:t>
      </w:r>
    </w:p>
    <w:p w14:paraId="51258D1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2、我方承诺将依法参加工伤保险，为安排至招标人从事本项目的工作人员缴纳保险费，并为从事危险作业的人员办理意外伤害保险。</w:t>
      </w:r>
    </w:p>
    <w:p w14:paraId="28A2F4B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0E91E067">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0D5A887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6531134B">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26BDFF9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7、我方承诺协助和指导招标人进行货物的储存，对招标人的储存方式、方法、储存数量、仓库的安全设施设备、安全生产规章制度等是否符合国家标准或者国家有关规定提出合理的建议，并进行技术指导。</w:t>
      </w:r>
    </w:p>
    <w:p w14:paraId="6202E11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8、我方车辆在招标人场所行驶时，将严格遵守厂区道路限行，限速和限重要求，如因我方未遵守前述要求，对厂区/招标人（含其人员）、我方人员、第三方造成损失的，由我方承担赔偿责任。</w:t>
      </w:r>
    </w:p>
    <w:p w14:paraId="23818FF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3C7CA61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10、因我方原因，造成我方损失，由我方自负，给招标人造成财产损失和人员伤害，我方承担全部责任，并全额赔偿招标人。</w:t>
      </w:r>
    </w:p>
    <w:p w14:paraId="14FC6C0B">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11、非因招标人原因，造成我方损失的，招标人无需承担任何责任，由我方自行承担全部责任。</w:t>
      </w:r>
    </w:p>
    <w:p w14:paraId="32C99180">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12、我方承诺严格遵守法律法规以及招标人的安全管理要求，并接受招标人的安全生产工作协调和监督，积极消除安全隐患。安全管理的基本要求包括但不限于以下条款：</w:t>
      </w:r>
    </w:p>
    <w:p w14:paraId="79DFBB7B">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①禁火区内严禁吸烟、动火。有火灾危险的作业区域，我方承诺配置足够的灭火设施。</w:t>
      </w:r>
    </w:p>
    <w:p w14:paraId="172851AD">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②我方承诺焊接、气割作业时两瓶距离必须达到5M及以上，气瓶距可能产生火花的电器、设备和其它火源的间距必须达到10M及以上。</w:t>
      </w:r>
    </w:p>
    <w:p w14:paraId="00D21439">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③我方承诺不在厂内道路、消防通道内搭建临时建筑或堆放物资。</w:t>
      </w:r>
    </w:p>
    <w:p w14:paraId="165E6EEE">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④我方承诺电动工具、电焊机等均具有漏电保护器和相应的安全防护装置。</w:t>
      </w:r>
    </w:p>
    <w:p w14:paraId="3FD257FC">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⑤我方承诺用电设施符合要求，杜绝电线乱接、乱拉，刀闸和开关无盖，在电器设施上堆放物品等行为。</w:t>
      </w:r>
    </w:p>
    <w:p w14:paraId="03863462">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⑥我方承诺防雷、防静电设施及用电设施有良好接地。</w:t>
      </w:r>
    </w:p>
    <w:p w14:paraId="4E94368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26FC588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13、我方承诺接受招标人的检查与监督，并主动配合，做好安全工作，凡有违反上述条款的即视为我方违约，招标人有权视情况从货物/服务价款中扣除（1000-2000）元/次作为违约金。</w:t>
      </w:r>
    </w:p>
    <w:p w14:paraId="39DCB5BE">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如因我方违反上述条款造成安全生产事故的，我方将承担由此引发的一切责任与后果，如造成招标人损失的，我方将予以足额赔偿，同时，招标人有权没收我方提交的履约担保。</w:t>
      </w:r>
    </w:p>
    <w:p w14:paraId="6335022D">
      <w:pPr>
        <w:autoSpaceDE w:val="0"/>
        <w:autoSpaceDN w:val="0"/>
        <w:adjustRightInd w:val="0"/>
        <w:spacing w:line="360" w:lineRule="auto"/>
        <w:ind w:firstLine="50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03A1757B">
      <w:pPr>
        <w:autoSpaceDE w:val="0"/>
        <w:autoSpaceDN w:val="0"/>
        <w:adjustRightInd w:val="0"/>
        <w:spacing w:line="360" w:lineRule="auto"/>
        <w:ind w:firstLine="504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投标人：（加盖投标人法人公章）</w:t>
      </w:r>
    </w:p>
    <w:p w14:paraId="6424B032">
      <w:pPr>
        <w:autoSpaceDE w:val="0"/>
        <w:autoSpaceDN w:val="0"/>
        <w:adjustRightInd w:val="0"/>
        <w:spacing w:line="360" w:lineRule="auto"/>
        <w:ind w:firstLine="504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法定代表人或其授权代表签名（或盖私章）：</w:t>
      </w:r>
    </w:p>
    <w:p w14:paraId="6E885710">
      <w:pPr>
        <w:autoSpaceDE w:val="0"/>
        <w:autoSpaceDN w:val="0"/>
        <w:adjustRightInd w:val="0"/>
        <w:spacing w:line="360" w:lineRule="auto"/>
        <w:ind w:right="420" w:firstLine="5040" w:firstLineChars="24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日期：   年   月   日</w:t>
      </w:r>
    </w:p>
    <w:p w14:paraId="7F80E609">
      <w:pPr>
        <w:pageBreakBefore/>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691" w:name="_Toc86764084"/>
      <w:bookmarkStart w:id="692" w:name="_Toc104991871"/>
      <w:bookmarkStart w:id="693" w:name="_Toc102860070"/>
      <w:bookmarkStart w:id="694" w:name="_Toc94107205"/>
      <w:bookmarkStart w:id="695" w:name="_Toc102860414"/>
      <w:bookmarkStart w:id="696" w:name="_Toc82182547"/>
      <w:bookmarkStart w:id="697" w:name="_Toc142508365"/>
      <w:bookmarkStart w:id="698" w:name="_Toc140596924"/>
      <w:bookmarkStart w:id="699" w:name="_Toc11611"/>
      <w:bookmarkStart w:id="700" w:name="_Toc24704"/>
      <w:bookmarkStart w:id="701" w:name="_Toc6287"/>
      <w:bookmarkStart w:id="702" w:name="_Toc15684"/>
      <w:bookmarkStart w:id="703" w:name="_Toc3993"/>
      <w:r>
        <w:rPr>
          <w:rFonts w:hint="eastAsia" w:ascii="宋体" w:hAnsi="宋体" w:eastAsia="宋体" w:cs="宋体"/>
          <w:b/>
          <w:color w:val="000000" w:themeColor="text1"/>
          <w:kern w:val="44"/>
          <w:sz w:val="32"/>
          <w:szCs w:val="32"/>
          <w:highlight w:val="none"/>
          <w14:textFill>
            <w14:solidFill>
              <w14:schemeClr w14:val="tx1"/>
            </w14:solidFill>
          </w14:textFill>
        </w:rPr>
        <w:t>四</w:t>
      </w:r>
      <w:bookmarkEnd w:id="691"/>
      <w:bookmarkEnd w:id="692"/>
      <w:bookmarkEnd w:id="693"/>
      <w:bookmarkEnd w:id="694"/>
      <w:bookmarkEnd w:id="695"/>
      <w:bookmarkEnd w:id="696"/>
      <w:bookmarkEnd w:id="697"/>
      <w:bookmarkEnd w:id="698"/>
      <w:bookmarkStart w:id="704" w:name="_Toc140596925"/>
      <w:bookmarkStart w:id="705" w:name="_Toc102860071"/>
      <w:bookmarkStart w:id="706" w:name="_Toc142508366"/>
      <w:bookmarkStart w:id="707" w:name="_Toc94107206"/>
      <w:bookmarkStart w:id="708" w:name="_Toc102860415"/>
      <w:bookmarkStart w:id="709" w:name="_Toc104991872"/>
      <w:r>
        <w:rPr>
          <w:rFonts w:hint="eastAsia" w:ascii="宋体" w:hAnsi="宋体" w:eastAsia="宋体" w:cs="宋体"/>
          <w:b/>
          <w:color w:val="000000" w:themeColor="text1"/>
          <w:kern w:val="0"/>
          <w:sz w:val="32"/>
          <w:szCs w:val="32"/>
          <w:highlight w:val="none"/>
          <w14:textFill>
            <w14:solidFill>
              <w14:schemeClr w14:val="tx1"/>
            </w14:solidFill>
          </w14:textFill>
        </w:rPr>
        <w:t>、投标报价表格式</w:t>
      </w:r>
      <w:bookmarkEnd w:id="687"/>
      <w:bookmarkEnd w:id="688"/>
      <w:bookmarkEnd w:id="689"/>
      <w:bookmarkEnd w:id="690"/>
      <w:bookmarkEnd w:id="699"/>
      <w:bookmarkEnd w:id="700"/>
      <w:bookmarkEnd w:id="701"/>
      <w:bookmarkEnd w:id="702"/>
      <w:bookmarkEnd w:id="703"/>
      <w:bookmarkEnd w:id="704"/>
      <w:bookmarkEnd w:id="705"/>
      <w:bookmarkEnd w:id="706"/>
      <w:bookmarkEnd w:id="707"/>
      <w:bookmarkEnd w:id="708"/>
      <w:bookmarkEnd w:id="709"/>
    </w:p>
    <w:p w14:paraId="0F05F6C3">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710" w:name="_Toc140596926"/>
      <w:bookmarkStart w:id="711" w:name="_Toc22653"/>
      <w:bookmarkStart w:id="712" w:name="_Toc1105"/>
      <w:bookmarkStart w:id="713" w:name="_Toc2395_WPSOffice_Level3"/>
      <w:bookmarkStart w:id="714" w:name="_Toc102860072"/>
      <w:bookmarkStart w:id="715" w:name="_Toc18589"/>
      <w:bookmarkStart w:id="716" w:name="_Toc104991873"/>
      <w:bookmarkStart w:id="717" w:name="_Toc94107207"/>
      <w:bookmarkStart w:id="718" w:name="_Toc102860416"/>
      <w:bookmarkStart w:id="719" w:name="_Toc32074"/>
      <w:bookmarkStart w:id="720" w:name="_Toc31924"/>
      <w:bookmarkStart w:id="721" w:name="_Toc142508367"/>
      <w:r>
        <w:rPr>
          <w:rFonts w:hint="eastAsia" w:ascii="宋体" w:hAnsi="宋体" w:eastAsia="宋体" w:cs="宋体"/>
          <w:b/>
          <w:color w:val="000000" w:themeColor="text1"/>
          <w:kern w:val="0"/>
          <w:sz w:val="30"/>
          <w:szCs w:val="30"/>
          <w:highlight w:val="none"/>
          <w14:textFill>
            <w14:solidFill>
              <w14:schemeClr w14:val="tx1"/>
            </w14:solidFill>
          </w14:textFill>
        </w:rPr>
        <w:t>4</w:t>
      </w:r>
      <w:r>
        <w:rPr>
          <w:rFonts w:ascii="宋体" w:hAnsi="宋体" w:eastAsia="宋体" w:cs="宋体"/>
          <w:b/>
          <w:color w:val="000000" w:themeColor="text1"/>
          <w:kern w:val="0"/>
          <w:sz w:val="30"/>
          <w:szCs w:val="30"/>
          <w:highlight w:val="none"/>
          <w14:textFill>
            <w14:solidFill>
              <w14:schemeClr w14:val="tx1"/>
            </w14:solidFill>
          </w14:textFill>
        </w:rPr>
        <w:t xml:space="preserve">.1 </w:t>
      </w:r>
      <w:r>
        <w:rPr>
          <w:rFonts w:hint="eastAsia" w:ascii="宋体" w:hAnsi="宋体" w:eastAsia="宋体" w:cs="宋体"/>
          <w:b/>
          <w:color w:val="000000" w:themeColor="text1"/>
          <w:kern w:val="0"/>
          <w:sz w:val="30"/>
          <w:szCs w:val="30"/>
          <w:highlight w:val="none"/>
          <w14:textFill>
            <w14:solidFill>
              <w14:schemeClr w14:val="tx1"/>
            </w14:solidFill>
          </w14:textFill>
        </w:rPr>
        <w:t>投标报价表</w:t>
      </w:r>
      <w:bookmarkEnd w:id="710"/>
      <w:bookmarkEnd w:id="711"/>
      <w:bookmarkEnd w:id="712"/>
      <w:bookmarkEnd w:id="713"/>
      <w:bookmarkEnd w:id="714"/>
      <w:bookmarkEnd w:id="715"/>
      <w:bookmarkEnd w:id="716"/>
      <w:bookmarkEnd w:id="717"/>
      <w:bookmarkEnd w:id="718"/>
      <w:bookmarkEnd w:id="719"/>
      <w:bookmarkEnd w:id="720"/>
      <w:bookmarkEnd w:id="721"/>
    </w:p>
    <w:p w14:paraId="72D84452">
      <w:pPr>
        <w:spacing w:line="360" w:lineRule="auto"/>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t>投标报价表</w:t>
      </w:r>
    </w:p>
    <w:p w14:paraId="6DC1E171">
      <w:pPr>
        <w:spacing w:line="360" w:lineRule="auto"/>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项目名称：</w:t>
      </w:r>
      <w:r>
        <w:rPr>
          <w:rFonts w:hint="eastAsia" w:ascii="宋体" w:hAnsi="宋体" w:eastAsia="宋体" w:cs="宋体"/>
          <w:color w:val="000000" w:themeColor="text1"/>
          <w:kern w:val="0"/>
          <w:szCs w:val="21"/>
          <w:highlight w:val="none"/>
          <w:u w:val="single"/>
          <w14:textFill>
            <w14:solidFill>
              <w14:schemeClr w14:val="tx1"/>
            </w14:solidFill>
          </w14:textFill>
        </w:rPr>
        <w:t>东莞市水务集团科技发展有限公司屋顶分布式光伏发电（一期）采购项目</w:t>
      </w:r>
    </w:p>
    <w:p w14:paraId="41F29C5E">
      <w:pPr>
        <w:spacing w:line="360" w:lineRule="auto"/>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招标编号：</w:t>
      </w:r>
      <w:r>
        <w:rPr>
          <w:rFonts w:hint="eastAsia" w:ascii="宋体" w:hAnsi="宋体" w:eastAsia="宋体" w:cs="宋体"/>
          <w:color w:val="000000" w:themeColor="text1"/>
          <w:kern w:val="0"/>
          <w:szCs w:val="21"/>
          <w:highlight w:val="none"/>
          <w:u w:val="single"/>
          <w14:textFill>
            <w14:solidFill>
              <w14:schemeClr w14:val="tx1"/>
            </w14:solidFill>
          </w14:textFill>
        </w:rPr>
        <w:t>广建咨询（东招）2024-0133号</w:t>
      </w:r>
    </w:p>
    <w:tbl>
      <w:tblPr>
        <w:tblStyle w:val="37"/>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9"/>
        <w:gridCol w:w="2607"/>
        <w:gridCol w:w="2441"/>
        <w:gridCol w:w="2549"/>
        <w:gridCol w:w="1840"/>
      </w:tblGrid>
      <w:tr w14:paraId="0199E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48" w:type="pct"/>
            <w:tcBorders>
              <w:top w:val="single" w:color="auto" w:sz="4" w:space="0"/>
              <w:left w:val="single" w:color="auto" w:sz="4" w:space="0"/>
              <w:bottom w:val="single" w:color="auto" w:sz="4" w:space="0"/>
              <w:right w:val="single" w:color="auto" w:sz="4" w:space="0"/>
            </w:tcBorders>
            <w:vAlign w:val="center"/>
          </w:tcPr>
          <w:p w14:paraId="1365A6C8">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bookmarkStart w:id="722" w:name="OLE_LINK40" w:colFirst="3" w:colLast="3"/>
            <w:r>
              <w:rPr>
                <w:rFonts w:hint="eastAsia" w:ascii="宋体" w:hAnsi="宋体" w:eastAsia="宋体" w:cs="Times New Roman"/>
                <w:b/>
                <w:color w:val="000000" w:themeColor="text1"/>
                <w:kern w:val="0"/>
                <w:szCs w:val="21"/>
                <w:highlight w:val="none"/>
                <w14:textFill>
                  <w14:solidFill>
                    <w14:schemeClr w14:val="tx1"/>
                  </w14:solidFill>
                </w14:textFill>
              </w:rPr>
              <w:t>序号</w:t>
            </w:r>
          </w:p>
        </w:tc>
        <w:tc>
          <w:tcPr>
            <w:tcW w:w="1257" w:type="pct"/>
            <w:tcBorders>
              <w:top w:val="single" w:color="auto" w:sz="4" w:space="0"/>
              <w:left w:val="single" w:color="auto" w:sz="4" w:space="0"/>
              <w:bottom w:val="single" w:color="auto" w:sz="4" w:space="0"/>
              <w:right w:val="single" w:color="auto" w:sz="4" w:space="0"/>
            </w:tcBorders>
            <w:vAlign w:val="center"/>
          </w:tcPr>
          <w:p w14:paraId="3DBBF7F6">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名称</w:t>
            </w:r>
          </w:p>
        </w:tc>
        <w:tc>
          <w:tcPr>
            <w:tcW w:w="1177" w:type="pct"/>
            <w:tcBorders>
              <w:top w:val="single" w:color="auto" w:sz="4" w:space="0"/>
              <w:left w:val="single" w:color="auto" w:sz="4" w:space="0"/>
              <w:bottom w:val="single" w:color="auto" w:sz="4" w:space="0"/>
              <w:right w:val="single" w:color="auto" w:sz="4" w:space="0"/>
            </w:tcBorders>
            <w:vAlign w:val="center"/>
          </w:tcPr>
          <w:p w14:paraId="6F245FC5">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投标报价总价</w:t>
            </w:r>
          </w:p>
          <w:p w14:paraId="617B0CBD">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w:t>
            </w:r>
            <w:bookmarkStart w:id="723" w:name="OLE_LINK384"/>
            <w:r>
              <w:rPr>
                <w:rFonts w:hint="eastAsia" w:ascii="宋体" w:hAnsi="宋体" w:eastAsia="宋体" w:cs="Times New Roman"/>
                <w:b/>
                <w:color w:val="000000" w:themeColor="text1"/>
                <w:kern w:val="0"/>
                <w:szCs w:val="21"/>
                <w:highlight w:val="none"/>
                <w14:textFill>
                  <w14:solidFill>
                    <w14:schemeClr w14:val="tx1"/>
                  </w14:solidFill>
                </w14:textFill>
              </w:rPr>
              <w:t>不含销项税，</w:t>
            </w:r>
            <w:bookmarkEnd w:id="723"/>
            <w:r>
              <w:rPr>
                <w:rFonts w:hint="eastAsia" w:ascii="宋体" w:hAnsi="宋体" w:eastAsia="宋体" w:cs="Times New Roman"/>
                <w:b/>
                <w:color w:val="000000" w:themeColor="text1"/>
                <w:kern w:val="0"/>
                <w:szCs w:val="21"/>
                <w:highlight w:val="none"/>
                <w14:textFill>
                  <w14:solidFill>
                    <w14:schemeClr w14:val="tx1"/>
                  </w14:solidFill>
                </w14:textFill>
              </w:rPr>
              <w:t>元）</w:t>
            </w:r>
          </w:p>
        </w:tc>
        <w:tc>
          <w:tcPr>
            <w:tcW w:w="1229" w:type="pct"/>
            <w:tcBorders>
              <w:top w:val="single" w:color="auto" w:sz="4" w:space="0"/>
              <w:left w:val="single" w:color="auto" w:sz="4" w:space="0"/>
              <w:bottom w:val="single" w:color="auto" w:sz="4" w:space="0"/>
              <w:right w:val="single" w:color="auto" w:sz="4" w:space="0"/>
            </w:tcBorders>
            <w:vAlign w:val="center"/>
          </w:tcPr>
          <w:p w14:paraId="48A49862">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bookmarkStart w:id="724" w:name="OLE_LINK376"/>
            <w:r>
              <w:rPr>
                <w:rFonts w:hint="eastAsia" w:ascii="宋体" w:hAnsi="宋体" w:eastAsia="宋体" w:cs="Times New Roman"/>
                <w:b/>
                <w:color w:val="000000" w:themeColor="text1"/>
                <w:kern w:val="0"/>
                <w:szCs w:val="21"/>
                <w:highlight w:val="none"/>
                <w14:textFill>
                  <w14:solidFill>
                    <w14:schemeClr w14:val="tx1"/>
                  </w14:solidFill>
                </w14:textFill>
              </w:rPr>
              <w:t>固定每瓦单价</w:t>
            </w:r>
            <w:bookmarkEnd w:id="724"/>
            <w:r>
              <w:rPr>
                <w:rFonts w:hint="eastAsia" w:ascii="宋体" w:hAnsi="宋体" w:eastAsia="宋体" w:cs="Times New Roman"/>
                <w:b/>
                <w:color w:val="000000" w:themeColor="text1"/>
                <w:kern w:val="0"/>
                <w:szCs w:val="21"/>
                <w:highlight w:val="none"/>
                <w14:textFill>
                  <w14:solidFill>
                    <w14:schemeClr w14:val="tx1"/>
                  </w14:solidFill>
                </w14:textFill>
              </w:rPr>
              <w:t>（不含销项税，元）</w:t>
            </w:r>
          </w:p>
        </w:tc>
        <w:tc>
          <w:tcPr>
            <w:tcW w:w="887" w:type="pct"/>
            <w:tcBorders>
              <w:top w:val="single" w:color="auto" w:sz="4" w:space="0"/>
              <w:left w:val="single" w:color="auto" w:sz="4" w:space="0"/>
              <w:bottom w:val="single" w:color="auto" w:sz="4" w:space="0"/>
              <w:right w:val="single" w:color="auto" w:sz="4" w:space="0"/>
            </w:tcBorders>
            <w:vAlign w:val="center"/>
          </w:tcPr>
          <w:p w14:paraId="6D76CCC1">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备注</w:t>
            </w:r>
          </w:p>
        </w:tc>
      </w:tr>
      <w:tr w14:paraId="3A30E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448" w:type="pct"/>
            <w:tcBorders>
              <w:top w:val="single" w:color="auto" w:sz="4" w:space="0"/>
              <w:left w:val="single" w:color="auto" w:sz="4" w:space="0"/>
              <w:right w:val="single" w:color="auto" w:sz="4" w:space="0"/>
            </w:tcBorders>
            <w:vAlign w:val="center"/>
          </w:tcPr>
          <w:p w14:paraId="08BA512A">
            <w:pPr>
              <w:autoSpaceDE w:val="0"/>
              <w:autoSpaceDN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p>
        </w:tc>
        <w:tc>
          <w:tcPr>
            <w:tcW w:w="1257" w:type="pct"/>
            <w:tcBorders>
              <w:top w:val="single" w:color="auto" w:sz="4" w:space="0"/>
              <w:left w:val="single" w:color="auto" w:sz="4" w:space="0"/>
              <w:right w:val="single" w:color="auto" w:sz="4" w:space="0"/>
            </w:tcBorders>
            <w:vAlign w:val="center"/>
          </w:tcPr>
          <w:p w14:paraId="6EC8794B">
            <w:pPr>
              <w:autoSpaceDE w:val="0"/>
              <w:autoSpaceDN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东莞市水务集团科技发展有限公司屋顶分布式光伏发电（一期）采购项目</w:t>
            </w:r>
          </w:p>
        </w:tc>
        <w:tc>
          <w:tcPr>
            <w:tcW w:w="1177" w:type="pct"/>
            <w:tcBorders>
              <w:top w:val="single" w:color="auto" w:sz="4" w:space="0"/>
              <w:left w:val="single" w:color="auto" w:sz="4" w:space="0"/>
              <w:right w:val="single" w:color="auto" w:sz="4" w:space="0"/>
            </w:tcBorders>
            <w:vAlign w:val="center"/>
          </w:tcPr>
          <w:p w14:paraId="1BE23111">
            <w:pPr>
              <w:tabs>
                <w:tab w:val="left" w:pos="8610"/>
              </w:tabs>
              <w:spacing w:line="360" w:lineRule="auto"/>
              <w:rPr>
                <w:rFonts w:ascii="宋体" w:hAnsi="宋体" w:eastAsia="宋体" w:cs="Times New Roman"/>
                <w:color w:val="000000" w:themeColor="text1"/>
                <w:kern w:val="0"/>
                <w:szCs w:val="21"/>
                <w:highlight w:val="none"/>
                <w14:textFill>
                  <w14:solidFill>
                    <w14:schemeClr w14:val="tx1"/>
                  </w14:solidFill>
                </w14:textFill>
              </w:rPr>
            </w:pPr>
            <w:bookmarkStart w:id="725" w:name="OLE_LINK43"/>
            <w:r>
              <w:rPr>
                <w:rFonts w:hint="eastAsia" w:ascii="宋体" w:hAnsi="宋体" w:eastAsia="宋体" w:cs="Times New Roman"/>
                <w:color w:val="000000" w:themeColor="text1"/>
                <w:kern w:val="0"/>
                <w:szCs w:val="21"/>
                <w:highlight w:val="none"/>
                <w14:textFill>
                  <w14:solidFill>
                    <w14:schemeClr w14:val="tx1"/>
                  </w14:solidFill>
                </w14:textFill>
              </w:rPr>
              <w:t>小写（人民币）：</w:t>
            </w:r>
            <w:bookmarkEnd w:id="725"/>
          </w:p>
        </w:tc>
        <w:tc>
          <w:tcPr>
            <w:tcW w:w="1229" w:type="pct"/>
            <w:tcBorders>
              <w:top w:val="single" w:color="auto" w:sz="4" w:space="0"/>
              <w:left w:val="single" w:color="auto" w:sz="4" w:space="0"/>
              <w:right w:val="single" w:color="auto" w:sz="4" w:space="0"/>
            </w:tcBorders>
            <w:vAlign w:val="center"/>
          </w:tcPr>
          <w:p w14:paraId="4F8109F4">
            <w:pPr>
              <w:tabs>
                <w:tab w:val="left" w:pos="8610"/>
              </w:tabs>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小写（人民币）：</w:t>
            </w:r>
          </w:p>
        </w:tc>
        <w:tc>
          <w:tcPr>
            <w:tcW w:w="887" w:type="pct"/>
            <w:tcBorders>
              <w:top w:val="single" w:color="auto" w:sz="4" w:space="0"/>
              <w:left w:val="single" w:color="auto" w:sz="4" w:space="0"/>
              <w:right w:val="single" w:color="auto" w:sz="4" w:space="0"/>
            </w:tcBorders>
            <w:vAlign w:val="center"/>
          </w:tcPr>
          <w:p w14:paraId="2467B8FF">
            <w:pPr>
              <w:tabs>
                <w:tab w:val="left" w:pos="8610"/>
              </w:tabs>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bookmarkStart w:id="726" w:name="OLE_LINK382"/>
            <w:bookmarkStart w:id="727" w:name="OLE_LINK383"/>
            <w:bookmarkStart w:id="728" w:name="OLE_LINK45"/>
            <w:r>
              <w:rPr>
                <w:rFonts w:hint="eastAsia" w:ascii="宋体" w:hAnsi="宋体" w:eastAsia="宋体" w:cs="Times New Roman"/>
                <w:color w:val="000000" w:themeColor="text1"/>
                <w:kern w:val="0"/>
                <w:szCs w:val="21"/>
                <w:highlight w:val="none"/>
                <w14:textFill>
                  <w14:solidFill>
                    <w14:schemeClr w14:val="tx1"/>
                  </w14:solidFill>
                </w14:textFill>
              </w:rPr>
              <w:t>固定每瓦单价=投标报价总价÷装机容量（四舍五入保留小数点后3位小数）</w:t>
            </w:r>
            <w:bookmarkEnd w:id="726"/>
            <w:r>
              <w:rPr>
                <w:rFonts w:hint="eastAsia" w:ascii="宋体" w:hAnsi="宋体" w:eastAsia="宋体" w:cs="Times New Roman"/>
                <w:color w:val="000000" w:themeColor="text1"/>
                <w:kern w:val="0"/>
                <w:szCs w:val="21"/>
                <w:highlight w:val="none"/>
                <w14:textFill>
                  <w14:solidFill>
                    <w14:schemeClr w14:val="tx1"/>
                  </w14:solidFill>
                </w14:textFill>
              </w:rPr>
              <w:t>，装机容量：</w:t>
            </w:r>
            <w:bookmarkStart w:id="729" w:name="OLE_LINK377"/>
            <w:r>
              <w:rPr>
                <w:rFonts w:hint="eastAsia" w:ascii="宋体" w:hAnsi="宋体" w:eastAsia="宋体" w:cs="Times New Roman"/>
                <w:color w:val="000000" w:themeColor="text1"/>
                <w:kern w:val="0"/>
                <w:szCs w:val="21"/>
                <w:highlight w:val="none"/>
                <w14:textFill>
                  <w14:solidFill>
                    <w14:schemeClr w14:val="tx1"/>
                  </w14:solidFill>
                </w14:textFill>
              </w:rPr>
              <w:t>4.46MWp</w:t>
            </w:r>
            <w:bookmarkEnd w:id="727"/>
            <w:bookmarkEnd w:id="729"/>
            <w:r>
              <w:rPr>
                <w:rFonts w:hint="eastAsia" w:ascii="宋体" w:hAnsi="宋体" w:eastAsia="宋体" w:cs="Times New Roman"/>
                <w:color w:val="000000" w:themeColor="text1"/>
                <w:kern w:val="0"/>
                <w:szCs w:val="21"/>
                <w:highlight w:val="none"/>
                <w14:textFill>
                  <w14:solidFill>
                    <w14:schemeClr w14:val="tx1"/>
                  </w14:solidFill>
                </w14:textFill>
              </w:rPr>
              <w:t>。</w:t>
            </w:r>
            <w:bookmarkEnd w:id="728"/>
          </w:p>
        </w:tc>
      </w:tr>
      <w:bookmarkEnd w:id="722"/>
    </w:tbl>
    <w:p w14:paraId="007EAB91">
      <w:pPr>
        <w:rPr>
          <w:rFonts w:ascii="宋体" w:hAnsi="宋体" w:eastAsia="宋体" w:cs="宋体"/>
          <w:color w:val="000000" w:themeColor="text1"/>
          <w:kern w:val="0"/>
          <w:sz w:val="20"/>
          <w:szCs w:val="21"/>
          <w:highlight w:val="none"/>
          <w14:textFill>
            <w14:solidFill>
              <w14:schemeClr w14:val="tx1"/>
            </w14:solidFill>
          </w14:textFill>
        </w:rPr>
      </w:pPr>
    </w:p>
    <w:p w14:paraId="16888AC2">
      <w:pPr>
        <w:autoSpaceDE w:val="0"/>
        <w:autoSpaceDN w:val="0"/>
        <w:adjustRightIn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14:paraId="0F3FE6FC">
      <w:pPr>
        <w:autoSpaceDE w:val="0"/>
        <w:autoSpaceDN w:val="0"/>
        <w:adjustRightInd w:val="0"/>
        <w:snapToGrid w:val="0"/>
        <w:spacing w:line="360" w:lineRule="auto"/>
        <w:ind w:left="605" w:leftChars="18"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Times New Roman"/>
          <w:b/>
          <w:color w:val="000000" w:themeColor="text1"/>
          <w:kern w:val="0"/>
          <w:szCs w:val="21"/>
          <w:highlight w:val="none"/>
          <w:u w:val="single"/>
          <w14:textFill>
            <w14:solidFill>
              <w14:schemeClr w14:val="tx1"/>
            </w14:solidFill>
          </w14:textFill>
        </w:rPr>
        <w:t>本项目投标报价为不含税价，即为《中华人民共和国增值税暂行条例》（国务院令第6</w:t>
      </w:r>
      <w:r>
        <w:rPr>
          <w:rFonts w:ascii="宋体" w:hAnsi="宋体" w:eastAsia="宋体" w:cs="Times New Roman"/>
          <w:b/>
          <w:color w:val="000000" w:themeColor="text1"/>
          <w:kern w:val="0"/>
          <w:szCs w:val="21"/>
          <w:highlight w:val="none"/>
          <w:u w:val="single"/>
          <w14:textFill>
            <w14:solidFill>
              <w14:schemeClr w14:val="tx1"/>
            </w14:solidFill>
          </w14:textFill>
        </w:rPr>
        <w:t>91</w:t>
      </w:r>
      <w:r>
        <w:rPr>
          <w:rFonts w:hint="eastAsia" w:ascii="宋体" w:hAnsi="宋体" w:eastAsia="宋体" w:cs="Times New Roman"/>
          <w:b/>
          <w:color w:val="000000" w:themeColor="text1"/>
          <w:kern w:val="0"/>
          <w:szCs w:val="21"/>
          <w:highlight w:val="none"/>
          <w:u w:val="single"/>
          <w14:textFill>
            <w14:solidFill>
              <w14:schemeClr w14:val="tx1"/>
            </w14:solidFill>
          </w14:textFill>
        </w:rPr>
        <w:t>号修订版）规定的销售额</w:t>
      </w:r>
      <w:r>
        <w:rPr>
          <w:rFonts w:hint="eastAsia" w:ascii="宋体" w:hAnsi="宋体" w:eastAsia="宋体" w:cs="Times New Roman"/>
          <w:color w:val="000000" w:themeColor="text1"/>
          <w:kern w:val="0"/>
          <w:szCs w:val="21"/>
          <w:highlight w:val="none"/>
          <w14:textFill>
            <w14:solidFill>
              <w14:schemeClr w14:val="tx1"/>
            </w14:solidFill>
          </w14:textFill>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000000" w:themeColor="text1"/>
          <w:szCs w:val="21"/>
          <w:highlight w:val="none"/>
          <w:lang w:val="zh-CN"/>
          <w14:textFill>
            <w14:solidFill>
              <w14:schemeClr w14:val="tx1"/>
            </w14:solidFill>
          </w14:textFill>
        </w:rPr>
        <w:t>本采购项目的销项税额由招标人承担</w:t>
      </w:r>
      <w:r>
        <w:rPr>
          <w:rFonts w:hint="eastAsia" w:ascii="宋体" w:hAnsi="宋体" w:eastAsia="宋体" w:cs="Times New Roman"/>
          <w:color w:val="000000" w:themeColor="text1"/>
          <w:kern w:val="0"/>
          <w:szCs w:val="21"/>
          <w:highlight w:val="none"/>
          <w14:textFill>
            <w14:solidFill>
              <w14:schemeClr w14:val="tx1"/>
            </w14:solidFill>
          </w14:textFill>
        </w:rPr>
        <w:t>，不计入投标报价。</w:t>
      </w:r>
    </w:p>
    <w:p w14:paraId="218CFA7F">
      <w:pPr>
        <w:autoSpaceDE w:val="0"/>
        <w:autoSpaceDN w:val="0"/>
        <w:adjustRightInd w:val="0"/>
        <w:snapToGrid w:val="0"/>
        <w:spacing w:line="360" w:lineRule="auto"/>
        <w:ind w:left="607" w:leftChars="18" w:hanging="569" w:hangingChars="270"/>
        <w:jc w:val="left"/>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ascii="宋体" w:hAnsi="宋体" w:eastAsia="宋体" w:cs="Times New Roman"/>
          <w:b/>
          <w:bCs/>
          <w:color w:val="000000" w:themeColor="text1"/>
          <w:kern w:val="0"/>
          <w:szCs w:val="21"/>
          <w:highlight w:val="none"/>
          <w14:textFill>
            <w14:solidFill>
              <w14:schemeClr w14:val="tx1"/>
            </w14:solidFill>
          </w14:textFill>
        </w:rPr>
        <w:t>2</w:t>
      </w:r>
      <w:r>
        <w:rPr>
          <w:rFonts w:hint="eastAsia" w:ascii="宋体" w:hAnsi="宋体" w:eastAsia="宋体" w:cs="Times New Roman"/>
          <w:b/>
          <w:bCs/>
          <w:color w:val="000000" w:themeColor="text1"/>
          <w:kern w:val="0"/>
          <w:szCs w:val="21"/>
          <w:highlight w:val="none"/>
          <w14:textFill>
            <w14:solidFill>
              <w14:schemeClr w14:val="tx1"/>
            </w14:solidFill>
          </w14:textFill>
        </w:rPr>
        <w:t>）投标人的投标报价高于</w:t>
      </w:r>
      <w:bookmarkStart w:id="730" w:name="OLE_LINK37"/>
      <w:bookmarkStart w:id="731" w:name="OLE_LINK36"/>
      <w:r>
        <w:rPr>
          <w:rFonts w:hint="eastAsia" w:ascii="宋体" w:hAnsi="宋体" w:eastAsia="宋体" w:cs="宋体"/>
          <w:b/>
          <w:color w:val="000000" w:themeColor="text1"/>
          <w:kern w:val="0"/>
          <w:szCs w:val="21"/>
          <w:highlight w:val="none"/>
          <w14:textFill>
            <w14:solidFill>
              <w14:schemeClr w14:val="tx1"/>
            </w14:solidFill>
          </w14:textFill>
        </w:rPr>
        <w:t>本项目总采购限价的或投标单价报价高于单价采购限价的</w:t>
      </w:r>
      <w:bookmarkEnd w:id="730"/>
      <w:bookmarkEnd w:id="731"/>
      <w:r>
        <w:rPr>
          <w:rFonts w:hint="eastAsia" w:ascii="宋体" w:hAnsi="宋体" w:eastAsia="宋体" w:cs="Times New Roman"/>
          <w:b/>
          <w:bCs/>
          <w:color w:val="000000" w:themeColor="text1"/>
          <w:kern w:val="0"/>
          <w:szCs w:val="21"/>
          <w:highlight w:val="none"/>
          <w14:textFill>
            <w14:solidFill>
              <w14:schemeClr w14:val="tx1"/>
            </w14:solidFill>
          </w14:textFill>
        </w:rPr>
        <w:t>，该投标人的投标文件将被视为无效投标。</w:t>
      </w:r>
    </w:p>
    <w:p w14:paraId="3872AB06">
      <w:pPr>
        <w:autoSpaceDE w:val="0"/>
        <w:autoSpaceDN w:val="0"/>
        <w:adjustRightInd w:val="0"/>
        <w:snapToGrid w:val="0"/>
        <w:spacing w:line="360" w:lineRule="auto"/>
        <w:ind w:left="605" w:leftChars="18"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当投标报价表内投标报价总价与按固定每瓦单价计算的总价不一致的，以投标报价总价为准，修正固定每瓦单价金额；本投标报价表报价与分项报价明细表报价不一致的，以本投标报价表为准。对不同文字文本投标文件的解释发生异议的，以中文文本为准。</w:t>
      </w:r>
    </w:p>
    <w:p w14:paraId="2217CEF3">
      <w:pPr>
        <w:autoSpaceDE w:val="0"/>
        <w:autoSpaceDN w:val="0"/>
        <w:adjustRightInd w:val="0"/>
        <w:snapToGrid w:val="0"/>
        <w:spacing w:line="360" w:lineRule="auto"/>
        <w:ind w:left="605" w:leftChars="18" w:hanging="567" w:hangingChars="270"/>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u w:val="single"/>
          <w:lang w:val="zh-CN"/>
          <w14:textFill>
            <w14:solidFill>
              <w14:schemeClr w14:val="tx1"/>
            </w14:solidFill>
          </w14:textFill>
        </w:rPr>
        <w:t>本表一式二份，一份随唱标信封一起提交，一份编入投标文件商务文件</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w:t>
      </w:r>
    </w:p>
    <w:p w14:paraId="066B0045">
      <w:pPr>
        <w:autoSpaceDE w:val="0"/>
        <w:autoSpaceDN w:val="0"/>
        <w:adjustRightInd w:val="0"/>
        <w:snapToGrid w:val="0"/>
        <w:spacing w:line="360" w:lineRule="auto"/>
        <w:ind w:left="605" w:leftChars="18" w:hanging="567" w:hangingChars="270"/>
        <w:jc w:val="left"/>
        <w:rPr>
          <w:rFonts w:ascii="宋体" w:hAnsi="宋体" w:eastAsia="宋体" w:cs="Times New Roman"/>
          <w:bCs/>
          <w:color w:val="000000" w:themeColor="text1"/>
          <w:kern w:val="0"/>
          <w:szCs w:val="21"/>
          <w:highlight w:val="none"/>
          <w:lang w:val="zh-CN"/>
          <w14:textFill>
            <w14:solidFill>
              <w14:schemeClr w14:val="tx1"/>
            </w14:solidFill>
          </w14:textFill>
        </w:rPr>
      </w:pPr>
      <w:r>
        <w:rPr>
          <w:rFonts w:hint="eastAsia" w:ascii="宋体" w:hAnsi="宋体" w:eastAsia="宋体" w:cs="Times New Roman"/>
          <w:bCs/>
          <w:color w:val="000000" w:themeColor="text1"/>
          <w:kern w:val="0"/>
          <w:szCs w:val="21"/>
          <w:highlight w:val="none"/>
          <w:lang w:val="zh-CN"/>
          <w14:textFill>
            <w14:solidFill>
              <w14:schemeClr w14:val="tx1"/>
            </w14:solidFill>
          </w14:textFill>
        </w:rPr>
        <w:t>（</w:t>
      </w:r>
      <w:r>
        <w:rPr>
          <w:rFonts w:ascii="宋体" w:hAnsi="宋体" w:eastAsia="宋体" w:cs="Times New Roman"/>
          <w:bCs/>
          <w:color w:val="000000" w:themeColor="text1"/>
          <w:kern w:val="0"/>
          <w:szCs w:val="21"/>
          <w:highlight w:val="none"/>
          <w:lang w:val="zh-CN"/>
          <w14:textFill>
            <w14:solidFill>
              <w14:schemeClr w14:val="tx1"/>
            </w14:solidFill>
          </w14:textFill>
        </w:rPr>
        <w:t>5</w:t>
      </w:r>
      <w:r>
        <w:rPr>
          <w:rFonts w:hint="eastAsia" w:ascii="宋体" w:hAnsi="宋体" w:eastAsia="宋体" w:cs="Times New Roman"/>
          <w:bCs/>
          <w:color w:val="000000" w:themeColor="text1"/>
          <w:kern w:val="0"/>
          <w:szCs w:val="21"/>
          <w:highlight w:val="none"/>
          <w:lang w:val="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报价保留小数点后两位。</w:t>
      </w:r>
    </w:p>
    <w:p w14:paraId="51F60F30">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67B18026">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14:paraId="1F8E183C">
      <w:pPr>
        <w:autoSpaceDE w:val="0"/>
        <w:autoSpaceDN w:val="0"/>
        <w:adjustRightInd w:val="0"/>
        <w:spacing w:line="360" w:lineRule="auto"/>
        <w:ind w:firstLine="4960" w:firstLineChars="2362"/>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294474E3">
      <w:pPr>
        <w:tabs>
          <w:tab w:val="left" w:pos="567"/>
        </w:tabs>
        <w:autoSpaceDE w:val="0"/>
        <w:autoSpaceDN w:val="0"/>
        <w:adjustRightInd w:val="0"/>
        <w:spacing w:line="360" w:lineRule="auto"/>
        <w:ind w:left="496" w:hanging="495" w:hangingChars="236"/>
        <w:jc w:val="left"/>
        <w:outlineLvl w:val="2"/>
        <w:rPr>
          <w:rFonts w:ascii="宋体" w:hAnsi="宋体" w:eastAsia="宋体" w:cs="宋体"/>
          <w:b/>
          <w:color w:val="000000" w:themeColor="text1"/>
          <w:sz w:val="30"/>
          <w:szCs w:val="30"/>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br w:type="page"/>
      </w:r>
      <w:bookmarkStart w:id="732" w:name="_Toc8842"/>
      <w:bookmarkStart w:id="733" w:name="_Toc30859"/>
      <w:bookmarkStart w:id="734" w:name="_Toc94107208"/>
      <w:bookmarkStart w:id="735" w:name="_Toc23177"/>
      <w:bookmarkStart w:id="736" w:name="_Toc102860417"/>
      <w:bookmarkStart w:id="737" w:name="_Toc104991874"/>
      <w:bookmarkStart w:id="738" w:name="_Toc140596927"/>
      <w:bookmarkStart w:id="739" w:name="_Toc102860073"/>
      <w:bookmarkStart w:id="740" w:name="_Toc5213"/>
      <w:bookmarkStart w:id="741" w:name="_Toc142508368"/>
      <w:bookmarkStart w:id="742" w:name="_Toc27734"/>
      <w:r>
        <w:rPr>
          <w:rFonts w:hint="eastAsia" w:ascii="宋体" w:hAnsi="宋体" w:eastAsia="宋体" w:cs="宋体"/>
          <w:b/>
          <w:color w:val="000000" w:themeColor="text1"/>
          <w:kern w:val="0"/>
          <w:sz w:val="30"/>
          <w:szCs w:val="30"/>
          <w:highlight w:val="none"/>
          <w14:textFill>
            <w14:solidFill>
              <w14:schemeClr w14:val="tx1"/>
            </w14:solidFill>
          </w14:textFill>
        </w:rPr>
        <w:t>4</w:t>
      </w:r>
      <w:r>
        <w:rPr>
          <w:rFonts w:ascii="宋体" w:hAnsi="宋体" w:eastAsia="宋体" w:cs="宋体"/>
          <w:b/>
          <w:color w:val="000000" w:themeColor="text1"/>
          <w:kern w:val="0"/>
          <w:sz w:val="30"/>
          <w:szCs w:val="30"/>
          <w:highlight w:val="none"/>
          <w14:textFill>
            <w14:solidFill>
              <w14:schemeClr w14:val="tx1"/>
            </w14:solidFill>
          </w14:textFill>
        </w:rPr>
        <w:t xml:space="preserve">.2 </w:t>
      </w:r>
      <w:r>
        <w:rPr>
          <w:rFonts w:hint="eastAsia" w:ascii="宋体" w:hAnsi="宋体" w:eastAsia="宋体" w:cs="宋体"/>
          <w:b/>
          <w:color w:val="000000" w:themeColor="text1"/>
          <w:kern w:val="0"/>
          <w:sz w:val="30"/>
          <w:szCs w:val="30"/>
          <w:highlight w:val="none"/>
          <w14:textFill>
            <w14:solidFill>
              <w14:schemeClr w14:val="tx1"/>
            </w14:solidFill>
          </w14:textFill>
        </w:rPr>
        <w:t>分项</w:t>
      </w:r>
      <w:r>
        <w:rPr>
          <w:rFonts w:ascii="宋体" w:hAnsi="宋体" w:eastAsia="宋体" w:cs="宋体"/>
          <w:b/>
          <w:color w:val="000000" w:themeColor="text1"/>
          <w:kern w:val="0"/>
          <w:sz w:val="30"/>
          <w:szCs w:val="30"/>
          <w:highlight w:val="none"/>
          <w14:textFill>
            <w14:solidFill>
              <w14:schemeClr w14:val="tx1"/>
            </w14:solidFill>
          </w14:textFill>
        </w:rPr>
        <w:t>报价表</w:t>
      </w:r>
      <w:bookmarkEnd w:id="732"/>
      <w:bookmarkEnd w:id="733"/>
      <w:bookmarkEnd w:id="734"/>
      <w:bookmarkEnd w:id="735"/>
      <w:bookmarkEnd w:id="736"/>
      <w:bookmarkEnd w:id="737"/>
      <w:bookmarkEnd w:id="738"/>
      <w:bookmarkEnd w:id="739"/>
      <w:bookmarkEnd w:id="740"/>
      <w:bookmarkEnd w:id="741"/>
      <w:bookmarkEnd w:id="742"/>
    </w:p>
    <w:p w14:paraId="4245000E">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t>分项</w:t>
      </w:r>
      <w:r>
        <w:rPr>
          <w:rFonts w:ascii="宋体" w:hAnsi="宋体" w:eastAsia="宋体" w:cs="宋体"/>
          <w:b/>
          <w:bCs/>
          <w:color w:val="000000" w:themeColor="text1"/>
          <w:sz w:val="30"/>
          <w:szCs w:val="30"/>
          <w:highlight w:val="none"/>
          <w:lang w:val="zh-CN"/>
          <w14:textFill>
            <w14:solidFill>
              <w14:schemeClr w14:val="tx1"/>
            </w14:solidFill>
          </w14:textFill>
        </w:rPr>
        <w:t>报价表</w:t>
      </w:r>
    </w:p>
    <w:p w14:paraId="6C1FFFE3">
      <w:pPr>
        <w:spacing w:line="360" w:lineRule="auto"/>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项目名称：</w:t>
      </w:r>
      <w:r>
        <w:rPr>
          <w:rFonts w:hint="eastAsia" w:ascii="宋体" w:hAnsi="宋体" w:eastAsia="宋体" w:cs="宋体"/>
          <w:color w:val="000000" w:themeColor="text1"/>
          <w:kern w:val="0"/>
          <w:szCs w:val="21"/>
          <w:highlight w:val="none"/>
          <w:u w:val="single"/>
          <w14:textFill>
            <w14:solidFill>
              <w14:schemeClr w14:val="tx1"/>
            </w14:solidFill>
          </w14:textFill>
        </w:rPr>
        <w:t>东莞市水务集团科技发展有限公司屋顶分布式光伏发电（一期）采购项目</w:t>
      </w:r>
    </w:p>
    <w:p w14:paraId="22A88966">
      <w:pPr>
        <w:spacing w:line="360" w:lineRule="auto"/>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招标编号：</w:t>
      </w:r>
      <w:r>
        <w:rPr>
          <w:rFonts w:hint="eastAsia" w:ascii="宋体" w:hAnsi="宋体" w:eastAsia="宋体" w:cs="宋体"/>
          <w:color w:val="000000" w:themeColor="text1"/>
          <w:kern w:val="0"/>
          <w:szCs w:val="21"/>
          <w:highlight w:val="none"/>
          <w:u w:val="single"/>
          <w14:textFill>
            <w14:solidFill>
              <w14:schemeClr w14:val="tx1"/>
            </w14:solidFill>
          </w14:textFill>
        </w:rPr>
        <w:t>广建咨询（东招）2024-0133号</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958"/>
        <w:gridCol w:w="660"/>
        <w:gridCol w:w="1103"/>
        <w:gridCol w:w="1352"/>
        <w:gridCol w:w="993"/>
        <w:gridCol w:w="962"/>
        <w:gridCol w:w="1103"/>
        <w:gridCol w:w="873"/>
        <w:gridCol w:w="667"/>
      </w:tblGrid>
      <w:tr w14:paraId="7882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36ABD11E">
            <w:pPr>
              <w:autoSpaceDE w:val="0"/>
              <w:autoSpaceDN w:val="0"/>
              <w:adjustRightInd w:val="0"/>
              <w:spacing w:line="400" w:lineRule="exact"/>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货物明细表</w:t>
            </w:r>
          </w:p>
        </w:tc>
      </w:tr>
      <w:tr w14:paraId="286F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37" w:type="pct"/>
            <w:tcBorders>
              <w:top w:val="single" w:color="auto" w:sz="4" w:space="0"/>
              <w:left w:val="single" w:color="auto" w:sz="4" w:space="0"/>
              <w:bottom w:val="single" w:color="auto" w:sz="4" w:space="0"/>
              <w:right w:val="single" w:color="auto" w:sz="4" w:space="0"/>
            </w:tcBorders>
            <w:vAlign w:val="center"/>
          </w:tcPr>
          <w:p w14:paraId="363EF1EA">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序号</w:t>
            </w:r>
          </w:p>
        </w:tc>
        <w:tc>
          <w:tcPr>
            <w:tcW w:w="944" w:type="pct"/>
            <w:tcBorders>
              <w:top w:val="single" w:color="auto" w:sz="4" w:space="0"/>
              <w:left w:val="single" w:color="auto" w:sz="4" w:space="0"/>
              <w:bottom w:val="single" w:color="auto" w:sz="4" w:space="0"/>
              <w:right w:val="single" w:color="auto" w:sz="4" w:space="0"/>
            </w:tcBorders>
            <w:vAlign w:val="center"/>
          </w:tcPr>
          <w:p w14:paraId="27D36D82">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货物名称</w:t>
            </w:r>
          </w:p>
        </w:tc>
        <w:tc>
          <w:tcPr>
            <w:tcW w:w="318" w:type="pct"/>
            <w:tcBorders>
              <w:top w:val="single" w:color="auto" w:sz="4" w:space="0"/>
              <w:left w:val="single" w:color="auto" w:sz="4" w:space="0"/>
              <w:bottom w:val="single" w:color="auto" w:sz="4" w:space="0"/>
              <w:right w:val="single" w:color="auto" w:sz="4" w:space="0"/>
            </w:tcBorders>
            <w:vAlign w:val="center"/>
          </w:tcPr>
          <w:p w14:paraId="751CE359">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品牌</w:t>
            </w:r>
          </w:p>
        </w:tc>
        <w:tc>
          <w:tcPr>
            <w:tcW w:w="532" w:type="pct"/>
            <w:tcBorders>
              <w:top w:val="single" w:color="auto" w:sz="4" w:space="0"/>
              <w:left w:val="single" w:color="auto" w:sz="4" w:space="0"/>
              <w:bottom w:val="single" w:color="auto" w:sz="4" w:space="0"/>
              <w:right w:val="single" w:color="auto" w:sz="4" w:space="0"/>
            </w:tcBorders>
            <w:vAlign w:val="center"/>
          </w:tcPr>
          <w:p w14:paraId="704AC657">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产地</w:t>
            </w:r>
          </w:p>
        </w:tc>
        <w:tc>
          <w:tcPr>
            <w:tcW w:w="652" w:type="pct"/>
            <w:tcBorders>
              <w:top w:val="single" w:color="auto" w:sz="4" w:space="0"/>
              <w:left w:val="single" w:color="auto" w:sz="4" w:space="0"/>
              <w:bottom w:val="single" w:color="auto" w:sz="4" w:space="0"/>
              <w:right w:val="single" w:color="auto" w:sz="4" w:space="0"/>
            </w:tcBorders>
            <w:vAlign w:val="center"/>
          </w:tcPr>
          <w:p w14:paraId="7FA7DEEE">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规格、型号</w:t>
            </w:r>
          </w:p>
        </w:tc>
        <w:tc>
          <w:tcPr>
            <w:tcW w:w="479" w:type="pct"/>
            <w:tcBorders>
              <w:top w:val="single" w:color="auto" w:sz="4" w:space="0"/>
              <w:left w:val="single" w:color="auto" w:sz="4" w:space="0"/>
              <w:bottom w:val="single" w:color="auto" w:sz="4" w:space="0"/>
              <w:right w:val="single" w:color="auto" w:sz="4" w:space="0"/>
            </w:tcBorders>
            <w:vAlign w:val="center"/>
          </w:tcPr>
          <w:p w14:paraId="66203CE1">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单位</w:t>
            </w:r>
          </w:p>
        </w:tc>
        <w:tc>
          <w:tcPr>
            <w:tcW w:w="464" w:type="pct"/>
            <w:tcBorders>
              <w:top w:val="single" w:color="auto" w:sz="4" w:space="0"/>
              <w:left w:val="single" w:color="auto" w:sz="4" w:space="0"/>
              <w:bottom w:val="single" w:color="auto" w:sz="4" w:space="0"/>
              <w:right w:val="single" w:color="auto" w:sz="4" w:space="0"/>
            </w:tcBorders>
            <w:vAlign w:val="center"/>
          </w:tcPr>
          <w:p w14:paraId="7DCC7DA5">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数量</w:t>
            </w:r>
          </w:p>
        </w:tc>
        <w:tc>
          <w:tcPr>
            <w:tcW w:w="532" w:type="pct"/>
            <w:tcBorders>
              <w:top w:val="single" w:color="auto" w:sz="4" w:space="0"/>
              <w:left w:val="single" w:color="auto" w:sz="4" w:space="0"/>
              <w:bottom w:val="single" w:color="auto" w:sz="4" w:space="0"/>
              <w:right w:val="single" w:color="auto" w:sz="4" w:space="0"/>
            </w:tcBorders>
            <w:vAlign w:val="center"/>
          </w:tcPr>
          <w:p w14:paraId="28FD1116">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不含税综合</w:t>
            </w:r>
            <w:r>
              <w:rPr>
                <w:rFonts w:ascii="宋体" w:hAnsi="宋体" w:eastAsia="宋体" w:cs="Times New Roman"/>
                <w:b/>
                <w:color w:val="000000" w:themeColor="text1"/>
                <w:kern w:val="0"/>
                <w:szCs w:val="21"/>
                <w:highlight w:val="none"/>
                <w14:textFill>
                  <w14:solidFill>
                    <w14:schemeClr w14:val="tx1"/>
                  </w14:solidFill>
                </w14:textFill>
              </w:rPr>
              <w:t>单价</w:t>
            </w:r>
          </w:p>
          <w:p w14:paraId="0F85536F">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（元）</w:t>
            </w:r>
          </w:p>
        </w:tc>
        <w:tc>
          <w:tcPr>
            <w:tcW w:w="421" w:type="pct"/>
            <w:tcBorders>
              <w:top w:val="single" w:color="auto" w:sz="4" w:space="0"/>
              <w:left w:val="single" w:color="auto" w:sz="4" w:space="0"/>
              <w:bottom w:val="single" w:color="auto" w:sz="4" w:space="0"/>
              <w:right w:val="single" w:color="auto" w:sz="4" w:space="0"/>
            </w:tcBorders>
            <w:vAlign w:val="center"/>
          </w:tcPr>
          <w:p w14:paraId="08DE8605">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不含税</w:t>
            </w:r>
            <w:r>
              <w:rPr>
                <w:rFonts w:ascii="宋体" w:hAnsi="宋体" w:eastAsia="宋体" w:cs="Times New Roman"/>
                <w:b/>
                <w:color w:val="000000" w:themeColor="text1"/>
                <w:kern w:val="0"/>
                <w:szCs w:val="21"/>
                <w:highlight w:val="none"/>
                <w14:textFill>
                  <w14:solidFill>
                    <w14:schemeClr w14:val="tx1"/>
                  </w14:solidFill>
                </w14:textFill>
              </w:rPr>
              <w:t>小计（元）</w:t>
            </w:r>
          </w:p>
        </w:tc>
        <w:tc>
          <w:tcPr>
            <w:tcW w:w="321" w:type="pct"/>
            <w:tcBorders>
              <w:top w:val="single" w:color="auto" w:sz="4" w:space="0"/>
              <w:left w:val="single" w:color="auto" w:sz="4" w:space="0"/>
              <w:bottom w:val="single" w:color="auto" w:sz="4" w:space="0"/>
              <w:right w:val="single" w:color="auto" w:sz="4" w:space="0"/>
            </w:tcBorders>
            <w:vAlign w:val="center"/>
          </w:tcPr>
          <w:p w14:paraId="5BC8263C">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备注</w:t>
            </w:r>
          </w:p>
        </w:tc>
      </w:tr>
      <w:tr w14:paraId="477F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37" w:type="pct"/>
            <w:tcBorders>
              <w:top w:val="single" w:color="auto" w:sz="4" w:space="0"/>
              <w:left w:val="single" w:color="auto" w:sz="4" w:space="0"/>
              <w:bottom w:val="single" w:color="auto" w:sz="4" w:space="0"/>
              <w:right w:val="single" w:color="auto" w:sz="4" w:space="0"/>
            </w:tcBorders>
            <w:vAlign w:val="center"/>
          </w:tcPr>
          <w:p w14:paraId="62A75C8B">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1</w:t>
            </w:r>
          </w:p>
        </w:tc>
        <w:tc>
          <w:tcPr>
            <w:tcW w:w="944" w:type="pct"/>
            <w:tcBorders>
              <w:top w:val="single" w:color="auto" w:sz="4" w:space="0"/>
              <w:left w:val="single" w:color="auto" w:sz="4" w:space="0"/>
              <w:bottom w:val="single" w:color="auto" w:sz="4" w:space="0"/>
              <w:right w:val="single" w:color="auto" w:sz="4" w:space="0"/>
            </w:tcBorders>
          </w:tcPr>
          <w:p w14:paraId="49962773">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vAlign w:val="center"/>
          </w:tcPr>
          <w:p w14:paraId="2074304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246D1B4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vAlign w:val="center"/>
          </w:tcPr>
          <w:p w14:paraId="08BBC2C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79" w:type="pct"/>
            <w:tcBorders>
              <w:top w:val="single" w:color="auto" w:sz="4" w:space="0"/>
              <w:left w:val="single" w:color="auto" w:sz="4" w:space="0"/>
              <w:bottom w:val="single" w:color="auto" w:sz="4" w:space="0"/>
              <w:right w:val="single" w:color="auto" w:sz="4" w:space="0"/>
            </w:tcBorders>
            <w:vAlign w:val="center"/>
          </w:tcPr>
          <w:p w14:paraId="262BA27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64" w:type="pct"/>
            <w:tcBorders>
              <w:top w:val="single" w:color="auto" w:sz="4" w:space="0"/>
              <w:left w:val="single" w:color="auto" w:sz="4" w:space="0"/>
              <w:bottom w:val="single" w:color="auto" w:sz="4" w:space="0"/>
              <w:right w:val="single" w:color="auto" w:sz="4" w:space="0"/>
            </w:tcBorders>
            <w:vAlign w:val="center"/>
          </w:tcPr>
          <w:p w14:paraId="73053B3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2ABED5A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21" w:type="pct"/>
            <w:tcBorders>
              <w:top w:val="single" w:color="auto" w:sz="4" w:space="0"/>
              <w:left w:val="single" w:color="auto" w:sz="4" w:space="0"/>
              <w:bottom w:val="single" w:color="auto" w:sz="4" w:space="0"/>
              <w:right w:val="single" w:color="auto" w:sz="4" w:space="0"/>
            </w:tcBorders>
            <w:vAlign w:val="center"/>
          </w:tcPr>
          <w:p w14:paraId="7618160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21" w:type="pct"/>
            <w:tcBorders>
              <w:top w:val="single" w:color="auto" w:sz="4" w:space="0"/>
              <w:left w:val="single" w:color="auto" w:sz="4" w:space="0"/>
              <w:bottom w:val="single" w:color="auto" w:sz="4" w:space="0"/>
              <w:right w:val="single" w:color="auto" w:sz="4" w:space="0"/>
            </w:tcBorders>
            <w:vAlign w:val="center"/>
          </w:tcPr>
          <w:p w14:paraId="1510FB2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21E1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7" w:type="pct"/>
            <w:tcBorders>
              <w:top w:val="single" w:color="auto" w:sz="4" w:space="0"/>
              <w:left w:val="single" w:color="auto" w:sz="4" w:space="0"/>
              <w:bottom w:val="single" w:color="auto" w:sz="4" w:space="0"/>
              <w:right w:val="single" w:color="auto" w:sz="4" w:space="0"/>
            </w:tcBorders>
            <w:vAlign w:val="center"/>
          </w:tcPr>
          <w:p w14:paraId="6F6351EC">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2</w:t>
            </w:r>
          </w:p>
        </w:tc>
        <w:tc>
          <w:tcPr>
            <w:tcW w:w="944" w:type="pct"/>
            <w:tcBorders>
              <w:top w:val="single" w:color="auto" w:sz="4" w:space="0"/>
              <w:left w:val="single" w:color="auto" w:sz="4" w:space="0"/>
              <w:bottom w:val="single" w:color="auto" w:sz="4" w:space="0"/>
              <w:right w:val="single" w:color="auto" w:sz="4" w:space="0"/>
            </w:tcBorders>
          </w:tcPr>
          <w:p w14:paraId="504ACE15">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vAlign w:val="center"/>
          </w:tcPr>
          <w:p w14:paraId="60D0E58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4901529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vAlign w:val="center"/>
          </w:tcPr>
          <w:p w14:paraId="52CA44B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79" w:type="pct"/>
            <w:tcBorders>
              <w:top w:val="single" w:color="auto" w:sz="4" w:space="0"/>
              <w:left w:val="single" w:color="auto" w:sz="4" w:space="0"/>
              <w:bottom w:val="single" w:color="auto" w:sz="4" w:space="0"/>
              <w:right w:val="single" w:color="auto" w:sz="4" w:space="0"/>
            </w:tcBorders>
            <w:vAlign w:val="center"/>
          </w:tcPr>
          <w:p w14:paraId="34BA325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64" w:type="pct"/>
            <w:tcBorders>
              <w:top w:val="single" w:color="auto" w:sz="4" w:space="0"/>
              <w:left w:val="single" w:color="auto" w:sz="4" w:space="0"/>
              <w:bottom w:val="single" w:color="auto" w:sz="4" w:space="0"/>
              <w:right w:val="single" w:color="auto" w:sz="4" w:space="0"/>
            </w:tcBorders>
            <w:vAlign w:val="center"/>
          </w:tcPr>
          <w:p w14:paraId="6629E6A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7081A31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21" w:type="pct"/>
            <w:tcBorders>
              <w:top w:val="single" w:color="auto" w:sz="4" w:space="0"/>
              <w:left w:val="single" w:color="auto" w:sz="4" w:space="0"/>
              <w:bottom w:val="single" w:color="auto" w:sz="4" w:space="0"/>
              <w:right w:val="single" w:color="auto" w:sz="4" w:space="0"/>
            </w:tcBorders>
            <w:vAlign w:val="center"/>
          </w:tcPr>
          <w:p w14:paraId="385A020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21" w:type="pct"/>
            <w:tcBorders>
              <w:top w:val="single" w:color="auto" w:sz="4" w:space="0"/>
              <w:left w:val="single" w:color="auto" w:sz="4" w:space="0"/>
              <w:bottom w:val="single" w:color="auto" w:sz="4" w:space="0"/>
              <w:right w:val="single" w:color="auto" w:sz="4" w:space="0"/>
            </w:tcBorders>
            <w:vAlign w:val="center"/>
          </w:tcPr>
          <w:p w14:paraId="700C45D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7FBE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14:paraId="5901280C">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w:t>
            </w:r>
          </w:p>
        </w:tc>
        <w:tc>
          <w:tcPr>
            <w:tcW w:w="944" w:type="pct"/>
            <w:tcBorders>
              <w:top w:val="single" w:color="auto" w:sz="4" w:space="0"/>
              <w:left w:val="single" w:color="auto" w:sz="4" w:space="0"/>
              <w:bottom w:val="single" w:color="auto" w:sz="4" w:space="0"/>
              <w:right w:val="single" w:color="auto" w:sz="4" w:space="0"/>
            </w:tcBorders>
          </w:tcPr>
          <w:p w14:paraId="1C6A3851">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vAlign w:val="center"/>
          </w:tcPr>
          <w:p w14:paraId="31FF3AB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277D512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vAlign w:val="center"/>
          </w:tcPr>
          <w:p w14:paraId="0D9F45F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79" w:type="pct"/>
            <w:tcBorders>
              <w:top w:val="single" w:color="auto" w:sz="4" w:space="0"/>
              <w:left w:val="single" w:color="auto" w:sz="4" w:space="0"/>
              <w:bottom w:val="single" w:color="auto" w:sz="4" w:space="0"/>
              <w:right w:val="single" w:color="auto" w:sz="4" w:space="0"/>
            </w:tcBorders>
            <w:vAlign w:val="center"/>
          </w:tcPr>
          <w:p w14:paraId="324C1E2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64" w:type="pct"/>
            <w:tcBorders>
              <w:top w:val="single" w:color="auto" w:sz="4" w:space="0"/>
              <w:left w:val="single" w:color="auto" w:sz="4" w:space="0"/>
              <w:bottom w:val="single" w:color="auto" w:sz="4" w:space="0"/>
              <w:right w:val="single" w:color="auto" w:sz="4" w:space="0"/>
            </w:tcBorders>
            <w:vAlign w:val="center"/>
          </w:tcPr>
          <w:p w14:paraId="2D2D769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442B501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21" w:type="pct"/>
            <w:tcBorders>
              <w:top w:val="single" w:color="auto" w:sz="4" w:space="0"/>
              <w:left w:val="single" w:color="auto" w:sz="4" w:space="0"/>
              <w:bottom w:val="single" w:color="auto" w:sz="4" w:space="0"/>
              <w:right w:val="single" w:color="auto" w:sz="4" w:space="0"/>
            </w:tcBorders>
            <w:vAlign w:val="center"/>
          </w:tcPr>
          <w:p w14:paraId="4CABE53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21" w:type="pct"/>
            <w:tcBorders>
              <w:top w:val="single" w:color="auto" w:sz="4" w:space="0"/>
              <w:left w:val="single" w:color="auto" w:sz="4" w:space="0"/>
              <w:bottom w:val="single" w:color="auto" w:sz="4" w:space="0"/>
              <w:right w:val="single" w:color="auto" w:sz="4" w:space="0"/>
            </w:tcBorders>
            <w:vAlign w:val="center"/>
          </w:tcPr>
          <w:p w14:paraId="7985093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2A59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14:paraId="5D6696A8">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p>
        </w:tc>
        <w:tc>
          <w:tcPr>
            <w:tcW w:w="944" w:type="pct"/>
            <w:tcBorders>
              <w:top w:val="single" w:color="auto" w:sz="4" w:space="0"/>
              <w:left w:val="single" w:color="auto" w:sz="4" w:space="0"/>
              <w:bottom w:val="single" w:color="auto" w:sz="4" w:space="0"/>
              <w:right w:val="single" w:color="auto" w:sz="4" w:space="0"/>
            </w:tcBorders>
          </w:tcPr>
          <w:p w14:paraId="43AE9B80">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vAlign w:val="center"/>
          </w:tcPr>
          <w:p w14:paraId="1C9049A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66656DF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vAlign w:val="center"/>
          </w:tcPr>
          <w:p w14:paraId="5C37A93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79" w:type="pct"/>
            <w:tcBorders>
              <w:top w:val="single" w:color="auto" w:sz="4" w:space="0"/>
              <w:left w:val="single" w:color="auto" w:sz="4" w:space="0"/>
              <w:bottom w:val="single" w:color="auto" w:sz="4" w:space="0"/>
              <w:right w:val="single" w:color="auto" w:sz="4" w:space="0"/>
            </w:tcBorders>
            <w:vAlign w:val="center"/>
          </w:tcPr>
          <w:p w14:paraId="5E62933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64" w:type="pct"/>
            <w:tcBorders>
              <w:top w:val="single" w:color="auto" w:sz="4" w:space="0"/>
              <w:left w:val="single" w:color="auto" w:sz="4" w:space="0"/>
              <w:bottom w:val="single" w:color="auto" w:sz="4" w:space="0"/>
              <w:right w:val="single" w:color="auto" w:sz="4" w:space="0"/>
            </w:tcBorders>
            <w:vAlign w:val="center"/>
          </w:tcPr>
          <w:p w14:paraId="06B5A93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0228E0A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21" w:type="pct"/>
            <w:tcBorders>
              <w:top w:val="single" w:color="auto" w:sz="4" w:space="0"/>
              <w:left w:val="single" w:color="auto" w:sz="4" w:space="0"/>
              <w:bottom w:val="single" w:color="auto" w:sz="4" w:space="0"/>
              <w:right w:val="single" w:color="auto" w:sz="4" w:space="0"/>
            </w:tcBorders>
            <w:vAlign w:val="center"/>
          </w:tcPr>
          <w:p w14:paraId="753FE37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21" w:type="pct"/>
            <w:tcBorders>
              <w:top w:val="single" w:color="auto" w:sz="4" w:space="0"/>
              <w:left w:val="single" w:color="auto" w:sz="4" w:space="0"/>
              <w:bottom w:val="single" w:color="auto" w:sz="4" w:space="0"/>
              <w:right w:val="single" w:color="auto" w:sz="4" w:space="0"/>
            </w:tcBorders>
            <w:vAlign w:val="center"/>
          </w:tcPr>
          <w:p w14:paraId="2F06939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7878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14:paraId="56C4EF74">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w:t>
            </w:r>
          </w:p>
        </w:tc>
        <w:tc>
          <w:tcPr>
            <w:tcW w:w="944" w:type="pct"/>
            <w:tcBorders>
              <w:top w:val="single" w:color="auto" w:sz="4" w:space="0"/>
              <w:left w:val="single" w:color="auto" w:sz="4" w:space="0"/>
              <w:bottom w:val="single" w:color="auto" w:sz="4" w:space="0"/>
              <w:right w:val="single" w:color="auto" w:sz="4" w:space="0"/>
            </w:tcBorders>
          </w:tcPr>
          <w:p w14:paraId="5C230ED4">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vAlign w:val="center"/>
          </w:tcPr>
          <w:p w14:paraId="47FCC51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4722CB2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vAlign w:val="center"/>
          </w:tcPr>
          <w:p w14:paraId="1CD8FE1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79" w:type="pct"/>
            <w:tcBorders>
              <w:top w:val="single" w:color="auto" w:sz="4" w:space="0"/>
              <w:left w:val="single" w:color="auto" w:sz="4" w:space="0"/>
              <w:bottom w:val="single" w:color="auto" w:sz="4" w:space="0"/>
              <w:right w:val="single" w:color="auto" w:sz="4" w:space="0"/>
            </w:tcBorders>
            <w:vAlign w:val="center"/>
          </w:tcPr>
          <w:p w14:paraId="4B98D7E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64" w:type="pct"/>
            <w:tcBorders>
              <w:top w:val="single" w:color="auto" w:sz="4" w:space="0"/>
              <w:left w:val="single" w:color="auto" w:sz="4" w:space="0"/>
              <w:bottom w:val="single" w:color="auto" w:sz="4" w:space="0"/>
              <w:right w:val="single" w:color="auto" w:sz="4" w:space="0"/>
            </w:tcBorders>
            <w:vAlign w:val="center"/>
          </w:tcPr>
          <w:p w14:paraId="419EA19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7DA8EE7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21" w:type="pct"/>
            <w:tcBorders>
              <w:top w:val="single" w:color="auto" w:sz="4" w:space="0"/>
              <w:left w:val="single" w:color="auto" w:sz="4" w:space="0"/>
              <w:bottom w:val="single" w:color="auto" w:sz="4" w:space="0"/>
              <w:right w:val="single" w:color="auto" w:sz="4" w:space="0"/>
            </w:tcBorders>
            <w:vAlign w:val="center"/>
          </w:tcPr>
          <w:p w14:paraId="54D0832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21" w:type="pct"/>
            <w:tcBorders>
              <w:top w:val="single" w:color="auto" w:sz="4" w:space="0"/>
              <w:left w:val="single" w:color="auto" w:sz="4" w:space="0"/>
              <w:bottom w:val="single" w:color="auto" w:sz="4" w:space="0"/>
              <w:right w:val="single" w:color="auto" w:sz="4" w:space="0"/>
            </w:tcBorders>
            <w:vAlign w:val="center"/>
          </w:tcPr>
          <w:p w14:paraId="5E442CD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4193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7" w:type="pct"/>
            <w:tcBorders>
              <w:top w:val="single" w:color="auto" w:sz="4" w:space="0"/>
              <w:left w:val="single" w:color="auto" w:sz="4" w:space="0"/>
              <w:bottom w:val="single" w:color="auto" w:sz="4" w:space="0"/>
              <w:right w:val="single" w:color="auto" w:sz="4" w:space="0"/>
            </w:tcBorders>
            <w:vAlign w:val="center"/>
          </w:tcPr>
          <w:p w14:paraId="4E6AD28E">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w:t>
            </w:r>
          </w:p>
        </w:tc>
        <w:tc>
          <w:tcPr>
            <w:tcW w:w="944" w:type="pct"/>
            <w:tcBorders>
              <w:top w:val="single" w:color="auto" w:sz="4" w:space="0"/>
              <w:left w:val="single" w:color="auto" w:sz="4" w:space="0"/>
              <w:bottom w:val="single" w:color="auto" w:sz="4" w:space="0"/>
              <w:right w:val="single" w:color="auto" w:sz="4" w:space="0"/>
            </w:tcBorders>
            <w:vAlign w:val="center"/>
          </w:tcPr>
          <w:p w14:paraId="731C6C79">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318" w:type="pct"/>
            <w:tcBorders>
              <w:top w:val="single" w:color="auto" w:sz="4" w:space="0"/>
              <w:left w:val="single" w:color="auto" w:sz="4" w:space="0"/>
              <w:bottom w:val="single" w:color="auto" w:sz="4" w:space="0"/>
              <w:right w:val="single" w:color="auto" w:sz="4" w:space="0"/>
            </w:tcBorders>
            <w:vAlign w:val="center"/>
          </w:tcPr>
          <w:p w14:paraId="247A447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01A128EE">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vAlign w:val="center"/>
          </w:tcPr>
          <w:p w14:paraId="1EABDF9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79" w:type="pct"/>
            <w:tcBorders>
              <w:top w:val="single" w:color="auto" w:sz="4" w:space="0"/>
              <w:left w:val="single" w:color="auto" w:sz="4" w:space="0"/>
              <w:bottom w:val="single" w:color="auto" w:sz="4" w:space="0"/>
              <w:right w:val="single" w:color="auto" w:sz="4" w:space="0"/>
            </w:tcBorders>
            <w:vAlign w:val="center"/>
          </w:tcPr>
          <w:p w14:paraId="42ACA4DA">
            <w:pPr>
              <w:spacing w:line="400" w:lineRule="exact"/>
              <w:jc w:val="center"/>
              <w:rPr>
                <w:rFonts w:ascii="宋体" w:hAnsi="宋体" w:eastAsia="宋体"/>
                <w:color w:val="000000" w:themeColor="text1"/>
                <w:szCs w:val="21"/>
                <w:highlight w:val="none"/>
                <w14:textFill>
                  <w14:solidFill>
                    <w14:schemeClr w14:val="tx1"/>
                  </w14:solidFill>
                </w14:textFill>
              </w:rPr>
            </w:pPr>
          </w:p>
        </w:tc>
        <w:tc>
          <w:tcPr>
            <w:tcW w:w="464" w:type="pct"/>
            <w:tcBorders>
              <w:top w:val="single" w:color="auto" w:sz="4" w:space="0"/>
              <w:left w:val="single" w:color="auto" w:sz="4" w:space="0"/>
              <w:bottom w:val="single" w:color="auto" w:sz="4" w:space="0"/>
              <w:right w:val="single" w:color="auto" w:sz="4" w:space="0"/>
            </w:tcBorders>
            <w:vAlign w:val="center"/>
          </w:tcPr>
          <w:p w14:paraId="743D291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695ED42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21" w:type="pct"/>
            <w:tcBorders>
              <w:top w:val="single" w:color="auto" w:sz="4" w:space="0"/>
              <w:left w:val="single" w:color="auto" w:sz="4" w:space="0"/>
              <w:bottom w:val="single" w:color="auto" w:sz="4" w:space="0"/>
              <w:right w:val="single" w:color="auto" w:sz="4" w:space="0"/>
            </w:tcBorders>
            <w:vAlign w:val="center"/>
          </w:tcPr>
          <w:p w14:paraId="75FE23B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321" w:type="pct"/>
            <w:tcBorders>
              <w:top w:val="single" w:color="auto" w:sz="4" w:space="0"/>
              <w:left w:val="single" w:color="auto" w:sz="4" w:space="0"/>
              <w:bottom w:val="single" w:color="auto" w:sz="4" w:space="0"/>
              <w:right w:val="single" w:color="auto" w:sz="4" w:space="0"/>
            </w:tcBorders>
            <w:vAlign w:val="center"/>
          </w:tcPr>
          <w:p w14:paraId="31AC7F1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31AA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258" w:type="pct"/>
            <w:gridSpan w:val="8"/>
            <w:tcBorders>
              <w:top w:val="single" w:color="auto" w:sz="4" w:space="0"/>
              <w:left w:val="single" w:color="auto" w:sz="4" w:space="0"/>
              <w:bottom w:val="single" w:color="auto" w:sz="4" w:space="0"/>
              <w:right w:val="single" w:color="auto" w:sz="4" w:space="0"/>
            </w:tcBorders>
            <w:vAlign w:val="center"/>
          </w:tcPr>
          <w:p w14:paraId="5269C23B">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合计（不含税，元）</w:t>
            </w:r>
          </w:p>
        </w:tc>
        <w:tc>
          <w:tcPr>
            <w:tcW w:w="742" w:type="pct"/>
            <w:gridSpan w:val="2"/>
            <w:tcBorders>
              <w:top w:val="single" w:color="auto" w:sz="4" w:space="0"/>
              <w:left w:val="single" w:color="auto" w:sz="4" w:space="0"/>
              <w:bottom w:val="single" w:color="auto" w:sz="4" w:space="0"/>
              <w:right w:val="single" w:color="auto" w:sz="4" w:space="0"/>
            </w:tcBorders>
            <w:vAlign w:val="center"/>
          </w:tcPr>
          <w:p w14:paraId="3E4D2C52">
            <w:pPr>
              <w:spacing w:line="400" w:lineRule="exact"/>
              <w:rPr>
                <w:rFonts w:ascii="宋体" w:hAnsi="宋体" w:eastAsia="宋体" w:cs="Times New Roman"/>
                <w:color w:val="000000" w:themeColor="text1"/>
                <w:kern w:val="0"/>
                <w:szCs w:val="21"/>
                <w:highlight w:val="none"/>
                <w14:textFill>
                  <w14:solidFill>
                    <w14:schemeClr w14:val="tx1"/>
                  </w14:solidFill>
                </w14:textFill>
              </w:rPr>
            </w:pPr>
          </w:p>
        </w:tc>
      </w:tr>
    </w:tbl>
    <w:p w14:paraId="6871FF4D">
      <w:pPr>
        <w:autoSpaceDE w:val="0"/>
        <w:autoSpaceDN w:val="0"/>
        <w:adjustRightIn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p w14:paraId="785C26CE">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14:paraId="02499404">
      <w:pPr>
        <w:autoSpaceDE w:val="0"/>
        <w:autoSpaceDN w:val="0"/>
        <w:adjustRightInd w:val="0"/>
        <w:spacing w:line="360" w:lineRule="auto"/>
        <w:ind w:left="462" w:leftChars="18" w:hanging="424" w:hangingChars="202"/>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（1）此表为投标报价表的分项报价表，投标人应根据项目招标范围内分项实际内容的数量填写和扩展本报价表。</w:t>
      </w:r>
    </w:p>
    <w:p w14:paraId="5BC01593">
      <w:pPr>
        <w:autoSpaceDE w:val="0"/>
        <w:autoSpaceDN w:val="0"/>
        <w:adjustRightInd w:val="0"/>
        <w:spacing w:line="360" w:lineRule="auto"/>
        <w:ind w:left="462" w:leftChars="18" w:hanging="424" w:hangingChars="202"/>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投标人应列明按《用户需求书》所要求的该项目招标范围内全部货物及其服务的价格明细。投标人未填单价或合价或漏量或漏项的项目，在实施后，招标人将不予以支付，并视为该费用已包括在其他有价款的单价或合价内。</w:t>
      </w:r>
    </w:p>
    <w:p w14:paraId="7308841D">
      <w:pPr>
        <w:autoSpaceDE w:val="0"/>
        <w:autoSpaceDN w:val="0"/>
        <w:adjustRightInd w:val="0"/>
        <w:spacing w:line="360" w:lineRule="auto"/>
        <w:ind w:left="462" w:leftChars="18"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（3）报价保留小数点后两位。</w:t>
      </w:r>
    </w:p>
    <w:p w14:paraId="28C149F8">
      <w:pPr>
        <w:autoSpaceDE w:val="0"/>
        <w:autoSpaceDN w:val="0"/>
        <w:adjustRightInd w:val="0"/>
        <w:spacing w:line="360" w:lineRule="auto"/>
        <w:ind w:firstLine="315" w:firstLineChars="150"/>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投标人：（加盖投标人法人公章）</w:t>
      </w:r>
    </w:p>
    <w:p w14:paraId="1A3F6545">
      <w:pPr>
        <w:autoSpaceDE w:val="0"/>
        <w:autoSpaceDN w:val="0"/>
        <w:adjustRightInd w:val="0"/>
        <w:spacing w:line="360" w:lineRule="auto"/>
        <w:ind w:right="275" w:rightChars="131"/>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   年   月   日</w:t>
      </w:r>
    </w:p>
    <w:p w14:paraId="0D1CC80F">
      <w:pPr>
        <w:autoSpaceDE w:val="0"/>
        <w:autoSpaceDN w:val="0"/>
        <w:adjustRightInd w:val="0"/>
        <w:spacing w:line="360" w:lineRule="auto"/>
        <w:ind w:firstLine="5668" w:firstLineChars="2362"/>
        <w:rPr>
          <w:rFonts w:ascii="宋体" w:hAnsi="宋体" w:eastAsia="宋体" w:cs="Times New Roman"/>
          <w:color w:val="000000" w:themeColor="text1"/>
          <w:sz w:val="24"/>
          <w:szCs w:val="24"/>
          <w:highlight w:val="none"/>
          <w:lang w:val="zh-CN"/>
          <w14:textFill>
            <w14:solidFill>
              <w14:schemeClr w14:val="tx1"/>
            </w14:solidFill>
          </w14:textFill>
        </w:rPr>
      </w:pPr>
    </w:p>
    <w:p w14:paraId="24339F93">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br w:type="page"/>
      </w:r>
      <w:bookmarkStart w:id="743" w:name="_Toc102860418"/>
      <w:bookmarkStart w:id="744" w:name="_Toc1977725"/>
      <w:bookmarkStart w:id="745" w:name="_Toc94107209"/>
      <w:bookmarkStart w:id="746" w:name="_Toc24015"/>
      <w:bookmarkStart w:id="747" w:name="_Toc2755"/>
      <w:bookmarkStart w:id="748" w:name="_Toc140596928"/>
      <w:bookmarkStart w:id="749" w:name="_Toc18828"/>
      <w:bookmarkStart w:id="750" w:name="_Toc11308"/>
      <w:bookmarkStart w:id="751" w:name="_Toc102860074"/>
      <w:bookmarkStart w:id="752" w:name="_Toc32727"/>
      <w:bookmarkStart w:id="753" w:name="_Toc142508369"/>
      <w:bookmarkStart w:id="754" w:name="_Toc104991875"/>
      <w:bookmarkStart w:id="755" w:name="_Toc533708124"/>
      <w:bookmarkStart w:id="756" w:name="_Toc486167712"/>
      <w:bookmarkStart w:id="757" w:name="_Toc20759_WPSOffice_Level2"/>
      <w:r>
        <w:rPr>
          <w:rFonts w:hint="eastAsia" w:ascii="宋体" w:hAnsi="宋体" w:eastAsia="宋体" w:cs="宋体"/>
          <w:b/>
          <w:bCs/>
          <w:color w:val="000000" w:themeColor="text1"/>
          <w:sz w:val="30"/>
          <w:szCs w:val="30"/>
          <w:highlight w:val="none"/>
          <w14:textFill>
            <w14:solidFill>
              <w14:schemeClr w14:val="tx1"/>
            </w14:solidFill>
          </w14:textFill>
        </w:rPr>
        <w:t>五</w:t>
      </w:r>
      <w:r>
        <w:rPr>
          <w:rFonts w:hint="eastAsia" w:ascii="宋体" w:hAnsi="宋体" w:eastAsia="宋体" w:cs="宋体"/>
          <w:b/>
          <w:color w:val="000000" w:themeColor="text1"/>
          <w:kern w:val="0"/>
          <w:sz w:val="32"/>
          <w:szCs w:val="32"/>
          <w:highlight w:val="none"/>
          <w14:textFill>
            <w14:solidFill>
              <w14:schemeClr w14:val="tx1"/>
            </w14:solidFill>
          </w14:textFill>
        </w:rPr>
        <w:t>、投标人资格证明文件</w:t>
      </w:r>
      <w:bookmarkEnd w:id="743"/>
      <w:bookmarkEnd w:id="744"/>
      <w:bookmarkEnd w:id="745"/>
      <w:bookmarkEnd w:id="746"/>
      <w:bookmarkEnd w:id="747"/>
      <w:bookmarkEnd w:id="748"/>
      <w:bookmarkEnd w:id="749"/>
      <w:bookmarkEnd w:id="750"/>
      <w:bookmarkEnd w:id="751"/>
      <w:bookmarkEnd w:id="752"/>
      <w:bookmarkEnd w:id="753"/>
      <w:bookmarkEnd w:id="754"/>
    </w:p>
    <w:p w14:paraId="6B7D7FC0">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758" w:name="_Toc30491"/>
      <w:bookmarkStart w:id="759" w:name="_Toc10466"/>
      <w:bookmarkStart w:id="760" w:name="_Toc7217"/>
      <w:bookmarkStart w:id="761" w:name="_Toc140596929"/>
      <w:bookmarkStart w:id="762" w:name="_Toc94107210"/>
      <w:bookmarkStart w:id="763" w:name="_Toc142508370"/>
      <w:bookmarkStart w:id="764" w:name="_Toc102860419"/>
      <w:bookmarkStart w:id="765" w:name="_Toc102860075"/>
      <w:bookmarkStart w:id="766" w:name="_Toc104991876"/>
      <w:bookmarkStart w:id="767" w:name="_Toc28382"/>
      <w:bookmarkStart w:id="768" w:name="_Toc31420"/>
      <w:bookmarkStart w:id="769" w:name="_Toc1977726"/>
      <w:r>
        <w:rPr>
          <w:rFonts w:hint="eastAsia" w:ascii="宋体" w:hAnsi="宋体" w:eastAsia="宋体" w:cs="宋体"/>
          <w:b/>
          <w:color w:val="000000" w:themeColor="text1"/>
          <w:kern w:val="0"/>
          <w:sz w:val="30"/>
          <w:szCs w:val="30"/>
          <w:highlight w:val="none"/>
          <w14:textFill>
            <w14:solidFill>
              <w14:schemeClr w14:val="tx1"/>
            </w14:solidFill>
          </w14:textFill>
        </w:rPr>
        <w:t>5.1 多证合一营业执照（或事业单位法人证书）复印件</w:t>
      </w:r>
      <w:bookmarkEnd w:id="758"/>
      <w:bookmarkEnd w:id="759"/>
      <w:bookmarkEnd w:id="760"/>
      <w:bookmarkEnd w:id="761"/>
      <w:bookmarkEnd w:id="762"/>
      <w:bookmarkEnd w:id="763"/>
      <w:bookmarkEnd w:id="764"/>
      <w:bookmarkEnd w:id="765"/>
      <w:bookmarkEnd w:id="766"/>
      <w:bookmarkEnd w:id="767"/>
      <w:bookmarkEnd w:id="768"/>
    </w:p>
    <w:p w14:paraId="489ACF2D">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5877501">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000000" w:themeColor="text1"/>
          <w:kern w:val="0"/>
          <w:szCs w:val="21"/>
          <w:highlight w:val="none"/>
          <w14:textFill>
            <w14:solidFill>
              <w14:schemeClr w14:val="tx1"/>
            </w14:solidFill>
          </w14:textFill>
        </w:rPr>
        <w:sectPr>
          <w:pgSz w:w="12240" w:h="15840"/>
          <w:pgMar w:top="1191" w:right="1043" w:bottom="1191" w:left="1043" w:header="720" w:footer="720" w:gutter="0"/>
          <w:cols w:space="720" w:num="1"/>
          <w:titlePg/>
          <w:docGrid w:linePitch="326" w:charSpace="0"/>
        </w:sectPr>
      </w:pPr>
    </w:p>
    <w:p w14:paraId="18E22DF0">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770" w:name="_Toc104991877"/>
      <w:bookmarkStart w:id="771" w:name="_Toc102860076"/>
      <w:bookmarkStart w:id="772" w:name="_Toc102860420"/>
      <w:bookmarkStart w:id="773" w:name="_Toc26345"/>
      <w:bookmarkStart w:id="774" w:name="_Toc2134"/>
      <w:bookmarkStart w:id="775" w:name="_Toc142508371"/>
      <w:bookmarkStart w:id="776" w:name="_Toc94107211"/>
      <w:bookmarkStart w:id="777" w:name="_Toc9489"/>
      <w:bookmarkStart w:id="778" w:name="_Toc140596930"/>
      <w:bookmarkStart w:id="779" w:name="_Toc28160"/>
      <w:bookmarkStart w:id="780" w:name="_Toc16695"/>
      <w:r>
        <w:rPr>
          <w:rFonts w:hint="eastAsia" w:ascii="宋体" w:hAnsi="宋体" w:eastAsia="宋体" w:cs="宋体"/>
          <w:b/>
          <w:color w:val="000000" w:themeColor="text1"/>
          <w:kern w:val="0"/>
          <w:sz w:val="30"/>
          <w:szCs w:val="30"/>
          <w:highlight w:val="none"/>
          <w14:textFill>
            <w14:solidFill>
              <w14:schemeClr w14:val="tx1"/>
            </w14:solidFill>
          </w14:textFill>
        </w:rPr>
        <w:t>5.2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770"/>
      <w:bookmarkEnd w:id="771"/>
      <w:bookmarkEnd w:id="772"/>
      <w:bookmarkEnd w:id="773"/>
      <w:bookmarkEnd w:id="774"/>
      <w:bookmarkEnd w:id="775"/>
      <w:bookmarkEnd w:id="776"/>
      <w:bookmarkEnd w:id="777"/>
      <w:bookmarkEnd w:id="778"/>
      <w:bookmarkEnd w:id="779"/>
      <w:bookmarkEnd w:id="780"/>
    </w:p>
    <w:p w14:paraId="38090CA8">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Cs w:val="21"/>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bookmarkStart w:id="781" w:name="_Toc25306"/>
      <w:bookmarkStart w:id="782" w:name="_Toc94107212"/>
      <w:bookmarkStart w:id="783" w:name="_Toc21657"/>
      <w:bookmarkStart w:id="784" w:name="_Toc102860077"/>
      <w:bookmarkStart w:id="785" w:name="_Toc142508372"/>
      <w:bookmarkStart w:id="786" w:name="_Toc104991878"/>
      <w:bookmarkStart w:id="787" w:name="_Toc644"/>
      <w:bookmarkStart w:id="788" w:name="_Toc140596931"/>
      <w:bookmarkStart w:id="789" w:name="_Toc9851"/>
      <w:bookmarkStart w:id="790" w:name="_Toc102860421"/>
      <w:bookmarkStart w:id="791" w:name="_Toc5607"/>
      <w:r>
        <w:rPr>
          <w:rFonts w:hint="eastAsia" w:ascii="宋体" w:hAnsi="宋体" w:eastAsia="宋体" w:cs="宋体"/>
          <w:b/>
          <w:color w:val="000000" w:themeColor="text1"/>
          <w:kern w:val="0"/>
          <w:sz w:val="30"/>
          <w:szCs w:val="30"/>
          <w:highlight w:val="none"/>
          <w14:textFill>
            <w14:solidFill>
              <w14:schemeClr w14:val="tx1"/>
            </w14:solidFill>
          </w14:textFill>
        </w:rPr>
        <w:t>5.3</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宋体"/>
          <w:b/>
          <w:color w:val="000000" w:themeColor="text1"/>
          <w:kern w:val="0"/>
          <w:sz w:val="30"/>
          <w:szCs w:val="30"/>
          <w:highlight w:val="none"/>
          <w14:textFill>
            <w14:solidFill>
              <w14:schemeClr w14:val="tx1"/>
            </w14:solidFill>
          </w14:textFill>
        </w:rPr>
        <w:t>法定代表人身份证明书原件、法定代表人授权书原件格式（法定代表人投标时只需提供法定代表人身份证明书，委托他人为投标代表或签署投标文件时需同时提供法定代表人授权书）</w:t>
      </w:r>
      <w:bookmarkEnd w:id="781"/>
      <w:bookmarkEnd w:id="782"/>
      <w:bookmarkEnd w:id="783"/>
      <w:bookmarkEnd w:id="784"/>
      <w:bookmarkEnd w:id="785"/>
      <w:bookmarkEnd w:id="786"/>
      <w:bookmarkEnd w:id="787"/>
      <w:bookmarkEnd w:id="788"/>
      <w:bookmarkEnd w:id="789"/>
      <w:bookmarkEnd w:id="790"/>
      <w:bookmarkEnd w:id="791"/>
    </w:p>
    <w:p w14:paraId="4E3752E9">
      <w:pPr>
        <w:spacing w:before="120" w:after="120" w:line="360" w:lineRule="auto"/>
        <w:ind w:firstLine="426" w:firstLineChars="202"/>
        <w:rPr>
          <w:rFonts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（1）法定代表人身份证明书格式</w:t>
      </w:r>
      <w:bookmarkEnd w:id="755"/>
      <w:bookmarkEnd w:id="756"/>
      <w:bookmarkEnd w:id="757"/>
      <w:bookmarkEnd w:id="769"/>
    </w:p>
    <w:p w14:paraId="3B74923B">
      <w:pPr>
        <w:spacing w:before="120" w:after="120" w:line="360" w:lineRule="auto"/>
        <w:ind w:firstLine="608" w:firstLineChars="202"/>
        <w:jc w:val="center"/>
        <w:rPr>
          <w:rFonts w:ascii="宋体" w:hAnsi="宋体" w:eastAsia="宋体" w:cs="宋体"/>
          <w:b/>
          <w:color w:val="000000" w:themeColor="text1"/>
          <w:sz w:val="30"/>
          <w:szCs w:val="30"/>
          <w:highlight w:val="none"/>
          <w14:textFill>
            <w14:solidFill>
              <w14:schemeClr w14:val="tx1"/>
            </w14:solidFill>
          </w14:textFill>
        </w:rPr>
      </w:pPr>
    </w:p>
    <w:p w14:paraId="021AB642">
      <w:pPr>
        <w:spacing w:before="120" w:after="120" w:line="360" w:lineRule="auto"/>
        <w:ind w:firstLine="608" w:firstLineChars="202"/>
        <w:jc w:val="center"/>
        <w:rPr>
          <w:rFonts w:ascii="宋体" w:hAnsi="宋体" w:eastAsia="宋体" w:cs="宋体"/>
          <w:b/>
          <w:bCs/>
          <w:color w:val="000000" w:themeColor="text1"/>
          <w:sz w:val="30"/>
          <w:szCs w:val="30"/>
          <w:highlight w:val="none"/>
          <w14:textFill>
            <w14:solidFill>
              <w14:schemeClr w14:val="tx1"/>
            </w14:solidFill>
          </w14:textFill>
        </w:rPr>
      </w:pPr>
      <w:bookmarkStart w:id="792" w:name="_Toc11033_WPSOffice_Level3"/>
      <w:r>
        <w:rPr>
          <w:rFonts w:hint="eastAsia" w:ascii="宋体" w:hAnsi="宋体" w:eastAsia="宋体" w:cs="宋体"/>
          <w:b/>
          <w:color w:val="000000" w:themeColor="text1"/>
          <w:sz w:val="30"/>
          <w:szCs w:val="30"/>
          <w:highlight w:val="none"/>
          <w14:textFill>
            <w14:solidFill>
              <w14:schemeClr w14:val="tx1"/>
            </w14:solidFill>
          </w14:textFill>
        </w:rPr>
        <w:t>法定代</w:t>
      </w:r>
      <w:bookmarkStart w:id="793" w:name="_Toc45995270"/>
      <w:bookmarkStart w:id="794" w:name="_Toc36971359"/>
      <w:r>
        <w:rPr>
          <w:rFonts w:hint="eastAsia" w:ascii="宋体" w:hAnsi="宋体" w:eastAsia="宋体" w:cs="宋体"/>
          <w:b/>
          <w:color w:val="000000" w:themeColor="text1"/>
          <w:sz w:val="30"/>
          <w:szCs w:val="30"/>
          <w:highlight w:val="none"/>
          <w14:textFill>
            <w14:solidFill>
              <w14:schemeClr w14:val="tx1"/>
            </w14:solidFill>
          </w14:textFill>
        </w:rPr>
        <w:t>表人身份证明书</w:t>
      </w:r>
      <w:bookmarkEnd w:id="792"/>
    </w:p>
    <w:bookmarkEnd w:id="793"/>
    <w:bookmarkEnd w:id="794"/>
    <w:p w14:paraId="55CEA6C4">
      <w:pPr>
        <w:spacing w:before="120" w:after="120" w:line="360" w:lineRule="auto"/>
        <w:ind w:firstLine="420" w:firstLineChars="20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先生／女士：现任我单位</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职务，为法定代表人，特此证明。</w:t>
      </w:r>
    </w:p>
    <w:p w14:paraId="73E08E29">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有效日期：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签发日期：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08BAAD63">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附：代表人性别：</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 年龄：</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身份证号码：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7C9A776B">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营业执照号码：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经济性质： </w:t>
      </w:r>
    </w:p>
    <w:p w14:paraId="4CE43683">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主营（产）：</w:t>
      </w:r>
    </w:p>
    <w:p w14:paraId="6A0C1621">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兼营（产）：</w:t>
      </w:r>
    </w:p>
    <w:p w14:paraId="6CB9E852">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附 法定代表人身份证复印件 </w:t>
      </w:r>
    </w:p>
    <w:p w14:paraId="3312870E">
      <w:pPr>
        <w:spacing w:before="120" w:after="120" w:line="360" w:lineRule="auto"/>
        <w:ind w:left="340" w:leftChars="162" w:firstLine="47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投标人：（加盖投标人法人公章）</w:t>
      </w:r>
    </w:p>
    <w:p w14:paraId="68D3E1E6">
      <w:pPr>
        <w:autoSpaceDE w:val="0"/>
        <w:autoSpaceDN w:val="0"/>
        <w:adjustRightInd w:val="0"/>
        <w:spacing w:line="360" w:lineRule="auto"/>
        <w:ind w:right="1010" w:rightChars="481" w:firstLine="6090" w:firstLineChars="29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   年   月   日</w:t>
      </w:r>
    </w:p>
    <w:p w14:paraId="238E2F24">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7EBDC55"/>
                          <w:p w14:paraId="3E708916"/>
                          <w:p w14:paraId="7E47F385"/>
                          <w:p w14:paraId="2956300D"/>
                          <w:p w14:paraId="6A7E2A94">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47EBDC55"/>
                    <w:p w14:paraId="3E708916"/>
                    <w:p w14:paraId="7E47F385"/>
                    <w:p w14:paraId="2956300D"/>
                    <w:p w14:paraId="6A7E2A94">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315242D"/>
                          <w:p w14:paraId="1D19B9C0"/>
                          <w:p w14:paraId="7EF7C7B3"/>
                          <w:p w14:paraId="02B50CC7"/>
                          <w:p w14:paraId="76B7CD63">
                            <w:pPr>
                              <w:jc w:val="center"/>
                              <w:rPr>
                                <w:szCs w:val="21"/>
                              </w:rPr>
                            </w:pPr>
                            <w:r>
                              <w:rPr>
                                <w:rFonts w:hint="eastAsia"/>
                                <w:szCs w:val="21"/>
                              </w:rPr>
                              <w:t>法定代表人身份证反面</w:t>
                            </w:r>
                          </w:p>
                          <w:p w14:paraId="044F376C">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4315242D"/>
                    <w:p w14:paraId="1D19B9C0"/>
                    <w:p w14:paraId="7EF7C7B3"/>
                    <w:p w14:paraId="02B50CC7"/>
                    <w:p w14:paraId="76B7CD63">
                      <w:pPr>
                        <w:jc w:val="center"/>
                        <w:rPr>
                          <w:szCs w:val="21"/>
                        </w:rPr>
                      </w:pPr>
                      <w:r>
                        <w:rPr>
                          <w:rFonts w:hint="eastAsia"/>
                          <w:szCs w:val="21"/>
                        </w:rPr>
                        <w:t>法定代表人身份证反面</w:t>
                      </w:r>
                    </w:p>
                    <w:p w14:paraId="044F376C">
                      <w:pPr>
                        <w:jc w:val="center"/>
                        <w:rPr>
                          <w:szCs w:val="21"/>
                        </w:rPr>
                      </w:pP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3E5AD77"/>
                          <w:p w14:paraId="3D3C757D"/>
                          <w:p w14:paraId="53740C48"/>
                          <w:p w14:paraId="26081820"/>
                          <w:p w14:paraId="1F9241AB">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23E5AD77"/>
                    <w:p w14:paraId="3D3C757D"/>
                    <w:p w14:paraId="53740C48"/>
                    <w:p w14:paraId="26081820"/>
                    <w:p w14:paraId="1F9241AB">
                      <w:pPr>
                        <w:jc w:val="center"/>
                      </w:pPr>
                      <w:r>
                        <w:rPr>
                          <w:rFonts w:hint="eastAsia"/>
                        </w:rPr>
                        <w:t>身份证正面</w:t>
                      </w:r>
                    </w:p>
                  </w:txbxContent>
                </v:textbox>
              </v:shape>
            </w:pict>
          </mc:Fallback>
        </mc:AlternateContent>
      </w:r>
    </w:p>
    <w:p w14:paraId="20B331DA">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158C2D66">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3DB6542F">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16C85669">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1EA7AAA0">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2149839C">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1C4AB617">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79384F97">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00525FC0">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73300105">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p>
    <w:p w14:paraId="13A40678">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注：法定代表人身份证须在有效期限内。</w:t>
      </w:r>
    </w:p>
    <w:p w14:paraId="1698EFCE">
      <w:pPr>
        <w:autoSpaceDE w:val="0"/>
        <w:autoSpaceDN w:val="0"/>
        <w:adjustRightInd w:val="0"/>
        <w:jc w:val="left"/>
        <w:rPr>
          <w:rFonts w:ascii="宋体" w:hAnsi="宋体" w:eastAsia="宋体" w:cs="宋体"/>
          <w:color w:val="000000" w:themeColor="text1"/>
          <w:kern w:val="0"/>
          <w:szCs w:val="21"/>
          <w:highlight w:val="none"/>
          <w14:textFill>
            <w14:solidFill>
              <w14:schemeClr w14:val="tx1"/>
            </w14:solidFill>
          </w14:textFill>
        </w:rPr>
      </w:pPr>
    </w:p>
    <w:p w14:paraId="04346CE2">
      <w:pPr>
        <w:spacing w:before="120" w:after="120" w:line="360" w:lineRule="auto"/>
        <w:ind w:firstLine="424" w:firstLineChars="202"/>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End w:id="671"/>
      <w:bookmarkEnd w:id="672"/>
      <w:bookmarkEnd w:id="673"/>
      <w:bookmarkStart w:id="795" w:name="_Toc486167713"/>
      <w:bookmarkStart w:id="796" w:name="_Toc533708125"/>
      <w:bookmarkStart w:id="797" w:name="_Toc1977727"/>
      <w:bookmarkStart w:id="798" w:name="_Toc6240_WPSOffice_Level2"/>
      <w:r>
        <w:rPr>
          <w:rFonts w:hint="eastAsia" w:ascii="宋体" w:hAnsi="宋体" w:eastAsia="宋体" w:cs="宋体"/>
          <w:b/>
          <w:color w:val="000000" w:themeColor="text1"/>
          <w:szCs w:val="24"/>
          <w:highlight w:val="none"/>
          <w14:textFill>
            <w14:solidFill>
              <w14:schemeClr w14:val="tx1"/>
            </w14:solidFill>
          </w14:textFill>
        </w:rPr>
        <w:t>（2）法定代表人授权书格式</w:t>
      </w:r>
      <w:bookmarkEnd w:id="795"/>
      <w:bookmarkEnd w:id="796"/>
      <w:bookmarkEnd w:id="797"/>
      <w:bookmarkEnd w:id="798"/>
    </w:p>
    <w:p w14:paraId="6A41D2AC">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p>
    <w:p w14:paraId="7A3BEFA4">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799" w:name="_Toc29146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法定代表人授权书</w:t>
      </w:r>
      <w:bookmarkEnd w:id="799"/>
    </w:p>
    <w:p w14:paraId="68655AA4">
      <w:pPr>
        <w:autoSpaceDE w:val="0"/>
        <w:autoSpaceDN w:val="0"/>
        <w:adjustRightInd w:val="0"/>
        <w:spacing w:line="360" w:lineRule="auto"/>
        <w:jc w:val="center"/>
        <w:rPr>
          <w:rFonts w:ascii="宋体" w:hAnsi="宋体" w:eastAsia="宋体" w:cs="宋体"/>
          <w:color w:val="000000" w:themeColor="text1"/>
          <w:szCs w:val="28"/>
          <w:highlight w:val="none"/>
          <w:lang w:val="zh-CN"/>
          <w14:textFill>
            <w14:solidFill>
              <w14:schemeClr w14:val="tx1"/>
            </w14:solidFill>
          </w14:textFill>
        </w:rPr>
      </w:pPr>
    </w:p>
    <w:p w14:paraId="13532D5B">
      <w:pPr>
        <w:spacing w:before="120" w:after="120" w:line="360" w:lineRule="auto"/>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致：东莞市水务集团科技发展有限公司</w:t>
      </w:r>
    </w:p>
    <w:p w14:paraId="78FFC57C">
      <w:pPr>
        <w:spacing w:before="120" w:after="120" w:line="360" w:lineRule="auto"/>
        <w:ind w:firstLine="630" w:firstLineChars="3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本授权书声明：注册于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（投标人地址）的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（投标人名称）在下面签字或盖私章的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（法定代表人姓名、职务、身份证号码）代表本公司授权在下面签字或盖私章的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（被授权人的姓名、职务、身份证号码）为本公司的合法代表人，签署</w:t>
      </w:r>
      <w:r>
        <w:rPr>
          <w:rFonts w:hint="eastAsia" w:ascii="宋体" w:hAnsi="宋体" w:eastAsia="宋体" w:cs="宋体"/>
          <w:color w:val="000000" w:themeColor="text1"/>
          <w:szCs w:val="21"/>
          <w:highlight w:val="none"/>
          <w:u w:val="single"/>
          <w14:textFill>
            <w14:solidFill>
              <w14:schemeClr w14:val="tx1"/>
            </w14:solidFill>
          </w14:textFill>
        </w:rPr>
        <w:t>东莞市水务集团科技发展有限公司屋顶分布式光伏发电（一期）采购项目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广建咨询（东招）2024-0133号</w:t>
      </w:r>
      <w:r>
        <w:rPr>
          <w:rFonts w:hint="eastAsia" w:ascii="宋体" w:hAnsi="宋体" w:eastAsia="宋体" w:cs="宋体"/>
          <w:color w:val="000000" w:themeColor="text1"/>
          <w:szCs w:val="21"/>
          <w:highlight w:val="none"/>
          <w:lang w:val="zh-CN"/>
          <w14:textFill>
            <w14:solidFill>
              <w14:schemeClr w14:val="tx1"/>
            </w14:solidFill>
          </w14:textFill>
        </w:rPr>
        <w:t>）的投标文件，</w:t>
      </w:r>
      <w:r>
        <w:rPr>
          <w:rFonts w:hint="eastAsia" w:ascii="宋体" w:hAnsi="宋体" w:eastAsia="宋体" w:cs="宋体"/>
          <w:color w:val="000000" w:themeColor="text1"/>
          <w:szCs w:val="21"/>
          <w:highlight w:val="none"/>
          <w14:textFill>
            <w14:solidFill>
              <w14:schemeClr w14:val="tx1"/>
            </w14:solidFill>
          </w14:textFill>
        </w:rPr>
        <w:t>代表我公司</w:t>
      </w:r>
      <w:r>
        <w:rPr>
          <w:rFonts w:hint="eastAsia" w:ascii="宋体" w:hAnsi="宋体" w:eastAsia="宋体" w:cs="宋体"/>
          <w:color w:val="000000" w:themeColor="text1"/>
          <w:szCs w:val="24"/>
          <w:highlight w:val="none"/>
          <w:lang w:val="zh-CN"/>
          <w14:textFill>
            <w14:solidFill>
              <w14:schemeClr w14:val="tx1"/>
            </w14:solidFill>
          </w14:textFill>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000000" w:themeColor="text1"/>
          <w:szCs w:val="21"/>
          <w:highlight w:val="none"/>
          <w14:textFill>
            <w14:solidFill>
              <w14:schemeClr w14:val="tx1"/>
            </w14:solidFill>
          </w14:textFill>
        </w:rPr>
        <w:t>我承认代理人全权代表我所签署的本项目投标文件的内容及</w:t>
      </w:r>
      <w:r>
        <w:rPr>
          <w:rFonts w:hint="eastAsia" w:ascii="宋体" w:hAnsi="宋体" w:eastAsia="宋体" w:cs="宋体"/>
          <w:color w:val="000000" w:themeColor="text1"/>
          <w:szCs w:val="24"/>
          <w:highlight w:val="none"/>
          <w:lang w:val="zh-CN"/>
          <w14:textFill>
            <w14:solidFill>
              <w14:schemeClr w14:val="tx1"/>
            </w14:solidFill>
          </w14:textFill>
        </w:rPr>
        <w:t>所进行的上述活动。</w:t>
      </w:r>
    </w:p>
    <w:p w14:paraId="0748268D">
      <w:pPr>
        <w:spacing w:before="120" w:after="120"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日签字生效，有效期至投标文件失效期止，</w:t>
      </w:r>
      <w:r>
        <w:rPr>
          <w:rFonts w:hint="eastAsia" w:ascii="宋体" w:hAnsi="宋体" w:eastAsia="宋体" w:cs="宋体"/>
          <w:color w:val="000000" w:themeColor="text1"/>
          <w:szCs w:val="21"/>
          <w:highlight w:val="none"/>
          <w14:textFill>
            <w14:solidFill>
              <w14:schemeClr w14:val="tx1"/>
            </w14:solidFill>
          </w14:textFill>
        </w:rPr>
        <w:t>代理人无转委托权，</w:t>
      </w:r>
      <w:r>
        <w:rPr>
          <w:rFonts w:hint="eastAsia" w:ascii="宋体" w:hAnsi="宋体" w:eastAsia="宋体" w:cs="宋体"/>
          <w:color w:val="000000" w:themeColor="text1"/>
          <w:szCs w:val="24"/>
          <w:highlight w:val="none"/>
          <w:lang w:val="zh-CN"/>
          <w14:textFill>
            <w14:solidFill>
              <w14:schemeClr w14:val="tx1"/>
            </w14:solidFill>
          </w14:textFill>
        </w:rPr>
        <w:t>特此声明。</w:t>
      </w:r>
    </w:p>
    <w:p w14:paraId="75FBB67A">
      <w:pPr>
        <w:spacing w:before="120" w:after="120" w:line="360" w:lineRule="auto"/>
        <w:ind w:left="348" w:leftChars="136" w:hanging="62"/>
        <w:rPr>
          <w:rFonts w:ascii="宋体" w:hAnsi="宋体" w:eastAsia="宋体" w:cs="宋体"/>
          <w:color w:val="000000" w:themeColor="text1"/>
          <w:szCs w:val="24"/>
          <w:highlight w:val="none"/>
          <w14:textFill>
            <w14:solidFill>
              <w14:schemeClr w14:val="tx1"/>
            </w14:solidFill>
          </w14:textFill>
        </w:rPr>
      </w:pPr>
    </w:p>
    <w:p w14:paraId="54945C8E">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  标  人：（加盖投标人法人公章）</w:t>
      </w:r>
    </w:p>
    <w:p w14:paraId="5AAFA5B3">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投标人地址：</w:t>
      </w:r>
    </w:p>
    <w:p w14:paraId="1F74B65F">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法定代表人（签名或盖私章）：</w:t>
      </w:r>
    </w:p>
    <w:p w14:paraId="5B851508">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1B84A86E">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被授权人（签名或盖私章）：</w:t>
      </w:r>
    </w:p>
    <w:p w14:paraId="4B3E333E">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2C409C9A">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被授权人联系手机：</w:t>
      </w:r>
    </w:p>
    <w:p w14:paraId="45C499EF">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电 子 邮 箱：</w:t>
      </w:r>
    </w:p>
    <w:p w14:paraId="2252456F">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r>
        <w:rPr>
          <w:rFonts w:hint="eastAsia" w:ascii="宋体" w:hAnsi="宋体" w:eastAsia="宋体" w:cs="宋体"/>
          <w:color w:val="000000" w:themeColor="text1"/>
          <w:szCs w:val="24"/>
          <w:highlight w:val="none"/>
          <w14:textFill>
            <w14:solidFill>
              <w14:schemeClr w14:val="tx1"/>
            </w14:solidFill>
          </w14:textFill>
        </w:rPr>
        <w:t>附 法定代表人、被授权人身份证复印件</w:t>
      </w:r>
    </w:p>
    <w:p w14:paraId="493E8479">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6D7E54DE"/>
                          <w:p w14:paraId="228ACBB3"/>
                          <w:p w14:paraId="41B56007"/>
                          <w:p w14:paraId="6631C9C0"/>
                          <w:p w14:paraId="1F15C975">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6D7E54DE"/>
                    <w:p w14:paraId="228ACBB3"/>
                    <w:p w14:paraId="41B56007"/>
                    <w:p w14:paraId="6631C9C0"/>
                    <w:p w14:paraId="1F15C975">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6752C4A3"/>
                          <w:p w14:paraId="6D4E8E4F"/>
                          <w:p w14:paraId="79B65885"/>
                          <w:p w14:paraId="636ECED7"/>
                          <w:p w14:paraId="2D01F6EE">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6752C4A3"/>
                    <w:p w14:paraId="6D4E8E4F"/>
                    <w:p w14:paraId="79B65885"/>
                    <w:p w14:paraId="636ECED7"/>
                    <w:p w14:paraId="2D01F6EE">
                      <w:pPr>
                        <w:jc w:val="center"/>
                        <w:rPr>
                          <w:rFonts w:hAnsi="宋体"/>
                        </w:rPr>
                      </w:pPr>
                      <w:r>
                        <w:rPr>
                          <w:rFonts w:hint="eastAsia" w:hAnsi="宋体"/>
                        </w:rPr>
                        <w:t>法定代表人身份证正面</w:t>
                      </w:r>
                    </w:p>
                  </w:txbxContent>
                </v:textbox>
              </v:shape>
            </w:pict>
          </mc:Fallback>
        </mc:AlternateContent>
      </w:r>
    </w:p>
    <w:p w14:paraId="7E6CE4EE">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2976989">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75B875F9">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092BD0E">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586B95A1">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2582FA2">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7C283423">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bookmarkStart w:id="800" w:name="OLE_LINK402"/>
    </w:p>
    <w:bookmarkEnd w:id="800"/>
    <w:p w14:paraId="2D651E33">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B444B31">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3220E05"/>
                          <w:p w14:paraId="4C807BE1">
                            <w:pPr>
                              <w:jc w:val="center"/>
                              <w:rPr>
                                <w:rFonts w:hAnsi="宋体"/>
                                <w:color w:val="FF0000"/>
                              </w:rPr>
                            </w:pPr>
                          </w:p>
                          <w:p w14:paraId="781D4B11">
                            <w:pPr>
                              <w:jc w:val="center"/>
                              <w:rPr>
                                <w:rFonts w:hAnsi="宋体"/>
                                <w:color w:val="FF0000"/>
                              </w:rPr>
                            </w:pPr>
                          </w:p>
                          <w:p w14:paraId="16D5C456">
                            <w:pPr>
                              <w:jc w:val="center"/>
                              <w:rPr>
                                <w:rFonts w:hAnsi="宋体"/>
                                <w:color w:val="FF0000"/>
                              </w:rPr>
                            </w:pPr>
                          </w:p>
                          <w:p w14:paraId="21D9E625">
                            <w:pPr>
                              <w:jc w:val="center"/>
                            </w:pPr>
                            <w:r>
                              <w:rPr>
                                <w:rFonts w:hint="eastAsia" w:hAnsi="宋体"/>
                              </w:rPr>
                              <w:t>被授权人身份证反面</w:t>
                            </w:r>
                          </w:p>
                          <w:p w14:paraId="3F5ED72F"/>
                          <w:p w14:paraId="3471F35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03220E05"/>
                    <w:p w14:paraId="4C807BE1">
                      <w:pPr>
                        <w:jc w:val="center"/>
                        <w:rPr>
                          <w:rFonts w:hAnsi="宋体"/>
                          <w:color w:val="FF0000"/>
                        </w:rPr>
                      </w:pPr>
                    </w:p>
                    <w:p w14:paraId="781D4B11">
                      <w:pPr>
                        <w:jc w:val="center"/>
                        <w:rPr>
                          <w:rFonts w:hAnsi="宋体"/>
                          <w:color w:val="FF0000"/>
                        </w:rPr>
                      </w:pPr>
                    </w:p>
                    <w:p w14:paraId="16D5C456">
                      <w:pPr>
                        <w:jc w:val="center"/>
                        <w:rPr>
                          <w:rFonts w:hAnsi="宋体"/>
                          <w:color w:val="FF0000"/>
                        </w:rPr>
                      </w:pPr>
                    </w:p>
                    <w:p w14:paraId="21D9E625">
                      <w:pPr>
                        <w:jc w:val="center"/>
                      </w:pPr>
                      <w:r>
                        <w:rPr>
                          <w:rFonts w:hint="eastAsia" w:hAnsi="宋体"/>
                        </w:rPr>
                        <w:t>被授权人身份证反面</w:t>
                      </w:r>
                    </w:p>
                    <w:p w14:paraId="3F5ED72F"/>
                    <w:p w14:paraId="3471F354"/>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50A6BFF8"/>
                          <w:p w14:paraId="281F691C">
                            <w:pPr>
                              <w:jc w:val="center"/>
                              <w:rPr>
                                <w:rFonts w:hAnsi="宋体"/>
                                <w:color w:val="FF0000"/>
                              </w:rPr>
                            </w:pPr>
                          </w:p>
                          <w:p w14:paraId="58100CBF">
                            <w:pPr>
                              <w:jc w:val="center"/>
                              <w:rPr>
                                <w:rFonts w:hAnsi="宋体"/>
                                <w:color w:val="FF0000"/>
                              </w:rPr>
                            </w:pPr>
                          </w:p>
                          <w:p w14:paraId="7AC5D05A">
                            <w:pPr>
                              <w:jc w:val="center"/>
                              <w:rPr>
                                <w:rFonts w:hAnsi="宋体"/>
                                <w:color w:val="FF0000"/>
                              </w:rPr>
                            </w:pPr>
                          </w:p>
                          <w:p w14:paraId="11D70C27">
                            <w:pPr>
                              <w:jc w:val="center"/>
                            </w:pPr>
                            <w:r>
                              <w:rPr>
                                <w:rFonts w:hint="eastAsia" w:hAnsi="宋体"/>
                              </w:rPr>
                              <w:t>被授权人身份证正面</w:t>
                            </w:r>
                          </w:p>
                          <w:p w14:paraId="01F9E699"/>
                          <w:p w14:paraId="6B10386C"/>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50A6BFF8"/>
                    <w:p w14:paraId="281F691C">
                      <w:pPr>
                        <w:jc w:val="center"/>
                        <w:rPr>
                          <w:rFonts w:hAnsi="宋体"/>
                          <w:color w:val="FF0000"/>
                        </w:rPr>
                      </w:pPr>
                    </w:p>
                    <w:p w14:paraId="58100CBF">
                      <w:pPr>
                        <w:jc w:val="center"/>
                        <w:rPr>
                          <w:rFonts w:hAnsi="宋体"/>
                          <w:color w:val="FF0000"/>
                        </w:rPr>
                      </w:pPr>
                    </w:p>
                    <w:p w14:paraId="7AC5D05A">
                      <w:pPr>
                        <w:jc w:val="center"/>
                        <w:rPr>
                          <w:rFonts w:hAnsi="宋体"/>
                          <w:color w:val="FF0000"/>
                        </w:rPr>
                      </w:pPr>
                    </w:p>
                    <w:p w14:paraId="11D70C27">
                      <w:pPr>
                        <w:jc w:val="center"/>
                      </w:pPr>
                      <w:r>
                        <w:rPr>
                          <w:rFonts w:hint="eastAsia" w:hAnsi="宋体"/>
                        </w:rPr>
                        <w:t>被授权人身份证正面</w:t>
                      </w:r>
                    </w:p>
                    <w:p w14:paraId="01F9E699"/>
                    <w:p w14:paraId="6B10386C"/>
                  </w:txbxContent>
                </v:textbox>
              </v:shape>
            </w:pict>
          </mc:Fallback>
        </mc:AlternateContent>
      </w:r>
    </w:p>
    <w:p w14:paraId="26056747">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857C56B">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A3D5D4F">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F316575">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650E1776">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45EF09D">
      <w:pPr>
        <w:widowControl/>
        <w:autoSpaceDE w:val="0"/>
        <w:autoSpaceDN w:val="0"/>
        <w:spacing w:before="120" w:after="120" w:line="360" w:lineRule="auto"/>
        <w:ind w:right="781" w:rightChars="372" w:firstLine="422" w:firstLineChars="200"/>
        <w:textAlignment w:val="bottom"/>
        <w:rPr>
          <w:rFonts w:ascii="宋体" w:hAnsi="宋体" w:eastAsia="宋体" w:cs="宋体"/>
          <w:b/>
          <w:color w:val="000000" w:themeColor="text1"/>
          <w:szCs w:val="24"/>
          <w:highlight w:val="none"/>
          <w14:textFill>
            <w14:solidFill>
              <w14:schemeClr w14:val="tx1"/>
            </w14:solidFill>
          </w14:textFill>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000000" w:themeColor="text1"/>
          <w:szCs w:val="24"/>
          <w:highlight w:val="none"/>
          <w14:textFill>
            <w14:solidFill>
              <w14:schemeClr w14:val="tx1"/>
            </w14:solidFill>
          </w14:textFill>
        </w:rPr>
        <w:t>注：上述所附身份证应在有效期限内。</w:t>
      </w:r>
    </w:p>
    <w:p w14:paraId="69F274F4">
      <w:pPr>
        <w:pStyle w:val="5"/>
        <w:pageBreakBefore/>
        <w:spacing w:line="360" w:lineRule="auto"/>
        <w:rPr>
          <w:rFonts w:hAnsi="宋体" w:cs="宋体"/>
          <w:b/>
          <w:color w:val="000000" w:themeColor="text1"/>
          <w:sz w:val="30"/>
          <w:szCs w:val="30"/>
          <w:highlight w:val="none"/>
          <w14:textFill>
            <w14:solidFill>
              <w14:schemeClr w14:val="tx1"/>
            </w14:solidFill>
          </w14:textFill>
        </w:rPr>
      </w:pPr>
      <w:bookmarkStart w:id="801" w:name="_Toc15355"/>
      <w:bookmarkStart w:id="802" w:name="_Toc29117"/>
      <w:bookmarkStart w:id="803" w:name="_Toc30553"/>
      <w:bookmarkStart w:id="804" w:name="OLE_LINK405"/>
      <w:bookmarkStart w:id="805" w:name="_Toc30070"/>
      <w:bookmarkStart w:id="806" w:name="_Toc8338"/>
      <w:bookmarkStart w:id="807" w:name="_Toc104991880"/>
      <w:bookmarkStart w:id="808" w:name="_Toc1977730"/>
      <w:bookmarkStart w:id="809" w:name="_Toc142508373"/>
      <w:bookmarkStart w:id="810" w:name="_Toc94107214"/>
      <w:bookmarkStart w:id="811" w:name="_Toc140596933"/>
      <w:r>
        <w:rPr>
          <w:rFonts w:hint="eastAsia" w:hAnsi="宋体" w:cs="宋体"/>
          <w:b/>
          <w:color w:val="000000" w:themeColor="text1"/>
          <w:sz w:val="30"/>
          <w:szCs w:val="30"/>
          <w:highlight w:val="none"/>
          <w14:textFill>
            <w14:solidFill>
              <w14:schemeClr w14:val="tx1"/>
            </w14:solidFill>
          </w14:textFill>
        </w:rPr>
        <w:t>5.4 本项目的特定资格要求</w:t>
      </w:r>
      <w:bookmarkEnd w:id="801"/>
      <w:bookmarkEnd w:id="802"/>
      <w:bookmarkEnd w:id="803"/>
    </w:p>
    <w:p w14:paraId="157D9779">
      <w:pPr>
        <w:spacing w:line="360" w:lineRule="auto"/>
        <w:ind w:firstLine="420" w:firstLineChars="200"/>
        <w:rPr>
          <w:rFonts w:ascii="宋体" w:hAnsi="宋体" w:eastAsia="宋体" w:cs="宋体"/>
          <w:color w:val="000000" w:themeColor="text1"/>
          <w:highlight w:val="none"/>
          <w14:textFill>
            <w14:solidFill>
              <w14:schemeClr w14:val="tx1"/>
            </w14:solidFill>
          </w14:textFill>
        </w:rPr>
      </w:pPr>
      <w:bookmarkStart w:id="812" w:name="OLE_LINK404"/>
      <w:r>
        <w:rPr>
          <w:rFonts w:hint="eastAsia" w:hAnsi="宋体" w:eastAsia="宋体"/>
          <w:bCs/>
          <w:color w:val="000000" w:themeColor="text1"/>
          <w:szCs w:val="21"/>
          <w:highlight w:val="none"/>
          <w:lang w:val="zh-CN"/>
          <w14:textFill>
            <w14:solidFill>
              <w14:schemeClr w14:val="tx1"/>
            </w14:solidFill>
          </w14:textFill>
        </w:rPr>
        <w:t>（</w:t>
      </w:r>
      <w:r>
        <w:rPr>
          <w:rFonts w:hint="eastAsia" w:hAnsi="宋体" w:eastAsia="宋体"/>
          <w:bCs/>
          <w:color w:val="000000" w:themeColor="text1"/>
          <w:szCs w:val="21"/>
          <w:highlight w:val="none"/>
          <w14:textFill>
            <w14:solidFill>
              <w14:schemeClr w14:val="tx1"/>
            </w14:solidFill>
          </w14:textFill>
        </w:rPr>
        <w:t>1</w:t>
      </w:r>
      <w:r>
        <w:rPr>
          <w:rFonts w:hint="eastAsia" w:hAnsi="宋体" w:eastAsia="宋体"/>
          <w:bCs/>
          <w:color w:val="000000" w:themeColor="text1"/>
          <w:szCs w:val="21"/>
          <w:highlight w:val="none"/>
          <w:lang w:val="zh-CN"/>
          <w14:textFill>
            <w14:solidFill>
              <w14:schemeClr w14:val="tx1"/>
            </w14:solidFill>
          </w14:textFill>
        </w:rPr>
        <w:t>）</w:t>
      </w:r>
      <w:r>
        <w:rPr>
          <w:rFonts w:hint="eastAsia" w:hAnsi="宋体" w:eastAsia="宋体"/>
          <w:bCs/>
          <w:color w:val="000000" w:themeColor="text1"/>
          <w:szCs w:val="21"/>
          <w:highlight w:val="none"/>
          <w14:textFill>
            <w14:solidFill>
              <w14:schemeClr w14:val="tx1"/>
            </w14:solidFill>
          </w14:textFill>
        </w:rPr>
        <w:t>供货安装</w:t>
      </w:r>
      <w:r>
        <w:rPr>
          <w:rFonts w:hint="eastAsia" w:hAnsi="宋体" w:eastAsia="宋体"/>
          <w:bCs/>
          <w:color w:val="000000" w:themeColor="text1"/>
          <w:szCs w:val="21"/>
          <w:highlight w:val="none"/>
          <w:lang w:val="zh-CN"/>
          <w14:textFill>
            <w14:solidFill>
              <w14:schemeClr w14:val="tx1"/>
            </w14:solidFill>
          </w14:textFill>
        </w:rPr>
        <w:t>资质：①具有以下其中一种资质：a）电力工程施工总承包</w:t>
      </w:r>
      <w:r>
        <w:rPr>
          <w:rFonts w:hint="eastAsia" w:hAnsi="宋体" w:eastAsia="宋体"/>
          <w:bCs/>
          <w:color w:val="000000" w:themeColor="text1"/>
          <w:szCs w:val="21"/>
          <w:highlight w:val="none"/>
          <w14:textFill>
            <w14:solidFill>
              <w14:schemeClr w14:val="tx1"/>
            </w14:solidFill>
          </w14:textFill>
        </w:rPr>
        <w:t>乙级</w:t>
      </w:r>
      <w:r>
        <w:rPr>
          <w:rFonts w:hint="eastAsia" w:hAnsi="宋体" w:eastAsia="宋体"/>
          <w:bCs/>
          <w:color w:val="000000" w:themeColor="text1"/>
          <w:szCs w:val="21"/>
          <w:highlight w:val="none"/>
          <w:lang w:val="zh-CN"/>
          <w14:textFill>
            <w14:solidFill>
              <w14:schemeClr w14:val="tx1"/>
            </w14:solidFill>
          </w14:textFill>
        </w:rPr>
        <w:t>（或以上）企业资质；</w:t>
      </w:r>
      <w:r>
        <w:rPr>
          <w:rFonts w:hint="eastAsia" w:hAnsi="宋体" w:eastAsia="宋体"/>
          <w:bCs/>
          <w:color w:val="000000" w:themeColor="text1"/>
          <w:szCs w:val="21"/>
          <w:highlight w:val="none"/>
          <w14:textFill>
            <w14:solidFill>
              <w14:schemeClr w14:val="tx1"/>
            </w14:solidFill>
          </w14:textFill>
        </w:rPr>
        <w:t>b</w:t>
      </w:r>
      <w:r>
        <w:rPr>
          <w:rFonts w:hint="eastAsia" w:hAnsi="宋体" w:eastAsia="宋体"/>
          <w:bCs/>
          <w:color w:val="000000" w:themeColor="text1"/>
          <w:szCs w:val="21"/>
          <w:highlight w:val="none"/>
          <w:lang w:val="zh-CN"/>
          <w14:textFill>
            <w14:solidFill>
              <w14:schemeClr w14:val="tx1"/>
            </w14:solidFill>
          </w14:textFill>
        </w:rPr>
        <w:t>）输变电工程专业承包</w:t>
      </w:r>
      <w:r>
        <w:rPr>
          <w:rFonts w:hint="eastAsia" w:hAnsi="宋体" w:eastAsia="宋体"/>
          <w:bCs/>
          <w:color w:val="000000" w:themeColor="text1"/>
          <w:szCs w:val="21"/>
          <w:highlight w:val="none"/>
          <w14:textFill>
            <w14:solidFill>
              <w14:schemeClr w14:val="tx1"/>
            </w14:solidFill>
          </w14:textFill>
        </w:rPr>
        <w:t>乙级</w:t>
      </w:r>
      <w:r>
        <w:rPr>
          <w:rFonts w:hint="eastAsia" w:hAnsi="宋体" w:eastAsia="宋体"/>
          <w:bCs/>
          <w:color w:val="000000" w:themeColor="text1"/>
          <w:szCs w:val="21"/>
          <w:highlight w:val="none"/>
          <w:lang w:val="zh-CN"/>
          <w14:textFill>
            <w14:solidFill>
              <w14:schemeClr w14:val="tx1"/>
            </w14:solidFill>
          </w14:textFill>
        </w:rPr>
        <w:t>（或以上）企业资质；【</w:t>
      </w:r>
      <w:r>
        <w:rPr>
          <w:rFonts w:hint="eastAsia" w:hAnsi="宋体" w:eastAsia="宋体"/>
          <w:bCs/>
          <w:color w:val="000000" w:themeColor="text1"/>
          <w:szCs w:val="21"/>
          <w:highlight w:val="none"/>
          <w14:textFill>
            <w14:solidFill>
              <w14:schemeClr w14:val="tx1"/>
            </w14:solidFill>
          </w14:textFill>
        </w:rPr>
        <w:t>或更换资质证书前有效期内：</w:t>
      </w:r>
      <w:r>
        <w:rPr>
          <w:rFonts w:hint="eastAsia" w:hAnsi="宋体" w:eastAsia="宋体"/>
          <w:bCs/>
          <w:color w:val="000000" w:themeColor="text1"/>
          <w:szCs w:val="21"/>
          <w:highlight w:val="none"/>
          <w:lang w:val="zh-CN"/>
          <w14:textFill>
            <w14:solidFill>
              <w14:schemeClr w14:val="tx1"/>
            </w14:solidFill>
          </w14:textFill>
        </w:rPr>
        <w:t>电力工程施工总承包三级（或以上）企业资质；</w:t>
      </w:r>
      <w:r>
        <w:rPr>
          <w:rFonts w:hint="eastAsia" w:hAnsi="宋体" w:eastAsia="宋体"/>
          <w:bCs/>
          <w:color w:val="000000" w:themeColor="text1"/>
          <w:szCs w:val="21"/>
          <w:highlight w:val="none"/>
          <w14:textFill>
            <w14:solidFill>
              <w14:schemeClr w14:val="tx1"/>
            </w14:solidFill>
          </w14:textFill>
        </w:rPr>
        <w:t>或</w:t>
      </w:r>
      <w:r>
        <w:rPr>
          <w:rFonts w:hint="eastAsia" w:hAnsi="宋体" w:eastAsia="宋体"/>
          <w:bCs/>
          <w:color w:val="000000" w:themeColor="text1"/>
          <w:szCs w:val="21"/>
          <w:highlight w:val="none"/>
          <w:lang w:val="zh-CN"/>
          <w14:textFill>
            <w14:solidFill>
              <w14:schemeClr w14:val="tx1"/>
            </w14:solidFill>
          </w14:textFill>
        </w:rPr>
        <w:t>输变电工程专业承包三级（或以上）企业资质】；②具有《承装（修、试）电力设施许可证》承装类别五级或以上资质；③具有在效期内的《安全生产许可证》。（</w:t>
      </w:r>
      <w:r>
        <w:rPr>
          <w:rFonts w:hint="eastAsia" w:hAnsi="宋体" w:eastAsia="宋体"/>
          <w:bCs/>
          <w:color w:val="000000" w:themeColor="text1"/>
          <w:szCs w:val="21"/>
          <w:highlight w:val="none"/>
          <w14:textFill>
            <w14:solidFill>
              <w14:schemeClr w14:val="tx1"/>
            </w14:solidFill>
          </w14:textFill>
        </w:rPr>
        <w:t>2</w:t>
      </w:r>
      <w:r>
        <w:rPr>
          <w:rFonts w:hint="eastAsia" w:hAnsi="宋体" w:eastAsia="宋体"/>
          <w:bCs/>
          <w:color w:val="000000" w:themeColor="text1"/>
          <w:szCs w:val="21"/>
          <w:highlight w:val="none"/>
          <w:lang w:val="zh-CN"/>
          <w14:textFill>
            <w14:solidFill>
              <w14:schemeClr w14:val="tx1"/>
            </w14:solidFill>
          </w14:textFill>
        </w:rPr>
        <w:t>）设计资质：具有有效期内工程设计综合</w:t>
      </w:r>
      <w:r>
        <w:rPr>
          <w:rFonts w:hint="eastAsia" w:hAnsi="宋体" w:eastAsia="宋体"/>
          <w:bCs/>
          <w:color w:val="000000" w:themeColor="text1"/>
          <w:szCs w:val="21"/>
          <w:highlight w:val="none"/>
          <w14:textFill>
            <w14:solidFill>
              <w14:schemeClr w14:val="tx1"/>
            </w14:solidFill>
          </w14:textFill>
        </w:rPr>
        <w:t>甲级</w:t>
      </w:r>
      <w:r>
        <w:rPr>
          <w:rFonts w:hint="eastAsia" w:hAnsi="宋体" w:eastAsia="宋体"/>
          <w:bCs/>
          <w:color w:val="000000" w:themeColor="text1"/>
          <w:szCs w:val="21"/>
          <w:highlight w:val="none"/>
          <w:lang w:val="zh-CN"/>
          <w14:textFill>
            <w14:solidFill>
              <w14:schemeClr w14:val="tx1"/>
            </w14:solidFill>
          </w14:textFill>
        </w:rPr>
        <w:t>资质，或</w:t>
      </w:r>
      <w:r>
        <w:rPr>
          <w:rFonts w:hint="eastAsia" w:ascii="宋体" w:hAnsi="宋体" w:eastAsia="宋体"/>
          <w:bCs/>
          <w:color w:val="000000" w:themeColor="text1"/>
          <w:szCs w:val="21"/>
          <w:highlight w:val="none"/>
          <w:lang w:val="zh-CN"/>
          <w14:textFill>
            <w14:solidFill>
              <w14:schemeClr w14:val="tx1"/>
            </w14:solidFill>
          </w14:textFill>
        </w:rPr>
        <w:t>工程设计电力行业</w:t>
      </w:r>
      <w:r>
        <w:rPr>
          <w:rFonts w:hint="eastAsia" w:hAnsi="宋体" w:eastAsia="宋体"/>
          <w:bCs/>
          <w:color w:val="000000" w:themeColor="text1"/>
          <w:szCs w:val="21"/>
          <w:highlight w:val="none"/>
          <w:lang w:val="zh-CN"/>
          <w14:textFill>
            <w14:solidFill>
              <w14:schemeClr w14:val="tx1"/>
            </w14:solidFill>
          </w14:textFill>
        </w:rPr>
        <w:t>乙级（或以上）资质，或</w:t>
      </w:r>
      <w:r>
        <w:rPr>
          <w:rFonts w:hint="eastAsia" w:ascii="宋体" w:hAnsi="宋体" w:eastAsia="宋体"/>
          <w:bCs/>
          <w:color w:val="000000" w:themeColor="text1"/>
          <w:szCs w:val="21"/>
          <w:highlight w:val="none"/>
          <w:lang w:val="zh-CN"/>
          <w14:textFill>
            <w14:solidFill>
              <w14:schemeClr w14:val="tx1"/>
            </w14:solidFill>
          </w14:textFill>
        </w:rPr>
        <w:t>工程设计电力行业（送</w:t>
      </w:r>
      <w:r>
        <w:rPr>
          <w:rFonts w:hint="eastAsia" w:ascii="宋体" w:hAnsi="宋体" w:eastAsia="宋体"/>
          <w:bCs/>
          <w:color w:val="000000" w:themeColor="text1"/>
          <w:szCs w:val="21"/>
          <w:highlight w:val="none"/>
          <w14:textFill>
            <w14:solidFill>
              <w14:schemeClr w14:val="tx1"/>
            </w14:solidFill>
          </w14:textFill>
        </w:rPr>
        <w:t>变</w:t>
      </w:r>
      <w:r>
        <w:rPr>
          <w:rFonts w:hint="eastAsia" w:ascii="宋体" w:hAnsi="宋体" w:eastAsia="宋体"/>
          <w:bCs/>
          <w:color w:val="000000" w:themeColor="text1"/>
          <w:szCs w:val="21"/>
          <w:highlight w:val="none"/>
          <w:lang w:val="zh-CN"/>
          <w14:textFill>
            <w14:solidFill>
              <w14:schemeClr w14:val="tx1"/>
            </w14:solidFill>
          </w14:textFill>
        </w:rPr>
        <w:t>电工程）专业</w:t>
      </w:r>
      <w:r>
        <w:rPr>
          <w:rFonts w:hint="eastAsia" w:hAnsi="宋体" w:eastAsia="宋体"/>
          <w:bCs/>
          <w:color w:val="000000" w:themeColor="text1"/>
          <w:szCs w:val="21"/>
          <w:highlight w:val="none"/>
          <w:lang w:val="zh-CN"/>
          <w14:textFill>
            <w14:solidFill>
              <w14:schemeClr w14:val="tx1"/>
            </w14:solidFill>
          </w14:textFill>
        </w:rPr>
        <w:t>乙级（或以上）资质，或</w:t>
      </w:r>
      <w:r>
        <w:rPr>
          <w:rFonts w:hint="eastAsia" w:ascii="宋体" w:hAnsi="宋体" w:eastAsia="宋体"/>
          <w:bCs/>
          <w:color w:val="000000" w:themeColor="text1"/>
          <w:szCs w:val="21"/>
          <w:highlight w:val="none"/>
          <w:lang w:val="zh-CN"/>
          <w14:textFill>
            <w14:solidFill>
              <w14:schemeClr w14:val="tx1"/>
            </w14:solidFill>
          </w14:textFill>
        </w:rPr>
        <w:t>工程设计电力行业（新能源发电</w:t>
      </w:r>
      <w:r>
        <w:rPr>
          <w:rFonts w:hint="eastAsia" w:ascii="宋体" w:hAnsi="宋体" w:eastAsia="宋体"/>
          <w:bCs/>
          <w:color w:val="000000" w:themeColor="text1"/>
          <w:szCs w:val="21"/>
          <w:highlight w:val="none"/>
          <w14:textFill>
            <w14:solidFill>
              <w14:schemeClr w14:val="tx1"/>
            </w14:solidFill>
          </w14:textFill>
        </w:rPr>
        <w:t>工程</w:t>
      </w:r>
      <w:r>
        <w:rPr>
          <w:rFonts w:hint="eastAsia" w:ascii="宋体" w:hAnsi="宋体" w:eastAsia="宋体"/>
          <w:bCs/>
          <w:color w:val="000000" w:themeColor="text1"/>
          <w:szCs w:val="21"/>
          <w:highlight w:val="none"/>
          <w:lang w:val="zh-CN"/>
          <w14:textFill>
            <w14:solidFill>
              <w14:schemeClr w14:val="tx1"/>
            </w14:solidFill>
          </w14:textFill>
        </w:rPr>
        <w:t>）专业</w:t>
      </w:r>
      <w:r>
        <w:rPr>
          <w:rFonts w:hint="eastAsia" w:hAnsi="宋体" w:eastAsia="宋体"/>
          <w:bCs/>
          <w:color w:val="000000" w:themeColor="text1"/>
          <w:szCs w:val="21"/>
          <w:highlight w:val="none"/>
          <w:lang w:val="zh-CN"/>
          <w14:textFill>
            <w14:solidFill>
              <w14:schemeClr w14:val="tx1"/>
            </w14:solidFill>
          </w14:textFill>
        </w:rPr>
        <w:t>乙级（或以上）资质【</w:t>
      </w:r>
      <w:r>
        <w:rPr>
          <w:rFonts w:hint="eastAsia" w:hAnsi="宋体" w:eastAsia="宋体"/>
          <w:bCs/>
          <w:color w:val="000000" w:themeColor="text1"/>
          <w:szCs w:val="21"/>
          <w:highlight w:val="none"/>
          <w14:textFill>
            <w14:solidFill>
              <w14:schemeClr w14:val="tx1"/>
            </w14:solidFill>
          </w14:textFill>
        </w:rPr>
        <w:t>或更换资质证书前有效期内</w:t>
      </w:r>
      <w:r>
        <w:rPr>
          <w:rFonts w:hint="eastAsia" w:ascii="宋体" w:hAnsi="宋体" w:eastAsia="宋体"/>
          <w:bCs/>
          <w:color w:val="000000" w:themeColor="text1"/>
          <w:szCs w:val="21"/>
          <w:highlight w:val="none"/>
          <w:lang w:val="zh-CN"/>
          <w14:textFill>
            <w14:solidFill>
              <w14:schemeClr w14:val="tx1"/>
            </w14:solidFill>
          </w14:textFill>
        </w:rPr>
        <w:t>：工程设计综合资质，或工程设计电力行业乙级（或以上）资质，或工程设计电力行业（送电工程或变电工程）专业丙级（或以上）资质，或工程设计电力行业（新能源发电）专业乙级资质</w:t>
      </w:r>
      <w:r>
        <w:rPr>
          <w:rFonts w:hint="eastAsia" w:hAnsi="宋体" w:eastAsia="宋体"/>
          <w:bCs/>
          <w:color w:val="000000" w:themeColor="text1"/>
          <w:szCs w:val="21"/>
          <w:highlight w:val="none"/>
          <w:lang w:val="zh-CN"/>
          <w14:textFill>
            <w14:solidFill>
              <w14:schemeClr w14:val="tx1"/>
            </w14:solidFill>
          </w14:textFill>
        </w:rPr>
        <w:t>】</w:t>
      </w:r>
      <w:r>
        <w:rPr>
          <w:rFonts w:hint="eastAsia" w:ascii="宋体" w:hAnsi="宋体" w:eastAsia="宋体"/>
          <w:bCs/>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【投标人提供以上资质证书复印件】</w:t>
      </w:r>
    </w:p>
    <w:bookmarkEnd w:id="804"/>
    <w:bookmarkEnd w:id="812"/>
    <w:p w14:paraId="0E28C6D7">
      <w:pPr>
        <w:pStyle w:val="5"/>
        <w:pageBreakBefore/>
        <w:spacing w:line="360" w:lineRule="auto"/>
        <w:rPr>
          <w:rFonts w:hAnsi="宋体"/>
          <w:b/>
          <w:color w:val="000000" w:themeColor="text1"/>
          <w:sz w:val="30"/>
          <w:szCs w:val="30"/>
          <w:highlight w:val="none"/>
          <w:lang w:val="zh-CN"/>
          <w14:textFill>
            <w14:solidFill>
              <w14:schemeClr w14:val="tx1"/>
            </w14:solidFill>
          </w14:textFill>
        </w:rPr>
      </w:pPr>
      <w:bookmarkStart w:id="813" w:name="_Toc31909"/>
      <w:bookmarkStart w:id="814" w:name="_Toc19135"/>
      <w:bookmarkStart w:id="815" w:name="_Toc30354"/>
      <w:r>
        <w:rPr>
          <w:rFonts w:hint="eastAsia" w:hAnsi="宋体" w:cs="宋体"/>
          <w:b/>
          <w:color w:val="000000" w:themeColor="text1"/>
          <w:sz w:val="30"/>
          <w:szCs w:val="30"/>
          <w:highlight w:val="none"/>
          <w14:textFill>
            <w14:solidFill>
              <w14:schemeClr w14:val="tx1"/>
            </w14:solidFill>
          </w14:textFill>
        </w:rPr>
        <w:t>5.5</w:t>
      </w:r>
      <w:r>
        <w:rPr>
          <w:rFonts w:hAnsi="宋体" w:cs="宋体"/>
          <w:b/>
          <w:color w:val="000000" w:themeColor="text1"/>
          <w:sz w:val="30"/>
          <w:szCs w:val="30"/>
          <w:highlight w:val="none"/>
          <w14:textFill>
            <w14:solidFill>
              <w14:schemeClr w14:val="tx1"/>
            </w14:solidFill>
          </w14:textFill>
        </w:rPr>
        <w:t xml:space="preserve"> </w:t>
      </w:r>
      <w:r>
        <w:rPr>
          <w:rFonts w:hint="eastAsia" w:hAnsi="宋体"/>
          <w:b/>
          <w:bCs/>
          <w:color w:val="000000" w:themeColor="text1"/>
          <w:kern w:val="2"/>
          <w:sz w:val="32"/>
          <w:szCs w:val="32"/>
          <w:highlight w:val="none"/>
          <w14:textFill>
            <w14:solidFill>
              <w14:schemeClr w14:val="tx1"/>
            </w14:solidFill>
          </w14:textFill>
        </w:rPr>
        <w:t>资格业绩</w:t>
      </w:r>
      <w:bookmarkStart w:id="816" w:name="OLE_LINK48"/>
      <w:r>
        <w:rPr>
          <w:rFonts w:hint="eastAsia" w:hAnsi="宋体"/>
          <w:b/>
          <w:bCs/>
          <w:color w:val="000000" w:themeColor="text1"/>
          <w:sz w:val="32"/>
          <w:szCs w:val="32"/>
          <w:highlight w:val="none"/>
          <w14:textFill>
            <w14:solidFill>
              <w14:schemeClr w14:val="tx1"/>
            </w14:solidFill>
          </w14:textFill>
        </w:rPr>
        <w:t>【投标人提供一份2019年1月1日以来</w:t>
      </w:r>
      <w:bookmarkStart w:id="817" w:name="OLE_LINK69"/>
      <w:r>
        <w:rPr>
          <w:rFonts w:hint="eastAsia" w:hAnsi="宋体"/>
          <w:b/>
          <w:bCs/>
          <w:color w:val="000000" w:themeColor="text1"/>
          <w:sz w:val="32"/>
          <w:szCs w:val="32"/>
          <w:highlight w:val="none"/>
          <w14:textFill>
            <w14:solidFill>
              <w14:schemeClr w14:val="tx1"/>
            </w14:solidFill>
          </w14:textFill>
        </w:rPr>
        <w:t>屋顶分布式光伏发电的</w:t>
      </w:r>
      <w:bookmarkEnd w:id="817"/>
      <w:r>
        <w:rPr>
          <w:rFonts w:hint="eastAsia" w:hAnsi="宋体" w:cs="宋体"/>
          <w:b/>
          <w:bCs/>
          <w:color w:val="000000" w:themeColor="text1"/>
          <w:sz w:val="32"/>
          <w:szCs w:val="32"/>
          <w:highlight w:val="none"/>
          <w14:textFill>
            <w14:solidFill>
              <w14:schemeClr w14:val="tx1"/>
            </w14:solidFill>
          </w14:textFill>
        </w:rPr>
        <w:t>业绩</w:t>
      </w:r>
      <w:r>
        <w:rPr>
          <w:rFonts w:hint="eastAsia" w:hAnsi="宋体"/>
          <w:b/>
          <w:bCs/>
          <w:color w:val="000000" w:themeColor="text1"/>
          <w:sz w:val="32"/>
          <w:szCs w:val="32"/>
          <w:highlight w:val="none"/>
          <w14:textFill>
            <w14:solidFill>
              <w14:schemeClr w14:val="tx1"/>
            </w14:solidFill>
          </w14:textFill>
        </w:rPr>
        <w:t>（合同签订日期为2019年1月1日或以后）</w:t>
      </w:r>
      <w:bookmarkEnd w:id="805"/>
      <w:bookmarkEnd w:id="806"/>
      <w:bookmarkEnd w:id="816"/>
      <w:r>
        <w:rPr>
          <w:rFonts w:hint="eastAsia" w:hAnsi="宋体"/>
          <w:b/>
          <w:bCs/>
          <w:color w:val="000000" w:themeColor="text1"/>
          <w:sz w:val="32"/>
          <w:szCs w:val="32"/>
          <w:highlight w:val="none"/>
          <w14:textFill>
            <w14:solidFill>
              <w14:schemeClr w14:val="tx1"/>
            </w14:solidFill>
          </w14:textFill>
        </w:rPr>
        <w:t>】</w:t>
      </w:r>
      <w:bookmarkEnd w:id="813"/>
      <w:bookmarkEnd w:id="814"/>
      <w:bookmarkEnd w:id="815"/>
    </w:p>
    <w:p w14:paraId="4D60DD54">
      <w:pPr>
        <w:spacing w:line="360" w:lineRule="auto"/>
        <w:rPr>
          <w:rFonts w:hAnsi="宋体"/>
          <w:color w:val="000000" w:themeColor="text1"/>
          <w:szCs w:val="21"/>
          <w:highlight w:val="none"/>
          <w:lang w:val="zh-CN"/>
          <w14:textFill>
            <w14:solidFill>
              <w14:schemeClr w14:val="tx1"/>
            </w14:solidFill>
          </w14:textFill>
        </w:rPr>
      </w:pPr>
    </w:p>
    <w:tbl>
      <w:tblPr>
        <w:tblStyle w:val="37"/>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70"/>
        <w:gridCol w:w="1116"/>
        <w:gridCol w:w="1439"/>
        <w:gridCol w:w="1439"/>
        <w:gridCol w:w="932"/>
        <w:gridCol w:w="736"/>
        <w:gridCol w:w="780"/>
        <w:gridCol w:w="1035"/>
        <w:gridCol w:w="833"/>
      </w:tblGrid>
      <w:tr w14:paraId="171C7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522" w:type="pct"/>
            <w:tcBorders>
              <w:top w:val="single" w:color="auto" w:sz="4" w:space="0"/>
              <w:left w:val="single" w:color="auto" w:sz="4" w:space="0"/>
              <w:bottom w:val="single" w:color="auto" w:sz="4" w:space="0"/>
              <w:right w:val="single" w:color="auto" w:sz="4" w:space="0"/>
            </w:tcBorders>
            <w:vAlign w:val="center"/>
          </w:tcPr>
          <w:p w14:paraId="1817B456">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序号</w:t>
            </w:r>
          </w:p>
        </w:tc>
        <w:tc>
          <w:tcPr>
            <w:tcW w:w="601" w:type="pct"/>
            <w:tcBorders>
              <w:top w:val="single" w:color="auto" w:sz="4" w:space="0"/>
              <w:left w:val="single" w:color="auto" w:sz="4" w:space="0"/>
              <w:bottom w:val="single" w:color="auto" w:sz="4" w:space="0"/>
              <w:right w:val="single" w:color="auto" w:sz="4" w:space="0"/>
            </w:tcBorders>
            <w:vAlign w:val="center"/>
          </w:tcPr>
          <w:p w14:paraId="606E1265">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项目</w:t>
            </w:r>
          </w:p>
          <w:p w14:paraId="79C48DA5">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名称</w:t>
            </w:r>
          </w:p>
        </w:tc>
        <w:tc>
          <w:tcPr>
            <w:tcW w:w="775" w:type="pct"/>
            <w:tcBorders>
              <w:top w:val="single" w:color="auto" w:sz="4" w:space="0"/>
              <w:left w:val="single" w:color="auto" w:sz="4" w:space="0"/>
              <w:bottom w:val="single" w:color="auto" w:sz="4" w:space="0"/>
              <w:right w:val="single" w:color="auto" w:sz="4" w:space="0"/>
            </w:tcBorders>
            <w:vAlign w:val="center"/>
          </w:tcPr>
          <w:p w14:paraId="047AF4CC">
            <w:pPr>
              <w:autoSpaceDE w:val="0"/>
              <w:autoSpaceDN w:val="0"/>
              <w:adjustRightIn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合同标的货物名称</w:t>
            </w:r>
          </w:p>
        </w:tc>
        <w:tc>
          <w:tcPr>
            <w:tcW w:w="775" w:type="pct"/>
            <w:tcBorders>
              <w:top w:val="single" w:color="auto" w:sz="4" w:space="0"/>
              <w:left w:val="single" w:color="auto" w:sz="4" w:space="0"/>
              <w:bottom w:val="single" w:color="auto" w:sz="4" w:space="0"/>
              <w:right w:val="single" w:color="auto" w:sz="4" w:space="0"/>
            </w:tcBorders>
            <w:vAlign w:val="center"/>
          </w:tcPr>
          <w:p w14:paraId="7C0DE157">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合同标的货物品牌</w:t>
            </w:r>
          </w:p>
        </w:tc>
        <w:tc>
          <w:tcPr>
            <w:tcW w:w="502" w:type="pct"/>
            <w:tcBorders>
              <w:top w:val="single" w:color="auto" w:sz="4" w:space="0"/>
              <w:left w:val="single" w:color="auto" w:sz="4" w:space="0"/>
              <w:bottom w:val="single" w:color="auto" w:sz="4" w:space="0"/>
              <w:right w:val="single" w:color="auto" w:sz="4" w:space="0"/>
            </w:tcBorders>
            <w:vAlign w:val="center"/>
          </w:tcPr>
          <w:p w14:paraId="3B8ABF64">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合同期限</w:t>
            </w:r>
          </w:p>
        </w:tc>
        <w:tc>
          <w:tcPr>
            <w:tcW w:w="396" w:type="pct"/>
            <w:tcBorders>
              <w:top w:val="single" w:color="auto" w:sz="4" w:space="0"/>
              <w:left w:val="single" w:color="auto" w:sz="4" w:space="0"/>
              <w:bottom w:val="single" w:color="auto" w:sz="4" w:space="0"/>
              <w:right w:val="single" w:color="auto" w:sz="4" w:space="0"/>
            </w:tcBorders>
            <w:vAlign w:val="center"/>
          </w:tcPr>
          <w:p w14:paraId="54DD31AC">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签约</w:t>
            </w:r>
          </w:p>
          <w:p w14:paraId="44C7853A">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日期</w:t>
            </w:r>
          </w:p>
        </w:tc>
        <w:tc>
          <w:tcPr>
            <w:tcW w:w="420" w:type="pct"/>
            <w:tcBorders>
              <w:top w:val="single" w:color="auto" w:sz="4" w:space="0"/>
              <w:left w:val="single" w:color="auto" w:sz="4" w:space="0"/>
              <w:bottom w:val="single" w:color="auto" w:sz="4" w:space="0"/>
              <w:right w:val="single" w:color="auto" w:sz="4" w:space="0"/>
            </w:tcBorders>
            <w:vAlign w:val="center"/>
          </w:tcPr>
          <w:p w14:paraId="354ED192">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完成</w:t>
            </w:r>
          </w:p>
          <w:p w14:paraId="2BCA9D2A">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情况</w:t>
            </w:r>
          </w:p>
        </w:tc>
        <w:tc>
          <w:tcPr>
            <w:tcW w:w="557" w:type="pct"/>
            <w:tcBorders>
              <w:top w:val="single" w:color="auto" w:sz="4" w:space="0"/>
              <w:left w:val="single" w:color="auto" w:sz="4" w:space="0"/>
              <w:bottom w:val="single" w:color="auto" w:sz="4" w:space="0"/>
              <w:right w:val="single" w:color="auto" w:sz="4" w:space="0"/>
            </w:tcBorders>
            <w:vAlign w:val="center"/>
          </w:tcPr>
          <w:p w14:paraId="16FC26E8">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买方单位联系人及电话</w:t>
            </w:r>
          </w:p>
        </w:tc>
        <w:tc>
          <w:tcPr>
            <w:tcW w:w="448" w:type="pct"/>
            <w:tcBorders>
              <w:top w:val="single" w:color="auto" w:sz="4" w:space="0"/>
              <w:left w:val="single" w:color="auto" w:sz="4" w:space="0"/>
              <w:bottom w:val="single" w:color="auto" w:sz="4" w:space="0"/>
              <w:right w:val="single" w:color="auto" w:sz="4" w:space="0"/>
            </w:tcBorders>
            <w:vAlign w:val="center"/>
          </w:tcPr>
          <w:p w14:paraId="626D532B">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备注</w:t>
            </w:r>
          </w:p>
        </w:tc>
      </w:tr>
      <w:tr w14:paraId="40341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522" w:type="pct"/>
            <w:tcBorders>
              <w:top w:val="single" w:color="auto" w:sz="4" w:space="0"/>
              <w:left w:val="single" w:color="auto" w:sz="4" w:space="0"/>
              <w:bottom w:val="single" w:color="auto" w:sz="4" w:space="0"/>
              <w:right w:val="single" w:color="auto" w:sz="4" w:space="0"/>
            </w:tcBorders>
            <w:vAlign w:val="center"/>
          </w:tcPr>
          <w:p w14:paraId="3B1A96A0">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1</w:t>
            </w:r>
          </w:p>
        </w:tc>
        <w:tc>
          <w:tcPr>
            <w:tcW w:w="601" w:type="pct"/>
            <w:tcBorders>
              <w:top w:val="single" w:color="auto" w:sz="4" w:space="0"/>
              <w:left w:val="single" w:color="auto" w:sz="4" w:space="0"/>
              <w:bottom w:val="single" w:color="auto" w:sz="4" w:space="0"/>
              <w:right w:val="single" w:color="auto" w:sz="4" w:space="0"/>
            </w:tcBorders>
            <w:vAlign w:val="center"/>
          </w:tcPr>
          <w:p w14:paraId="06113CB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75" w:type="pct"/>
            <w:tcBorders>
              <w:top w:val="single" w:color="auto" w:sz="4" w:space="0"/>
              <w:left w:val="single" w:color="auto" w:sz="4" w:space="0"/>
              <w:bottom w:val="single" w:color="auto" w:sz="4" w:space="0"/>
              <w:right w:val="single" w:color="auto" w:sz="4" w:space="0"/>
            </w:tcBorders>
            <w:vAlign w:val="center"/>
          </w:tcPr>
          <w:p w14:paraId="5E51E72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75" w:type="pct"/>
            <w:tcBorders>
              <w:top w:val="single" w:color="auto" w:sz="4" w:space="0"/>
              <w:left w:val="single" w:color="auto" w:sz="4" w:space="0"/>
              <w:bottom w:val="single" w:color="auto" w:sz="4" w:space="0"/>
              <w:right w:val="single" w:color="auto" w:sz="4" w:space="0"/>
            </w:tcBorders>
            <w:vAlign w:val="center"/>
          </w:tcPr>
          <w:p w14:paraId="071CC9D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02" w:type="pct"/>
            <w:tcBorders>
              <w:top w:val="single" w:color="auto" w:sz="4" w:space="0"/>
              <w:left w:val="single" w:color="auto" w:sz="4" w:space="0"/>
              <w:bottom w:val="single" w:color="auto" w:sz="4" w:space="0"/>
              <w:right w:val="single" w:color="auto" w:sz="4" w:space="0"/>
            </w:tcBorders>
          </w:tcPr>
          <w:p w14:paraId="7678D3D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96" w:type="pct"/>
            <w:tcBorders>
              <w:top w:val="single" w:color="auto" w:sz="4" w:space="0"/>
              <w:left w:val="single" w:color="auto" w:sz="4" w:space="0"/>
              <w:bottom w:val="single" w:color="auto" w:sz="4" w:space="0"/>
              <w:right w:val="single" w:color="auto" w:sz="4" w:space="0"/>
            </w:tcBorders>
            <w:vAlign w:val="center"/>
          </w:tcPr>
          <w:p w14:paraId="1463AD8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20" w:type="pct"/>
            <w:tcBorders>
              <w:top w:val="single" w:color="auto" w:sz="4" w:space="0"/>
              <w:left w:val="single" w:color="auto" w:sz="4" w:space="0"/>
              <w:bottom w:val="single" w:color="auto" w:sz="4" w:space="0"/>
              <w:right w:val="single" w:color="auto" w:sz="4" w:space="0"/>
            </w:tcBorders>
            <w:vAlign w:val="center"/>
          </w:tcPr>
          <w:p w14:paraId="4F06015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57" w:type="pct"/>
            <w:tcBorders>
              <w:top w:val="single" w:color="auto" w:sz="4" w:space="0"/>
              <w:left w:val="single" w:color="auto" w:sz="4" w:space="0"/>
              <w:bottom w:val="single" w:color="auto" w:sz="4" w:space="0"/>
              <w:right w:val="single" w:color="auto" w:sz="4" w:space="0"/>
            </w:tcBorders>
            <w:vAlign w:val="center"/>
          </w:tcPr>
          <w:p w14:paraId="346D6D5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8" w:type="pct"/>
            <w:tcBorders>
              <w:top w:val="single" w:color="auto" w:sz="4" w:space="0"/>
              <w:left w:val="single" w:color="auto" w:sz="4" w:space="0"/>
              <w:bottom w:val="single" w:color="auto" w:sz="4" w:space="0"/>
              <w:right w:val="single" w:color="auto" w:sz="4" w:space="0"/>
            </w:tcBorders>
            <w:vAlign w:val="center"/>
          </w:tcPr>
          <w:p w14:paraId="6509B36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163FE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522" w:type="pct"/>
            <w:tcBorders>
              <w:top w:val="single" w:color="auto" w:sz="4" w:space="0"/>
              <w:left w:val="single" w:color="auto" w:sz="4" w:space="0"/>
              <w:bottom w:val="single" w:color="auto" w:sz="4" w:space="0"/>
              <w:right w:val="single" w:color="auto" w:sz="4" w:space="0"/>
            </w:tcBorders>
            <w:vAlign w:val="center"/>
          </w:tcPr>
          <w:p w14:paraId="29E502A3">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2</w:t>
            </w:r>
          </w:p>
        </w:tc>
        <w:tc>
          <w:tcPr>
            <w:tcW w:w="601" w:type="pct"/>
            <w:tcBorders>
              <w:top w:val="single" w:color="auto" w:sz="4" w:space="0"/>
              <w:left w:val="single" w:color="auto" w:sz="4" w:space="0"/>
              <w:bottom w:val="single" w:color="auto" w:sz="4" w:space="0"/>
              <w:right w:val="single" w:color="auto" w:sz="4" w:space="0"/>
            </w:tcBorders>
            <w:vAlign w:val="center"/>
          </w:tcPr>
          <w:p w14:paraId="51A2E34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75" w:type="pct"/>
            <w:tcBorders>
              <w:top w:val="single" w:color="auto" w:sz="4" w:space="0"/>
              <w:left w:val="single" w:color="auto" w:sz="4" w:space="0"/>
              <w:bottom w:val="single" w:color="auto" w:sz="4" w:space="0"/>
              <w:right w:val="single" w:color="auto" w:sz="4" w:space="0"/>
            </w:tcBorders>
            <w:vAlign w:val="center"/>
          </w:tcPr>
          <w:p w14:paraId="70F71B1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75" w:type="pct"/>
            <w:tcBorders>
              <w:top w:val="single" w:color="auto" w:sz="4" w:space="0"/>
              <w:left w:val="single" w:color="auto" w:sz="4" w:space="0"/>
              <w:bottom w:val="single" w:color="auto" w:sz="4" w:space="0"/>
              <w:right w:val="single" w:color="auto" w:sz="4" w:space="0"/>
            </w:tcBorders>
            <w:vAlign w:val="center"/>
          </w:tcPr>
          <w:p w14:paraId="52D7804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02" w:type="pct"/>
            <w:tcBorders>
              <w:top w:val="single" w:color="auto" w:sz="4" w:space="0"/>
              <w:left w:val="single" w:color="auto" w:sz="4" w:space="0"/>
              <w:bottom w:val="single" w:color="auto" w:sz="4" w:space="0"/>
              <w:right w:val="single" w:color="auto" w:sz="4" w:space="0"/>
            </w:tcBorders>
          </w:tcPr>
          <w:p w14:paraId="3060D06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96" w:type="pct"/>
            <w:tcBorders>
              <w:top w:val="single" w:color="auto" w:sz="4" w:space="0"/>
              <w:left w:val="single" w:color="auto" w:sz="4" w:space="0"/>
              <w:bottom w:val="single" w:color="auto" w:sz="4" w:space="0"/>
              <w:right w:val="single" w:color="auto" w:sz="4" w:space="0"/>
            </w:tcBorders>
            <w:vAlign w:val="center"/>
          </w:tcPr>
          <w:p w14:paraId="0D26CFA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20" w:type="pct"/>
            <w:tcBorders>
              <w:top w:val="single" w:color="auto" w:sz="4" w:space="0"/>
              <w:left w:val="single" w:color="auto" w:sz="4" w:space="0"/>
              <w:bottom w:val="single" w:color="auto" w:sz="4" w:space="0"/>
              <w:right w:val="single" w:color="auto" w:sz="4" w:space="0"/>
            </w:tcBorders>
            <w:vAlign w:val="center"/>
          </w:tcPr>
          <w:p w14:paraId="24F8751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57" w:type="pct"/>
            <w:tcBorders>
              <w:top w:val="single" w:color="auto" w:sz="4" w:space="0"/>
              <w:left w:val="single" w:color="auto" w:sz="4" w:space="0"/>
              <w:bottom w:val="single" w:color="auto" w:sz="4" w:space="0"/>
              <w:right w:val="single" w:color="auto" w:sz="4" w:space="0"/>
            </w:tcBorders>
            <w:vAlign w:val="center"/>
          </w:tcPr>
          <w:p w14:paraId="6AB1854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8" w:type="pct"/>
            <w:tcBorders>
              <w:top w:val="single" w:color="auto" w:sz="4" w:space="0"/>
              <w:left w:val="single" w:color="auto" w:sz="4" w:space="0"/>
              <w:bottom w:val="single" w:color="auto" w:sz="4" w:space="0"/>
              <w:right w:val="single" w:color="auto" w:sz="4" w:space="0"/>
            </w:tcBorders>
            <w:vAlign w:val="center"/>
          </w:tcPr>
          <w:p w14:paraId="37536B1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7E9B0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522" w:type="pct"/>
            <w:tcBorders>
              <w:top w:val="single" w:color="auto" w:sz="4" w:space="0"/>
              <w:left w:val="single" w:color="auto" w:sz="4" w:space="0"/>
              <w:bottom w:val="single" w:color="auto" w:sz="4" w:space="0"/>
              <w:right w:val="single" w:color="auto" w:sz="4" w:space="0"/>
            </w:tcBorders>
            <w:vAlign w:val="center"/>
          </w:tcPr>
          <w:p w14:paraId="2B940FC6">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3</w:t>
            </w:r>
          </w:p>
        </w:tc>
        <w:tc>
          <w:tcPr>
            <w:tcW w:w="601" w:type="pct"/>
            <w:tcBorders>
              <w:top w:val="single" w:color="auto" w:sz="4" w:space="0"/>
              <w:left w:val="single" w:color="auto" w:sz="4" w:space="0"/>
              <w:bottom w:val="single" w:color="auto" w:sz="4" w:space="0"/>
              <w:right w:val="single" w:color="auto" w:sz="4" w:space="0"/>
            </w:tcBorders>
            <w:vAlign w:val="center"/>
          </w:tcPr>
          <w:p w14:paraId="6A2DFC2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75" w:type="pct"/>
            <w:tcBorders>
              <w:top w:val="single" w:color="auto" w:sz="4" w:space="0"/>
              <w:left w:val="single" w:color="auto" w:sz="4" w:space="0"/>
              <w:bottom w:val="single" w:color="auto" w:sz="4" w:space="0"/>
              <w:right w:val="single" w:color="auto" w:sz="4" w:space="0"/>
            </w:tcBorders>
            <w:vAlign w:val="center"/>
          </w:tcPr>
          <w:p w14:paraId="012EC96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75" w:type="pct"/>
            <w:tcBorders>
              <w:top w:val="single" w:color="auto" w:sz="4" w:space="0"/>
              <w:left w:val="single" w:color="auto" w:sz="4" w:space="0"/>
              <w:bottom w:val="single" w:color="auto" w:sz="4" w:space="0"/>
              <w:right w:val="single" w:color="auto" w:sz="4" w:space="0"/>
            </w:tcBorders>
            <w:vAlign w:val="center"/>
          </w:tcPr>
          <w:p w14:paraId="7AF1EDA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02" w:type="pct"/>
            <w:tcBorders>
              <w:top w:val="single" w:color="auto" w:sz="4" w:space="0"/>
              <w:left w:val="single" w:color="auto" w:sz="4" w:space="0"/>
              <w:bottom w:val="single" w:color="auto" w:sz="4" w:space="0"/>
              <w:right w:val="single" w:color="auto" w:sz="4" w:space="0"/>
            </w:tcBorders>
          </w:tcPr>
          <w:p w14:paraId="2E36189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96" w:type="pct"/>
            <w:tcBorders>
              <w:top w:val="single" w:color="auto" w:sz="4" w:space="0"/>
              <w:left w:val="single" w:color="auto" w:sz="4" w:space="0"/>
              <w:bottom w:val="single" w:color="auto" w:sz="4" w:space="0"/>
              <w:right w:val="single" w:color="auto" w:sz="4" w:space="0"/>
            </w:tcBorders>
            <w:vAlign w:val="center"/>
          </w:tcPr>
          <w:p w14:paraId="6C5991B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20" w:type="pct"/>
            <w:tcBorders>
              <w:top w:val="single" w:color="auto" w:sz="4" w:space="0"/>
              <w:left w:val="single" w:color="auto" w:sz="4" w:space="0"/>
              <w:bottom w:val="single" w:color="auto" w:sz="4" w:space="0"/>
              <w:right w:val="single" w:color="auto" w:sz="4" w:space="0"/>
            </w:tcBorders>
            <w:vAlign w:val="center"/>
          </w:tcPr>
          <w:p w14:paraId="43393E2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57" w:type="pct"/>
            <w:tcBorders>
              <w:top w:val="single" w:color="auto" w:sz="4" w:space="0"/>
              <w:left w:val="single" w:color="auto" w:sz="4" w:space="0"/>
              <w:bottom w:val="single" w:color="auto" w:sz="4" w:space="0"/>
              <w:right w:val="single" w:color="auto" w:sz="4" w:space="0"/>
            </w:tcBorders>
            <w:vAlign w:val="center"/>
          </w:tcPr>
          <w:p w14:paraId="061147A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8" w:type="pct"/>
            <w:tcBorders>
              <w:top w:val="single" w:color="auto" w:sz="4" w:space="0"/>
              <w:left w:val="single" w:color="auto" w:sz="4" w:space="0"/>
              <w:bottom w:val="single" w:color="auto" w:sz="4" w:space="0"/>
              <w:right w:val="single" w:color="auto" w:sz="4" w:space="0"/>
            </w:tcBorders>
            <w:vAlign w:val="center"/>
          </w:tcPr>
          <w:p w14:paraId="5FF6154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7B37E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522" w:type="pct"/>
            <w:tcBorders>
              <w:top w:val="single" w:color="auto" w:sz="4" w:space="0"/>
              <w:left w:val="single" w:color="auto" w:sz="4" w:space="0"/>
              <w:bottom w:val="single" w:color="auto" w:sz="4" w:space="0"/>
              <w:right w:val="single" w:color="auto" w:sz="4" w:space="0"/>
            </w:tcBorders>
            <w:vAlign w:val="center"/>
          </w:tcPr>
          <w:p w14:paraId="1DA2D92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Courier New"/>
                <w:color w:val="000000" w:themeColor="text1"/>
                <w:kern w:val="0"/>
                <w:szCs w:val="21"/>
                <w:highlight w:val="none"/>
                <w14:textFill>
                  <w14:solidFill>
                    <w14:schemeClr w14:val="tx1"/>
                  </w14:solidFill>
                </w14:textFill>
              </w:rPr>
              <w:t>…</w:t>
            </w:r>
          </w:p>
        </w:tc>
        <w:tc>
          <w:tcPr>
            <w:tcW w:w="601" w:type="pct"/>
            <w:tcBorders>
              <w:top w:val="single" w:color="auto" w:sz="4" w:space="0"/>
              <w:left w:val="single" w:color="auto" w:sz="4" w:space="0"/>
              <w:bottom w:val="single" w:color="auto" w:sz="4" w:space="0"/>
              <w:right w:val="single" w:color="auto" w:sz="4" w:space="0"/>
            </w:tcBorders>
            <w:vAlign w:val="center"/>
          </w:tcPr>
          <w:p w14:paraId="0B71FE9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75" w:type="pct"/>
            <w:tcBorders>
              <w:top w:val="single" w:color="auto" w:sz="4" w:space="0"/>
              <w:left w:val="single" w:color="auto" w:sz="4" w:space="0"/>
              <w:bottom w:val="single" w:color="auto" w:sz="4" w:space="0"/>
              <w:right w:val="single" w:color="auto" w:sz="4" w:space="0"/>
            </w:tcBorders>
            <w:vAlign w:val="center"/>
          </w:tcPr>
          <w:p w14:paraId="2F40DAF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75" w:type="pct"/>
            <w:tcBorders>
              <w:top w:val="single" w:color="auto" w:sz="4" w:space="0"/>
              <w:left w:val="single" w:color="auto" w:sz="4" w:space="0"/>
              <w:bottom w:val="single" w:color="auto" w:sz="4" w:space="0"/>
              <w:right w:val="single" w:color="auto" w:sz="4" w:space="0"/>
            </w:tcBorders>
            <w:vAlign w:val="center"/>
          </w:tcPr>
          <w:p w14:paraId="661E30F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02" w:type="pct"/>
            <w:tcBorders>
              <w:top w:val="single" w:color="auto" w:sz="4" w:space="0"/>
              <w:left w:val="single" w:color="auto" w:sz="4" w:space="0"/>
              <w:bottom w:val="single" w:color="auto" w:sz="4" w:space="0"/>
              <w:right w:val="single" w:color="auto" w:sz="4" w:space="0"/>
            </w:tcBorders>
          </w:tcPr>
          <w:p w14:paraId="2F48724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96" w:type="pct"/>
            <w:tcBorders>
              <w:top w:val="single" w:color="auto" w:sz="4" w:space="0"/>
              <w:left w:val="single" w:color="auto" w:sz="4" w:space="0"/>
              <w:bottom w:val="single" w:color="auto" w:sz="4" w:space="0"/>
              <w:right w:val="single" w:color="auto" w:sz="4" w:space="0"/>
            </w:tcBorders>
            <w:vAlign w:val="center"/>
          </w:tcPr>
          <w:p w14:paraId="0954064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20" w:type="pct"/>
            <w:tcBorders>
              <w:top w:val="single" w:color="auto" w:sz="4" w:space="0"/>
              <w:left w:val="single" w:color="auto" w:sz="4" w:space="0"/>
              <w:bottom w:val="single" w:color="auto" w:sz="4" w:space="0"/>
              <w:right w:val="single" w:color="auto" w:sz="4" w:space="0"/>
            </w:tcBorders>
            <w:vAlign w:val="center"/>
          </w:tcPr>
          <w:p w14:paraId="7780888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57" w:type="pct"/>
            <w:tcBorders>
              <w:top w:val="single" w:color="auto" w:sz="4" w:space="0"/>
              <w:left w:val="single" w:color="auto" w:sz="4" w:space="0"/>
              <w:bottom w:val="single" w:color="auto" w:sz="4" w:space="0"/>
              <w:right w:val="single" w:color="auto" w:sz="4" w:space="0"/>
            </w:tcBorders>
            <w:vAlign w:val="center"/>
          </w:tcPr>
          <w:p w14:paraId="1902CDF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8" w:type="pct"/>
            <w:tcBorders>
              <w:top w:val="single" w:color="auto" w:sz="4" w:space="0"/>
              <w:left w:val="single" w:color="auto" w:sz="4" w:space="0"/>
              <w:bottom w:val="single" w:color="auto" w:sz="4" w:space="0"/>
              <w:right w:val="single" w:color="auto" w:sz="4" w:space="0"/>
            </w:tcBorders>
            <w:vAlign w:val="center"/>
          </w:tcPr>
          <w:p w14:paraId="1BA3EFE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29E1A14D">
      <w:pPr>
        <w:spacing w:line="360" w:lineRule="auto"/>
        <w:ind w:left="424" w:hanging="424" w:hangingChars="201"/>
        <w:rPr>
          <w:rFonts w:ascii="宋体" w:hAnsi="宋体" w:eastAsia="宋体" w:cs="宋体"/>
          <w:b/>
          <w:color w:val="000000" w:themeColor="text1"/>
          <w:szCs w:val="21"/>
          <w:highlight w:val="none"/>
          <w:lang w:val="zh-CN"/>
          <w14:textFill>
            <w14:solidFill>
              <w14:schemeClr w14:val="tx1"/>
            </w14:solidFill>
          </w14:textFill>
        </w:rPr>
      </w:pPr>
    </w:p>
    <w:p w14:paraId="4FF5C6BC">
      <w:pPr>
        <w:spacing w:line="360" w:lineRule="auto"/>
        <w:ind w:left="424" w:hanging="424" w:hangingChars="201"/>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资格业绩证明材料提交要求：</w:t>
      </w:r>
    </w:p>
    <w:p w14:paraId="22D60A3E">
      <w:pPr>
        <w:spacing w:line="360" w:lineRule="auto"/>
        <w:ind w:left="424" w:hanging="424" w:hangingChars="20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（1）</w:t>
      </w:r>
      <w:r>
        <w:rPr>
          <w:rFonts w:hint="eastAsia" w:ascii="宋体" w:hAnsi="宋体" w:eastAsia="宋体" w:cs="宋体"/>
          <w:b/>
          <w:bCs/>
          <w:color w:val="000000" w:themeColor="text1"/>
          <w:szCs w:val="21"/>
          <w:highlight w:val="none"/>
          <w14:textFill>
            <w14:solidFill>
              <w14:schemeClr w14:val="tx1"/>
            </w14:solidFill>
          </w14:textFill>
        </w:rPr>
        <w:t>作为投标人资格条件证明的业绩放置在此处</w:t>
      </w:r>
      <w:r>
        <w:rPr>
          <w:rFonts w:hint="eastAsia" w:ascii="宋体" w:hAnsi="宋体" w:eastAsia="宋体" w:cs="宋体"/>
          <w:color w:val="000000" w:themeColor="text1"/>
          <w:szCs w:val="21"/>
          <w:highlight w:val="none"/>
          <w:lang w:val="zh-CN"/>
          <w14:textFill>
            <w14:solidFill>
              <w14:schemeClr w14:val="tx1"/>
            </w14:solidFill>
          </w14:textFill>
        </w:rPr>
        <w:t>。</w:t>
      </w:r>
    </w:p>
    <w:p w14:paraId="0853AE3D">
      <w:pPr>
        <w:spacing w:line="360" w:lineRule="auto"/>
        <w:ind w:left="422" w:hanging="422" w:hangingChars="20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（2）业绩须附合同</w:t>
      </w:r>
      <w:r>
        <w:rPr>
          <w:rFonts w:hint="eastAsia" w:ascii="宋体" w:hAnsi="宋体" w:eastAsia="宋体" w:cs="宋体"/>
          <w:color w:val="000000" w:themeColor="text1"/>
          <w:szCs w:val="21"/>
          <w:highlight w:val="none"/>
          <w14:textFill>
            <w14:solidFill>
              <w14:schemeClr w14:val="tx1"/>
            </w14:solidFill>
          </w14:textFill>
        </w:rPr>
        <w:t>复印件</w:t>
      </w:r>
      <w:r>
        <w:rPr>
          <w:rFonts w:hint="eastAsia" w:ascii="宋体" w:hAnsi="宋体" w:eastAsia="宋体" w:cs="宋体"/>
          <w:color w:val="000000" w:themeColor="text1"/>
          <w:szCs w:val="21"/>
          <w:highlight w:val="none"/>
          <w:lang w:val="zh-CN"/>
          <w14:textFill>
            <w14:solidFill>
              <w14:schemeClr w14:val="tx1"/>
            </w14:solidFill>
          </w14:textFill>
        </w:rPr>
        <w:t>和并网证明。</w:t>
      </w:r>
    </w:p>
    <w:p w14:paraId="0D50191A">
      <w:pPr>
        <w:tabs>
          <w:tab w:val="left" w:pos="567"/>
        </w:tabs>
        <w:autoSpaceDE w:val="0"/>
        <w:autoSpaceDN w:val="0"/>
        <w:adjustRightInd w:val="0"/>
        <w:spacing w:line="360" w:lineRule="auto"/>
        <w:jc w:val="left"/>
        <w:outlineLvl w:val="2"/>
        <w:rPr>
          <w:rFonts w:ascii="宋体" w:hAnsi="宋体" w:eastAsia="宋体" w:cs="宋体"/>
          <w:bCs/>
          <w:color w:val="000000" w:themeColor="text1"/>
          <w:szCs w:val="21"/>
          <w:highlight w:val="none"/>
          <w:lang w:val="zh-CN"/>
          <w14:textFill>
            <w14:solidFill>
              <w14:schemeClr w14:val="tx1"/>
            </w14:solidFill>
          </w14:textFill>
        </w:rPr>
      </w:pPr>
      <w:bookmarkStart w:id="818" w:name="_Toc27959"/>
      <w:bookmarkStart w:id="819" w:name="_Toc1010"/>
      <w:bookmarkStart w:id="820" w:name="_Toc8140"/>
      <w:bookmarkStart w:id="821" w:name="_Toc6253"/>
      <w:bookmarkStart w:id="822" w:name="_Toc14967"/>
      <w:r>
        <w:rPr>
          <w:rFonts w:hint="eastAsia" w:ascii="宋体" w:hAnsi="宋体" w:eastAsia="宋体" w:cs="宋体"/>
          <w:bCs/>
          <w:color w:val="000000" w:themeColor="text1"/>
          <w:szCs w:val="21"/>
          <w:highlight w:val="none"/>
          <w:lang w:val="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3</w:t>
      </w:r>
      <w:r>
        <w:rPr>
          <w:rFonts w:hint="eastAsia" w:ascii="宋体" w:hAnsi="宋体" w:eastAsia="宋体" w:cs="宋体"/>
          <w:bCs/>
          <w:color w:val="000000" w:themeColor="text1"/>
          <w:szCs w:val="21"/>
          <w:highlight w:val="none"/>
          <w:lang w:val="zh-CN"/>
          <w14:textFill>
            <w14:solidFill>
              <w14:schemeClr w14:val="tx1"/>
            </w14:solidFill>
          </w14:textFill>
        </w:rPr>
        <w:t>）若合同无法反映资格业绩条件（1.合同签订日期为2019年1月1日或以后；2.合同标的必须</w:t>
      </w:r>
      <w:r>
        <w:rPr>
          <w:rFonts w:hint="eastAsia" w:ascii="宋体" w:hAnsi="宋体" w:eastAsia="宋体" w:cs="宋体"/>
          <w:bCs/>
          <w:color w:val="000000" w:themeColor="text1"/>
          <w:szCs w:val="21"/>
          <w:highlight w:val="none"/>
          <w14:textFill>
            <w14:solidFill>
              <w14:schemeClr w14:val="tx1"/>
            </w14:solidFill>
          </w14:textFill>
        </w:rPr>
        <w:t>为</w:t>
      </w:r>
      <w:r>
        <w:rPr>
          <w:rFonts w:hint="eastAsia" w:ascii="宋体" w:hAnsi="宋体" w:eastAsia="宋体" w:cs="宋体"/>
          <w:bCs/>
          <w:color w:val="000000" w:themeColor="text1"/>
          <w:szCs w:val="21"/>
          <w:highlight w:val="none"/>
          <w:lang w:val="zh-CN"/>
          <w14:textFill>
            <w14:solidFill>
              <w14:schemeClr w14:val="tx1"/>
            </w14:solidFill>
          </w14:textFill>
        </w:rPr>
        <w:t>屋顶分布式光伏发电的</w:t>
      </w:r>
      <w:bookmarkStart w:id="823" w:name="OLE_LINK333"/>
      <w:r>
        <w:rPr>
          <w:rFonts w:hint="eastAsia" w:ascii="宋体" w:hAnsi="宋体" w:eastAsia="宋体" w:cs="宋体"/>
          <w:bCs/>
          <w:color w:val="000000" w:themeColor="text1"/>
          <w:szCs w:val="21"/>
          <w:highlight w:val="none"/>
          <w14:textFill>
            <w14:solidFill>
              <w14:schemeClr w14:val="tx1"/>
            </w14:solidFill>
          </w14:textFill>
        </w:rPr>
        <w:t>业绩</w:t>
      </w:r>
      <w:bookmarkEnd w:id="823"/>
      <w:r>
        <w:rPr>
          <w:rFonts w:hint="eastAsia" w:ascii="宋体" w:hAnsi="宋体" w:eastAsia="宋体" w:cs="宋体"/>
          <w:bCs/>
          <w:color w:val="000000" w:themeColor="text1"/>
          <w:szCs w:val="21"/>
          <w:highlight w:val="none"/>
          <w:lang w:val="zh-CN"/>
          <w14:textFill>
            <w14:solidFill>
              <w14:schemeClr w14:val="tx1"/>
            </w14:solidFill>
          </w14:textFill>
        </w:rPr>
        <w:t>），还需提供合同</w:t>
      </w:r>
      <w:r>
        <w:rPr>
          <w:rFonts w:hint="eastAsia" w:ascii="宋体" w:hAnsi="宋体" w:eastAsia="宋体" w:cs="宋体"/>
          <w:bCs/>
          <w:color w:val="000000" w:themeColor="text1"/>
          <w:szCs w:val="21"/>
          <w:highlight w:val="none"/>
          <w14:textFill>
            <w14:solidFill>
              <w14:schemeClr w14:val="tx1"/>
            </w14:solidFill>
          </w14:textFill>
        </w:rPr>
        <w:t>甲方</w:t>
      </w:r>
      <w:r>
        <w:rPr>
          <w:rFonts w:hint="eastAsia" w:ascii="宋体" w:hAnsi="宋体" w:eastAsia="宋体" w:cs="宋体"/>
          <w:bCs/>
          <w:color w:val="000000" w:themeColor="text1"/>
          <w:szCs w:val="21"/>
          <w:highlight w:val="none"/>
          <w:lang w:val="zh-CN"/>
          <w14:textFill>
            <w14:solidFill>
              <w14:schemeClr w14:val="tx1"/>
            </w14:solidFill>
          </w14:textFill>
        </w:rPr>
        <w:t>出具的书面补充说明文件复印件作为辅助证明（补充说明文件复印件能显示合同</w:t>
      </w:r>
      <w:r>
        <w:rPr>
          <w:rFonts w:hint="eastAsia" w:ascii="宋体" w:hAnsi="宋体" w:eastAsia="宋体" w:cs="宋体"/>
          <w:bCs/>
          <w:color w:val="000000" w:themeColor="text1"/>
          <w:szCs w:val="21"/>
          <w:highlight w:val="none"/>
          <w14:textFill>
            <w14:solidFill>
              <w14:schemeClr w14:val="tx1"/>
            </w14:solidFill>
          </w14:textFill>
        </w:rPr>
        <w:t>甲方</w:t>
      </w:r>
      <w:r>
        <w:rPr>
          <w:rFonts w:hint="eastAsia" w:ascii="宋体" w:hAnsi="宋体" w:eastAsia="宋体" w:cs="宋体"/>
          <w:bCs/>
          <w:color w:val="000000" w:themeColor="text1"/>
          <w:szCs w:val="21"/>
          <w:highlight w:val="none"/>
          <w:lang w:val="zh-CN"/>
          <w14:textFill>
            <w14:solidFill>
              <w14:schemeClr w14:val="tx1"/>
            </w14:solidFill>
          </w14:textFill>
        </w:rPr>
        <w:t>公章）。</w:t>
      </w:r>
      <w:bookmarkEnd w:id="818"/>
      <w:bookmarkEnd w:id="819"/>
      <w:bookmarkEnd w:id="820"/>
    </w:p>
    <w:p w14:paraId="54DFC419">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824" w:name="_Toc3854"/>
      <w:bookmarkStart w:id="825" w:name="_Toc20374"/>
      <w:bookmarkStart w:id="826" w:name="_Toc18908"/>
      <w:r>
        <w:rPr>
          <w:rFonts w:hint="eastAsia" w:ascii="宋体" w:hAnsi="宋体" w:eastAsia="宋体" w:cs="宋体"/>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4</w:t>
      </w:r>
      <w:r>
        <w:rPr>
          <w:rFonts w:hint="eastAsia" w:ascii="宋体" w:hAnsi="宋体" w:eastAsia="宋体" w:cs="宋体"/>
          <w:b/>
          <w:color w:val="000000" w:themeColor="text1"/>
          <w:szCs w:val="21"/>
          <w:highlight w:val="none"/>
          <w:lang w:val="zh-CN"/>
          <w14:textFill>
            <w14:solidFill>
              <w14:schemeClr w14:val="tx1"/>
            </w14:solidFill>
          </w14:textFill>
        </w:rPr>
        <w:t>）</w:t>
      </w:r>
      <w:bookmarkEnd w:id="821"/>
      <w:bookmarkEnd w:id="822"/>
      <w:r>
        <w:rPr>
          <w:rFonts w:hint="eastAsia" w:ascii="宋体" w:hAnsi="宋体" w:eastAsia="宋体" w:cs="宋体"/>
          <w:b/>
          <w:color w:val="000000" w:themeColor="text1"/>
          <w:szCs w:val="21"/>
          <w:highlight w:val="none"/>
          <w:lang w:val="zh-CN"/>
          <w14:textFill>
            <w14:solidFill>
              <w14:schemeClr w14:val="tx1"/>
            </w14:solidFill>
          </w14:textFill>
        </w:rPr>
        <w:t>未按上述要求在此格式下提供证明材料的业绩，或在此格式下所附材料无法证明符合资格要求的业绩，按无效投标文件处理。</w:t>
      </w:r>
      <w:bookmarkEnd w:id="824"/>
      <w:bookmarkEnd w:id="825"/>
      <w:bookmarkEnd w:id="826"/>
    </w:p>
    <w:p w14:paraId="2772E221">
      <w:pPr>
        <w:rPr>
          <w:rFonts w:ascii="宋体" w:hAnsi="宋体" w:eastAsia="宋体" w:cs="宋体"/>
          <w:b/>
          <w:color w:val="000000" w:themeColor="text1"/>
          <w:kern w:val="0"/>
          <w:sz w:val="30"/>
          <w:szCs w:val="30"/>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p>
    <w:p w14:paraId="7D59C6CE">
      <w:pPr>
        <w:tabs>
          <w:tab w:val="left" w:pos="567"/>
        </w:tabs>
        <w:autoSpaceDE w:val="0"/>
        <w:autoSpaceDN w:val="0"/>
        <w:adjustRightInd w:val="0"/>
        <w:spacing w:line="360" w:lineRule="auto"/>
        <w:jc w:val="left"/>
        <w:outlineLvl w:val="2"/>
        <w:rPr>
          <w:rFonts w:ascii="宋体" w:hAnsi="宋体" w:eastAsia="宋体" w:cs="Times New Roman"/>
          <w:b/>
          <w:bCs/>
          <w:color w:val="000000" w:themeColor="text1"/>
          <w:sz w:val="32"/>
          <w:szCs w:val="32"/>
          <w:highlight w:val="none"/>
          <w:lang w:val="zh-CN"/>
          <w14:textFill>
            <w14:solidFill>
              <w14:schemeClr w14:val="tx1"/>
            </w14:solidFill>
          </w14:textFill>
        </w:rPr>
      </w:pPr>
      <w:bookmarkStart w:id="827" w:name="_Toc8979"/>
      <w:bookmarkStart w:id="828" w:name="_Toc32156"/>
      <w:bookmarkStart w:id="829" w:name="_Toc31879"/>
      <w:bookmarkStart w:id="830" w:name="_Toc6311"/>
      <w:bookmarkStart w:id="831" w:name="_Toc7507"/>
      <w:bookmarkStart w:id="832" w:name="OLE_LINK55"/>
      <w:r>
        <w:rPr>
          <w:rFonts w:hint="eastAsia" w:ascii="宋体" w:hAnsi="宋体" w:eastAsia="宋体" w:cs="宋体"/>
          <w:b/>
          <w:color w:val="000000" w:themeColor="text1"/>
          <w:kern w:val="0"/>
          <w:sz w:val="30"/>
          <w:szCs w:val="30"/>
          <w:highlight w:val="none"/>
          <w14:textFill>
            <w14:solidFill>
              <w14:schemeClr w14:val="tx1"/>
            </w14:solidFill>
          </w14:textFill>
        </w:rPr>
        <w:t>5.6 最近3年投标人牵涉的其他（失信和违法）处罚说明格式</w:t>
      </w:r>
      <w:bookmarkEnd w:id="807"/>
      <w:bookmarkEnd w:id="808"/>
      <w:bookmarkEnd w:id="809"/>
      <w:bookmarkEnd w:id="810"/>
      <w:bookmarkEnd w:id="811"/>
      <w:bookmarkEnd w:id="827"/>
      <w:bookmarkEnd w:id="828"/>
      <w:bookmarkEnd w:id="829"/>
      <w:bookmarkEnd w:id="830"/>
      <w:bookmarkEnd w:id="831"/>
    </w:p>
    <w:p w14:paraId="782CBD3A">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bookmarkStart w:id="833" w:name="OLE_LINK60"/>
      <w:r>
        <w:rPr>
          <w:rFonts w:hint="eastAsia" w:ascii="宋体" w:hAnsi="宋体" w:eastAsia="宋体" w:cs="宋体"/>
          <w:b/>
          <w:color w:val="000000" w:themeColor="text1"/>
          <w:kern w:val="0"/>
          <w:sz w:val="30"/>
          <w:szCs w:val="30"/>
          <w:highlight w:val="none"/>
          <w14:textFill>
            <w14:solidFill>
              <w14:schemeClr w14:val="tx1"/>
            </w14:solidFill>
          </w14:textFill>
        </w:rPr>
        <w:t>最近3年投标人牵涉的其他（失信和违法）</w:t>
      </w:r>
      <w:r>
        <w:rPr>
          <w:rFonts w:hint="eastAsia" w:ascii="宋体" w:hAnsi="宋体" w:eastAsia="宋体" w:cs="宋体"/>
          <w:b/>
          <w:bCs/>
          <w:color w:val="000000" w:themeColor="text1"/>
          <w:sz w:val="32"/>
          <w:szCs w:val="32"/>
          <w:highlight w:val="none"/>
          <w:lang w:val="zh-CN"/>
          <w14:textFill>
            <w14:solidFill>
              <w14:schemeClr w14:val="tx1"/>
            </w14:solidFill>
          </w14:textFill>
        </w:rPr>
        <w:t>处罚说明</w:t>
      </w:r>
    </w:p>
    <w:bookmarkEnd w:id="833"/>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4338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67644597">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事项名称</w:t>
            </w:r>
          </w:p>
        </w:tc>
        <w:tc>
          <w:tcPr>
            <w:tcW w:w="1417" w:type="dxa"/>
            <w:vAlign w:val="center"/>
          </w:tcPr>
          <w:p w14:paraId="0CCEA4E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认定时间</w:t>
            </w:r>
          </w:p>
        </w:tc>
        <w:tc>
          <w:tcPr>
            <w:tcW w:w="2268" w:type="dxa"/>
          </w:tcPr>
          <w:p w14:paraId="6E97D1E1">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处罚期届满异常名录信息失效时间</w:t>
            </w:r>
          </w:p>
        </w:tc>
        <w:tc>
          <w:tcPr>
            <w:tcW w:w="1276" w:type="dxa"/>
            <w:vAlign w:val="center"/>
          </w:tcPr>
          <w:p w14:paraId="515BA0E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14:paraId="2304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618684DF">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是否被认定为失信被执行人</w:t>
            </w:r>
          </w:p>
        </w:tc>
        <w:tc>
          <w:tcPr>
            <w:tcW w:w="1417" w:type="dxa"/>
            <w:vAlign w:val="center"/>
          </w:tcPr>
          <w:p w14:paraId="00A43B41">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3781D0BB">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0A315E8B">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5FCF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075926B3">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是否被认定为重大税收违法失信主体</w:t>
            </w:r>
          </w:p>
        </w:tc>
        <w:tc>
          <w:tcPr>
            <w:tcW w:w="1417" w:type="dxa"/>
            <w:vAlign w:val="center"/>
          </w:tcPr>
          <w:p w14:paraId="022E551B">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4683A98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440A724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79DD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2D406644">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是否被认定为政府采购严重违法失信行为记录名单</w:t>
            </w:r>
          </w:p>
        </w:tc>
        <w:tc>
          <w:tcPr>
            <w:tcW w:w="1417" w:type="dxa"/>
            <w:vAlign w:val="center"/>
          </w:tcPr>
          <w:p w14:paraId="1AA0001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0731485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08B098A8">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14:paraId="34F602E3">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5CD98E43">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000000" w:themeColor="text1"/>
          <w:szCs w:val="21"/>
          <w:highlight w:val="none"/>
          <w:lang w:val="zh-CN"/>
          <w14:textFill>
            <w14:solidFill>
              <w14:schemeClr w14:val="tx1"/>
            </w14:solidFill>
          </w14:textFill>
        </w:rPr>
        <w:t>。</w:t>
      </w:r>
    </w:p>
    <w:p w14:paraId="21338B57">
      <w:pPr>
        <w:autoSpaceDE w:val="0"/>
        <w:autoSpaceDN w:val="0"/>
        <w:adjustRightInd w:val="0"/>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p>
    <w:bookmarkEnd w:id="832"/>
    <w:p w14:paraId="51754AC4">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p>
    <w:p w14:paraId="1BC229F5">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02D04CF0">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0C2437C2">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647BB32A">
      <w:pPr>
        <w:spacing w:line="360" w:lineRule="auto"/>
        <w:ind w:right="368" w:rightChars="175" w:firstLine="5460" w:firstLineChars="260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78955119">
      <w:pPr>
        <w:autoSpaceDE w:val="0"/>
        <w:autoSpaceDN w:val="0"/>
        <w:adjustRightInd w:val="0"/>
        <w:spacing w:line="360" w:lineRule="auto"/>
        <w:ind w:right="781" w:rightChars="372" w:firstLine="2811" w:firstLineChars="1339"/>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w:t>
      </w:r>
      <w:r>
        <w:rPr>
          <w:rFonts w:ascii="宋体" w:hAnsi="宋体" w:eastAsia="宋体" w:cs="宋体"/>
          <w:color w:val="000000" w:themeColor="text1"/>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135530DC">
      <w:pPr>
        <w:rPr>
          <w:rFonts w:ascii="宋体" w:hAnsi="宋体" w:eastAsia="宋体" w:cs="宋体"/>
          <w:color w:val="000000" w:themeColor="text1"/>
          <w:szCs w:val="24"/>
          <w:highlight w:val="none"/>
          <w:lang w:val="zh-CN"/>
          <w14:textFill>
            <w14:solidFill>
              <w14:schemeClr w14:val="tx1"/>
            </w14:solidFill>
          </w14:textFill>
        </w:rPr>
      </w:pPr>
      <w:r>
        <w:rPr>
          <w:rFonts w:ascii="宋体" w:hAnsi="宋体" w:eastAsia="宋体" w:cs="宋体"/>
          <w:color w:val="000000" w:themeColor="text1"/>
          <w:szCs w:val="24"/>
          <w:highlight w:val="none"/>
          <w:lang w:val="zh-CN"/>
          <w14:textFill>
            <w14:solidFill>
              <w14:schemeClr w14:val="tx1"/>
            </w14:solidFill>
          </w14:textFill>
        </w:rPr>
        <w:br w:type="page"/>
      </w:r>
      <w:bookmarkStart w:id="834" w:name="_Toc13237"/>
      <w:bookmarkStart w:id="835" w:name="_Toc142508374"/>
      <w:bookmarkStart w:id="836" w:name="_Toc104991881"/>
      <w:bookmarkStart w:id="837" w:name="_Toc102860079"/>
      <w:bookmarkStart w:id="838" w:name="_Toc533708126"/>
      <w:bookmarkStart w:id="839" w:name="_Toc1977731"/>
      <w:bookmarkStart w:id="840" w:name="_Toc2031_WPSOffice_Level2"/>
      <w:bookmarkStart w:id="841" w:name="_Toc486167714"/>
      <w:bookmarkStart w:id="842" w:name="_Toc94107215"/>
      <w:bookmarkStart w:id="843" w:name="_Toc140596934"/>
      <w:bookmarkStart w:id="844" w:name="_Toc102860423"/>
    </w:p>
    <w:p w14:paraId="4640164D">
      <w:pPr>
        <w:tabs>
          <w:tab w:val="left" w:pos="567"/>
        </w:tabs>
        <w:autoSpaceDE w:val="0"/>
        <w:autoSpaceDN w:val="0"/>
        <w:adjustRightInd w:val="0"/>
        <w:spacing w:line="360" w:lineRule="auto"/>
        <w:jc w:val="left"/>
        <w:outlineLvl w:val="2"/>
        <w:rPr>
          <w:rFonts w:ascii="宋体" w:hAnsi="宋体" w:eastAsia="宋体" w:cs="Times New Roman"/>
          <w:b/>
          <w:bCs/>
          <w:color w:val="000000" w:themeColor="text1"/>
          <w:sz w:val="32"/>
          <w:szCs w:val="32"/>
          <w:highlight w:val="none"/>
          <w:lang w:val="zh-CN"/>
          <w14:textFill>
            <w14:solidFill>
              <w14:schemeClr w14:val="tx1"/>
            </w14:solidFill>
          </w14:textFill>
        </w:rPr>
      </w:pPr>
      <w:bookmarkStart w:id="845" w:name="_Toc18201"/>
      <w:bookmarkStart w:id="846" w:name="_Toc27948"/>
      <w:bookmarkStart w:id="847" w:name="_Toc7933"/>
      <w:bookmarkStart w:id="848" w:name="OLE_LINK56"/>
      <w:bookmarkStart w:id="849" w:name="OLE_LINK68"/>
      <w:bookmarkStart w:id="850" w:name="_Toc11148"/>
      <w:r>
        <w:rPr>
          <w:rFonts w:hint="eastAsia" w:ascii="宋体" w:hAnsi="宋体" w:eastAsia="宋体" w:cs="宋体"/>
          <w:b/>
          <w:color w:val="000000" w:themeColor="text1"/>
          <w:kern w:val="0"/>
          <w:sz w:val="30"/>
          <w:szCs w:val="30"/>
          <w:highlight w:val="none"/>
          <w14:textFill>
            <w14:solidFill>
              <w14:schemeClr w14:val="tx1"/>
            </w14:solidFill>
          </w14:textFill>
        </w:rPr>
        <w:t xml:space="preserve">5.7 </w:t>
      </w:r>
      <w:bookmarkStart w:id="851" w:name="OLE_LINK63"/>
      <w:r>
        <w:rPr>
          <w:rFonts w:hint="eastAsia" w:ascii="宋体" w:hAnsi="宋体" w:eastAsia="宋体" w:cs="宋体"/>
          <w:b/>
          <w:color w:val="000000" w:themeColor="text1"/>
          <w:kern w:val="0"/>
          <w:sz w:val="30"/>
          <w:szCs w:val="30"/>
          <w:highlight w:val="none"/>
          <w14:textFill>
            <w14:solidFill>
              <w14:schemeClr w14:val="tx1"/>
            </w14:solidFill>
          </w14:textFill>
        </w:rPr>
        <w:t>联合体共同投标协议书格式（当联合体投标时提供）</w:t>
      </w:r>
      <w:bookmarkEnd w:id="845"/>
      <w:bookmarkEnd w:id="846"/>
      <w:bookmarkEnd w:id="847"/>
      <w:bookmarkEnd w:id="851"/>
    </w:p>
    <w:bookmarkEnd w:id="848"/>
    <w:p w14:paraId="23A47286">
      <w:pPr>
        <w:pStyle w:val="203"/>
        <w:spacing w:line="360" w:lineRule="auto"/>
        <w:jc w:val="center"/>
        <w:outlineLvl w:val="3"/>
        <w:rPr>
          <w:rFonts w:hint="default" w:ascii="宋体" w:hAnsi="宋体" w:eastAsia="宋体" w:cs="宋体"/>
          <w:color w:val="000000" w:themeColor="text1"/>
          <w:sz w:val="30"/>
          <w:szCs w:val="30"/>
          <w:highlight w:val="none"/>
          <w14:textFill>
            <w14:solidFill>
              <w14:schemeClr w14:val="tx1"/>
            </w14:solidFill>
          </w14:textFill>
        </w:rPr>
      </w:pPr>
      <w:bookmarkStart w:id="852" w:name="OLE_LINK57"/>
      <w:bookmarkStart w:id="853" w:name="OLE_LINK61"/>
      <w:r>
        <w:rPr>
          <w:rFonts w:ascii="宋体" w:hAnsi="宋体" w:eastAsia="宋体" w:cs="宋体"/>
          <w:b/>
          <w:color w:val="000000" w:themeColor="text1"/>
          <w:sz w:val="30"/>
          <w:szCs w:val="30"/>
          <w:highlight w:val="none"/>
          <w14:textFill>
            <w14:solidFill>
              <w14:schemeClr w14:val="tx1"/>
            </w14:solidFill>
          </w14:textFill>
        </w:rPr>
        <w:t>联合体共同投标协议书</w:t>
      </w:r>
      <w:bookmarkEnd w:id="852"/>
    </w:p>
    <w:bookmarkEnd w:id="853"/>
    <w:p w14:paraId="76CA3D64">
      <w:pPr>
        <w:pStyle w:val="203"/>
        <w:spacing w:line="360" w:lineRule="auto"/>
        <w:ind w:firstLine="48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立约方：</w:t>
      </w:r>
      <w:r>
        <w:rPr>
          <w:rFonts w:ascii="宋体" w:hAnsi="宋体" w:eastAsia="宋体" w:cs="宋体"/>
          <w:color w:val="000000" w:themeColor="text1"/>
          <w:sz w:val="21"/>
          <w:szCs w:val="21"/>
          <w:highlight w:val="none"/>
          <w:u w:val="single"/>
          <w14:textFill>
            <w14:solidFill>
              <w14:schemeClr w14:val="tx1"/>
            </w14:solidFill>
          </w14:textFill>
        </w:rPr>
        <w:t>（甲公司全称）</w:t>
      </w:r>
    </w:p>
    <w:p w14:paraId="47A226CE">
      <w:pPr>
        <w:pStyle w:val="203"/>
        <w:spacing w:line="360" w:lineRule="auto"/>
        <w:ind w:firstLine="48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u w:val="single"/>
          <w14:textFill>
            <w14:solidFill>
              <w14:schemeClr w14:val="tx1"/>
            </w14:solidFill>
          </w14:textFill>
        </w:rPr>
        <w:t>（乙公司全称）</w:t>
      </w:r>
    </w:p>
    <w:p w14:paraId="32B781E1">
      <w:pPr>
        <w:pStyle w:val="203"/>
        <w:spacing w:line="360" w:lineRule="auto"/>
        <w:ind w:firstLine="480"/>
        <w:rPr>
          <w:rFonts w:hint="default" w:ascii="宋体" w:hAnsi="宋体" w:eastAsia="宋体" w:cs="宋体"/>
          <w:color w:val="000000" w:themeColor="text1"/>
          <w:sz w:val="21"/>
          <w:szCs w:val="21"/>
          <w:highlight w:val="none"/>
          <w14:textFill>
            <w14:solidFill>
              <w14:schemeClr w14:val="tx1"/>
            </w14:solidFill>
          </w14:textFill>
        </w:rPr>
      </w:pPr>
    </w:p>
    <w:p w14:paraId="44FE74CC">
      <w:pPr>
        <w:pStyle w:val="203"/>
        <w:spacing w:line="360" w:lineRule="auto"/>
        <w:ind w:firstLine="48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u w:val="single"/>
          <w14:textFill>
            <w14:solidFill>
              <w14:schemeClr w14:val="tx1"/>
            </w14:solidFill>
          </w14:textFill>
        </w:rPr>
        <w:t>（甲公司全称）、（乙公司全称）</w:t>
      </w:r>
      <w:r>
        <w:rPr>
          <w:rFonts w:ascii="宋体" w:hAnsi="宋体" w:eastAsia="宋体" w:cs="宋体"/>
          <w:color w:val="000000" w:themeColor="text1"/>
          <w:sz w:val="21"/>
          <w:szCs w:val="21"/>
          <w:highlight w:val="none"/>
          <w14:textFill>
            <w14:solidFill>
              <w14:schemeClr w14:val="tx1"/>
            </w14:solidFill>
          </w14:textFill>
        </w:rPr>
        <w:t>自愿组成联合体，以一个投标人的身份共同参加（项目名称）（</w:t>
      </w:r>
      <w:r>
        <w:rPr>
          <w:rFonts w:ascii="宋体" w:hAnsi="宋体" w:eastAsia="宋体" w:cs="宋体"/>
          <w:color w:val="000000" w:themeColor="text1"/>
          <w:sz w:val="21"/>
          <w:szCs w:val="21"/>
          <w:highlight w:val="none"/>
          <w:lang w:eastAsia="zh-CN"/>
          <w14:textFill>
            <w14:solidFill>
              <w14:schemeClr w14:val="tx1"/>
            </w14:solidFill>
          </w14:textFill>
        </w:rPr>
        <w:t>招标</w:t>
      </w:r>
      <w:r>
        <w:rPr>
          <w:rFonts w:ascii="宋体" w:hAnsi="宋体" w:eastAsia="宋体" w:cs="宋体"/>
          <w:color w:val="000000" w:themeColor="text1"/>
          <w:sz w:val="21"/>
          <w:szCs w:val="21"/>
          <w:highlight w:val="none"/>
          <w14:textFill>
            <w14:solidFill>
              <w14:schemeClr w14:val="tx1"/>
            </w14:solidFill>
          </w14:textFill>
        </w:rPr>
        <w:t>编号）的</w:t>
      </w:r>
      <w:r>
        <w:rPr>
          <w:rFonts w:ascii="宋体" w:hAnsi="宋体" w:eastAsia="宋体" w:cs="宋体"/>
          <w:color w:val="000000" w:themeColor="text1"/>
          <w:sz w:val="21"/>
          <w:szCs w:val="21"/>
          <w:highlight w:val="none"/>
          <w:lang w:eastAsia="zh-CN"/>
          <w14:textFill>
            <w14:solidFill>
              <w14:schemeClr w14:val="tx1"/>
            </w14:solidFill>
          </w14:textFill>
        </w:rPr>
        <w:t>投标</w:t>
      </w:r>
      <w:r>
        <w:rPr>
          <w:rFonts w:ascii="宋体" w:hAnsi="宋体" w:eastAsia="宋体" w:cs="宋体"/>
          <w:color w:val="000000" w:themeColor="text1"/>
          <w:sz w:val="21"/>
          <w:szCs w:val="21"/>
          <w:highlight w:val="none"/>
          <w14:textFill>
            <w14:solidFill>
              <w14:schemeClr w14:val="tx1"/>
            </w14:solidFill>
          </w14:textFill>
        </w:rPr>
        <w:t>活动。经各方充分协商一致，就项目的</w:t>
      </w:r>
      <w:r>
        <w:rPr>
          <w:rFonts w:ascii="宋体" w:hAnsi="宋体" w:eastAsia="宋体" w:cs="宋体"/>
          <w:color w:val="000000" w:themeColor="text1"/>
          <w:sz w:val="21"/>
          <w:szCs w:val="21"/>
          <w:highlight w:val="none"/>
          <w:lang w:eastAsia="zh-CN"/>
          <w14:textFill>
            <w14:solidFill>
              <w14:schemeClr w14:val="tx1"/>
            </w14:solidFill>
          </w14:textFill>
        </w:rPr>
        <w:t>投标</w:t>
      </w:r>
      <w:r>
        <w:rPr>
          <w:rFonts w:ascii="宋体" w:hAnsi="宋体" w:eastAsia="宋体" w:cs="宋体"/>
          <w:color w:val="000000" w:themeColor="text1"/>
          <w:sz w:val="21"/>
          <w:szCs w:val="21"/>
          <w:highlight w:val="none"/>
          <w14:textFill>
            <w14:solidFill>
              <w14:schemeClr w14:val="tx1"/>
            </w14:solidFill>
          </w14:textFill>
        </w:rPr>
        <w:t>和合同实施阶段的有关事务协商一致订立协议如下：</w:t>
      </w:r>
    </w:p>
    <w:p w14:paraId="70D38AB3">
      <w:pPr>
        <w:pStyle w:val="203"/>
        <w:spacing w:line="360" w:lineRule="auto"/>
        <w:ind w:firstLine="48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一、联合体各方关系</w:t>
      </w:r>
    </w:p>
    <w:p w14:paraId="7E7CF800">
      <w:pPr>
        <w:pStyle w:val="203"/>
        <w:spacing w:line="360" w:lineRule="auto"/>
        <w:ind w:firstLine="48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u w:val="single"/>
          <w14:textFill>
            <w14:solidFill>
              <w14:schemeClr w14:val="tx1"/>
            </w14:solidFill>
          </w14:textFill>
        </w:rPr>
        <w:t>（甲公司全称）、（乙公司全称）</w:t>
      </w:r>
      <w:r>
        <w:rPr>
          <w:rFonts w:ascii="宋体" w:hAnsi="宋体" w:eastAsia="宋体" w:cs="宋体"/>
          <w:color w:val="000000" w:themeColor="text1"/>
          <w:sz w:val="21"/>
          <w:szCs w:val="21"/>
          <w:highlight w:val="none"/>
          <w14:textFill>
            <w14:solidFill>
              <w14:schemeClr w14:val="tx1"/>
            </w14:solidFill>
          </w14:textFill>
        </w:rPr>
        <w:t>共同组成一个联合体，以一个投标人的身份共同参加本项目的</w:t>
      </w:r>
      <w:r>
        <w:rPr>
          <w:rFonts w:ascii="宋体" w:hAnsi="宋体" w:eastAsia="宋体" w:cs="宋体"/>
          <w:color w:val="000000" w:themeColor="text1"/>
          <w:sz w:val="21"/>
          <w:szCs w:val="21"/>
          <w:highlight w:val="none"/>
          <w:lang w:eastAsia="zh-CN"/>
          <w14:textFill>
            <w14:solidFill>
              <w14:schemeClr w14:val="tx1"/>
            </w14:solidFill>
          </w14:textFill>
        </w:rPr>
        <w:t>投标</w:t>
      </w:r>
      <w:r>
        <w:rPr>
          <w:rFonts w:ascii="宋体" w:hAnsi="宋体" w:eastAsia="宋体" w:cs="宋体"/>
          <w:color w:val="000000" w:themeColor="text1"/>
          <w:sz w:val="21"/>
          <w:szCs w:val="21"/>
          <w:highlight w:val="none"/>
          <w14:textFill>
            <w14:solidFill>
              <w14:schemeClr w14:val="tx1"/>
            </w14:solidFill>
          </w14:textFill>
        </w:rPr>
        <w:t>。（甲公司全称）、（乙公司全称）作为联合体成员，若中标，联合体各方共同与（</w:t>
      </w:r>
      <w:r>
        <w:rPr>
          <w:rFonts w:ascii="宋体" w:hAnsi="宋体" w:eastAsia="宋体" w:cs="宋体"/>
          <w:color w:val="000000" w:themeColor="text1"/>
          <w:sz w:val="21"/>
          <w:szCs w:val="21"/>
          <w:highlight w:val="none"/>
          <w:lang w:eastAsia="zh-CN"/>
          <w14:textFill>
            <w14:solidFill>
              <w14:schemeClr w14:val="tx1"/>
            </w14:solidFill>
          </w14:textFill>
        </w:rPr>
        <w:t>招标</w:t>
      </w:r>
      <w:r>
        <w:rPr>
          <w:rFonts w:ascii="宋体" w:hAnsi="宋体" w:eastAsia="宋体" w:cs="宋体"/>
          <w:color w:val="000000" w:themeColor="text1"/>
          <w:sz w:val="21"/>
          <w:szCs w:val="21"/>
          <w:highlight w:val="none"/>
          <w14:textFill>
            <w14:solidFill>
              <w14:schemeClr w14:val="tx1"/>
            </w14:solidFill>
          </w14:textFill>
        </w:rPr>
        <w:t>人）签订采购合同。</w:t>
      </w:r>
    </w:p>
    <w:p w14:paraId="1B430553">
      <w:pPr>
        <w:pStyle w:val="203"/>
        <w:spacing w:line="360" w:lineRule="auto"/>
        <w:ind w:firstLine="48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二、联合体内部有关事项约定如下：</w:t>
      </w:r>
    </w:p>
    <w:p w14:paraId="752FF539">
      <w:pPr>
        <w:pStyle w:val="203"/>
        <w:spacing w:line="360" w:lineRule="auto"/>
        <w:ind w:firstLine="48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1.（甲公司全称）作为联合体的牵头单位，代表联合体双方负责投标和合同实施阶段的主办、协调工作。</w:t>
      </w:r>
    </w:p>
    <w:p w14:paraId="4BDF9520">
      <w:pPr>
        <w:pStyle w:val="203"/>
        <w:spacing w:line="360" w:lineRule="auto"/>
        <w:ind w:firstLine="48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2.联合体将严格按照文件的各项要求，递交投标文件，切实执行一切合同文件，共同承担合同规定的一切义务和责任，同时按照内部职责的划分，承担自身所负的责任和风险，在法律上承担连带责任。</w:t>
      </w:r>
    </w:p>
    <w:p w14:paraId="5B68CB8F">
      <w:pPr>
        <w:pStyle w:val="203"/>
        <w:spacing w:line="360" w:lineRule="auto"/>
        <w:ind w:firstLine="48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3.如果本联合体中标，</w:t>
      </w:r>
      <w:r>
        <w:rPr>
          <w:rFonts w:ascii="宋体" w:hAnsi="宋体" w:eastAsia="宋体" w:cs="宋体"/>
          <w:color w:val="000000" w:themeColor="text1"/>
          <w:sz w:val="21"/>
          <w:szCs w:val="21"/>
          <w:highlight w:val="none"/>
          <w:u w:val="single"/>
          <w14:textFill>
            <w14:solidFill>
              <w14:schemeClr w14:val="tx1"/>
            </w14:solidFill>
          </w14:textFill>
        </w:rPr>
        <w:t>（甲公司全称）</w:t>
      </w:r>
      <w:r>
        <w:rPr>
          <w:rFonts w:ascii="宋体" w:hAnsi="宋体" w:eastAsia="宋体" w:cs="宋体"/>
          <w:color w:val="000000" w:themeColor="text1"/>
          <w:sz w:val="21"/>
          <w:szCs w:val="21"/>
          <w:highlight w:val="none"/>
          <w14:textFill>
            <w14:solidFill>
              <w14:schemeClr w14:val="tx1"/>
            </w14:solidFill>
          </w14:textFill>
        </w:rPr>
        <w:t>负责本项目___________部分，</w:t>
      </w:r>
      <w:r>
        <w:rPr>
          <w:rFonts w:ascii="宋体" w:hAnsi="宋体" w:eastAsia="宋体" w:cs="宋体"/>
          <w:color w:val="000000" w:themeColor="text1"/>
          <w:sz w:val="21"/>
          <w:szCs w:val="21"/>
          <w:highlight w:val="none"/>
          <w:u w:val="single"/>
          <w14:textFill>
            <w14:solidFill>
              <w14:schemeClr w14:val="tx1"/>
            </w14:solidFill>
          </w14:textFill>
        </w:rPr>
        <w:t>（乙公司全称）</w:t>
      </w:r>
      <w:r>
        <w:rPr>
          <w:rFonts w:ascii="宋体" w:hAnsi="宋体" w:eastAsia="宋体" w:cs="宋体"/>
          <w:color w:val="000000" w:themeColor="text1"/>
          <w:sz w:val="21"/>
          <w:szCs w:val="21"/>
          <w:highlight w:val="none"/>
          <w14:textFill>
            <w14:solidFill>
              <w14:schemeClr w14:val="tx1"/>
            </w14:solidFill>
          </w14:textFill>
        </w:rPr>
        <w:t>负责本项目___________部分。</w:t>
      </w:r>
    </w:p>
    <w:p w14:paraId="5E560C1B">
      <w:pPr>
        <w:pStyle w:val="203"/>
        <w:spacing w:line="360" w:lineRule="auto"/>
        <w:ind w:firstLine="48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4.如中标，联合体各方共同与（</w:t>
      </w:r>
      <w:r>
        <w:rPr>
          <w:rFonts w:ascii="宋体" w:hAnsi="宋体" w:eastAsia="宋体" w:cs="宋体"/>
          <w:color w:val="000000" w:themeColor="text1"/>
          <w:sz w:val="21"/>
          <w:szCs w:val="21"/>
          <w:highlight w:val="none"/>
          <w:lang w:eastAsia="zh-CN"/>
          <w14:textFill>
            <w14:solidFill>
              <w14:schemeClr w14:val="tx1"/>
            </w14:solidFill>
          </w14:textFill>
        </w:rPr>
        <w:t>招标</w:t>
      </w:r>
      <w:r>
        <w:rPr>
          <w:rFonts w:ascii="宋体" w:hAnsi="宋体" w:eastAsia="宋体" w:cs="宋体"/>
          <w:color w:val="000000" w:themeColor="text1"/>
          <w:sz w:val="21"/>
          <w:szCs w:val="21"/>
          <w:highlight w:val="none"/>
          <w14:textFill>
            <w14:solidFill>
              <w14:schemeClr w14:val="tx1"/>
            </w14:solidFill>
          </w14:textFill>
        </w:rPr>
        <w:t>人）签订合同书，并就中标项目向</w:t>
      </w:r>
      <w:r>
        <w:rPr>
          <w:rFonts w:ascii="宋体" w:hAnsi="宋体" w:eastAsia="宋体" w:cs="宋体"/>
          <w:color w:val="000000" w:themeColor="text1"/>
          <w:sz w:val="21"/>
          <w:szCs w:val="21"/>
          <w:highlight w:val="none"/>
          <w:lang w:eastAsia="zh-CN"/>
          <w14:textFill>
            <w14:solidFill>
              <w14:schemeClr w14:val="tx1"/>
            </w14:solidFill>
          </w14:textFill>
        </w:rPr>
        <w:t>招标</w:t>
      </w:r>
      <w:r>
        <w:rPr>
          <w:rFonts w:ascii="宋体" w:hAnsi="宋体" w:eastAsia="宋体" w:cs="宋体"/>
          <w:color w:val="000000" w:themeColor="text1"/>
          <w:sz w:val="21"/>
          <w:szCs w:val="21"/>
          <w:highlight w:val="none"/>
          <w14:textFill>
            <w14:solidFill>
              <w14:schemeClr w14:val="tx1"/>
            </w14:solidFill>
          </w14:textFill>
        </w:rPr>
        <w:t>人负责有连带的和各自的法律责任。</w:t>
      </w:r>
    </w:p>
    <w:p w14:paraId="261B5BE0">
      <w:pPr>
        <w:pStyle w:val="203"/>
        <w:spacing w:line="360" w:lineRule="auto"/>
        <w:ind w:firstLine="48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三、联合体各方不得再以自己名义参与</w:t>
      </w:r>
      <w:bookmarkStart w:id="854" w:name="OLE_LINK66"/>
      <w:r>
        <w:rPr>
          <w:rFonts w:ascii="宋体" w:hAnsi="宋体" w:eastAsia="宋体" w:cs="宋体"/>
          <w:color w:val="000000" w:themeColor="text1"/>
          <w:sz w:val="21"/>
          <w:szCs w:val="21"/>
          <w:highlight w:val="none"/>
          <w14:textFill>
            <w14:solidFill>
              <w14:schemeClr w14:val="tx1"/>
            </w14:solidFill>
          </w14:textFill>
        </w:rPr>
        <w:t>本</w:t>
      </w:r>
      <w:bookmarkEnd w:id="854"/>
      <w:r>
        <w:rPr>
          <w:rFonts w:ascii="宋体" w:hAnsi="宋体" w:eastAsia="宋体" w:cs="宋体"/>
          <w:color w:val="000000" w:themeColor="text1"/>
          <w:sz w:val="21"/>
          <w:szCs w:val="21"/>
          <w:highlight w:val="none"/>
          <w:lang w:eastAsia="zh-CN"/>
          <w14:textFill>
            <w14:solidFill>
              <w14:schemeClr w14:val="tx1"/>
            </w14:solidFill>
          </w14:textFill>
        </w:rPr>
        <w:t>项目投标</w:t>
      </w:r>
      <w:r>
        <w:rPr>
          <w:rFonts w:ascii="宋体" w:hAnsi="宋体" w:eastAsia="宋体" w:cs="宋体"/>
          <w:color w:val="000000" w:themeColor="text1"/>
          <w:sz w:val="21"/>
          <w:szCs w:val="21"/>
          <w:highlight w:val="none"/>
          <w14:textFill>
            <w14:solidFill>
              <w14:schemeClr w14:val="tx1"/>
            </w14:solidFill>
          </w14:textFill>
        </w:rPr>
        <w:t>，联合体各方不能作为其它联合体或单独</w:t>
      </w:r>
      <w:r>
        <w:rPr>
          <w:rFonts w:ascii="宋体" w:hAnsi="宋体" w:eastAsia="宋体" w:cs="宋体"/>
          <w:color w:val="000000" w:themeColor="text1"/>
          <w:sz w:val="21"/>
          <w:szCs w:val="21"/>
          <w:highlight w:val="none"/>
          <w:lang w:eastAsia="zh-CN"/>
          <w14:textFill>
            <w14:solidFill>
              <w14:schemeClr w14:val="tx1"/>
            </w14:solidFill>
          </w14:textFill>
        </w:rPr>
        <w:t>投标</w:t>
      </w:r>
      <w:r>
        <w:rPr>
          <w:rFonts w:ascii="宋体" w:hAnsi="宋体" w:eastAsia="宋体" w:cs="宋体"/>
          <w:color w:val="000000" w:themeColor="text1"/>
          <w:sz w:val="21"/>
          <w:szCs w:val="21"/>
          <w:highlight w:val="none"/>
          <w14:textFill>
            <w14:solidFill>
              <w14:schemeClr w14:val="tx1"/>
            </w14:solidFill>
          </w14:textFill>
        </w:rPr>
        <w:t>单位的项目组成员参加本</w:t>
      </w:r>
      <w:r>
        <w:rPr>
          <w:rFonts w:ascii="宋体" w:hAnsi="宋体" w:eastAsia="宋体" w:cs="宋体"/>
          <w:color w:val="000000" w:themeColor="text1"/>
          <w:sz w:val="21"/>
          <w:szCs w:val="21"/>
          <w:highlight w:val="none"/>
          <w:lang w:eastAsia="zh-CN"/>
          <w14:textFill>
            <w14:solidFill>
              <w14:schemeClr w14:val="tx1"/>
            </w14:solidFill>
          </w14:textFill>
        </w:rPr>
        <w:t>项目投标</w:t>
      </w:r>
      <w:r>
        <w:rPr>
          <w:rFonts w:ascii="宋体" w:hAnsi="宋体" w:eastAsia="宋体" w:cs="宋体"/>
          <w:color w:val="000000" w:themeColor="text1"/>
          <w:sz w:val="21"/>
          <w:szCs w:val="21"/>
          <w:highlight w:val="none"/>
          <w14:textFill>
            <w14:solidFill>
              <w14:schemeClr w14:val="tx1"/>
            </w14:solidFill>
          </w14:textFill>
        </w:rPr>
        <w:t>。因发生上述问题导致联合体</w:t>
      </w:r>
      <w:r>
        <w:rPr>
          <w:rFonts w:ascii="宋体" w:hAnsi="宋体" w:eastAsia="宋体" w:cs="宋体"/>
          <w:color w:val="000000" w:themeColor="text1"/>
          <w:sz w:val="21"/>
          <w:szCs w:val="21"/>
          <w:highlight w:val="none"/>
          <w:lang w:eastAsia="zh-CN"/>
          <w14:textFill>
            <w14:solidFill>
              <w14:schemeClr w14:val="tx1"/>
            </w14:solidFill>
          </w14:textFill>
        </w:rPr>
        <w:t>投标</w:t>
      </w:r>
      <w:r>
        <w:rPr>
          <w:rFonts w:ascii="宋体" w:hAnsi="宋体" w:eastAsia="宋体" w:cs="宋体"/>
          <w:color w:val="000000" w:themeColor="text1"/>
          <w:sz w:val="21"/>
          <w:szCs w:val="21"/>
          <w:highlight w:val="none"/>
          <w14:textFill>
            <w14:solidFill>
              <w14:schemeClr w14:val="tx1"/>
            </w14:solidFill>
          </w14:textFill>
        </w:rPr>
        <w:t>成为无效报价，联合体的其他成员可追究其违约责任和经济损失。</w:t>
      </w:r>
    </w:p>
    <w:p w14:paraId="02A061B7">
      <w:pPr>
        <w:pStyle w:val="203"/>
        <w:spacing w:line="360" w:lineRule="auto"/>
        <w:ind w:firstLine="48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四、联合体如因违约过失责任而导致</w:t>
      </w:r>
      <w:r>
        <w:rPr>
          <w:rFonts w:ascii="宋体" w:hAnsi="宋体" w:eastAsia="宋体" w:cs="宋体"/>
          <w:color w:val="000000" w:themeColor="text1"/>
          <w:sz w:val="21"/>
          <w:szCs w:val="21"/>
          <w:highlight w:val="none"/>
          <w:lang w:eastAsia="zh-CN"/>
          <w14:textFill>
            <w14:solidFill>
              <w14:schemeClr w14:val="tx1"/>
            </w14:solidFill>
          </w14:textFill>
        </w:rPr>
        <w:t>招标</w:t>
      </w:r>
      <w:r>
        <w:rPr>
          <w:rFonts w:ascii="宋体" w:hAnsi="宋体" w:eastAsia="宋体" w:cs="宋体"/>
          <w:color w:val="000000" w:themeColor="text1"/>
          <w:sz w:val="21"/>
          <w:szCs w:val="21"/>
          <w:highlight w:val="none"/>
          <w14:textFill>
            <w14:solidFill>
              <w14:schemeClr w14:val="tx1"/>
            </w14:solidFill>
          </w14:textFill>
        </w:rPr>
        <w:t>人经济损失或被索赔时，本联合体任何一方均同意无条件优先清偿</w:t>
      </w:r>
      <w:r>
        <w:rPr>
          <w:rFonts w:ascii="宋体" w:hAnsi="宋体" w:eastAsia="宋体" w:cs="宋体"/>
          <w:color w:val="000000" w:themeColor="text1"/>
          <w:sz w:val="21"/>
          <w:szCs w:val="21"/>
          <w:highlight w:val="none"/>
          <w:lang w:eastAsia="zh-CN"/>
          <w14:textFill>
            <w14:solidFill>
              <w14:schemeClr w14:val="tx1"/>
            </w14:solidFill>
          </w14:textFill>
        </w:rPr>
        <w:t>招标</w:t>
      </w:r>
      <w:r>
        <w:rPr>
          <w:rFonts w:ascii="宋体" w:hAnsi="宋体" w:eastAsia="宋体" w:cs="宋体"/>
          <w:color w:val="000000" w:themeColor="text1"/>
          <w:sz w:val="21"/>
          <w:szCs w:val="21"/>
          <w:highlight w:val="none"/>
          <w14:textFill>
            <w14:solidFill>
              <w14:schemeClr w14:val="tx1"/>
            </w14:solidFill>
          </w14:textFill>
        </w:rPr>
        <w:t>人的一切债务和经济赔偿。</w:t>
      </w:r>
    </w:p>
    <w:p w14:paraId="5DD16BF1">
      <w:pPr>
        <w:pStyle w:val="203"/>
        <w:spacing w:line="360" w:lineRule="auto"/>
        <w:ind w:firstLine="48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五、本协议在自签署之日起生效，有效期内有效，如获中标资格，合同有效期延续至合同履行完毕之日。</w:t>
      </w:r>
    </w:p>
    <w:p w14:paraId="4626DAD0">
      <w:pPr>
        <w:pStyle w:val="203"/>
        <w:spacing w:line="360" w:lineRule="auto"/>
        <w:ind w:firstLine="48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六、本协议书正本一式_____份，随投标文件装订_____份，送</w:t>
      </w:r>
      <w:r>
        <w:rPr>
          <w:rFonts w:ascii="宋体" w:hAnsi="宋体" w:eastAsia="宋体" w:cs="宋体"/>
          <w:color w:val="000000" w:themeColor="text1"/>
          <w:sz w:val="21"/>
          <w:szCs w:val="21"/>
          <w:highlight w:val="none"/>
          <w:lang w:eastAsia="zh-CN"/>
          <w14:textFill>
            <w14:solidFill>
              <w14:schemeClr w14:val="tx1"/>
            </w14:solidFill>
          </w14:textFill>
        </w:rPr>
        <w:t>招标</w:t>
      </w:r>
      <w:r>
        <w:rPr>
          <w:rFonts w:ascii="宋体" w:hAnsi="宋体" w:eastAsia="宋体" w:cs="宋体"/>
          <w:color w:val="000000" w:themeColor="text1"/>
          <w:sz w:val="21"/>
          <w:szCs w:val="21"/>
          <w:highlight w:val="none"/>
          <w14:textFill>
            <w14:solidFill>
              <w14:schemeClr w14:val="tx1"/>
            </w14:solidFill>
          </w14:textFill>
        </w:rPr>
        <w:t>人_____份，联合体成员各一份；副本一式_____份，联合体成员各执_____份。</w:t>
      </w:r>
    </w:p>
    <w:p w14:paraId="5BA53B5F">
      <w:pPr>
        <w:pStyle w:val="203"/>
        <w:spacing w:line="360" w:lineRule="auto"/>
        <w:rPr>
          <w:rFonts w:hint="default" w:ascii="宋体" w:hAnsi="宋体" w:eastAsia="宋体" w:cs="宋体"/>
          <w:color w:val="000000" w:themeColor="text1"/>
          <w:sz w:val="21"/>
          <w:szCs w:val="21"/>
          <w:highlight w:val="none"/>
          <w14:textFill>
            <w14:solidFill>
              <w14:schemeClr w14:val="tx1"/>
            </w14:solidFill>
          </w14:textFill>
        </w:rPr>
      </w:pPr>
    </w:p>
    <w:p w14:paraId="6CE3953C">
      <w:pPr>
        <w:pStyle w:val="203"/>
        <w:spacing w:line="360" w:lineRule="auto"/>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甲公司全称：____（盖章）________，乙公司全称：____（盖章）________</w:t>
      </w:r>
    </w:p>
    <w:p w14:paraId="71E103F3">
      <w:pPr>
        <w:pStyle w:val="203"/>
        <w:spacing w:line="360" w:lineRule="auto"/>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 xml:space="preserve"> ____年____月 ____日，____年____月____日</w:t>
      </w:r>
    </w:p>
    <w:p w14:paraId="60616382">
      <w:pPr>
        <w:pStyle w:val="203"/>
        <w:spacing w:line="360" w:lineRule="auto"/>
        <w:ind w:firstLine="48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注：1．联合</w:t>
      </w:r>
      <w:r>
        <w:rPr>
          <w:rFonts w:ascii="宋体" w:hAnsi="宋体" w:eastAsia="宋体" w:cs="宋体"/>
          <w:color w:val="000000" w:themeColor="text1"/>
          <w:sz w:val="21"/>
          <w:szCs w:val="21"/>
          <w:highlight w:val="none"/>
          <w:lang w:eastAsia="zh-CN"/>
          <w14:textFill>
            <w14:solidFill>
              <w14:schemeClr w14:val="tx1"/>
            </w14:solidFill>
          </w14:textFill>
        </w:rPr>
        <w:t>投标</w:t>
      </w:r>
      <w:r>
        <w:rPr>
          <w:rFonts w:ascii="宋体" w:hAnsi="宋体" w:eastAsia="宋体" w:cs="宋体"/>
          <w:color w:val="000000" w:themeColor="text1"/>
          <w:sz w:val="21"/>
          <w:szCs w:val="21"/>
          <w:highlight w:val="none"/>
          <w14:textFill>
            <w14:solidFill>
              <w14:schemeClr w14:val="tx1"/>
            </w14:solidFill>
          </w14:textFill>
        </w:rPr>
        <w:t>时需签本协议，联合体各方成员应在本协议上共同盖章确认。</w:t>
      </w:r>
    </w:p>
    <w:p w14:paraId="1333512A">
      <w:pPr>
        <w:pStyle w:val="203"/>
        <w:spacing w:line="360" w:lineRule="auto"/>
        <w:ind w:firstLine="48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2．本协议内容不得擅自修改。此协议将作为签订合同的附件之一。</w:t>
      </w:r>
    </w:p>
    <w:bookmarkEnd w:id="849"/>
    <w:p w14:paraId="32BD710E">
      <w:pPr>
        <w:autoSpaceDE w:val="0"/>
        <w:autoSpaceDN w:val="0"/>
        <w:adjustRightInd w:val="0"/>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p>
    <w:p w14:paraId="28A6F3CA">
      <w:pPr>
        <w:rPr>
          <w:rFonts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14:paraId="27E34DB9">
      <w:pPr>
        <w:tabs>
          <w:tab w:val="left" w:pos="567"/>
        </w:tabs>
        <w:autoSpaceDE w:val="0"/>
        <w:autoSpaceDN w:val="0"/>
        <w:adjustRightInd w:val="0"/>
        <w:spacing w:line="360" w:lineRule="auto"/>
        <w:jc w:val="left"/>
        <w:outlineLvl w:val="2"/>
        <w:rPr>
          <w:rFonts w:ascii="宋体" w:hAnsi="宋体" w:eastAsia="宋体" w:cs="Times New Roman"/>
          <w:color w:val="000000" w:themeColor="text1"/>
          <w:kern w:val="0"/>
          <w:szCs w:val="21"/>
          <w:highlight w:val="none"/>
          <w:u w:val="single"/>
          <w14:textFill>
            <w14:solidFill>
              <w14:schemeClr w14:val="tx1"/>
            </w14:solidFill>
          </w14:textFill>
        </w:rPr>
      </w:pPr>
      <w:bookmarkStart w:id="855" w:name="_Toc8094"/>
      <w:bookmarkStart w:id="856" w:name="_Toc7385"/>
      <w:bookmarkStart w:id="857" w:name="_Toc4817"/>
      <w:r>
        <w:rPr>
          <w:rFonts w:hint="eastAsia" w:ascii="宋体" w:hAnsi="宋体" w:eastAsia="宋体" w:cs="宋体"/>
          <w:b/>
          <w:color w:val="000000" w:themeColor="text1"/>
          <w:sz w:val="32"/>
          <w:szCs w:val="32"/>
          <w:highlight w:val="none"/>
          <w14:textFill>
            <w14:solidFill>
              <w14:schemeClr w14:val="tx1"/>
            </w14:solidFill>
          </w14:textFill>
        </w:rPr>
        <w:t>六</w:t>
      </w:r>
      <w:r>
        <w:rPr>
          <w:rFonts w:hint="eastAsia" w:ascii="宋体" w:hAnsi="宋体" w:eastAsia="宋体" w:cs="宋体"/>
          <w:b/>
          <w:color w:val="000000" w:themeColor="text1"/>
          <w:kern w:val="0"/>
          <w:sz w:val="32"/>
          <w:szCs w:val="32"/>
          <w:highlight w:val="none"/>
          <w14:textFill>
            <w14:solidFill>
              <w14:schemeClr w14:val="tx1"/>
            </w14:solidFill>
          </w14:textFill>
        </w:rPr>
        <w:t>、投标人基本情况一览表</w:t>
      </w:r>
      <w:bookmarkEnd w:id="834"/>
      <w:bookmarkEnd w:id="835"/>
      <w:bookmarkEnd w:id="836"/>
      <w:bookmarkEnd w:id="837"/>
      <w:bookmarkEnd w:id="838"/>
      <w:bookmarkEnd w:id="839"/>
      <w:bookmarkEnd w:id="840"/>
      <w:bookmarkEnd w:id="841"/>
      <w:bookmarkEnd w:id="842"/>
      <w:bookmarkEnd w:id="843"/>
      <w:bookmarkEnd w:id="844"/>
      <w:bookmarkEnd w:id="850"/>
      <w:bookmarkEnd w:id="855"/>
      <w:bookmarkEnd w:id="856"/>
      <w:bookmarkEnd w:id="857"/>
    </w:p>
    <w:p w14:paraId="562974AB">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858" w:name="_Toc2773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投标人基本情况一览表</w:t>
      </w:r>
      <w:bookmarkEnd w:id="858"/>
    </w:p>
    <w:p w14:paraId="0F6DA262">
      <w:pPr>
        <w:autoSpaceDE w:val="0"/>
        <w:autoSpaceDN w:val="0"/>
        <w:adjustRightInd w:val="0"/>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1．名称及概况：</w:t>
      </w:r>
    </w:p>
    <w:p w14:paraId="7BFB5068">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（1）投标人名称：________________________________________</w:t>
      </w:r>
    </w:p>
    <w:p w14:paraId="73489892">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（2）总部地址：__________________________________________</w:t>
      </w:r>
    </w:p>
    <w:p w14:paraId="4311FD5E">
      <w:pPr>
        <w:autoSpaceDE w:val="0"/>
        <w:autoSpaceDN w:val="0"/>
        <w:adjustRightInd w:val="0"/>
        <w:spacing w:line="360" w:lineRule="auto"/>
        <w:ind w:firstLine="66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邮政编码：__________________________________________</w:t>
      </w:r>
    </w:p>
    <w:p w14:paraId="2431E162">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电话号码：__________________________________________ </w:t>
      </w:r>
    </w:p>
    <w:p w14:paraId="28A02519">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传真号码：__________________________________________ </w:t>
      </w:r>
    </w:p>
    <w:p w14:paraId="22BC0846">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（3）成立和／或注册日期：________________________________</w:t>
      </w:r>
    </w:p>
    <w:p w14:paraId="22963741">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（4）法人代表：_____________________________________ ____</w:t>
      </w:r>
    </w:p>
    <w:p w14:paraId="77D27993">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（5）开户银行：__________________________________________</w:t>
      </w:r>
    </w:p>
    <w:p w14:paraId="608EE8BF">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（6）开户账号：__________________________________________</w:t>
      </w:r>
    </w:p>
    <w:p w14:paraId="6583DA66">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（7）注册资金：__________________________________________</w:t>
      </w:r>
    </w:p>
    <w:p w14:paraId="0E5E744B">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（8）主要负责人姓名：____________________________________</w:t>
      </w:r>
    </w:p>
    <w:p w14:paraId="58A010AD">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（9）项目主要联系人（姓名、职务、通讯）：_________________   </w:t>
      </w:r>
    </w:p>
    <w:p w14:paraId="0FAC95DE">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（10）在中国的代表的姓名和地址（如有）：__________________</w:t>
      </w:r>
    </w:p>
    <w:p w14:paraId="6AFE1108">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2．供征询之银行的名称和地址：____________________________</w:t>
      </w:r>
    </w:p>
    <w:p w14:paraId="2FE04044">
      <w:pPr>
        <w:autoSpaceDE w:val="0"/>
        <w:autoSpaceDN w:val="0"/>
        <w:adjustRightInd w:val="0"/>
        <w:spacing w:line="360" w:lineRule="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3．公司所隶属之国际集团名称（如果是）____________________</w:t>
      </w:r>
    </w:p>
    <w:p w14:paraId="490E3AF5">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 提交资料（包括但不限于组织架构、公司简介等）：</w:t>
      </w:r>
    </w:p>
    <w:p w14:paraId="41F8A311">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（1）公司简介；</w:t>
      </w:r>
    </w:p>
    <w:p w14:paraId="7A94A9C0">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__________________________________________________</w:t>
      </w:r>
    </w:p>
    <w:p w14:paraId="34411E24">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（2）公司组织架构；</w:t>
      </w:r>
    </w:p>
    <w:p w14:paraId="412E1A6D">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__ </w:t>
      </w:r>
    </w:p>
    <w:p w14:paraId="20B8AF27">
      <w:pPr>
        <w:autoSpaceDE w:val="0"/>
        <w:autoSpaceDN w:val="0"/>
        <w:adjustRightInd w:val="0"/>
        <w:spacing w:line="360" w:lineRule="auto"/>
        <w:ind w:left="836" w:leftChars="137" w:hanging="548" w:hangingChars="261"/>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（3）东莞市内设有分支机构情况介绍[应提供该分支机构的多证合一营业执照复印件等证明材料]（若无前述分支机构的无需介绍）。</w:t>
      </w:r>
    </w:p>
    <w:p w14:paraId="68241FB1">
      <w:pPr>
        <w:autoSpaceDE w:val="0"/>
        <w:autoSpaceDN w:val="0"/>
        <w:adjustRightInd w:val="0"/>
        <w:spacing w:line="360" w:lineRule="auto"/>
        <w:ind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兹证明上述说明是真实、正确的，并提供了全部能提供的资料和数据，我们同意遵照贵方要求出示有关证明文件。</w:t>
      </w:r>
    </w:p>
    <w:p w14:paraId="4CE0AFCD">
      <w:pPr>
        <w:autoSpaceDE w:val="0"/>
        <w:autoSpaceDN w:val="0"/>
        <w:adjustRightInd w:val="0"/>
        <w:spacing w:line="360" w:lineRule="auto"/>
        <w:ind w:firstLine="420" w:firstLineChars="200"/>
        <w:rPr>
          <w:rFonts w:ascii="宋体" w:hAnsi="宋体" w:eastAsia="宋体" w:cs="宋体"/>
          <w:color w:val="000000" w:themeColor="text1"/>
          <w:szCs w:val="24"/>
          <w:highlight w:val="none"/>
          <w14:textFill>
            <w14:solidFill>
              <w14:schemeClr w14:val="tx1"/>
            </w14:solidFill>
          </w14:textFill>
        </w:rPr>
      </w:pPr>
    </w:p>
    <w:p w14:paraId="62C537E4">
      <w:pPr>
        <w:autoSpaceDE w:val="0"/>
        <w:autoSpaceDN w:val="0"/>
        <w:adjustRightInd w:val="0"/>
        <w:spacing w:line="360" w:lineRule="auto"/>
        <w:ind w:right="368" w:rightChars="175"/>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42FE1FA9">
      <w:pPr>
        <w:autoSpaceDE w:val="0"/>
        <w:autoSpaceDN w:val="0"/>
        <w:adjustRightInd w:val="0"/>
        <w:spacing w:line="360" w:lineRule="auto"/>
        <w:ind w:right="368" w:rightChars="175" w:firstLine="6237"/>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2A117D93">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Start w:id="859" w:name="_Toc102860080"/>
      <w:bookmarkStart w:id="860" w:name="_Toc142508375"/>
      <w:bookmarkStart w:id="861" w:name="_Toc94107216"/>
      <w:bookmarkStart w:id="862" w:name="_Toc24722"/>
      <w:bookmarkStart w:id="863" w:name="_Toc102860424"/>
      <w:bookmarkStart w:id="864" w:name="_Toc140596935"/>
      <w:bookmarkStart w:id="865" w:name="_Toc4495"/>
      <w:bookmarkStart w:id="866" w:name="_Toc3711"/>
      <w:bookmarkStart w:id="867" w:name="_Toc9122"/>
      <w:bookmarkStart w:id="868" w:name="_Toc104991882"/>
      <w:bookmarkStart w:id="869" w:name="_Toc11386"/>
      <w:bookmarkStart w:id="870" w:name="_Toc533708128"/>
      <w:bookmarkStart w:id="871" w:name="_Toc9051_WPSOffice_Level2"/>
      <w:bookmarkStart w:id="872" w:name="_Toc1977733"/>
      <w:bookmarkStart w:id="873" w:name="_Toc486167715"/>
      <w:r>
        <w:rPr>
          <w:rFonts w:hint="eastAsia" w:ascii="宋体" w:hAnsi="宋体" w:eastAsia="宋体" w:cs="宋体"/>
          <w:b/>
          <w:color w:val="000000" w:themeColor="text1"/>
          <w:sz w:val="32"/>
          <w:szCs w:val="32"/>
          <w:highlight w:val="none"/>
          <w14:textFill>
            <w14:solidFill>
              <w14:schemeClr w14:val="tx1"/>
            </w14:solidFill>
          </w14:textFill>
        </w:rPr>
        <w:t>七</w:t>
      </w:r>
      <w:r>
        <w:rPr>
          <w:rFonts w:hint="eastAsia" w:ascii="宋体" w:hAnsi="宋体" w:eastAsia="宋体" w:cs="宋体"/>
          <w:b/>
          <w:color w:val="000000" w:themeColor="text1"/>
          <w:sz w:val="32"/>
          <w:szCs w:val="32"/>
          <w:highlight w:val="none"/>
          <w:lang w:val="zh-CN"/>
          <w14:textFill>
            <w14:solidFill>
              <w14:schemeClr w14:val="tx1"/>
            </w14:solidFill>
          </w14:textFill>
        </w:rPr>
        <w:t>、投标人财务状况表格式</w:t>
      </w:r>
      <w:bookmarkEnd w:id="859"/>
      <w:bookmarkEnd w:id="860"/>
      <w:bookmarkEnd w:id="861"/>
      <w:bookmarkEnd w:id="862"/>
      <w:bookmarkEnd w:id="863"/>
      <w:bookmarkEnd w:id="864"/>
      <w:bookmarkEnd w:id="865"/>
      <w:bookmarkEnd w:id="866"/>
      <w:bookmarkEnd w:id="867"/>
      <w:bookmarkEnd w:id="868"/>
      <w:bookmarkEnd w:id="869"/>
    </w:p>
    <w:p w14:paraId="7C0B2872">
      <w:pPr>
        <w:autoSpaceDE w:val="0"/>
        <w:autoSpaceDN w:val="0"/>
        <w:adjustRightInd w:val="0"/>
        <w:spacing w:line="360"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 xml:space="preserve">投标人财务状况表 </w:t>
      </w:r>
    </w:p>
    <w:p w14:paraId="531B9885">
      <w:pPr>
        <w:autoSpaceDE w:val="0"/>
        <w:autoSpaceDN w:val="0"/>
        <w:adjustRightIn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1B8F0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4B710F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  度</w:t>
            </w:r>
          </w:p>
        </w:tc>
        <w:tc>
          <w:tcPr>
            <w:tcW w:w="1944" w:type="dxa"/>
            <w:vAlign w:val="center"/>
          </w:tcPr>
          <w:p w14:paraId="5E11B33C">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总资产（元）</w:t>
            </w:r>
          </w:p>
        </w:tc>
        <w:tc>
          <w:tcPr>
            <w:tcW w:w="1946" w:type="dxa"/>
            <w:vAlign w:val="center"/>
          </w:tcPr>
          <w:p w14:paraId="6815DBC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净资产（元）</w:t>
            </w:r>
          </w:p>
        </w:tc>
        <w:tc>
          <w:tcPr>
            <w:tcW w:w="2713" w:type="dxa"/>
            <w:vAlign w:val="center"/>
          </w:tcPr>
          <w:p w14:paraId="299DA9C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年营业额（元）</w:t>
            </w:r>
          </w:p>
        </w:tc>
        <w:tc>
          <w:tcPr>
            <w:tcW w:w="2060" w:type="dxa"/>
            <w:vAlign w:val="center"/>
          </w:tcPr>
          <w:p w14:paraId="2087FA0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年净利润（元）</w:t>
            </w:r>
          </w:p>
        </w:tc>
      </w:tr>
      <w:tr w14:paraId="009D7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58C2AEC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bookmarkStart w:id="874" w:name="OLE_LINK73" w:colFirst="0" w:colLast="0"/>
            <w:r>
              <w:rPr>
                <w:rFonts w:hint="eastAsia" w:ascii="宋体" w:hAnsi="宋体" w:eastAsia="宋体" w:cs="宋体"/>
                <w:color w:val="000000" w:themeColor="text1"/>
                <w:kern w:val="0"/>
                <w:szCs w:val="21"/>
                <w:highlight w:val="none"/>
                <w14:textFill>
                  <w14:solidFill>
                    <w14:schemeClr w14:val="tx1"/>
                  </w14:solidFill>
                </w14:textFill>
              </w:rPr>
              <w:t>2021</w:t>
            </w:r>
          </w:p>
        </w:tc>
        <w:tc>
          <w:tcPr>
            <w:tcW w:w="1944" w:type="dxa"/>
            <w:vAlign w:val="center"/>
          </w:tcPr>
          <w:p w14:paraId="3FB6D77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6474B04B">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vAlign w:val="center"/>
          </w:tcPr>
          <w:p w14:paraId="6B9C12B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5D86349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57633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341BFE5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2022</w:t>
            </w:r>
          </w:p>
        </w:tc>
        <w:tc>
          <w:tcPr>
            <w:tcW w:w="1944" w:type="dxa"/>
            <w:vAlign w:val="center"/>
          </w:tcPr>
          <w:p w14:paraId="30F8C1B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522D8A9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14:paraId="382A04DA">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3F090074">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47164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13ADAD1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2023</w:t>
            </w:r>
          </w:p>
        </w:tc>
        <w:tc>
          <w:tcPr>
            <w:tcW w:w="1944" w:type="dxa"/>
            <w:vAlign w:val="center"/>
          </w:tcPr>
          <w:p w14:paraId="08D724DA">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40AD8794">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14:paraId="5C36FE1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44BDF96A">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bookmarkEnd w:id="874"/>
      <w:tr w14:paraId="5EA31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3BDCD91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总计</w:t>
            </w:r>
          </w:p>
        </w:tc>
        <w:tc>
          <w:tcPr>
            <w:tcW w:w="2713" w:type="dxa"/>
          </w:tcPr>
          <w:p w14:paraId="2280592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30E8662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14:paraId="32EB7431">
      <w:pPr>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bookmarkStart w:id="875" w:name="OLE_LINK363"/>
    </w:p>
    <w:bookmarkEnd w:id="875"/>
    <w:p w14:paraId="0DD54B4E">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14:paraId="4AB69819">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14:paraId="59F5C9BA">
      <w:pPr>
        <w:autoSpaceDE w:val="0"/>
        <w:autoSpaceDN w:val="0"/>
        <w:adjustRightInd w:val="0"/>
        <w:spacing w:line="360" w:lineRule="auto"/>
        <w:ind w:firstLine="5409" w:firstLineChars="2576"/>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w:t>
      </w:r>
      <w:r>
        <w:rPr>
          <w:rFonts w:hint="eastAsia" w:ascii="宋体" w:hAnsi="宋体" w:eastAsia="宋体" w:cs="宋体"/>
          <w:color w:val="000000" w:themeColor="text1"/>
          <w:szCs w:val="24"/>
          <w:highlight w:val="none"/>
          <w14:textFill>
            <w14:solidFill>
              <w14:schemeClr w14:val="tx1"/>
            </w14:solidFill>
          </w14:textFill>
        </w:rPr>
        <w:t>法人</w:t>
      </w:r>
      <w:r>
        <w:rPr>
          <w:rFonts w:hint="eastAsia" w:ascii="宋体" w:hAnsi="宋体" w:eastAsia="宋体" w:cs="宋体"/>
          <w:color w:val="000000" w:themeColor="text1"/>
          <w:szCs w:val="24"/>
          <w:highlight w:val="none"/>
          <w:lang w:val="zh-CN"/>
          <w14:textFill>
            <w14:solidFill>
              <w14:schemeClr w14:val="tx1"/>
            </w14:solidFill>
          </w14:textFill>
        </w:rPr>
        <w:t>公章）</w:t>
      </w:r>
    </w:p>
    <w:p w14:paraId="721DB0E3">
      <w:pPr>
        <w:autoSpaceDE w:val="0"/>
        <w:autoSpaceDN w:val="0"/>
        <w:adjustRightInd w:val="0"/>
        <w:spacing w:line="360" w:lineRule="auto"/>
        <w:ind w:firstLine="6249" w:firstLineChars="2976"/>
        <w:rPr>
          <w:rFonts w:ascii="宋体" w:hAnsi="宋体" w:eastAsia="宋体" w:cs="宋体"/>
          <w:b/>
          <w:bCs/>
          <w:color w:val="000000" w:themeColor="text1"/>
          <w:kern w:val="0"/>
          <w:szCs w:val="21"/>
          <w:highlight w:val="none"/>
          <w14:textFill>
            <w14:solidFill>
              <w14:schemeClr w14:val="tx1"/>
            </w14:solidFill>
          </w14:textFill>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000000" w:themeColor="text1"/>
          <w:szCs w:val="24"/>
          <w:highlight w:val="none"/>
          <w:lang w:val="zh-CN"/>
          <w14:textFill>
            <w14:solidFill>
              <w14:schemeClr w14:val="tx1"/>
            </w14:solidFill>
          </w14:textFill>
        </w:rPr>
        <w:t>日期：</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日</w:t>
      </w:r>
    </w:p>
    <w:bookmarkEnd w:id="870"/>
    <w:bookmarkEnd w:id="871"/>
    <w:bookmarkEnd w:id="872"/>
    <w:bookmarkEnd w:id="873"/>
    <w:p w14:paraId="14C01CAC">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lang w:val="zh-CN"/>
          <w14:textFill>
            <w14:solidFill>
              <w14:schemeClr w14:val="tx1"/>
            </w14:solidFill>
          </w14:textFill>
        </w:rPr>
      </w:pPr>
      <w:bookmarkStart w:id="876" w:name="_Toc137"/>
      <w:bookmarkStart w:id="877" w:name="_Toc23325"/>
      <w:bookmarkStart w:id="878" w:name="_Toc15550"/>
      <w:bookmarkStart w:id="879" w:name="_Toc1977736"/>
      <w:bookmarkStart w:id="880" w:name="_Toc533708130"/>
      <w:bookmarkStart w:id="881" w:name="_Toc15551"/>
      <w:bookmarkStart w:id="882" w:name="_Toc140596936"/>
      <w:bookmarkStart w:id="883" w:name="_Toc94107217"/>
      <w:bookmarkStart w:id="884" w:name="_Toc142508376"/>
      <w:bookmarkStart w:id="885" w:name="_Toc102860425"/>
      <w:bookmarkStart w:id="886" w:name="_Toc102860081"/>
      <w:bookmarkStart w:id="887" w:name="_Toc486167716"/>
      <w:bookmarkStart w:id="888" w:name="_Toc20034"/>
      <w:bookmarkStart w:id="889" w:name="_Toc104991883"/>
      <w:bookmarkStart w:id="890" w:name="_Toc739_WPSOffice_Level2"/>
      <w:r>
        <w:rPr>
          <w:rFonts w:hint="eastAsia" w:ascii="宋体" w:hAnsi="宋体" w:eastAsia="宋体" w:cs="宋体"/>
          <w:b/>
          <w:color w:val="000000" w:themeColor="text1"/>
          <w:kern w:val="0"/>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lang w:val="zh-CN"/>
          <w14:textFill>
            <w14:solidFill>
              <w14:schemeClr w14:val="tx1"/>
            </w14:solidFill>
          </w14:textFill>
        </w:rPr>
        <w:t>、</w:t>
      </w:r>
      <w:bookmarkStart w:id="891" w:name="OLE_LINK369"/>
      <w:r>
        <w:rPr>
          <w:rFonts w:hint="eastAsia" w:ascii="宋体" w:hAnsi="宋体" w:eastAsia="宋体" w:cs="宋体"/>
          <w:b/>
          <w:color w:val="000000" w:themeColor="text1"/>
          <w:kern w:val="0"/>
          <w:sz w:val="32"/>
          <w:szCs w:val="32"/>
          <w:highlight w:val="none"/>
          <w:lang w:val="zh-CN"/>
          <w14:textFill>
            <w14:solidFill>
              <w14:schemeClr w14:val="tx1"/>
            </w14:solidFill>
          </w14:textFill>
        </w:rPr>
        <w:t>标准化体系认证</w:t>
      </w:r>
      <w:bookmarkEnd w:id="876"/>
      <w:bookmarkEnd w:id="877"/>
      <w:bookmarkEnd w:id="878"/>
      <w:bookmarkEnd w:id="891"/>
    </w:p>
    <w:p w14:paraId="29189CBF">
      <w:pPr>
        <w:spacing w:line="360" w:lineRule="auto"/>
        <w:rPr>
          <w:rFonts w:ascii="宋体" w:hAnsi="宋体" w:eastAsia="宋体" w:cs="宋体"/>
          <w:color w:val="000000" w:themeColor="text1"/>
          <w:kern w:val="0"/>
          <w:szCs w:val="21"/>
          <w:highlight w:val="none"/>
          <w14:textFill>
            <w14:solidFill>
              <w14:schemeClr w14:val="tx1"/>
            </w14:solidFill>
          </w14:textFill>
        </w:rPr>
      </w:pPr>
      <w:bookmarkStart w:id="892" w:name="OLE_LINK364"/>
      <w:r>
        <w:rPr>
          <w:rFonts w:hint="eastAsia" w:ascii="宋体" w:hAnsi="宋体" w:eastAsia="宋体" w:cs="宋体"/>
          <w:color w:val="000000" w:themeColor="text1"/>
          <w:kern w:val="0"/>
          <w:szCs w:val="21"/>
          <w:highlight w:val="none"/>
          <w14:textFill>
            <w14:solidFill>
              <w14:schemeClr w14:val="tx1"/>
            </w14:solidFill>
          </w14:textFill>
        </w:rPr>
        <w:t>备注：投标人应提供上述有效证书复印件及能显示证书有效状态的全国认证认可信息公共服务平台（http://cx.cnca.cn/)查询结果凭证{凭证界面需显示有“全国认证认可信息公共服务平台”或“认证证书（需显示网址cx.cnca.cn）”}，否则不得分。</w:t>
      </w:r>
    </w:p>
    <w:bookmarkEnd w:id="892"/>
    <w:p w14:paraId="30420FF3">
      <w:pPr>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716A9878">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lang w:val="zh-CN"/>
          <w14:textFill>
            <w14:solidFill>
              <w14:schemeClr w14:val="tx1"/>
            </w14:solidFill>
          </w14:textFill>
        </w:rPr>
      </w:pPr>
      <w:bookmarkStart w:id="893" w:name="_Toc13859"/>
      <w:bookmarkStart w:id="894" w:name="_Toc25943"/>
      <w:bookmarkStart w:id="895" w:name="_Toc15638"/>
      <w:r>
        <w:rPr>
          <w:rFonts w:hint="eastAsia" w:ascii="宋体" w:hAnsi="宋体" w:eastAsia="宋体" w:cs="宋体"/>
          <w:b/>
          <w:color w:val="000000" w:themeColor="text1"/>
          <w:kern w:val="0"/>
          <w:sz w:val="32"/>
          <w:szCs w:val="32"/>
          <w:highlight w:val="none"/>
          <w14:textFill>
            <w14:solidFill>
              <w14:schemeClr w14:val="tx1"/>
            </w14:solidFill>
          </w14:textFill>
        </w:rPr>
        <w:t>九</w:t>
      </w:r>
      <w:r>
        <w:rPr>
          <w:rFonts w:hint="eastAsia" w:ascii="宋体" w:hAnsi="宋体" w:eastAsia="宋体" w:cs="宋体"/>
          <w:b/>
          <w:color w:val="000000" w:themeColor="text1"/>
          <w:kern w:val="0"/>
          <w:sz w:val="32"/>
          <w:szCs w:val="32"/>
          <w:highlight w:val="none"/>
          <w:lang w:val="zh-CN"/>
          <w14:textFill>
            <w14:solidFill>
              <w14:schemeClr w14:val="tx1"/>
            </w14:solidFill>
          </w14:textFill>
        </w:rPr>
        <w:t>、合同条款偏离表格式</w:t>
      </w:r>
      <w:bookmarkEnd w:id="879"/>
      <w:bookmarkEnd w:id="880"/>
      <w:bookmarkEnd w:id="881"/>
      <w:bookmarkEnd w:id="882"/>
      <w:bookmarkEnd w:id="883"/>
      <w:bookmarkEnd w:id="884"/>
      <w:bookmarkEnd w:id="885"/>
      <w:bookmarkEnd w:id="886"/>
      <w:bookmarkEnd w:id="887"/>
      <w:bookmarkEnd w:id="888"/>
      <w:bookmarkEnd w:id="889"/>
      <w:bookmarkEnd w:id="890"/>
      <w:bookmarkEnd w:id="893"/>
      <w:bookmarkEnd w:id="894"/>
      <w:bookmarkEnd w:id="895"/>
    </w:p>
    <w:p w14:paraId="21682077">
      <w:pPr>
        <w:autoSpaceDE w:val="0"/>
        <w:autoSpaceDN w:val="0"/>
        <w:adjustRightInd w:val="0"/>
        <w:spacing w:line="360" w:lineRule="auto"/>
        <w:jc w:val="center"/>
        <w:rPr>
          <w:rFonts w:ascii="宋体" w:hAnsi="宋体" w:eastAsia="宋体" w:cs="宋体"/>
          <w:b/>
          <w:bCs/>
          <w:color w:val="000000" w:themeColor="text1"/>
          <w:kern w:val="0"/>
          <w:sz w:val="28"/>
          <w:szCs w:val="30"/>
          <w:highlight w:val="none"/>
          <w:lang w:val="zh-CN"/>
          <w14:textFill>
            <w14:solidFill>
              <w14:schemeClr w14:val="tx1"/>
            </w14:solidFill>
          </w14:textFill>
        </w:rPr>
      </w:pPr>
      <w:bookmarkStart w:id="896" w:name="_Toc26412_WPSOffice_Level3"/>
      <w:r>
        <w:rPr>
          <w:rFonts w:hint="eastAsia" w:ascii="宋体" w:hAnsi="宋体" w:eastAsia="宋体" w:cs="宋体"/>
          <w:b/>
          <w:bCs/>
          <w:color w:val="000000" w:themeColor="text1"/>
          <w:kern w:val="0"/>
          <w:sz w:val="28"/>
          <w:szCs w:val="30"/>
          <w:highlight w:val="none"/>
          <w:lang w:val="zh-CN"/>
          <w14:textFill>
            <w14:solidFill>
              <w14:schemeClr w14:val="tx1"/>
            </w14:solidFill>
          </w14:textFill>
        </w:rPr>
        <w:t>东莞市水务集团科技发展有限公司屋顶分布式光伏发电（一期）采购项目合同条款偏离表</w:t>
      </w:r>
      <w:bookmarkEnd w:id="896"/>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27F0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32B24C3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4480" w:type="dxa"/>
            <w:gridSpan w:val="2"/>
            <w:vAlign w:val="center"/>
          </w:tcPr>
          <w:p w14:paraId="7D22FC1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招标文件要求</w:t>
            </w:r>
          </w:p>
        </w:tc>
        <w:tc>
          <w:tcPr>
            <w:tcW w:w="4870" w:type="dxa"/>
            <w:gridSpan w:val="2"/>
            <w:vAlign w:val="center"/>
          </w:tcPr>
          <w:p w14:paraId="422F342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投标文件内容</w:t>
            </w:r>
          </w:p>
        </w:tc>
      </w:tr>
      <w:tr w14:paraId="2BDC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611A023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1425" w:type="dxa"/>
            <w:vAlign w:val="center"/>
          </w:tcPr>
          <w:p w14:paraId="3DD4DC1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条款号</w:t>
            </w:r>
          </w:p>
        </w:tc>
        <w:tc>
          <w:tcPr>
            <w:tcW w:w="3055" w:type="dxa"/>
            <w:vAlign w:val="center"/>
          </w:tcPr>
          <w:p w14:paraId="2A0D2B5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简要内容</w:t>
            </w:r>
          </w:p>
        </w:tc>
        <w:tc>
          <w:tcPr>
            <w:tcW w:w="1346" w:type="dxa"/>
            <w:vAlign w:val="center"/>
          </w:tcPr>
          <w:p w14:paraId="5644642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偏离情况</w:t>
            </w:r>
          </w:p>
        </w:tc>
        <w:tc>
          <w:tcPr>
            <w:tcW w:w="3524" w:type="dxa"/>
            <w:vAlign w:val="center"/>
          </w:tcPr>
          <w:p w14:paraId="18C3D55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具体偏离内容</w:t>
            </w:r>
          </w:p>
        </w:tc>
      </w:tr>
      <w:tr w14:paraId="3238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2F445E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1425" w:type="dxa"/>
            <w:vAlign w:val="center"/>
          </w:tcPr>
          <w:p w14:paraId="602ACAB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第一条</w:t>
            </w:r>
          </w:p>
        </w:tc>
        <w:tc>
          <w:tcPr>
            <w:tcW w:w="3055" w:type="dxa"/>
            <w:vAlign w:val="center"/>
          </w:tcPr>
          <w:p w14:paraId="64AEDA57">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合同项目</w:t>
            </w:r>
          </w:p>
        </w:tc>
        <w:tc>
          <w:tcPr>
            <w:tcW w:w="1346" w:type="dxa"/>
            <w:vAlign w:val="center"/>
          </w:tcPr>
          <w:p w14:paraId="22FB26F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81329D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F97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68D064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425" w:type="dxa"/>
            <w:vAlign w:val="center"/>
          </w:tcPr>
          <w:p w14:paraId="5B368B1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第二条</w:t>
            </w:r>
          </w:p>
        </w:tc>
        <w:tc>
          <w:tcPr>
            <w:tcW w:w="3055" w:type="dxa"/>
            <w:vAlign w:val="center"/>
          </w:tcPr>
          <w:p w14:paraId="5683AFA6">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合同价及销项税额</w:t>
            </w:r>
          </w:p>
        </w:tc>
        <w:tc>
          <w:tcPr>
            <w:tcW w:w="1346" w:type="dxa"/>
            <w:vAlign w:val="center"/>
          </w:tcPr>
          <w:p w14:paraId="14F6648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B7B2DC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A8E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1C2649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1425" w:type="dxa"/>
            <w:vAlign w:val="center"/>
          </w:tcPr>
          <w:p w14:paraId="1999A80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第三条</w:t>
            </w:r>
          </w:p>
        </w:tc>
        <w:tc>
          <w:tcPr>
            <w:tcW w:w="3055" w:type="dxa"/>
            <w:vAlign w:val="center"/>
          </w:tcPr>
          <w:p w14:paraId="36D01712">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付款方式</w:t>
            </w:r>
          </w:p>
        </w:tc>
        <w:tc>
          <w:tcPr>
            <w:tcW w:w="1346" w:type="dxa"/>
            <w:vAlign w:val="center"/>
          </w:tcPr>
          <w:p w14:paraId="6811E80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20024C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784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9EC5A5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1425" w:type="dxa"/>
            <w:vAlign w:val="center"/>
          </w:tcPr>
          <w:p w14:paraId="3B51CE3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第四条</w:t>
            </w:r>
          </w:p>
        </w:tc>
        <w:tc>
          <w:tcPr>
            <w:tcW w:w="3055" w:type="dxa"/>
            <w:vAlign w:val="center"/>
          </w:tcPr>
          <w:p w14:paraId="4C60BFF7">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合同组成</w:t>
            </w:r>
          </w:p>
        </w:tc>
        <w:tc>
          <w:tcPr>
            <w:tcW w:w="1346" w:type="dxa"/>
            <w:vAlign w:val="center"/>
          </w:tcPr>
          <w:p w14:paraId="36B1321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6DC2BA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B50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5E3175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1425" w:type="dxa"/>
            <w:vAlign w:val="center"/>
          </w:tcPr>
          <w:p w14:paraId="240265A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第五条</w:t>
            </w:r>
          </w:p>
        </w:tc>
        <w:tc>
          <w:tcPr>
            <w:tcW w:w="3055" w:type="dxa"/>
            <w:vAlign w:val="center"/>
          </w:tcPr>
          <w:p w14:paraId="0B038361">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产品质量要求</w:t>
            </w:r>
          </w:p>
        </w:tc>
        <w:tc>
          <w:tcPr>
            <w:tcW w:w="1346" w:type="dxa"/>
            <w:vAlign w:val="center"/>
          </w:tcPr>
          <w:p w14:paraId="20D3D87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A22FD0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060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B5412F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1425" w:type="dxa"/>
            <w:vAlign w:val="center"/>
          </w:tcPr>
          <w:p w14:paraId="4367C85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第六条</w:t>
            </w:r>
          </w:p>
        </w:tc>
        <w:tc>
          <w:tcPr>
            <w:tcW w:w="3055" w:type="dxa"/>
            <w:vAlign w:val="center"/>
          </w:tcPr>
          <w:p w14:paraId="7F7DD086">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包装、运输</w:t>
            </w:r>
          </w:p>
        </w:tc>
        <w:tc>
          <w:tcPr>
            <w:tcW w:w="1346" w:type="dxa"/>
            <w:vAlign w:val="center"/>
          </w:tcPr>
          <w:p w14:paraId="18B5AED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D01929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43B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F75AEF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1425" w:type="dxa"/>
            <w:vAlign w:val="center"/>
          </w:tcPr>
          <w:p w14:paraId="10C6BD4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第七条</w:t>
            </w:r>
          </w:p>
        </w:tc>
        <w:tc>
          <w:tcPr>
            <w:tcW w:w="3055" w:type="dxa"/>
            <w:vAlign w:val="center"/>
          </w:tcPr>
          <w:p w14:paraId="335854CA">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保险</w:t>
            </w:r>
          </w:p>
        </w:tc>
        <w:tc>
          <w:tcPr>
            <w:tcW w:w="1346" w:type="dxa"/>
            <w:vAlign w:val="center"/>
          </w:tcPr>
          <w:p w14:paraId="5EB996D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0DD48B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473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1D424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1425" w:type="dxa"/>
            <w:vAlign w:val="center"/>
          </w:tcPr>
          <w:p w14:paraId="3C83AF5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第八条</w:t>
            </w:r>
          </w:p>
        </w:tc>
        <w:tc>
          <w:tcPr>
            <w:tcW w:w="3055" w:type="dxa"/>
            <w:vAlign w:val="center"/>
          </w:tcPr>
          <w:p w14:paraId="22EACD37">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货物的交付</w:t>
            </w:r>
          </w:p>
        </w:tc>
        <w:tc>
          <w:tcPr>
            <w:tcW w:w="1346" w:type="dxa"/>
            <w:vAlign w:val="center"/>
          </w:tcPr>
          <w:p w14:paraId="24CF6F5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4EEB3C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392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A35151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1425" w:type="dxa"/>
            <w:vAlign w:val="center"/>
          </w:tcPr>
          <w:p w14:paraId="5175FA3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第九条</w:t>
            </w:r>
          </w:p>
        </w:tc>
        <w:tc>
          <w:tcPr>
            <w:tcW w:w="3055" w:type="dxa"/>
            <w:vAlign w:val="center"/>
          </w:tcPr>
          <w:p w14:paraId="360C6C3E">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安装、调试</w:t>
            </w:r>
          </w:p>
        </w:tc>
        <w:tc>
          <w:tcPr>
            <w:tcW w:w="1346" w:type="dxa"/>
            <w:vAlign w:val="center"/>
          </w:tcPr>
          <w:p w14:paraId="15A147B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748EC0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C6C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130B2B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1425" w:type="dxa"/>
            <w:vAlign w:val="center"/>
          </w:tcPr>
          <w:p w14:paraId="24449D4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第十条</w:t>
            </w:r>
          </w:p>
        </w:tc>
        <w:tc>
          <w:tcPr>
            <w:tcW w:w="3055" w:type="dxa"/>
            <w:vAlign w:val="center"/>
          </w:tcPr>
          <w:p w14:paraId="77535AC0">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验收</w:t>
            </w:r>
          </w:p>
        </w:tc>
        <w:tc>
          <w:tcPr>
            <w:tcW w:w="1346" w:type="dxa"/>
            <w:vAlign w:val="center"/>
          </w:tcPr>
          <w:p w14:paraId="53CD786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C90DC9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C8A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F137E7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1425" w:type="dxa"/>
            <w:vAlign w:val="center"/>
          </w:tcPr>
          <w:p w14:paraId="39E7C55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第十一条</w:t>
            </w:r>
          </w:p>
        </w:tc>
        <w:tc>
          <w:tcPr>
            <w:tcW w:w="3055" w:type="dxa"/>
            <w:vAlign w:val="center"/>
          </w:tcPr>
          <w:p w14:paraId="0B899AB5">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项目照管</w:t>
            </w:r>
          </w:p>
        </w:tc>
        <w:tc>
          <w:tcPr>
            <w:tcW w:w="1346" w:type="dxa"/>
            <w:vAlign w:val="center"/>
          </w:tcPr>
          <w:p w14:paraId="3900C2E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D421E1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6DF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AAA779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w:t>
            </w:r>
          </w:p>
        </w:tc>
        <w:tc>
          <w:tcPr>
            <w:tcW w:w="1425" w:type="dxa"/>
            <w:vAlign w:val="center"/>
          </w:tcPr>
          <w:p w14:paraId="78BBBC2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第十二条</w:t>
            </w:r>
          </w:p>
        </w:tc>
        <w:tc>
          <w:tcPr>
            <w:tcW w:w="3055" w:type="dxa"/>
            <w:vAlign w:val="center"/>
          </w:tcPr>
          <w:p w14:paraId="552E9A75">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技术服务、设计联络、设计技术要求和培训</w:t>
            </w:r>
          </w:p>
        </w:tc>
        <w:tc>
          <w:tcPr>
            <w:tcW w:w="1346" w:type="dxa"/>
            <w:vAlign w:val="center"/>
          </w:tcPr>
          <w:p w14:paraId="77E8567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749020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93C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08226B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p>
        </w:tc>
        <w:tc>
          <w:tcPr>
            <w:tcW w:w="1425" w:type="dxa"/>
            <w:vAlign w:val="center"/>
          </w:tcPr>
          <w:p w14:paraId="0C14F4A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第十三条</w:t>
            </w:r>
          </w:p>
        </w:tc>
        <w:tc>
          <w:tcPr>
            <w:tcW w:w="3055" w:type="dxa"/>
            <w:vAlign w:val="center"/>
          </w:tcPr>
          <w:p w14:paraId="1AFA9C4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质保期及售后服务</w:t>
            </w:r>
          </w:p>
        </w:tc>
        <w:tc>
          <w:tcPr>
            <w:tcW w:w="1346" w:type="dxa"/>
            <w:vAlign w:val="center"/>
          </w:tcPr>
          <w:p w14:paraId="1B4977E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C89B04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467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8957AE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w:t>
            </w:r>
          </w:p>
        </w:tc>
        <w:tc>
          <w:tcPr>
            <w:tcW w:w="1425" w:type="dxa"/>
            <w:vAlign w:val="center"/>
          </w:tcPr>
          <w:p w14:paraId="0997D2A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第十四条</w:t>
            </w:r>
          </w:p>
        </w:tc>
        <w:tc>
          <w:tcPr>
            <w:tcW w:w="3055" w:type="dxa"/>
            <w:vAlign w:val="center"/>
          </w:tcPr>
          <w:p w14:paraId="2078D3A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安全运维要求</w:t>
            </w:r>
          </w:p>
        </w:tc>
        <w:tc>
          <w:tcPr>
            <w:tcW w:w="1346" w:type="dxa"/>
            <w:vAlign w:val="center"/>
          </w:tcPr>
          <w:p w14:paraId="565D04C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98D7FA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980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26B442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1425" w:type="dxa"/>
            <w:vAlign w:val="center"/>
          </w:tcPr>
          <w:p w14:paraId="0822DEC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第十五条</w:t>
            </w:r>
          </w:p>
        </w:tc>
        <w:tc>
          <w:tcPr>
            <w:tcW w:w="3055" w:type="dxa"/>
            <w:vAlign w:val="center"/>
          </w:tcPr>
          <w:p w14:paraId="3CC9DBE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履约担保</w:t>
            </w:r>
          </w:p>
        </w:tc>
        <w:tc>
          <w:tcPr>
            <w:tcW w:w="1346" w:type="dxa"/>
            <w:vAlign w:val="center"/>
          </w:tcPr>
          <w:p w14:paraId="2706E63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EB9D08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017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3672A0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bookmarkStart w:id="897" w:name="OLE_LINK232"/>
            <w:r>
              <w:rPr>
                <w:rFonts w:hint="eastAsia" w:ascii="宋体" w:hAnsi="宋体" w:eastAsia="宋体" w:cs="宋体"/>
                <w:color w:val="000000" w:themeColor="text1"/>
                <w:kern w:val="0"/>
                <w:szCs w:val="21"/>
                <w:highlight w:val="none"/>
                <w14:textFill>
                  <w14:solidFill>
                    <w14:schemeClr w14:val="tx1"/>
                  </w14:solidFill>
                </w14:textFill>
              </w:rPr>
              <w:t>1</w:t>
            </w:r>
            <w:bookmarkEnd w:id="897"/>
            <w:r>
              <w:rPr>
                <w:rFonts w:hint="eastAsia" w:ascii="宋体" w:hAnsi="宋体" w:eastAsia="宋体" w:cs="宋体"/>
                <w:color w:val="000000" w:themeColor="text1"/>
                <w:kern w:val="0"/>
                <w:szCs w:val="21"/>
                <w:highlight w:val="none"/>
                <w14:textFill>
                  <w14:solidFill>
                    <w14:schemeClr w14:val="tx1"/>
                  </w14:solidFill>
                </w14:textFill>
              </w:rPr>
              <w:t>6</w:t>
            </w:r>
          </w:p>
        </w:tc>
        <w:tc>
          <w:tcPr>
            <w:tcW w:w="1425" w:type="dxa"/>
            <w:vAlign w:val="center"/>
          </w:tcPr>
          <w:p w14:paraId="07C4976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第十六条</w:t>
            </w:r>
          </w:p>
        </w:tc>
        <w:tc>
          <w:tcPr>
            <w:tcW w:w="3055" w:type="dxa"/>
            <w:vAlign w:val="center"/>
          </w:tcPr>
          <w:p w14:paraId="1BF2099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技术资料</w:t>
            </w:r>
          </w:p>
        </w:tc>
        <w:tc>
          <w:tcPr>
            <w:tcW w:w="1346" w:type="dxa"/>
            <w:vAlign w:val="center"/>
          </w:tcPr>
          <w:p w14:paraId="2F679DC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351CE20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5E1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038A31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w:t>
            </w:r>
          </w:p>
        </w:tc>
        <w:tc>
          <w:tcPr>
            <w:tcW w:w="1425" w:type="dxa"/>
            <w:vAlign w:val="center"/>
          </w:tcPr>
          <w:p w14:paraId="67D4FEB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第十七条</w:t>
            </w:r>
          </w:p>
        </w:tc>
        <w:tc>
          <w:tcPr>
            <w:tcW w:w="3055" w:type="dxa"/>
            <w:vAlign w:val="center"/>
          </w:tcPr>
          <w:p w14:paraId="713CCB7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权利保证</w:t>
            </w:r>
          </w:p>
        </w:tc>
        <w:tc>
          <w:tcPr>
            <w:tcW w:w="1346" w:type="dxa"/>
            <w:vAlign w:val="center"/>
          </w:tcPr>
          <w:p w14:paraId="44572A7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F03F52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2DF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463799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w:t>
            </w:r>
          </w:p>
        </w:tc>
        <w:tc>
          <w:tcPr>
            <w:tcW w:w="1425" w:type="dxa"/>
            <w:vAlign w:val="center"/>
          </w:tcPr>
          <w:p w14:paraId="473CB74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第十八条</w:t>
            </w:r>
          </w:p>
        </w:tc>
        <w:tc>
          <w:tcPr>
            <w:tcW w:w="3055" w:type="dxa"/>
            <w:vAlign w:val="center"/>
          </w:tcPr>
          <w:p w14:paraId="7F4EF5D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不可抗力</w:t>
            </w:r>
          </w:p>
        </w:tc>
        <w:tc>
          <w:tcPr>
            <w:tcW w:w="1346" w:type="dxa"/>
            <w:vAlign w:val="center"/>
          </w:tcPr>
          <w:p w14:paraId="1339AF3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703ABB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EB0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4CDAC7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w:t>
            </w:r>
          </w:p>
        </w:tc>
        <w:tc>
          <w:tcPr>
            <w:tcW w:w="1425" w:type="dxa"/>
            <w:vAlign w:val="center"/>
          </w:tcPr>
          <w:p w14:paraId="415D642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第十九条</w:t>
            </w:r>
          </w:p>
        </w:tc>
        <w:tc>
          <w:tcPr>
            <w:tcW w:w="3055" w:type="dxa"/>
            <w:vAlign w:val="center"/>
          </w:tcPr>
          <w:p w14:paraId="36D75A9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索赔</w:t>
            </w:r>
          </w:p>
        </w:tc>
        <w:tc>
          <w:tcPr>
            <w:tcW w:w="1346" w:type="dxa"/>
            <w:vAlign w:val="center"/>
          </w:tcPr>
          <w:p w14:paraId="7EBA744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20C589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D61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4DA07F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w:t>
            </w:r>
          </w:p>
        </w:tc>
        <w:tc>
          <w:tcPr>
            <w:tcW w:w="1425" w:type="dxa"/>
            <w:vAlign w:val="center"/>
          </w:tcPr>
          <w:p w14:paraId="3B6F6CD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第二十条</w:t>
            </w:r>
          </w:p>
        </w:tc>
        <w:tc>
          <w:tcPr>
            <w:tcW w:w="3055" w:type="dxa"/>
            <w:vAlign w:val="center"/>
          </w:tcPr>
          <w:p w14:paraId="3CAE2D3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违约责任</w:t>
            </w:r>
          </w:p>
        </w:tc>
        <w:tc>
          <w:tcPr>
            <w:tcW w:w="1346" w:type="dxa"/>
            <w:vAlign w:val="center"/>
          </w:tcPr>
          <w:p w14:paraId="010AA0E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FCAAD2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062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845E20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w:t>
            </w:r>
          </w:p>
        </w:tc>
        <w:tc>
          <w:tcPr>
            <w:tcW w:w="1425" w:type="dxa"/>
            <w:vAlign w:val="center"/>
          </w:tcPr>
          <w:p w14:paraId="0BFD13B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第二十一条</w:t>
            </w:r>
          </w:p>
        </w:tc>
        <w:tc>
          <w:tcPr>
            <w:tcW w:w="3055" w:type="dxa"/>
            <w:vAlign w:val="center"/>
          </w:tcPr>
          <w:p w14:paraId="06EA1FE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争议解决</w:t>
            </w:r>
          </w:p>
        </w:tc>
        <w:tc>
          <w:tcPr>
            <w:tcW w:w="1346" w:type="dxa"/>
            <w:vAlign w:val="center"/>
          </w:tcPr>
          <w:p w14:paraId="5ED6EB9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619A1D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11B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E88B5A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w:t>
            </w:r>
          </w:p>
        </w:tc>
        <w:tc>
          <w:tcPr>
            <w:tcW w:w="1425" w:type="dxa"/>
            <w:vAlign w:val="center"/>
          </w:tcPr>
          <w:p w14:paraId="3DAE398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bookmarkStart w:id="898" w:name="OLE_LINK119"/>
            <w:r>
              <w:rPr>
                <w:rFonts w:hint="eastAsia" w:ascii="宋体" w:hAnsi="宋体" w:eastAsia="宋体" w:cs="宋体"/>
                <w:color w:val="000000" w:themeColor="text1"/>
                <w:kern w:val="0"/>
                <w:szCs w:val="21"/>
                <w:highlight w:val="none"/>
                <w14:textFill>
                  <w14:solidFill>
                    <w14:schemeClr w14:val="tx1"/>
                  </w14:solidFill>
                </w14:textFill>
              </w:rPr>
              <w:t>第二十二条</w:t>
            </w:r>
            <w:bookmarkEnd w:id="898"/>
          </w:p>
        </w:tc>
        <w:tc>
          <w:tcPr>
            <w:tcW w:w="3055" w:type="dxa"/>
            <w:vAlign w:val="center"/>
          </w:tcPr>
          <w:p w14:paraId="5FE2237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送达</w:t>
            </w:r>
          </w:p>
        </w:tc>
        <w:tc>
          <w:tcPr>
            <w:tcW w:w="1346" w:type="dxa"/>
            <w:vAlign w:val="center"/>
          </w:tcPr>
          <w:p w14:paraId="01789A1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ABC9E8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1E4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492470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w:t>
            </w:r>
          </w:p>
        </w:tc>
        <w:tc>
          <w:tcPr>
            <w:tcW w:w="1425" w:type="dxa"/>
            <w:vAlign w:val="center"/>
          </w:tcPr>
          <w:p w14:paraId="4ABBA37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第二十三条</w:t>
            </w:r>
          </w:p>
        </w:tc>
        <w:tc>
          <w:tcPr>
            <w:tcW w:w="3055" w:type="dxa"/>
            <w:vAlign w:val="center"/>
          </w:tcPr>
          <w:p w14:paraId="1B7BA1C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其他</w:t>
            </w:r>
          </w:p>
        </w:tc>
        <w:tc>
          <w:tcPr>
            <w:tcW w:w="1346" w:type="dxa"/>
            <w:vAlign w:val="center"/>
          </w:tcPr>
          <w:p w14:paraId="70F9AE3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359EA31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BF1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5C8C7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w:t>
            </w:r>
          </w:p>
        </w:tc>
        <w:tc>
          <w:tcPr>
            <w:tcW w:w="1425" w:type="dxa"/>
            <w:vAlign w:val="center"/>
          </w:tcPr>
          <w:p w14:paraId="4E85B01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附件4</w:t>
            </w:r>
          </w:p>
        </w:tc>
        <w:tc>
          <w:tcPr>
            <w:tcW w:w="3055" w:type="dxa"/>
            <w:vAlign w:val="center"/>
          </w:tcPr>
          <w:p w14:paraId="79C1035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安全生产管理协议</w:t>
            </w:r>
          </w:p>
        </w:tc>
        <w:tc>
          <w:tcPr>
            <w:tcW w:w="1346" w:type="dxa"/>
            <w:vAlign w:val="center"/>
          </w:tcPr>
          <w:p w14:paraId="7CA95DF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887C73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055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CF9523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25</w:t>
            </w:r>
          </w:p>
        </w:tc>
        <w:tc>
          <w:tcPr>
            <w:tcW w:w="1425" w:type="dxa"/>
            <w:vAlign w:val="center"/>
          </w:tcPr>
          <w:p w14:paraId="63D3C36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附件5</w:t>
            </w:r>
          </w:p>
        </w:tc>
        <w:tc>
          <w:tcPr>
            <w:tcW w:w="3055" w:type="dxa"/>
            <w:vAlign w:val="center"/>
          </w:tcPr>
          <w:p w14:paraId="4DFBFB7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廉洁协议书</w:t>
            </w:r>
          </w:p>
        </w:tc>
        <w:tc>
          <w:tcPr>
            <w:tcW w:w="1346" w:type="dxa"/>
            <w:vAlign w:val="center"/>
          </w:tcPr>
          <w:p w14:paraId="56EAF52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ECB826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528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EE8206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26</w:t>
            </w:r>
          </w:p>
        </w:tc>
        <w:tc>
          <w:tcPr>
            <w:tcW w:w="1425" w:type="dxa"/>
            <w:vAlign w:val="center"/>
          </w:tcPr>
          <w:p w14:paraId="0A2FF70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附件7</w:t>
            </w:r>
          </w:p>
        </w:tc>
        <w:tc>
          <w:tcPr>
            <w:tcW w:w="3055" w:type="dxa"/>
            <w:vAlign w:val="center"/>
          </w:tcPr>
          <w:p w14:paraId="6D2542D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质量保修保函</w:t>
            </w:r>
          </w:p>
        </w:tc>
        <w:tc>
          <w:tcPr>
            <w:tcW w:w="1346" w:type="dxa"/>
            <w:vAlign w:val="center"/>
          </w:tcPr>
          <w:p w14:paraId="4982879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F97FF4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07C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FA5DFC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27</w:t>
            </w:r>
          </w:p>
        </w:tc>
        <w:tc>
          <w:tcPr>
            <w:tcW w:w="1425" w:type="dxa"/>
            <w:vAlign w:val="center"/>
          </w:tcPr>
          <w:p w14:paraId="5986DC6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一</w:t>
            </w:r>
          </w:p>
        </w:tc>
        <w:tc>
          <w:tcPr>
            <w:tcW w:w="3055" w:type="dxa"/>
            <w:vAlign w:val="center"/>
          </w:tcPr>
          <w:p w14:paraId="25C1AEE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不可撤销银行履约保函</w:t>
            </w:r>
          </w:p>
        </w:tc>
        <w:tc>
          <w:tcPr>
            <w:tcW w:w="1346" w:type="dxa"/>
            <w:vAlign w:val="center"/>
          </w:tcPr>
          <w:p w14:paraId="125FFE8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7B471B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474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40AEAF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28</w:t>
            </w:r>
          </w:p>
        </w:tc>
        <w:tc>
          <w:tcPr>
            <w:tcW w:w="1425" w:type="dxa"/>
            <w:vAlign w:val="center"/>
          </w:tcPr>
          <w:p w14:paraId="51E51FD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二</w:t>
            </w:r>
          </w:p>
        </w:tc>
        <w:tc>
          <w:tcPr>
            <w:tcW w:w="3055" w:type="dxa"/>
            <w:vAlign w:val="center"/>
          </w:tcPr>
          <w:p w14:paraId="5E0406B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履约保证保险凭证</w:t>
            </w:r>
          </w:p>
        </w:tc>
        <w:tc>
          <w:tcPr>
            <w:tcW w:w="1346" w:type="dxa"/>
            <w:vAlign w:val="center"/>
          </w:tcPr>
          <w:p w14:paraId="5B83C6B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96A776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5D4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06664E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29</w:t>
            </w:r>
          </w:p>
        </w:tc>
        <w:tc>
          <w:tcPr>
            <w:tcW w:w="1425" w:type="dxa"/>
            <w:vAlign w:val="center"/>
          </w:tcPr>
          <w:p w14:paraId="2339820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三</w:t>
            </w:r>
          </w:p>
        </w:tc>
        <w:tc>
          <w:tcPr>
            <w:tcW w:w="3055" w:type="dxa"/>
            <w:vAlign w:val="center"/>
          </w:tcPr>
          <w:p w14:paraId="703E227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担保公司履约担保书</w:t>
            </w:r>
          </w:p>
        </w:tc>
        <w:tc>
          <w:tcPr>
            <w:tcW w:w="1346" w:type="dxa"/>
            <w:vAlign w:val="center"/>
          </w:tcPr>
          <w:p w14:paraId="1ABD9DA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755E8E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bl>
    <w:p w14:paraId="45788EF8">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14:paraId="3D119942">
      <w:pPr>
        <w:autoSpaceDE w:val="0"/>
        <w:autoSpaceDN w:val="0"/>
        <w:adjustRightInd w:val="0"/>
        <w:snapToGrid w:val="0"/>
        <w:spacing w:line="360" w:lineRule="auto"/>
        <w:ind w:left="166" w:leftChars="-101" w:hanging="378" w:hangingChars="18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14:paraId="673158A8">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6B232382">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3E162372">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3）招标文件“第五篇 相关保函格式”作为重要的商务条款，投标人的响应情况列入本合同条款偏离表。</w:t>
      </w:r>
    </w:p>
    <w:p w14:paraId="725A9192">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）如投标人差异内容较多可另附页说明，并在本偏离表“具体偏离内容”项注明其在投标文件中的具体页码。</w:t>
      </w:r>
    </w:p>
    <w:p w14:paraId="178F80FB">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7753E93C">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69278AA5">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2CFED2DB">
      <w:pPr>
        <w:spacing w:line="360" w:lineRule="auto"/>
        <w:ind w:right="368" w:rightChars="175" w:firstLine="5355" w:firstLineChars="25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46EBD926">
      <w:pPr>
        <w:autoSpaceDE w:val="0"/>
        <w:autoSpaceDN w:val="0"/>
        <w:adjustRightInd w:val="0"/>
        <w:spacing w:line="360" w:lineRule="auto"/>
        <w:ind w:firstLine="5355" w:firstLineChars="2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60F66C7B">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lang w:val="zh-CN"/>
          <w14:textFill>
            <w14:solidFill>
              <w14:schemeClr w14:val="tx1"/>
            </w14:solidFill>
          </w14:textFill>
        </w:rPr>
        <w:br w:type="page"/>
      </w:r>
      <w:bookmarkStart w:id="899" w:name="_Toc323"/>
      <w:bookmarkStart w:id="900" w:name="_Toc26517"/>
      <w:bookmarkStart w:id="901" w:name="_Toc104991884"/>
      <w:bookmarkStart w:id="902" w:name="_Toc102860082"/>
      <w:bookmarkStart w:id="903" w:name="_Toc2075"/>
      <w:bookmarkStart w:id="904" w:name="_Toc94107218"/>
      <w:bookmarkStart w:id="905" w:name="_Toc142508377"/>
      <w:bookmarkStart w:id="906" w:name="_Toc140596937"/>
      <w:bookmarkStart w:id="907" w:name="_Toc13348"/>
      <w:bookmarkStart w:id="908" w:name="_Toc14361"/>
      <w:bookmarkStart w:id="909" w:name="_Toc102860426"/>
      <w:bookmarkStart w:id="910" w:name="_Toc486167717"/>
      <w:bookmarkStart w:id="911" w:name="_Toc27980_WPSOffice_Level2"/>
      <w:r>
        <w:rPr>
          <w:rFonts w:hint="eastAsia" w:ascii="宋体" w:hAnsi="宋体" w:eastAsia="宋体" w:cs="宋体"/>
          <w:b/>
          <w:bCs/>
          <w:color w:val="000000" w:themeColor="text1"/>
          <w:kern w:val="0"/>
          <w:sz w:val="30"/>
          <w:szCs w:val="30"/>
          <w:highlight w:val="none"/>
          <w14:textFill>
            <w14:solidFill>
              <w14:schemeClr w14:val="tx1"/>
            </w14:solidFill>
          </w14:textFill>
        </w:rPr>
        <w:t>十</w:t>
      </w:r>
      <w:r>
        <w:rPr>
          <w:rFonts w:hint="eastAsia" w:ascii="宋体" w:hAnsi="宋体" w:eastAsia="宋体" w:cs="宋体"/>
          <w:b/>
          <w:color w:val="000000" w:themeColor="text1"/>
          <w:kern w:val="0"/>
          <w:sz w:val="32"/>
          <w:szCs w:val="32"/>
          <w:highlight w:val="none"/>
          <w14:textFill>
            <w14:solidFill>
              <w14:schemeClr w14:val="tx1"/>
            </w14:solidFill>
          </w14:textFill>
        </w:rPr>
        <w:t>、业绩表格式</w:t>
      </w:r>
      <w:bookmarkEnd w:id="899"/>
      <w:bookmarkEnd w:id="900"/>
      <w:bookmarkEnd w:id="901"/>
      <w:bookmarkEnd w:id="902"/>
      <w:bookmarkEnd w:id="903"/>
      <w:bookmarkEnd w:id="904"/>
      <w:bookmarkEnd w:id="905"/>
      <w:bookmarkEnd w:id="906"/>
      <w:bookmarkEnd w:id="907"/>
      <w:bookmarkEnd w:id="908"/>
      <w:bookmarkEnd w:id="909"/>
    </w:p>
    <w:p w14:paraId="68AC972D">
      <w:pPr>
        <w:autoSpaceDE w:val="0"/>
        <w:autoSpaceDN w:val="0"/>
        <w:adjustRightInd w:val="0"/>
        <w:spacing w:line="360" w:lineRule="auto"/>
        <w:ind w:firstLine="602"/>
        <w:jc w:val="center"/>
        <w:rPr>
          <w:rFonts w:ascii="宋体" w:hAnsi="宋体" w:eastAsia="宋体" w:cs="Times New Roman"/>
          <w:b/>
          <w:bCs/>
          <w:color w:val="000000" w:themeColor="text1"/>
          <w:sz w:val="30"/>
          <w:szCs w:val="30"/>
          <w:highlight w:val="none"/>
          <w:lang w:val="zh-CN"/>
          <w14:textFill>
            <w14:solidFill>
              <w14:schemeClr w14:val="tx1"/>
            </w14:solidFill>
          </w14:textFill>
        </w:rPr>
      </w:pPr>
      <w:bookmarkStart w:id="912" w:name="OLE_LINK124"/>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投标人</w:t>
      </w:r>
      <w:r>
        <w:rPr>
          <w:rFonts w:hint="eastAsia" w:ascii="宋体" w:hAnsi="宋体" w:eastAsia="宋体" w:cs="Times New Roman"/>
          <w:b/>
          <w:bCs/>
          <w:color w:val="000000" w:themeColor="text1"/>
          <w:sz w:val="30"/>
          <w:szCs w:val="30"/>
          <w:highlight w:val="none"/>
          <w14:textFill>
            <w14:solidFill>
              <w14:schemeClr w14:val="tx1"/>
            </w14:solidFill>
          </w14:textFill>
        </w:rPr>
        <w:t>2019</w:t>
      </w:r>
      <w:r>
        <w:rPr>
          <w:rFonts w:hint="eastAsia" w:ascii="宋体" w:hAnsi="宋体" w:eastAsia="宋体" w:cs="Times New Roman"/>
          <w:b/>
          <w:bCs/>
          <w:color w:val="000000" w:themeColor="text1"/>
          <w:sz w:val="30"/>
          <w:szCs w:val="30"/>
          <w:highlight w:val="none"/>
          <w:lang w:val="zh-CN"/>
          <w14:textFill>
            <w14:solidFill>
              <w14:schemeClr w14:val="tx1"/>
            </w14:solidFill>
          </w14:textFill>
        </w:rPr>
        <w:t>年</w:t>
      </w:r>
      <w:r>
        <w:rPr>
          <w:rFonts w:hint="eastAsia" w:ascii="宋体" w:hAnsi="宋体" w:eastAsia="宋体" w:cs="Times New Roman"/>
          <w:b/>
          <w:bCs/>
          <w:color w:val="000000" w:themeColor="text1"/>
          <w:sz w:val="30"/>
          <w:szCs w:val="30"/>
          <w:highlight w:val="none"/>
          <w14:textFill>
            <w14:solidFill>
              <w14:schemeClr w14:val="tx1"/>
            </w14:solidFill>
          </w14:textFill>
        </w:rPr>
        <w:t>1</w:t>
      </w:r>
      <w:r>
        <w:rPr>
          <w:rFonts w:hint="eastAsia" w:ascii="宋体" w:hAnsi="宋体" w:eastAsia="宋体" w:cs="Times New Roman"/>
          <w:b/>
          <w:bCs/>
          <w:color w:val="000000" w:themeColor="text1"/>
          <w:sz w:val="30"/>
          <w:szCs w:val="30"/>
          <w:highlight w:val="none"/>
          <w:lang w:val="zh-CN"/>
          <w14:textFill>
            <w14:solidFill>
              <w14:schemeClr w14:val="tx1"/>
            </w14:solidFill>
          </w14:textFill>
        </w:rPr>
        <w:t>月</w:t>
      </w:r>
      <w:r>
        <w:rPr>
          <w:rFonts w:hint="eastAsia" w:ascii="宋体" w:hAnsi="宋体" w:eastAsia="宋体" w:cs="Times New Roman"/>
          <w:b/>
          <w:bCs/>
          <w:color w:val="000000" w:themeColor="text1"/>
          <w:sz w:val="30"/>
          <w:szCs w:val="30"/>
          <w:highlight w:val="none"/>
          <w14:textFill>
            <w14:solidFill>
              <w14:schemeClr w14:val="tx1"/>
            </w14:solidFill>
          </w14:textFill>
        </w:rPr>
        <w:t>1</w:t>
      </w:r>
      <w:r>
        <w:rPr>
          <w:rFonts w:hint="eastAsia" w:ascii="宋体" w:hAnsi="宋体" w:eastAsia="宋体" w:cs="Times New Roman"/>
          <w:b/>
          <w:bCs/>
          <w:color w:val="000000" w:themeColor="text1"/>
          <w:sz w:val="30"/>
          <w:szCs w:val="30"/>
          <w:highlight w:val="none"/>
          <w:lang w:val="zh-CN"/>
          <w14:textFill>
            <w14:solidFill>
              <w14:schemeClr w14:val="tx1"/>
            </w14:solidFill>
          </w14:textFill>
        </w:rPr>
        <w:t>日</w:t>
      </w:r>
      <w:r>
        <w:rPr>
          <w:rFonts w:hint="eastAsia" w:ascii="宋体" w:hAnsi="宋体" w:eastAsia="宋体" w:cs="Times New Roman"/>
          <w:b/>
          <w:bCs/>
          <w:color w:val="000000" w:themeColor="text1"/>
          <w:sz w:val="30"/>
          <w:szCs w:val="30"/>
          <w:highlight w:val="none"/>
          <w14:textFill>
            <w14:solidFill>
              <w14:schemeClr w14:val="tx1"/>
            </w14:solidFill>
          </w14:textFill>
        </w:rPr>
        <w:t>以来</w:t>
      </w:r>
      <w:r>
        <w:rPr>
          <w:rFonts w:hint="eastAsia" w:ascii="宋体" w:hAnsi="宋体" w:eastAsia="宋体" w:cs="Times New Roman"/>
          <w:b/>
          <w:bCs/>
          <w:color w:val="000000" w:themeColor="text1"/>
          <w:sz w:val="30"/>
          <w:szCs w:val="30"/>
          <w:highlight w:val="none"/>
          <w:lang w:val="zh-CN"/>
          <w14:textFill>
            <w14:solidFill>
              <w14:schemeClr w14:val="tx1"/>
            </w14:solidFill>
          </w14:textFill>
        </w:rPr>
        <w:t>完成的屋顶分布式光伏发电业绩表</w:t>
      </w:r>
    </w:p>
    <w:bookmarkEnd w:id="912"/>
    <w:p w14:paraId="40309A26">
      <w:pPr>
        <w:autoSpaceDE w:val="0"/>
        <w:autoSpaceDN w:val="0"/>
        <w:adjustRightInd w:val="0"/>
        <w:spacing w:line="360" w:lineRule="auto"/>
        <w:ind w:firstLine="602"/>
        <w:jc w:val="center"/>
        <w:rPr>
          <w:rFonts w:ascii="宋体" w:hAnsi="宋体" w:eastAsia="宋体" w:cs="Times New Roman"/>
          <w:b/>
          <w:bCs/>
          <w:color w:val="000000" w:themeColor="text1"/>
          <w:sz w:val="30"/>
          <w:szCs w:val="30"/>
          <w:highlight w:val="none"/>
          <w14:textFill>
            <w14:solidFill>
              <w14:schemeClr w14:val="tx1"/>
            </w14:solidFill>
          </w14:textFill>
        </w:rPr>
      </w:pPr>
    </w:p>
    <w:tbl>
      <w:tblPr>
        <w:tblStyle w:val="37"/>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4"/>
        <w:gridCol w:w="755"/>
        <w:gridCol w:w="984"/>
        <w:gridCol w:w="961"/>
        <w:gridCol w:w="1250"/>
        <w:gridCol w:w="1250"/>
        <w:gridCol w:w="754"/>
        <w:gridCol w:w="754"/>
        <w:gridCol w:w="691"/>
        <w:gridCol w:w="733"/>
        <w:gridCol w:w="965"/>
        <w:gridCol w:w="633"/>
      </w:tblGrid>
      <w:tr w14:paraId="646D5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06" w:type="pct"/>
            <w:tcBorders>
              <w:top w:val="single" w:color="auto" w:sz="4" w:space="0"/>
              <w:left w:val="single" w:color="auto" w:sz="4" w:space="0"/>
              <w:bottom w:val="single" w:color="auto" w:sz="4" w:space="0"/>
              <w:right w:val="single" w:color="auto" w:sz="4" w:space="0"/>
            </w:tcBorders>
            <w:vAlign w:val="center"/>
          </w:tcPr>
          <w:p w14:paraId="239686DD">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序号</w:t>
            </w:r>
          </w:p>
        </w:tc>
        <w:tc>
          <w:tcPr>
            <w:tcW w:w="364" w:type="pct"/>
            <w:tcBorders>
              <w:top w:val="single" w:color="auto" w:sz="4" w:space="0"/>
              <w:left w:val="single" w:color="auto" w:sz="4" w:space="0"/>
              <w:bottom w:val="single" w:color="auto" w:sz="4" w:space="0"/>
              <w:right w:val="single" w:color="auto" w:sz="4" w:space="0"/>
            </w:tcBorders>
            <w:vAlign w:val="center"/>
          </w:tcPr>
          <w:p w14:paraId="60C084B4">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项目</w:t>
            </w:r>
          </w:p>
          <w:p w14:paraId="54AFE4FA">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名称</w:t>
            </w:r>
          </w:p>
        </w:tc>
        <w:tc>
          <w:tcPr>
            <w:tcW w:w="474" w:type="pct"/>
            <w:tcBorders>
              <w:top w:val="single" w:color="auto" w:sz="4" w:space="0"/>
              <w:left w:val="single" w:color="auto" w:sz="4" w:space="0"/>
              <w:bottom w:val="single" w:color="auto" w:sz="4" w:space="0"/>
              <w:right w:val="single" w:color="auto" w:sz="4" w:space="0"/>
            </w:tcBorders>
            <w:vAlign w:val="center"/>
          </w:tcPr>
          <w:p w14:paraId="7AF020C3">
            <w:pPr>
              <w:autoSpaceDE w:val="0"/>
              <w:autoSpaceDN w:val="0"/>
              <w:adjustRightIn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合同标的货物名称</w:t>
            </w:r>
          </w:p>
        </w:tc>
        <w:tc>
          <w:tcPr>
            <w:tcW w:w="463" w:type="pct"/>
            <w:tcBorders>
              <w:top w:val="single" w:color="auto" w:sz="4" w:space="0"/>
              <w:left w:val="single" w:color="auto" w:sz="4" w:space="0"/>
              <w:bottom w:val="single" w:color="auto" w:sz="4" w:space="0"/>
              <w:right w:val="single" w:color="auto" w:sz="4" w:space="0"/>
            </w:tcBorders>
            <w:vAlign w:val="center"/>
          </w:tcPr>
          <w:p w14:paraId="6925BFCA">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合同标的货物品牌</w:t>
            </w:r>
          </w:p>
        </w:tc>
        <w:tc>
          <w:tcPr>
            <w:tcW w:w="602" w:type="pct"/>
            <w:tcBorders>
              <w:top w:val="single" w:color="auto" w:sz="4" w:space="0"/>
              <w:left w:val="single" w:color="auto" w:sz="4" w:space="0"/>
              <w:bottom w:val="single" w:color="auto" w:sz="4" w:space="0"/>
              <w:right w:val="single" w:color="auto" w:sz="4" w:space="0"/>
            </w:tcBorders>
            <w:vAlign w:val="center"/>
          </w:tcPr>
          <w:p w14:paraId="683B9866">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合同标的货物数量</w:t>
            </w:r>
          </w:p>
        </w:tc>
        <w:tc>
          <w:tcPr>
            <w:tcW w:w="602" w:type="pct"/>
            <w:tcBorders>
              <w:top w:val="single" w:color="auto" w:sz="4" w:space="0"/>
              <w:left w:val="single" w:color="auto" w:sz="4" w:space="0"/>
              <w:bottom w:val="single" w:color="auto" w:sz="4" w:space="0"/>
              <w:right w:val="single" w:color="auto" w:sz="4" w:space="0"/>
            </w:tcBorders>
            <w:vAlign w:val="center"/>
          </w:tcPr>
          <w:p w14:paraId="51527019">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单项合同</w:t>
            </w:r>
          </w:p>
          <w:p w14:paraId="62A35043">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金额（单位：万元）</w:t>
            </w:r>
          </w:p>
        </w:tc>
        <w:tc>
          <w:tcPr>
            <w:tcW w:w="363" w:type="pct"/>
            <w:tcBorders>
              <w:top w:val="single" w:color="auto" w:sz="4" w:space="0"/>
              <w:left w:val="single" w:color="auto" w:sz="4" w:space="0"/>
              <w:bottom w:val="single" w:color="auto" w:sz="4" w:space="0"/>
              <w:right w:val="single" w:color="auto" w:sz="4" w:space="0"/>
            </w:tcBorders>
            <w:vAlign w:val="center"/>
          </w:tcPr>
          <w:p w14:paraId="2E4B0ABC">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bookmarkStart w:id="913" w:name="OLE_LINK128"/>
            <w:r>
              <w:rPr>
                <w:rFonts w:hint="eastAsia" w:ascii="宋体" w:hAnsi="宋体" w:eastAsia="宋体" w:cs="Times New Roman"/>
                <w:color w:val="000000" w:themeColor="text1"/>
                <w:kern w:val="0"/>
                <w:szCs w:val="21"/>
                <w:highlight w:val="none"/>
                <w:lang w:val="zh-CN"/>
                <w14:textFill>
                  <w14:solidFill>
                    <w14:schemeClr w14:val="tx1"/>
                  </w14:solidFill>
                </w14:textFill>
              </w:rPr>
              <w:t>单项合同总装机容量</w:t>
            </w:r>
            <w:bookmarkEnd w:id="913"/>
          </w:p>
        </w:tc>
        <w:tc>
          <w:tcPr>
            <w:tcW w:w="363" w:type="pct"/>
            <w:tcBorders>
              <w:top w:val="single" w:color="auto" w:sz="4" w:space="0"/>
              <w:left w:val="single" w:color="auto" w:sz="4" w:space="0"/>
              <w:bottom w:val="single" w:color="auto" w:sz="4" w:space="0"/>
              <w:right w:val="single" w:color="auto" w:sz="4" w:space="0"/>
            </w:tcBorders>
            <w:vAlign w:val="center"/>
          </w:tcPr>
          <w:p w14:paraId="0FE79375">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合同期限</w:t>
            </w:r>
          </w:p>
        </w:tc>
        <w:tc>
          <w:tcPr>
            <w:tcW w:w="333" w:type="pct"/>
            <w:tcBorders>
              <w:top w:val="single" w:color="auto" w:sz="4" w:space="0"/>
              <w:left w:val="single" w:color="auto" w:sz="4" w:space="0"/>
              <w:bottom w:val="single" w:color="auto" w:sz="4" w:space="0"/>
              <w:right w:val="single" w:color="auto" w:sz="4" w:space="0"/>
            </w:tcBorders>
            <w:vAlign w:val="center"/>
          </w:tcPr>
          <w:p w14:paraId="4210BC15">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签约</w:t>
            </w:r>
          </w:p>
          <w:p w14:paraId="170C3D89">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日期</w:t>
            </w:r>
          </w:p>
        </w:tc>
        <w:tc>
          <w:tcPr>
            <w:tcW w:w="353" w:type="pct"/>
            <w:tcBorders>
              <w:top w:val="single" w:color="auto" w:sz="4" w:space="0"/>
              <w:left w:val="single" w:color="auto" w:sz="4" w:space="0"/>
              <w:bottom w:val="single" w:color="auto" w:sz="4" w:space="0"/>
              <w:right w:val="single" w:color="auto" w:sz="4" w:space="0"/>
            </w:tcBorders>
            <w:vAlign w:val="center"/>
          </w:tcPr>
          <w:p w14:paraId="4BA16452">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完成</w:t>
            </w:r>
          </w:p>
          <w:p w14:paraId="0992766F">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情况</w:t>
            </w:r>
          </w:p>
        </w:tc>
        <w:tc>
          <w:tcPr>
            <w:tcW w:w="465" w:type="pct"/>
            <w:tcBorders>
              <w:top w:val="single" w:color="auto" w:sz="4" w:space="0"/>
              <w:left w:val="single" w:color="auto" w:sz="4" w:space="0"/>
              <w:bottom w:val="single" w:color="auto" w:sz="4" w:space="0"/>
              <w:right w:val="single" w:color="auto" w:sz="4" w:space="0"/>
            </w:tcBorders>
            <w:vAlign w:val="center"/>
          </w:tcPr>
          <w:p w14:paraId="52D62F3A">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买方单位联系人及电话</w:t>
            </w:r>
          </w:p>
        </w:tc>
        <w:tc>
          <w:tcPr>
            <w:tcW w:w="305" w:type="pct"/>
            <w:tcBorders>
              <w:top w:val="single" w:color="auto" w:sz="4" w:space="0"/>
              <w:left w:val="single" w:color="auto" w:sz="4" w:space="0"/>
              <w:bottom w:val="single" w:color="auto" w:sz="4" w:space="0"/>
              <w:right w:val="single" w:color="auto" w:sz="4" w:space="0"/>
            </w:tcBorders>
            <w:vAlign w:val="center"/>
          </w:tcPr>
          <w:p w14:paraId="7DDEB908">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备注</w:t>
            </w:r>
          </w:p>
        </w:tc>
      </w:tr>
      <w:tr w14:paraId="22CBC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06" w:type="pct"/>
            <w:tcBorders>
              <w:top w:val="single" w:color="auto" w:sz="4" w:space="0"/>
              <w:left w:val="single" w:color="auto" w:sz="4" w:space="0"/>
              <w:bottom w:val="single" w:color="auto" w:sz="4" w:space="0"/>
              <w:right w:val="single" w:color="auto" w:sz="4" w:space="0"/>
            </w:tcBorders>
            <w:vAlign w:val="center"/>
          </w:tcPr>
          <w:p w14:paraId="519C4A3C">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1</w:t>
            </w:r>
          </w:p>
        </w:tc>
        <w:tc>
          <w:tcPr>
            <w:tcW w:w="364" w:type="pct"/>
            <w:tcBorders>
              <w:top w:val="single" w:color="auto" w:sz="4" w:space="0"/>
              <w:left w:val="single" w:color="auto" w:sz="4" w:space="0"/>
              <w:bottom w:val="single" w:color="auto" w:sz="4" w:space="0"/>
              <w:right w:val="single" w:color="auto" w:sz="4" w:space="0"/>
            </w:tcBorders>
            <w:vAlign w:val="center"/>
          </w:tcPr>
          <w:p w14:paraId="73D8C28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74" w:type="pct"/>
            <w:tcBorders>
              <w:top w:val="single" w:color="auto" w:sz="4" w:space="0"/>
              <w:left w:val="single" w:color="auto" w:sz="4" w:space="0"/>
              <w:bottom w:val="single" w:color="auto" w:sz="4" w:space="0"/>
              <w:right w:val="single" w:color="auto" w:sz="4" w:space="0"/>
            </w:tcBorders>
            <w:vAlign w:val="center"/>
          </w:tcPr>
          <w:p w14:paraId="5DAC847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3E63DDE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02" w:type="pct"/>
            <w:tcBorders>
              <w:top w:val="single" w:color="auto" w:sz="4" w:space="0"/>
              <w:left w:val="single" w:color="auto" w:sz="4" w:space="0"/>
              <w:bottom w:val="single" w:color="auto" w:sz="4" w:space="0"/>
              <w:right w:val="single" w:color="auto" w:sz="4" w:space="0"/>
            </w:tcBorders>
            <w:vAlign w:val="center"/>
          </w:tcPr>
          <w:p w14:paraId="18455BC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02" w:type="pct"/>
            <w:tcBorders>
              <w:top w:val="single" w:color="auto" w:sz="4" w:space="0"/>
              <w:left w:val="single" w:color="auto" w:sz="4" w:space="0"/>
              <w:bottom w:val="single" w:color="auto" w:sz="4" w:space="0"/>
              <w:right w:val="single" w:color="auto" w:sz="4" w:space="0"/>
            </w:tcBorders>
            <w:vAlign w:val="center"/>
          </w:tcPr>
          <w:p w14:paraId="37DEF89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3" w:type="pct"/>
            <w:tcBorders>
              <w:top w:val="single" w:color="auto" w:sz="4" w:space="0"/>
              <w:left w:val="single" w:color="auto" w:sz="4" w:space="0"/>
              <w:bottom w:val="single" w:color="auto" w:sz="4" w:space="0"/>
              <w:right w:val="single" w:color="auto" w:sz="4" w:space="0"/>
            </w:tcBorders>
          </w:tcPr>
          <w:p w14:paraId="7FF2EEF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3" w:type="pct"/>
            <w:tcBorders>
              <w:top w:val="single" w:color="auto" w:sz="4" w:space="0"/>
              <w:left w:val="single" w:color="auto" w:sz="4" w:space="0"/>
              <w:bottom w:val="single" w:color="auto" w:sz="4" w:space="0"/>
              <w:right w:val="single" w:color="auto" w:sz="4" w:space="0"/>
            </w:tcBorders>
          </w:tcPr>
          <w:p w14:paraId="25C6C2E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33" w:type="pct"/>
            <w:tcBorders>
              <w:top w:val="single" w:color="auto" w:sz="4" w:space="0"/>
              <w:left w:val="single" w:color="auto" w:sz="4" w:space="0"/>
              <w:bottom w:val="single" w:color="auto" w:sz="4" w:space="0"/>
              <w:right w:val="single" w:color="auto" w:sz="4" w:space="0"/>
            </w:tcBorders>
            <w:vAlign w:val="center"/>
          </w:tcPr>
          <w:p w14:paraId="5530599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53" w:type="pct"/>
            <w:tcBorders>
              <w:top w:val="single" w:color="auto" w:sz="4" w:space="0"/>
              <w:left w:val="single" w:color="auto" w:sz="4" w:space="0"/>
              <w:bottom w:val="single" w:color="auto" w:sz="4" w:space="0"/>
              <w:right w:val="single" w:color="auto" w:sz="4" w:space="0"/>
            </w:tcBorders>
            <w:vAlign w:val="center"/>
          </w:tcPr>
          <w:p w14:paraId="3AEA7DE7">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vAlign w:val="center"/>
          </w:tcPr>
          <w:p w14:paraId="50ECE4A7">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05" w:type="pct"/>
            <w:tcBorders>
              <w:top w:val="single" w:color="auto" w:sz="4" w:space="0"/>
              <w:left w:val="single" w:color="auto" w:sz="4" w:space="0"/>
              <w:bottom w:val="single" w:color="auto" w:sz="4" w:space="0"/>
              <w:right w:val="single" w:color="auto" w:sz="4" w:space="0"/>
            </w:tcBorders>
            <w:vAlign w:val="center"/>
          </w:tcPr>
          <w:p w14:paraId="2B0CBD6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19C0D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06" w:type="pct"/>
            <w:tcBorders>
              <w:top w:val="single" w:color="auto" w:sz="4" w:space="0"/>
              <w:left w:val="single" w:color="auto" w:sz="4" w:space="0"/>
              <w:bottom w:val="single" w:color="auto" w:sz="4" w:space="0"/>
              <w:right w:val="single" w:color="auto" w:sz="4" w:space="0"/>
            </w:tcBorders>
            <w:vAlign w:val="center"/>
          </w:tcPr>
          <w:p w14:paraId="7DCB79EE">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2</w:t>
            </w:r>
          </w:p>
        </w:tc>
        <w:tc>
          <w:tcPr>
            <w:tcW w:w="364" w:type="pct"/>
            <w:tcBorders>
              <w:top w:val="single" w:color="auto" w:sz="4" w:space="0"/>
              <w:left w:val="single" w:color="auto" w:sz="4" w:space="0"/>
              <w:bottom w:val="single" w:color="auto" w:sz="4" w:space="0"/>
              <w:right w:val="single" w:color="auto" w:sz="4" w:space="0"/>
            </w:tcBorders>
            <w:vAlign w:val="center"/>
          </w:tcPr>
          <w:p w14:paraId="02119A4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74" w:type="pct"/>
            <w:tcBorders>
              <w:top w:val="single" w:color="auto" w:sz="4" w:space="0"/>
              <w:left w:val="single" w:color="auto" w:sz="4" w:space="0"/>
              <w:bottom w:val="single" w:color="auto" w:sz="4" w:space="0"/>
              <w:right w:val="single" w:color="auto" w:sz="4" w:space="0"/>
            </w:tcBorders>
            <w:vAlign w:val="center"/>
          </w:tcPr>
          <w:p w14:paraId="785817D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6696831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02" w:type="pct"/>
            <w:tcBorders>
              <w:top w:val="single" w:color="auto" w:sz="4" w:space="0"/>
              <w:left w:val="single" w:color="auto" w:sz="4" w:space="0"/>
              <w:bottom w:val="single" w:color="auto" w:sz="4" w:space="0"/>
              <w:right w:val="single" w:color="auto" w:sz="4" w:space="0"/>
            </w:tcBorders>
            <w:vAlign w:val="center"/>
          </w:tcPr>
          <w:p w14:paraId="37301C4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02" w:type="pct"/>
            <w:tcBorders>
              <w:top w:val="single" w:color="auto" w:sz="4" w:space="0"/>
              <w:left w:val="single" w:color="auto" w:sz="4" w:space="0"/>
              <w:bottom w:val="single" w:color="auto" w:sz="4" w:space="0"/>
              <w:right w:val="single" w:color="auto" w:sz="4" w:space="0"/>
            </w:tcBorders>
            <w:vAlign w:val="center"/>
          </w:tcPr>
          <w:p w14:paraId="4BBA244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3" w:type="pct"/>
            <w:tcBorders>
              <w:top w:val="single" w:color="auto" w:sz="4" w:space="0"/>
              <w:left w:val="single" w:color="auto" w:sz="4" w:space="0"/>
              <w:bottom w:val="single" w:color="auto" w:sz="4" w:space="0"/>
              <w:right w:val="single" w:color="auto" w:sz="4" w:space="0"/>
            </w:tcBorders>
          </w:tcPr>
          <w:p w14:paraId="3F0F09D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3" w:type="pct"/>
            <w:tcBorders>
              <w:top w:val="single" w:color="auto" w:sz="4" w:space="0"/>
              <w:left w:val="single" w:color="auto" w:sz="4" w:space="0"/>
              <w:bottom w:val="single" w:color="auto" w:sz="4" w:space="0"/>
              <w:right w:val="single" w:color="auto" w:sz="4" w:space="0"/>
            </w:tcBorders>
          </w:tcPr>
          <w:p w14:paraId="3EF8761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33" w:type="pct"/>
            <w:tcBorders>
              <w:top w:val="single" w:color="auto" w:sz="4" w:space="0"/>
              <w:left w:val="single" w:color="auto" w:sz="4" w:space="0"/>
              <w:bottom w:val="single" w:color="auto" w:sz="4" w:space="0"/>
              <w:right w:val="single" w:color="auto" w:sz="4" w:space="0"/>
            </w:tcBorders>
            <w:vAlign w:val="center"/>
          </w:tcPr>
          <w:p w14:paraId="5CD6F7B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53" w:type="pct"/>
            <w:tcBorders>
              <w:top w:val="single" w:color="auto" w:sz="4" w:space="0"/>
              <w:left w:val="single" w:color="auto" w:sz="4" w:space="0"/>
              <w:bottom w:val="single" w:color="auto" w:sz="4" w:space="0"/>
              <w:right w:val="single" w:color="auto" w:sz="4" w:space="0"/>
            </w:tcBorders>
            <w:vAlign w:val="center"/>
          </w:tcPr>
          <w:p w14:paraId="3DE9290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vAlign w:val="center"/>
          </w:tcPr>
          <w:p w14:paraId="34D6CDD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05" w:type="pct"/>
            <w:tcBorders>
              <w:top w:val="single" w:color="auto" w:sz="4" w:space="0"/>
              <w:left w:val="single" w:color="auto" w:sz="4" w:space="0"/>
              <w:bottom w:val="single" w:color="auto" w:sz="4" w:space="0"/>
              <w:right w:val="single" w:color="auto" w:sz="4" w:space="0"/>
            </w:tcBorders>
            <w:vAlign w:val="center"/>
          </w:tcPr>
          <w:p w14:paraId="2FA2F5E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0B031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06" w:type="pct"/>
            <w:tcBorders>
              <w:top w:val="single" w:color="auto" w:sz="4" w:space="0"/>
              <w:left w:val="single" w:color="auto" w:sz="4" w:space="0"/>
              <w:bottom w:val="single" w:color="auto" w:sz="4" w:space="0"/>
              <w:right w:val="single" w:color="auto" w:sz="4" w:space="0"/>
            </w:tcBorders>
            <w:vAlign w:val="center"/>
          </w:tcPr>
          <w:p w14:paraId="164A965B">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3</w:t>
            </w:r>
          </w:p>
        </w:tc>
        <w:tc>
          <w:tcPr>
            <w:tcW w:w="364" w:type="pct"/>
            <w:tcBorders>
              <w:top w:val="single" w:color="auto" w:sz="4" w:space="0"/>
              <w:left w:val="single" w:color="auto" w:sz="4" w:space="0"/>
              <w:bottom w:val="single" w:color="auto" w:sz="4" w:space="0"/>
              <w:right w:val="single" w:color="auto" w:sz="4" w:space="0"/>
            </w:tcBorders>
            <w:vAlign w:val="center"/>
          </w:tcPr>
          <w:p w14:paraId="4676DF0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74" w:type="pct"/>
            <w:tcBorders>
              <w:top w:val="single" w:color="auto" w:sz="4" w:space="0"/>
              <w:left w:val="single" w:color="auto" w:sz="4" w:space="0"/>
              <w:bottom w:val="single" w:color="auto" w:sz="4" w:space="0"/>
              <w:right w:val="single" w:color="auto" w:sz="4" w:space="0"/>
            </w:tcBorders>
            <w:vAlign w:val="center"/>
          </w:tcPr>
          <w:p w14:paraId="5956CB5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71C37A2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02" w:type="pct"/>
            <w:tcBorders>
              <w:top w:val="single" w:color="auto" w:sz="4" w:space="0"/>
              <w:left w:val="single" w:color="auto" w:sz="4" w:space="0"/>
              <w:bottom w:val="single" w:color="auto" w:sz="4" w:space="0"/>
              <w:right w:val="single" w:color="auto" w:sz="4" w:space="0"/>
            </w:tcBorders>
            <w:vAlign w:val="center"/>
          </w:tcPr>
          <w:p w14:paraId="733146A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02" w:type="pct"/>
            <w:tcBorders>
              <w:top w:val="single" w:color="auto" w:sz="4" w:space="0"/>
              <w:left w:val="single" w:color="auto" w:sz="4" w:space="0"/>
              <w:bottom w:val="single" w:color="auto" w:sz="4" w:space="0"/>
              <w:right w:val="single" w:color="auto" w:sz="4" w:space="0"/>
            </w:tcBorders>
            <w:vAlign w:val="center"/>
          </w:tcPr>
          <w:p w14:paraId="4470B93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3" w:type="pct"/>
            <w:tcBorders>
              <w:top w:val="single" w:color="auto" w:sz="4" w:space="0"/>
              <w:left w:val="single" w:color="auto" w:sz="4" w:space="0"/>
              <w:bottom w:val="single" w:color="auto" w:sz="4" w:space="0"/>
              <w:right w:val="single" w:color="auto" w:sz="4" w:space="0"/>
            </w:tcBorders>
          </w:tcPr>
          <w:p w14:paraId="337DEAD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3" w:type="pct"/>
            <w:tcBorders>
              <w:top w:val="single" w:color="auto" w:sz="4" w:space="0"/>
              <w:left w:val="single" w:color="auto" w:sz="4" w:space="0"/>
              <w:bottom w:val="single" w:color="auto" w:sz="4" w:space="0"/>
              <w:right w:val="single" w:color="auto" w:sz="4" w:space="0"/>
            </w:tcBorders>
          </w:tcPr>
          <w:p w14:paraId="00A60F2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33" w:type="pct"/>
            <w:tcBorders>
              <w:top w:val="single" w:color="auto" w:sz="4" w:space="0"/>
              <w:left w:val="single" w:color="auto" w:sz="4" w:space="0"/>
              <w:bottom w:val="single" w:color="auto" w:sz="4" w:space="0"/>
              <w:right w:val="single" w:color="auto" w:sz="4" w:space="0"/>
            </w:tcBorders>
            <w:vAlign w:val="center"/>
          </w:tcPr>
          <w:p w14:paraId="7D9EDEC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53" w:type="pct"/>
            <w:tcBorders>
              <w:top w:val="single" w:color="auto" w:sz="4" w:space="0"/>
              <w:left w:val="single" w:color="auto" w:sz="4" w:space="0"/>
              <w:bottom w:val="single" w:color="auto" w:sz="4" w:space="0"/>
              <w:right w:val="single" w:color="auto" w:sz="4" w:space="0"/>
            </w:tcBorders>
            <w:vAlign w:val="center"/>
          </w:tcPr>
          <w:p w14:paraId="52D5027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vAlign w:val="center"/>
          </w:tcPr>
          <w:p w14:paraId="50CD290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05" w:type="pct"/>
            <w:tcBorders>
              <w:top w:val="single" w:color="auto" w:sz="4" w:space="0"/>
              <w:left w:val="single" w:color="auto" w:sz="4" w:space="0"/>
              <w:bottom w:val="single" w:color="auto" w:sz="4" w:space="0"/>
              <w:right w:val="single" w:color="auto" w:sz="4" w:space="0"/>
            </w:tcBorders>
            <w:vAlign w:val="center"/>
          </w:tcPr>
          <w:p w14:paraId="69AC1DE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5E4B7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06" w:type="pct"/>
            <w:tcBorders>
              <w:top w:val="single" w:color="auto" w:sz="4" w:space="0"/>
              <w:left w:val="single" w:color="auto" w:sz="4" w:space="0"/>
              <w:bottom w:val="single" w:color="auto" w:sz="4" w:space="0"/>
              <w:right w:val="single" w:color="auto" w:sz="4" w:space="0"/>
            </w:tcBorders>
            <w:vAlign w:val="center"/>
          </w:tcPr>
          <w:p w14:paraId="0FD2007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Courier New"/>
                <w:color w:val="000000" w:themeColor="text1"/>
                <w:kern w:val="0"/>
                <w:szCs w:val="21"/>
                <w:highlight w:val="none"/>
                <w14:textFill>
                  <w14:solidFill>
                    <w14:schemeClr w14:val="tx1"/>
                  </w14:solidFill>
                </w14:textFill>
              </w:rPr>
              <w:t>…</w:t>
            </w:r>
          </w:p>
        </w:tc>
        <w:tc>
          <w:tcPr>
            <w:tcW w:w="364" w:type="pct"/>
            <w:tcBorders>
              <w:top w:val="single" w:color="auto" w:sz="4" w:space="0"/>
              <w:left w:val="single" w:color="auto" w:sz="4" w:space="0"/>
              <w:bottom w:val="single" w:color="auto" w:sz="4" w:space="0"/>
              <w:right w:val="single" w:color="auto" w:sz="4" w:space="0"/>
            </w:tcBorders>
            <w:vAlign w:val="center"/>
          </w:tcPr>
          <w:p w14:paraId="0667B3C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74" w:type="pct"/>
            <w:tcBorders>
              <w:top w:val="single" w:color="auto" w:sz="4" w:space="0"/>
              <w:left w:val="single" w:color="auto" w:sz="4" w:space="0"/>
              <w:bottom w:val="single" w:color="auto" w:sz="4" w:space="0"/>
              <w:right w:val="single" w:color="auto" w:sz="4" w:space="0"/>
            </w:tcBorders>
            <w:vAlign w:val="center"/>
          </w:tcPr>
          <w:p w14:paraId="536808F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63" w:type="pct"/>
            <w:tcBorders>
              <w:top w:val="single" w:color="auto" w:sz="4" w:space="0"/>
              <w:left w:val="single" w:color="auto" w:sz="4" w:space="0"/>
              <w:bottom w:val="single" w:color="auto" w:sz="4" w:space="0"/>
              <w:right w:val="single" w:color="auto" w:sz="4" w:space="0"/>
            </w:tcBorders>
            <w:vAlign w:val="center"/>
          </w:tcPr>
          <w:p w14:paraId="592CF6B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02" w:type="pct"/>
            <w:tcBorders>
              <w:top w:val="single" w:color="auto" w:sz="4" w:space="0"/>
              <w:left w:val="single" w:color="auto" w:sz="4" w:space="0"/>
              <w:bottom w:val="single" w:color="auto" w:sz="4" w:space="0"/>
              <w:right w:val="single" w:color="auto" w:sz="4" w:space="0"/>
            </w:tcBorders>
            <w:vAlign w:val="center"/>
          </w:tcPr>
          <w:p w14:paraId="2D01EEE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02" w:type="pct"/>
            <w:tcBorders>
              <w:top w:val="single" w:color="auto" w:sz="4" w:space="0"/>
              <w:left w:val="single" w:color="auto" w:sz="4" w:space="0"/>
              <w:bottom w:val="single" w:color="auto" w:sz="4" w:space="0"/>
              <w:right w:val="single" w:color="auto" w:sz="4" w:space="0"/>
            </w:tcBorders>
            <w:vAlign w:val="center"/>
          </w:tcPr>
          <w:p w14:paraId="3E35CEC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3" w:type="pct"/>
            <w:tcBorders>
              <w:top w:val="single" w:color="auto" w:sz="4" w:space="0"/>
              <w:left w:val="single" w:color="auto" w:sz="4" w:space="0"/>
              <w:bottom w:val="single" w:color="auto" w:sz="4" w:space="0"/>
              <w:right w:val="single" w:color="auto" w:sz="4" w:space="0"/>
            </w:tcBorders>
          </w:tcPr>
          <w:p w14:paraId="314AAC7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3" w:type="pct"/>
            <w:tcBorders>
              <w:top w:val="single" w:color="auto" w:sz="4" w:space="0"/>
              <w:left w:val="single" w:color="auto" w:sz="4" w:space="0"/>
              <w:bottom w:val="single" w:color="auto" w:sz="4" w:space="0"/>
              <w:right w:val="single" w:color="auto" w:sz="4" w:space="0"/>
            </w:tcBorders>
          </w:tcPr>
          <w:p w14:paraId="18C73AF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33" w:type="pct"/>
            <w:tcBorders>
              <w:top w:val="single" w:color="auto" w:sz="4" w:space="0"/>
              <w:left w:val="single" w:color="auto" w:sz="4" w:space="0"/>
              <w:bottom w:val="single" w:color="auto" w:sz="4" w:space="0"/>
              <w:right w:val="single" w:color="auto" w:sz="4" w:space="0"/>
            </w:tcBorders>
            <w:vAlign w:val="center"/>
          </w:tcPr>
          <w:p w14:paraId="2E2D87C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53" w:type="pct"/>
            <w:tcBorders>
              <w:top w:val="single" w:color="auto" w:sz="4" w:space="0"/>
              <w:left w:val="single" w:color="auto" w:sz="4" w:space="0"/>
              <w:bottom w:val="single" w:color="auto" w:sz="4" w:space="0"/>
              <w:right w:val="single" w:color="auto" w:sz="4" w:space="0"/>
            </w:tcBorders>
            <w:vAlign w:val="center"/>
          </w:tcPr>
          <w:p w14:paraId="23BF58D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65" w:type="pct"/>
            <w:tcBorders>
              <w:top w:val="single" w:color="auto" w:sz="4" w:space="0"/>
              <w:left w:val="single" w:color="auto" w:sz="4" w:space="0"/>
              <w:bottom w:val="single" w:color="auto" w:sz="4" w:space="0"/>
              <w:right w:val="single" w:color="auto" w:sz="4" w:space="0"/>
            </w:tcBorders>
            <w:vAlign w:val="center"/>
          </w:tcPr>
          <w:p w14:paraId="7EBF8DE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05" w:type="pct"/>
            <w:tcBorders>
              <w:top w:val="single" w:color="auto" w:sz="4" w:space="0"/>
              <w:left w:val="single" w:color="auto" w:sz="4" w:space="0"/>
              <w:bottom w:val="single" w:color="auto" w:sz="4" w:space="0"/>
              <w:right w:val="single" w:color="auto" w:sz="4" w:space="0"/>
            </w:tcBorders>
            <w:vAlign w:val="center"/>
          </w:tcPr>
          <w:p w14:paraId="15B510A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0FD0DD9F">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14:paraId="5AD2E178">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14:paraId="6720A816">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hint="eastAsia" w:ascii="宋体" w:hAnsi="宋体" w:eastAsia="宋体" w:cs="Times New Roman"/>
          <w:b/>
          <w:bCs/>
          <w:color w:val="000000" w:themeColor="text1"/>
          <w:szCs w:val="24"/>
          <w:highlight w:val="none"/>
          <w:lang w:val="zh-CN"/>
          <w14:textFill>
            <w14:solidFill>
              <w14:schemeClr w14:val="tx1"/>
            </w14:solidFill>
          </w14:textFill>
        </w:rPr>
        <w:t>作为投标人评分</w:t>
      </w:r>
      <w:r>
        <w:rPr>
          <w:rFonts w:hint="eastAsia" w:ascii="宋体" w:hAnsi="宋体" w:eastAsia="宋体" w:cs="Times New Roman"/>
          <w:b/>
          <w:bCs/>
          <w:color w:val="000000" w:themeColor="text1"/>
          <w:szCs w:val="24"/>
          <w:highlight w:val="none"/>
          <w14:textFill>
            <w14:solidFill>
              <w14:schemeClr w14:val="tx1"/>
            </w14:solidFill>
          </w14:textFill>
        </w:rPr>
        <w:t>要求的业绩放置在此处,</w:t>
      </w:r>
      <w:bookmarkStart w:id="914" w:name="OLE_LINK130"/>
      <w:r>
        <w:rPr>
          <w:rFonts w:ascii="宋体" w:hAnsi="宋体" w:eastAsia="宋体" w:cs="Times New Roman"/>
          <w:b/>
          <w:bCs/>
          <w:color w:val="000000" w:themeColor="text1"/>
          <w:szCs w:val="24"/>
          <w:highlight w:val="none"/>
          <w:lang w:val="zh-CN"/>
          <w14:textFill>
            <w14:solidFill>
              <w14:schemeClr w14:val="tx1"/>
            </w14:solidFill>
          </w14:textFill>
        </w:rPr>
        <w:t>业绩按</w:t>
      </w:r>
      <w:r>
        <w:rPr>
          <w:rFonts w:hint="eastAsia" w:ascii="宋体" w:hAnsi="宋体" w:eastAsia="宋体" w:cs="Times New Roman"/>
          <w:b/>
          <w:bCs/>
          <w:color w:val="000000" w:themeColor="text1"/>
          <w:szCs w:val="24"/>
          <w:highlight w:val="none"/>
          <w14:textFill>
            <w14:solidFill>
              <w14:schemeClr w14:val="tx1"/>
            </w14:solidFill>
          </w14:textFill>
        </w:rPr>
        <w:t>单项合同总装机容量</w:t>
      </w:r>
      <w:r>
        <w:rPr>
          <w:rFonts w:ascii="宋体" w:hAnsi="宋体" w:eastAsia="宋体" w:cs="Times New Roman"/>
          <w:b/>
          <w:bCs/>
          <w:color w:val="000000" w:themeColor="text1"/>
          <w:szCs w:val="24"/>
          <w:highlight w:val="none"/>
          <w:lang w:val="zh-CN"/>
          <w14:textFill>
            <w14:solidFill>
              <w14:schemeClr w14:val="tx1"/>
            </w14:solidFill>
          </w14:textFill>
        </w:rPr>
        <w:t>从高到低的方式排列</w:t>
      </w:r>
      <w:bookmarkEnd w:id="914"/>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b/>
          <w:color w:val="000000" w:themeColor="text1"/>
          <w:szCs w:val="24"/>
          <w:highlight w:val="none"/>
          <w:lang w:val="zh-CN"/>
          <w14:textFill>
            <w14:solidFill>
              <w14:schemeClr w14:val="tx1"/>
            </w14:solidFill>
          </w14:textFill>
        </w:rPr>
        <w:t>同一个单项合同的业绩可以同时在资格业绩和评分业绩重复放置。</w:t>
      </w:r>
    </w:p>
    <w:p w14:paraId="6ADD389E">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w:t>
      </w:r>
      <w:bookmarkStart w:id="915" w:name="OLE_LINK135"/>
      <w:r>
        <w:rPr>
          <w:rFonts w:hint="eastAsia" w:ascii="宋体" w:hAnsi="宋体" w:eastAsia="宋体" w:cs="Times New Roman"/>
          <w:b/>
          <w:bCs/>
          <w:color w:val="000000" w:themeColor="text1"/>
          <w:szCs w:val="24"/>
          <w:highlight w:val="none"/>
          <w:lang w:val="zh-CN"/>
          <w14:textFill>
            <w14:solidFill>
              <w14:schemeClr w14:val="tx1"/>
            </w14:solidFill>
          </w14:textFill>
        </w:rPr>
        <w:t>业绩须附合同</w:t>
      </w:r>
      <w:r>
        <w:rPr>
          <w:rFonts w:hint="eastAsia" w:ascii="宋体" w:hAnsi="宋体" w:eastAsia="宋体" w:cs="Times New Roman"/>
          <w:b/>
          <w:bCs/>
          <w:color w:val="000000" w:themeColor="text1"/>
          <w:szCs w:val="24"/>
          <w:highlight w:val="none"/>
          <w14:textFill>
            <w14:solidFill>
              <w14:schemeClr w14:val="tx1"/>
            </w14:solidFill>
          </w14:textFill>
        </w:rPr>
        <w:t>复印件和并网证明</w:t>
      </w:r>
      <w:r>
        <w:rPr>
          <w:rFonts w:hint="eastAsia" w:ascii="宋体" w:hAnsi="宋体" w:eastAsia="宋体" w:cs="Times New Roman"/>
          <w:b/>
          <w:bCs/>
          <w:color w:val="000000" w:themeColor="text1"/>
          <w:szCs w:val="24"/>
          <w:highlight w:val="none"/>
          <w:lang w:val="zh-CN"/>
          <w14:textFill>
            <w14:solidFill>
              <w14:schemeClr w14:val="tx1"/>
            </w14:solidFill>
          </w14:textFill>
        </w:rPr>
        <w:t>，否则不得分。</w:t>
      </w:r>
      <w:bookmarkEnd w:id="915"/>
    </w:p>
    <w:p w14:paraId="43D2036E">
      <w:pPr>
        <w:autoSpaceDE w:val="0"/>
        <w:autoSpaceDN w:val="0"/>
        <w:adjustRightInd w:val="0"/>
        <w:snapToGrid w:val="0"/>
        <w:spacing w:line="360" w:lineRule="auto"/>
        <w:ind w:left="481" w:leftChars="-41" w:hanging="567" w:hangingChars="270"/>
        <w:jc w:val="left"/>
        <w:rPr>
          <w:rFonts w:ascii="宋体" w:hAnsi="宋体" w:eastAsia="宋体" w:cs="Times New Roman"/>
          <w:b/>
          <w:bCs/>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3</w:t>
      </w:r>
      <w:r>
        <w:rPr>
          <w:rFonts w:hint="eastAsia" w:ascii="宋体" w:hAnsi="宋体" w:eastAsia="宋体" w:cs="Times New Roman"/>
          <w:color w:val="000000" w:themeColor="text1"/>
          <w:szCs w:val="24"/>
          <w:highlight w:val="none"/>
          <w:lang w:val="zh-CN"/>
          <w14:textFill>
            <w14:solidFill>
              <w14:schemeClr w14:val="tx1"/>
            </w14:solidFill>
          </w14:textFill>
        </w:rPr>
        <w:t>）</w:t>
      </w:r>
      <w:bookmarkStart w:id="916" w:name="OLE_LINK136"/>
      <w:r>
        <w:rPr>
          <w:rFonts w:hint="eastAsia" w:ascii="宋体" w:hAnsi="宋体" w:eastAsia="宋体" w:cs="Times New Roman"/>
          <w:b/>
          <w:bCs/>
          <w:color w:val="000000" w:themeColor="text1"/>
          <w:szCs w:val="24"/>
          <w:highlight w:val="none"/>
          <w14:textFill>
            <w14:solidFill>
              <w14:schemeClr w14:val="tx1"/>
            </w14:solidFill>
          </w14:textFill>
        </w:rPr>
        <w:t>若合同无法</w:t>
      </w:r>
      <w:r>
        <w:rPr>
          <w:rFonts w:hint="eastAsia" w:ascii="宋体" w:hAnsi="宋体" w:eastAsia="宋体" w:cs="Times New Roman"/>
          <w:b/>
          <w:bCs/>
          <w:color w:val="000000" w:themeColor="text1"/>
          <w:szCs w:val="24"/>
          <w:highlight w:val="none"/>
          <w:lang w:val="zh-CN"/>
          <w14:textFill>
            <w14:solidFill>
              <w14:schemeClr w14:val="tx1"/>
            </w14:solidFill>
          </w14:textFill>
        </w:rPr>
        <w:t>反映评分条件（1.合同签订日期为2019年1月1日或以后；2.合同标的必须</w:t>
      </w:r>
      <w:r>
        <w:rPr>
          <w:rFonts w:hint="eastAsia" w:ascii="宋体" w:hAnsi="宋体" w:eastAsia="宋体" w:cs="Times New Roman"/>
          <w:b/>
          <w:bCs/>
          <w:color w:val="000000" w:themeColor="text1"/>
          <w:szCs w:val="24"/>
          <w:highlight w:val="none"/>
          <w14:textFill>
            <w14:solidFill>
              <w14:schemeClr w14:val="tx1"/>
            </w14:solidFill>
          </w14:textFill>
        </w:rPr>
        <w:t>为</w:t>
      </w:r>
      <w:r>
        <w:rPr>
          <w:rFonts w:hint="eastAsia" w:ascii="宋体" w:hAnsi="宋体" w:eastAsia="宋体" w:cs="Times New Roman"/>
          <w:b/>
          <w:bCs/>
          <w:color w:val="000000" w:themeColor="text1"/>
          <w:szCs w:val="24"/>
          <w:highlight w:val="none"/>
          <w:lang w:val="zh-CN"/>
          <w14:textFill>
            <w14:solidFill>
              <w14:schemeClr w14:val="tx1"/>
            </w14:solidFill>
          </w14:textFill>
        </w:rPr>
        <w:t>屋顶分布式光伏发电的</w:t>
      </w:r>
      <w:r>
        <w:rPr>
          <w:rFonts w:hint="eastAsia" w:ascii="宋体" w:hAnsi="宋体" w:eastAsia="宋体" w:cs="Times New Roman"/>
          <w:b/>
          <w:bCs/>
          <w:color w:val="000000" w:themeColor="text1"/>
          <w:szCs w:val="24"/>
          <w:highlight w:val="none"/>
          <w14:textFill>
            <w14:solidFill>
              <w14:schemeClr w14:val="tx1"/>
            </w14:solidFill>
          </w14:textFill>
        </w:rPr>
        <w:t>业绩</w:t>
      </w:r>
      <w:r>
        <w:rPr>
          <w:rFonts w:hint="eastAsia" w:ascii="宋体" w:hAnsi="宋体" w:eastAsia="宋体" w:cs="Times New Roman"/>
          <w:b/>
          <w:bCs/>
          <w:color w:val="000000" w:themeColor="text1"/>
          <w:szCs w:val="24"/>
          <w:highlight w:val="none"/>
          <w:lang w:val="zh-CN"/>
          <w14:textFill>
            <w14:solidFill>
              <w14:schemeClr w14:val="tx1"/>
            </w14:solidFill>
          </w14:textFill>
        </w:rPr>
        <w:t>；3.单项合同总装机容量），还需提供合同</w:t>
      </w:r>
      <w:r>
        <w:rPr>
          <w:rFonts w:hint="eastAsia" w:ascii="宋体" w:hAnsi="宋体" w:eastAsia="宋体" w:cs="Times New Roman"/>
          <w:b/>
          <w:bCs/>
          <w:color w:val="000000" w:themeColor="text1"/>
          <w:szCs w:val="24"/>
          <w:highlight w:val="none"/>
          <w14:textFill>
            <w14:solidFill>
              <w14:schemeClr w14:val="tx1"/>
            </w14:solidFill>
          </w14:textFill>
        </w:rPr>
        <w:t>甲方</w:t>
      </w:r>
      <w:r>
        <w:rPr>
          <w:rFonts w:hint="eastAsia" w:ascii="宋体" w:hAnsi="宋体" w:eastAsia="宋体" w:cs="Times New Roman"/>
          <w:b/>
          <w:bCs/>
          <w:color w:val="000000" w:themeColor="text1"/>
          <w:szCs w:val="24"/>
          <w:highlight w:val="none"/>
          <w:lang w:val="zh-CN"/>
          <w14:textFill>
            <w14:solidFill>
              <w14:schemeClr w14:val="tx1"/>
            </w14:solidFill>
          </w14:textFill>
        </w:rPr>
        <w:t>出具的书面补充说明文件复印件作为辅助证明（补充说明文件复印件能显示合同</w:t>
      </w:r>
      <w:r>
        <w:rPr>
          <w:rFonts w:hint="eastAsia" w:ascii="宋体" w:hAnsi="宋体" w:eastAsia="宋体" w:cs="Times New Roman"/>
          <w:b/>
          <w:bCs/>
          <w:color w:val="000000" w:themeColor="text1"/>
          <w:szCs w:val="24"/>
          <w:highlight w:val="none"/>
          <w14:textFill>
            <w14:solidFill>
              <w14:schemeClr w14:val="tx1"/>
            </w14:solidFill>
          </w14:textFill>
        </w:rPr>
        <w:t>甲方</w:t>
      </w:r>
      <w:r>
        <w:rPr>
          <w:rFonts w:hint="eastAsia" w:ascii="宋体" w:hAnsi="宋体" w:eastAsia="宋体" w:cs="Times New Roman"/>
          <w:b/>
          <w:bCs/>
          <w:color w:val="000000" w:themeColor="text1"/>
          <w:szCs w:val="24"/>
          <w:highlight w:val="none"/>
          <w:lang w:val="zh-CN"/>
          <w14:textFill>
            <w14:solidFill>
              <w14:schemeClr w14:val="tx1"/>
            </w14:solidFill>
          </w14:textFill>
        </w:rPr>
        <w:t>公章）。</w:t>
      </w:r>
      <w:bookmarkEnd w:id="916"/>
    </w:p>
    <w:p w14:paraId="6ADA5A84">
      <w:pPr>
        <w:autoSpaceDE w:val="0"/>
        <w:autoSpaceDN w:val="0"/>
        <w:adjustRightInd w:val="0"/>
        <w:snapToGrid w:val="0"/>
        <w:spacing w:line="360" w:lineRule="auto"/>
        <w:ind w:left="481" w:leftChars="-41"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4</w:t>
      </w: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b/>
          <w:color w:val="000000" w:themeColor="text1"/>
          <w:szCs w:val="24"/>
          <w:highlight w:val="none"/>
          <w:lang w:val="zh-CN"/>
          <w14:textFill>
            <w14:solidFill>
              <w14:schemeClr w14:val="tx1"/>
            </w14:solidFill>
          </w14:textFill>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color w:val="000000" w:themeColor="text1"/>
          <w:kern w:val="0"/>
          <w:szCs w:val="21"/>
          <w:highlight w:val="none"/>
          <w14:textFill>
            <w14:solidFill>
              <w14:schemeClr w14:val="tx1"/>
            </w14:solidFill>
          </w14:textFill>
        </w:rPr>
        <w:t>。</w:t>
      </w:r>
    </w:p>
    <w:p w14:paraId="55CF65B3">
      <w:pPr>
        <w:autoSpaceDE w:val="0"/>
        <w:autoSpaceDN w:val="0"/>
        <w:adjustRightInd w:val="0"/>
        <w:spacing w:line="360" w:lineRule="auto"/>
        <w:ind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p>
    <w:p w14:paraId="107D65AA">
      <w:pPr>
        <w:autoSpaceDE w:val="0"/>
        <w:autoSpaceDN w:val="0"/>
        <w:adjustRightInd w:val="0"/>
        <w:spacing w:line="360" w:lineRule="auto"/>
        <w:ind w:firstLine="5040" w:firstLineChars="24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14:paraId="35B1D1DF">
      <w:pPr>
        <w:autoSpaceDE w:val="0"/>
        <w:autoSpaceDN w:val="0"/>
        <w:adjustRightInd w:val="0"/>
        <w:spacing w:line="360" w:lineRule="auto"/>
        <w:ind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14:paraId="01CD2AD0">
      <w:pPr>
        <w:autoSpaceDE w:val="0"/>
        <w:autoSpaceDN w:val="0"/>
        <w:adjustRightInd w:val="0"/>
        <w:spacing w:line="360" w:lineRule="auto"/>
        <w:rPr>
          <w:rFonts w:ascii="宋体" w:hAnsi="宋体" w:eastAsia="宋体" w:cs="Times New Roman"/>
          <w:b/>
          <w:bCs/>
          <w:color w:val="000000" w:themeColor="text1"/>
          <w:sz w:val="30"/>
          <w:szCs w:val="30"/>
          <w:highlight w:val="none"/>
          <w:lang w:val="zh-CN"/>
          <w14:textFill>
            <w14:solidFill>
              <w14:schemeClr w14:val="tx1"/>
            </w14:solidFill>
          </w14:textFill>
        </w:rPr>
      </w:pPr>
    </w:p>
    <w:p w14:paraId="36F01606">
      <w:pPr>
        <w:autoSpaceDE w:val="0"/>
        <w:autoSpaceDN w:val="0"/>
        <w:adjustRightInd w:val="0"/>
        <w:spacing w:line="360" w:lineRule="auto"/>
        <w:ind w:firstLine="602"/>
        <w:rPr>
          <w:rFonts w:ascii="宋体" w:hAnsi="宋体" w:eastAsia="宋体" w:cs="Times New Roman"/>
          <w:b/>
          <w:bCs/>
          <w:color w:val="000000" w:themeColor="text1"/>
          <w:sz w:val="30"/>
          <w:szCs w:val="30"/>
          <w:highlight w:val="none"/>
          <w:lang w:val="zh-CN"/>
          <w14:textFill>
            <w14:solidFill>
              <w14:schemeClr w14:val="tx1"/>
            </w14:solidFill>
          </w14:textFill>
        </w:rPr>
      </w:pPr>
    </w:p>
    <w:bookmarkEnd w:id="910"/>
    <w:bookmarkEnd w:id="911"/>
    <w:p w14:paraId="3389C152">
      <w:pPr>
        <w:pageBreakBefore/>
        <w:spacing w:before="120" w:after="120" w:line="360" w:lineRule="auto"/>
        <w:jc w:val="left"/>
        <w:outlineLvl w:val="2"/>
        <w:rPr>
          <w:rFonts w:ascii="宋体" w:hAnsi="宋体" w:eastAsia="宋体" w:cs="宋体"/>
          <w:b/>
          <w:bCs/>
          <w:color w:val="000000" w:themeColor="text1"/>
          <w:kern w:val="0"/>
          <w:sz w:val="32"/>
          <w:szCs w:val="32"/>
          <w:highlight w:val="none"/>
          <w:lang w:val="zh-CN"/>
          <w14:textFill>
            <w14:solidFill>
              <w14:schemeClr w14:val="tx1"/>
            </w14:solidFill>
          </w14:textFill>
        </w:rPr>
      </w:pPr>
      <w:bookmarkStart w:id="917" w:name="_Toc13822"/>
      <w:bookmarkStart w:id="918" w:name="_Toc533708132"/>
      <w:bookmarkStart w:id="919" w:name="_Toc1977737"/>
      <w:bookmarkStart w:id="920" w:name="_Toc104991885"/>
      <w:bookmarkStart w:id="921" w:name="_Toc5832"/>
      <w:bookmarkStart w:id="922" w:name="_Toc142508378"/>
      <w:bookmarkStart w:id="923" w:name="_Toc102860427"/>
      <w:bookmarkStart w:id="924" w:name="_Toc140596938"/>
      <w:bookmarkStart w:id="925" w:name="_Toc18175_WPSOffice_Level2"/>
      <w:bookmarkStart w:id="926" w:name="_Toc94107220"/>
      <w:bookmarkStart w:id="927" w:name="_Toc102860083"/>
      <w:bookmarkStart w:id="928" w:name="_Toc8494"/>
      <w:bookmarkStart w:id="929" w:name="_Toc26804"/>
      <w:bookmarkStart w:id="930" w:name="_Toc486167719"/>
      <w:bookmarkStart w:id="931" w:name="_Toc11745"/>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w:t>
      </w:r>
      <w:r>
        <w:rPr>
          <w:rFonts w:hint="eastAsia" w:ascii="宋体" w:hAnsi="宋体" w:eastAsia="宋体" w:cs="宋体"/>
          <w:b/>
          <w:bCs/>
          <w:color w:val="000000" w:themeColor="text1"/>
          <w:kern w:val="0"/>
          <w:sz w:val="32"/>
          <w:szCs w:val="32"/>
          <w:highlight w:val="none"/>
          <w14:textFill>
            <w14:solidFill>
              <w14:schemeClr w14:val="tx1"/>
            </w14:solidFill>
          </w14:textFill>
        </w:rPr>
        <w:t>一</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、投标保证金汇入情况说明</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14:paraId="46CA28CD">
      <w:pPr>
        <w:autoSpaceDE w:val="0"/>
        <w:autoSpaceDN w:val="0"/>
        <w:adjustRightInd w:val="0"/>
        <w:spacing w:line="360" w:lineRule="auto"/>
        <w:jc w:val="left"/>
        <w:rPr>
          <w:rFonts w:ascii="宋体" w:hAnsi="宋体" w:eastAsia="宋体" w:cs="宋体"/>
          <w:color w:val="000000" w:themeColor="text1"/>
          <w:szCs w:val="24"/>
          <w:highlight w:val="none"/>
          <w14:textFill>
            <w14:solidFill>
              <w14:schemeClr w14:val="tx1"/>
            </w14:solidFill>
          </w14:textFill>
        </w:rPr>
      </w:pPr>
    </w:p>
    <w:p w14:paraId="548C1B49">
      <w:pPr>
        <w:autoSpaceDE w:val="0"/>
        <w:autoSpaceDN w:val="0"/>
        <w:adjustRightInd w:val="0"/>
        <w:spacing w:line="360" w:lineRule="auto"/>
        <w:jc w:val="center"/>
        <w:rPr>
          <w:rFonts w:ascii="宋体" w:hAnsi="宋体" w:eastAsia="宋体" w:cs="宋体"/>
          <w:b/>
          <w:bCs/>
          <w:color w:val="000000" w:themeColor="text1"/>
          <w:kern w:val="0"/>
          <w:sz w:val="24"/>
          <w:szCs w:val="24"/>
          <w:highlight w:val="none"/>
          <w14:textFill>
            <w14:solidFill>
              <w14:schemeClr w14:val="tx1"/>
            </w14:solidFill>
          </w14:textFill>
        </w:rPr>
      </w:pPr>
      <w:bookmarkStart w:id="932" w:name="_Toc31832_WPSOffice_Level3"/>
      <w:r>
        <w:rPr>
          <w:rFonts w:hint="eastAsia" w:ascii="宋体" w:hAnsi="宋体" w:eastAsia="宋体" w:cs="宋体"/>
          <w:b/>
          <w:bCs/>
          <w:color w:val="000000" w:themeColor="text1"/>
          <w:kern w:val="0"/>
          <w:sz w:val="24"/>
          <w:szCs w:val="24"/>
          <w:highlight w:val="none"/>
          <w14:textFill>
            <w14:solidFill>
              <w14:schemeClr w14:val="tx1"/>
            </w14:solidFill>
          </w14:textFill>
        </w:rPr>
        <w:t>投标保证金汇入情况说明</w:t>
      </w:r>
      <w:bookmarkEnd w:id="932"/>
    </w:p>
    <w:p w14:paraId="1DFF9F0E">
      <w:pPr>
        <w:autoSpaceDE w:val="0"/>
        <w:autoSpaceDN w:val="0"/>
        <w:adjustRightInd w:val="0"/>
        <w:spacing w:line="360" w:lineRule="auto"/>
        <w:jc w:val="center"/>
        <w:rPr>
          <w:rFonts w:ascii="宋体" w:hAnsi="宋体" w:eastAsia="宋体" w:cs="宋体"/>
          <w:b/>
          <w:bCs/>
          <w:color w:val="000000" w:themeColor="text1"/>
          <w:kern w:val="0"/>
          <w:szCs w:val="24"/>
          <w:highlight w:val="none"/>
          <w14:textFill>
            <w14:solidFill>
              <w14:schemeClr w14:val="tx1"/>
            </w14:solidFill>
          </w14:textFill>
        </w:rPr>
      </w:pPr>
    </w:p>
    <w:p w14:paraId="7285A643">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东莞市水务集团科技发展有限公司：</w:t>
      </w:r>
    </w:p>
    <w:p w14:paraId="0C4851CD">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本单位已按</w:t>
      </w:r>
      <w:r>
        <w:rPr>
          <w:rFonts w:hint="eastAsia" w:ascii="宋体" w:hAnsi="宋体" w:eastAsia="宋体" w:cs="宋体"/>
          <w:color w:val="000000" w:themeColor="text1"/>
          <w:kern w:val="0"/>
          <w:szCs w:val="21"/>
          <w:highlight w:val="none"/>
          <w:u w:val="single"/>
          <w14:textFill>
            <w14:solidFill>
              <w14:schemeClr w14:val="tx1"/>
            </w14:solidFill>
          </w14:textFill>
        </w:rPr>
        <w:t>东莞市水务集团科技发展有限公司屋顶分布式光伏发电（一期）采购项目</w:t>
      </w:r>
      <w:r>
        <w:rPr>
          <w:rFonts w:hint="eastAsia" w:ascii="宋体" w:hAnsi="宋体" w:eastAsia="宋体" w:cs="宋体"/>
          <w:color w:val="000000" w:themeColor="text1"/>
          <w:szCs w:val="21"/>
          <w:highlight w:val="none"/>
          <w14:textFill>
            <w14:solidFill>
              <w14:schemeClr w14:val="tx1"/>
            </w14:solidFill>
          </w14:textFill>
        </w:rPr>
        <w:t>（招标编号：</w:t>
      </w:r>
      <w:r>
        <w:rPr>
          <w:rFonts w:hint="eastAsia" w:ascii="宋体" w:hAnsi="宋体" w:eastAsia="宋体" w:cs="宋体"/>
          <w:color w:val="000000" w:themeColor="text1"/>
          <w:szCs w:val="21"/>
          <w:highlight w:val="none"/>
          <w:u w:val="single"/>
          <w14:textFill>
            <w14:solidFill>
              <w14:schemeClr w14:val="tx1"/>
            </w14:solidFill>
          </w14:textFill>
        </w:rPr>
        <w:t>广建咨询（东招）2024-0133号</w:t>
      </w:r>
      <w:r>
        <w:rPr>
          <w:rFonts w:hint="eastAsia" w:ascii="宋体" w:hAnsi="宋体" w:eastAsia="宋体" w:cs="宋体"/>
          <w:color w:val="000000" w:themeColor="text1"/>
          <w:szCs w:val="21"/>
          <w:highlight w:val="none"/>
          <w14:textFill>
            <w14:solidFill>
              <w14:schemeClr w14:val="tx1"/>
            </w14:solidFill>
          </w14:textFill>
        </w:rPr>
        <w:t>）的招标文件要求，于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日前以</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付款形式）方式汇入指定账户（账户名称：</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4D76E9E2">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本单位投标保证金的汇款情况：（详见附件－投标保证金进账单）</w:t>
      </w:r>
    </w:p>
    <w:p w14:paraId="65F756B8">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汇出时间：</w:t>
      </w:r>
      <w:r>
        <w:rPr>
          <w:rFonts w:hint="eastAsia" w:ascii="宋体" w:hAnsi="宋体" w:eastAsia="宋体" w:cs="宋体"/>
          <w:color w:val="000000" w:themeColor="text1"/>
          <w:szCs w:val="21"/>
          <w:highlight w:val="none"/>
          <w:u w:val="single"/>
          <w14:textFill>
            <w14:solidFill>
              <w14:schemeClr w14:val="tx1"/>
            </w14:solidFill>
          </w14:textFill>
        </w:rPr>
        <w:t xml:space="preserve">    年   月    日</w:t>
      </w:r>
    </w:p>
    <w:p w14:paraId="5CC6C5F5">
      <w:pPr>
        <w:spacing w:line="360" w:lineRule="auto"/>
        <w:ind w:firstLine="424" w:firstLineChars="202"/>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汇款金额：</w:t>
      </w:r>
      <w:r>
        <w:rPr>
          <w:rFonts w:hint="eastAsia" w:ascii="宋体" w:hAnsi="宋体" w:eastAsia="宋体" w:cs="宋体"/>
          <w:color w:val="000000" w:themeColor="text1"/>
          <w:szCs w:val="21"/>
          <w:highlight w:val="none"/>
          <w:u w:val="single"/>
          <w14:textFill>
            <w14:solidFill>
              <w14:schemeClr w14:val="tx1"/>
            </w14:solidFill>
          </w14:textFill>
        </w:rPr>
        <w:t>（大写）人民币      元（小写：¥      元）</w:t>
      </w:r>
    </w:p>
    <w:p w14:paraId="50A51E2C">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汇款账户名称：</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（必须是投标时使用的账户名）</w:t>
      </w:r>
    </w:p>
    <w:p w14:paraId="6983537A">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（必须是投标时使用的账号）</w:t>
      </w:r>
    </w:p>
    <w:p w14:paraId="6E2652D3">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省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市         </w:t>
      </w:r>
    </w:p>
    <w:p w14:paraId="4F444AE2">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本单位谨承诺上述资料是正确、真实的，如因上述证明与事实不符导致的一切损失，本单位保证承担赔偿等一切法律责任。</w:t>
      </w:r>
    </w:p>
    <w:p w14:paraId="09F99F0A">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投标保证金退回时，请按上述资料退回。</w:t>
      </w:r>
    </w:p>
    <w:p w14:paraId="4856FB6E">
      <w:pPr>
        <w:spacing w:line="360" w:lineRule="auto"/>
        <w:ind w:right="844" w:rightChars="402" w:firstLine="424" w:firstLineChars="202"/>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w:t>
      </w:r>
      <w:r>
        <w:rPr>
          <w:rFonts w:hint="eastAsia" w:ascii="宋体" w:hAnsi="宋体" w:eastAsia="宋体" w:cs="宋体"/>
          <w:bCs/>
          <w:color w:val="000000" w:themeColor="text1"/>
          <w:szCs w:val="24"/>
          <w:highlight w:val="none"/>
          <w14:textFill>
            <w14:solidFill>
              <w14:schemeClr w14:val="tx1"/>
            </w14:solidFill>
          </w14:textFill>
        </w:rPr>
        <w:t>投标人法人公章</w:t>
      </w:r>
      <w:r>
        <w:rPr>
          <w:rFonts w:hint="eastAsia" w:ascii="宋体" w:hAnsi="宋体" w:eastAsia="宋体" w:cs="宋体"/>
          <w:color w:val="000000" w:themeColor="text1"/>
          <w:szCs w:val="24"/>
          <w:highlight w:val="none"/>
          <w14:textFill>
            <w14:solidFill>
              <w14:schemeClr w14:val="tx1"/>
            </w14:solidFill>
          </w14:textFill>
        </w:rPr>
        <w:t>）</w:t>
      </w:r>
    </w:p>
    <w:p w14:paraId="4BF878A9">
      <w:pPr>
        <w:spacing w:line="360" w:lineRule="auto"/>
        <w:ind w:right="628" w:rightChars="299" w:firstLine="7774" w:firstLineChars="3702"/>
        <w:jc w:val="lef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年   月   日</w:t>
      </w:r>
    </w:p>
    <w:p w14:paraId="1639D319">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单位名称：</w:t>
      </w:r>
    </w:p>
    <w:p w14:paraId="4364288B">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单位地址：</w:t>
      </w:r>
    </w:p>
    <w:p w14:paraId="74743AC1">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w:t>
      </w:r>
    </w:p>
    <w:p w14:paraId="29FEEB49">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单位电话：                    </w:t>
      </w:r>
    </w:p>
    <w:p w14:paraId="33951C06">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联系人手机：</w:t>
      </w:r>
    </w:p>
    <w:p w14:paraId="7A60D71C">
      <w:pPr>
        <w:spacing w:line="360" w:lineRule="auto"/>
        <w:ind w:left="340" w:leftChars="162" w:firstLine="425"/>
        <w:rPr>
          <w:rFonts w:ascii="宋体" w:hAnsi="宋体" w:eastAsia="宋体" w:cs="宋体"/>
          <w:b/>
          <w:bCs/>
          <w:color w:val="000000" w:themeColor="text1"/>
          <w:szCs w:val="21"/>
          <w:highlight w:val="none"/>
          <w14:textFill>
            <w14:solidFill>
              <w14:schemeClr w14:val="tx1"/>
            </w14:solidFill>
          </w14:textFill>
        </w:rPr>
      </w:pPr>
      <w:bookmarkStart w:id="933" w:name="_Toc26208_WPSOffice_Level3"/>
      <w:r>
        <w:rPr>
          <w:rFonts w:hint="eastAsia" w:ascii="宋体" w:hAnsi="宋体" w:eastAsia="宋体" w:cs="宋体"/>
          <w:b/>
          <w:bCs/>
          <w:color w:val="000000" w:themeColor="text1"/>
          <w:szCs w:val="21"/>
          <w:highlight w:val="none"/>
          <w14:textFill>
            <w14:solidFill>
              <w14:schemeClr w14:val="tx1"/>
            </w14:solidFill>
          </w14:textFill>
        </w:rPr>
        <w:t>附：1、我方投标保证金汇款凭证（复印件）</w:t>
      </w:r>
      <w:bookmarkEnd w:id="933"/>
    </w:p>
    <w:p w14:paraId="70295191">
      <w:pPr>
        <w:spacing w:line="360" w:lineRule="auto"/>
        <w:ind w:left="340" w:leftChars="162" w:firstLine="839" w:firstLineChars="398"/>
        <w:rPr>
          <w:rFonts w:ascii="宋体" w:hAnsi="宋体" w:eastAsia="宋体" w:cs="宋体"/>
          <w:b/>
          <w:bCs/>
          <w:color w:val="000000" w:themeColor="text1"/>
          <w:szCs w:val="21"/>
          <w:highlight w:val="none"/>
          <w14:textFill>
            <w14:solidFill>
              <w14:schemeClr w14:val="tx1"/>
            </w14:solidFill>
          </w14:textFill>
        </w:rPr>
      </w:pPr>
      <w:bookmarkStart w:id="934" w:name="_Toc12992_WPSOffice_Level3"/>
      <w:r>
        <w:rPr>
          <w:rFonts w:hint="eastAsia" w:ascii="宋体" w:hAnsi="宋体" w:eastAsia="宋体" w:cs="宋体"/>
          <w:b/>
          <w:bCs/>
          <w:color w:val="000000" w:themeColor="text1"/>
          <w:szCs w:val="21"/>
          <w:highlight w:val="none"/>
          <w14:textFill>
            <w14:solidFill>
              <w14:schemeClr w14:val="tx1"/>
            </w14:solidFill>
          </w14:textFill>
        </w:rPr>
        <w:t>2、我方开户许可证/基本存款账户（复印件）</w:t>
      </w:r>
      <w:bookmarkEnd w:id="934"/>
    </w:p>
    <w:p w14:paraId="7C2B2660">
      <w:pPr>
        <w:spacing w:line="360" w:lineRule="auto"/>
        <w:ind w:left="340" w:leftChars="162" w:firstLine="736" w:firstLineChars="349"/>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注：本情况说明手写无效。</w:t>
      </w:r>
    </w:p>
    <w:p w14:paraId="1E6C3713">
      <w:pPr>
        <w:autoSpaceDE w:val="0"/>
        <w:autoSpaceDN w:val="0"/>
        <w:adjustRightInd w:val="0"/>
        <w:spacing w:line="360" w:lineRule="auto"/>
        <w:ind w:firstLine="5145" w:firstLineChars="2450"/>
        <w:rPr>
          <w:rFonts w:ascii="宋体" w:hAnsi="宋体" w:eastAsia="宋体" w:cs="宋体"/>
          <w:color w:val="000000" w:themeColor="text1"/>
          <w:szCs w:val="24"/>
          <w:highlight w:val="none"/>
          <w:lang w:val="zh-CN"/>
          <w14:textFill>
            <w14:solidFill>
              <w14:schemeClr w14:val="tx1"/>
            </w14:solidFill>
          </w14:textFill>
        </w:rPr>
      </w:pPr>
    </w:p>
    <w:p w14:paraId="388993AB">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bookmarkStart w:id="935" w:name="_Toc486167721"/>
    </w:p>
    <w:p w14:paraId="10F2D0B4">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bookmarkStart w:id="936" w:name="_Toc533708134"/>
    </w:p>
    <w:p w14:paraId="4E3D4B1A">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ascii="宋体" w:hAnsi="宋体" w:eastAsia="宋体" w:cs="宋体"/>
          <w:b/>
          <w:color w:val="000000" w:themeColor="text1"/>
          <w:kern w:val="0"/>
          <w:szCs w:val="21"/>
          <w:highlight w:val="none"/>
          <w14:textFill>
            <w14:solidFill>
              <w14:schemeClr w14:val="tx1"/>
            </w14:solidFill>
          </w14:textFill>
        </w:rPr>
        <w:br w:type="page"/>
      </w:r>
    </w:p>
    <w:p w14:paraId="7A3D0631">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sectPr>
          <w:pgSz w:w="12240" w:h="15840"/>
          <w:pgMar w:top="1191" w:right="1043" w:bottom="1191" w:left="1043" w:header="720" w:footer="720" w:gutter="0"/>
          <w:cols w:space="720" w:num="1"/>
          <w:titlePg/>
          <w:docGrid w:linePitch="326" w:charSpace="0"/>
        </w:sectPr>
      </w:pPr>
      <w:bookmarkStart w:id="937" w:name="_Toc94107221"/>
      <w:bookmarkStart w:id="938" w:name="_Toc6644"/>
      <w:bookmarkStart w:id="939" w:name="_Toc18032"/>
      <w:bookmarkStart w:id="940" w:name="_Toc102860428"/>
      <w:bookmarkStart w:id="941" w:name="_Toc384"/>
      <w:bookmarkStart w:id="942" w:name="_Toc140596939"/>
      <w:bookmarkStart w:id="943" w:name="_Toc24784"/>
      <w:bookmarkStart w:id="944" w:name="_Toc104991886"/>
      <w:bookmarkStart w:id="945" w:name="_Toc142508379"/>
      <w:bookmarkStart w:id="946" w:name="_Toc16292"/>
      <w:bookmarkStart w:id="947" w:name="_Toc102860084"/>
      <w:bookmarkStart w:id="948" w:name="_Toc1977738"/>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w:t>
      </w:r>
      <w:r>
        <w:rPr>
          <w:rFonts w:hint="eastAsia" w:ascii="宋体" w:hAnsi="宋体" w:eastAsia="宋体" w:cs="宋体"/>
          <w:b/>
          <w:bCs/>
          <w:color w:val="000000" w:themeColor="text1"/>
          <w:kern w:val="0"/>
          <w:sz w:val="32"/>
          <w:szCs w:val="32"/>
          <w:highlight w:val="none"/>
          <w14:textFill>
            <w14:solidFill>
              <w14:schemeClr w14:val="tx1"/>
            </w14:solidFill>
          </w14:textFill>
        </w:rPr>
        <w:t>二</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000000" w:themeColor="text1"/>
          <w:kern w:val="0"/>
          <w:sz w:val="32"/>
          <w:szCs w:val="32"/>
          <w:highlight w:val="none"/>
          <w14:textFill>
            <w14:solidFill>
              <w14:schemeClr w14:val="tx1"/>
            </w14:solidFill>
          </w14:textFill>
        </w:rPr>
        <w:t>及有关</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服务能力的有关其它商务文件（不做强制要求）</w:t>
      </w:r>
      <w:bookmarkEnd w:id="937"/>
      <w:bookmarkEnd w:id="938"/>
      <w:bookmarkEnd w:id="939"/>
      <w:bookmarkEnd w:id="940"/>
      <w:bookmarkEnd w:id="941"/>
      <w:bookmarkEnd w:id="942"/>
      <w:bookmarkEnd w:id="943"/>
      <w:bookmarkEnd w:id="944"/>
      <w:bookmarkEnd w:id="945"/>
      <w:bookmarkEnd w:id="946"/>
      <w:bookmarkEnd w:id="947"/>
      <w:bookmarkEnd w:id="948"/>
    </w:p>
    <w:p w14:paraId="11BDD468">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949" w:name="_Toc94107222"/>
      <w:bookmarkStart w:id="950" w:name="_Toc1287"/>
      <w:bookmarkStart w:id="951" w:name="_Toc1977739"/>
      <w:bookmarkStart w:id="952" w:name="_Toc15051"/>
      <w:bookmarkStart w:id="953" w:name="_Toc14341"/>
      <w:bookmarkStart w:id="954" w:name="_Toc142508380"/>
      <w:bookmarkStart w:id="955" w:name="_Toc20404"/>
      <w:bookmarkStart w:id="956" w:name="_Toc102860085"/>
      <w:bookmarkStart w:id="957" w:name="_Toc140596940"/>
      <w:bookmarkStart w:id="958" w:name="_Toc102860429"/>
      <w:bookmarkStart w:id="959" w:name="_Toc5244"/>
      <w:bookmarkStart w:id="960" w:name="_Toc104991887"/>
      <w:r>
        <w:rPr>
          <w:rFonts w:hint="eastAsia" w:ascii="宋体" w:hAnsi="宋体" w:eastAsia="宋体" w:cs="宋体"/>
          <w:b/>
          <w:color w:val="000000" w:themeColor="text1"/>
          <w:kern w:val="0"/>
          <w:sz w:val="32"/>
          <w:szCs w:val="32"/>
          <w:highlight w:val="none"/>
          <w14:textFill>
            <w14:solidFill>
              <w14:schemeClr w14:val="tx1"/>
            </w14:solidFill>
          </w14:textFill>
        </w:rPr>
        <w:t>十三、技术响应文件格式</w:t>
      </w:r>
      <w:bookmarkEnd w:id="936"/>
      <w:bookmarkEnd w:id="949"/>
      <w:bookmarkEnd w:id="950"/>
      <w:bookmarkEnd w:id="951"/>
      <w:bookmarkEnd w:id="952"/>
      <w:bookmarkEnd w:id="953"/>
      <w:bookmarkEnd w:id="954"/>
      <w:bookmarkEnd w:id="955"/>
      <w:bookmarkEnd w:id="956"/>
      <w:bookmarkEnd w:id="957"/>
      <w:bookmarkEnd w:id="958"/>
      <w:bookmarkEnd w:id="959"/>
      <w:bookmarkEnd w:id="960"/>
    </w:p>
    <w:p w14:paraId="3A8A6276">
      <w:pPr>
        <w:tabs>
          <w:tab w:val="left" w:pos="8640"/>
        </w:tabs>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投标人应按照招标文件投标人须知关于投标文件组成部分的要求编制技术文件，主要包括但不限于以下内容：</w:t>
      </w:r>
    </w:p>
    <w:p w14:paraId="69F02A0C">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1、用户需求响应程度（即13</w:t>
      </w: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用户需求偏离表格式）；</w:t>
      </w:r>
    </w:p>
    <w:p w14:paraId="3D89FEC1">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2、供货货物清单表</w:t>
      </w:r>
      <w:bookmarkStart w:id="961" w:name="OLE_LINK138"/>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lang w:val="zh-CN"/>
          <w14:textFill>
            <w14:solidFill>
              <w14:schemeClr w14:val="tx1"/>
            </w14:solidFill>
          </w14:textFill>
        </w:rPr>
        <w:t>货物明细中的货物名称、品牌、产地、规格、型号、数量等，必须与分项报价明细表完全一致</w:t>
      </w:r>
      <w:r>
        <w:rPr>
          <w:rFonts w:hint="eastAsia" w:ascii="宋体" w:hAnsi="宋体" w:eastAsia="宋体" w:cs="宋体"/>
          <w:color w:val="000000" w:themeColor="text1"/>
          <w:kern w:val="0"/>
          <w:szCs w:val="21"/>
          <w:highlight w:val="none"/>
          <w14:textFill>
            <w14:solidFill>
              <w14:schemeClr w14:val="tx1"/>
            </w14:solidFill>
          </w14:textFill>
        </w:rPr>
        <w:t>）</w:t>
      </w:r>
      <w:bookmarkEnd w:id="961"/>
      <w:r>
        <w:rPr>
          <w:rFonts w:hint="eastAsia" w:ascii="宋体" w:hAnsi="宋体" w:eastAsia="宋体" w:cs="宋体"/>
          <w:color w:val="000000" w:themeColor="text1"/>
          <w:kern w:val="0"/>
          <w:szCs w:val="21"/>
          <w:highlight w:val="none"/>
          <w14:textFill>
            <w14:solidFill>
              <w14:schemeClr w14:val="tx1"/>
            </w14:solidFill>
          </w14:textFill>
        </w:rPr>
        <w:t>；</w:t>
      </w:r>
    </w:p>
    <w:p w14:paraId="71FEF745">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bookmarkStart w:id="962" w:name="OLE_LINK317"/>
      <w:r>
        <w:rPr>
          <w:rFonts w:hint="eastAsia" w:ascii="宋体" w:hAnsi="宋体" w:eastAsia="宋体" w:cs="宋体"/>
          <w:color w:val="000000" w:themeColor="text1"/>
          <w:kern w:val="0"/>
          <w:szCs w:val="21"/>
          <w:highlight w:val="none"/>
          <w14:textFill>
            <w14:solidFill>
              <w14:schemeClr w14:val="tx1"/>
            </w14:solidFill>
          </w14:textFill>
        </w:rPr>
        <w:t>3、</w:t>
      </w:r>
      <w:bookmarkStart w:id="963" w:name="OLE_LINK336"/>
      <w:bookmarkStart w:id="964" w:name="OLE_LINK281"/>
      <w:bookmarkStart w:id="965" w:name="OLE_LINK347"/>
      <w:r>
        <w:rPr>
          <w:rFonts w:hint="eastAsia" w:ascii="宋体" w:hAnsi="宋体" w:eastAsia="宋体" w:cs="宋体"/>
          <w:color w:val="000000" w:themeColor="text1"/>
          <w:kern w:val="0"/>
          <w:szCs w:val="21"/>
          <w:highlight w:val="none"/>
          <w14:textFill>
            <w14:solidFill>
              <w14:schemeClr w14:val="tx1"/>
            </w14:solidFill>
          </w14:textFill>
        </w:rPr>
        <w:t>光伏系统主要设备配置（投标人自行提供书面说明和资料）</w:t>
      </w:r>
      <w:bookmarkEnd w:id="963"/>
      <w:r>
        <w:rPr>
          <w:rFonts w:hint="eastAsia" w:ascii="宋体" w:hAnsi="宋体" w:eastAsia="宋体" w:cs="宋体"/>
          <w:color w:val="000000" w:themeColor="text1"/>
          <w:kern w:val="0"/>
          <w:szCs w:val="21"/>
          <w:highlight w:val="none"/>
          <w14:textFill>
            <w14:solidFill>
              <w14:schemeClr w14:val="tx1"/>
            </w14:solidFill>
          </w14:textFill>
        </w:rPr>
        <w:t>；</w:t>
      </w:r>
      <w:bookmarkEnd w:id="964"/>
    </w:p>
    <w:p w14:paraId="5D610501">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4、技术服务团队实力（投标人提供证明资料）；</w:t>
      </w:r>
    </w:p>
    <w:p w14:paraId="6E09E9C7">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bookmarkStart w:id="966" w:name="OLE_LINK344"/>
      <w:r>
        <w:rPr>
          <w:rFonts w:hint="eastAsia" w:ascii="宋体" w:hAnsi="宋体" w:eastAsia="宋体" w:cs="宋体"/>
          <w:color w:val="000000" w:themeColor="text1"/>
          <w:kern w:val="0"/>
          <w:szCs w:val="21"/>
          <w:highlight w:val="none"/>
          <w14:textFill>
            <w14:solidFill>
              <w14:schemeClr w14:val="tx1"/>
            </w14:solidFill>
          </w14:textFill>
        </w:rPr>
        <w:t>系统总体设计（投标人自行编写）</w:t>
      </w:r>
      <w:bookmarkEnd w:id="966"/>
      <w:r>
        <w:rPr>
          <w:rFonts w:hint="eastAsia" w:ascii="宋体" w:hAnsi="宋体" w:eastAsia="宋体" w:cs="宋体"/>
          <w:color w:val="000000" w:themeColor="text1"/>
          <w:kern w:val="0"/>
          <w:szCs w:val="21"/>
          <w:highlight w:val="none"/>
          <w14:textFill>
            <w14:solidFill>
              <w14:schemeClr w14:val="tx1"/>
            </w14:solidFill>
          </w14:textFill>
        </w:rPr>
        <w:t>；</w:t>
      </w:r>
    </w:p>
    <w:p w14:paraId="0D5A5F26">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bookmarkStart w:id="967" w:name="OLE_LINK316"/>
      <w:r>
        <w:rPr>
          <w:rFonts w:hint="eastAsia" w:ascii="宋体" w:hAnsi="宋体" w:eastAsia="宋体" w:cs="宋体"/>
          <w:color w:val="000000" w:themeColor="text1"/>
          <w:kern w:val="0"/>
          <w:szCs w:val="21"/>
          <w:highlight w:val="none"/>
          <w14:textFill>
            <w14:solidFill>
              <w14:schemeClr w14:val="tx1"/>
            </w14:solidFill>
          </w14:textFill>
        </w:rPr>
        <w:t>项目管理和项目实施组织（投标人自行编写）；</w:t>
      </w:r>
      <w:bookmarkEnd w:id="967"/>
    </w:p>
    <w:p w14:paraId="5F00DEFD">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7、技术服务（投标人自行编写）；</w:t>
      </w:r>
    </w:p>
    <w:bookmarkEnd w:id="962"/>
    <w:bookmarkEnd w:id="965"/>
    <w:p w14:paraId="3F7773DD">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8、投标人认为有必要提供的其它材料（不做强制要求）。</w:t>
      </w:r>
    </w:p>
    <w:p w14:paraId="64A4CAF6">
      <w:pP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br w:type="page"/>
      </w:r>
    </w:p>
    <w:p w14:paraId="210B2BDE">
      <w:pPr>
        <w:pStyle w:val="19"/>
        <w:spacing w:line="360" w:lineRule="auto"/>
        <w:jc w:val="center"/>
        <w:rPr>
          <w:rFonts w:ascii="宋体" w:hAnsi="宋体" w:cs="宋体"/>
          <w:color w:val="000000" w:themeColor="text1"/>
          <w:sz w:val="84"/>
          <w:highlight w:val="none"/>
          <w14:textFill>
            <w14:solidFill>
              <w14:schemeClr w14:val="tx1"/>
            </w14:solidFill>
          </w14:textFill>
        </w:rPr>
      </w:pPr>
    </w:p>
    <w:p w14:paraId="449E97B9">
      <w:pPr>
        <w:pStyle w:val="19"/>
        <w:spacing w:line="360" w:lineRule="auto"/>
        <w:jc w:val="center"/>
        <w:rPr>
          <w:rFonts w:ascii="宋体" w:hAnsi="宋体" w:cs="宋体"/>
          <w:color w:val="000000" w:themeColor="text1"/>
          <w:sz w:val="84"/>
          <w:highlight w:val="none"/>
          <w14:textFill>
            <w14:solidFill>
              <w14:schemeClr w14:val="tx1"/>
            </w14:solidFill>
          </w14:textFill>
        </w:rPr>
      </w:pPr>
    </w:p>
    <w:p w14:paraId="132F7744">
      <w:pPr>
        <w:pStyle w:val="19"/>
        <w:spacing w:line="360" w:lineRule="auto"/>
        <w:jc w:val="center"/>
        <w:rPr>
          <w:rFonts w:ascii="宋体" w:hAnsi="宋体" w:cs="宋体"/>
          <w:color w:val="000000" w:themeColor="text1"/>
          <w:sz w:val="84"/>
          <w:highlight w:val="none"/>
          <w14:textFill>
            <w14:solidFill>
              <w14:schemeClr w14:val="tx1"/>
            </w14:solidFill>
          </w14:textFill>
        </w:rPr>
      </w:pPr>
      <w:r>
        <w:rPr>
          <w:rFonts w:hint="eastAsia" w:ascii="宋体" w:hAnsi="宋体" w:cs="宋体"/>
          <w:color w:val="000000" w:themeColor="text1"/>
          <w:sz w:val="84"/>
          <w:highlight w:val="none"/>
          <w14:textFill>
            <w14:solidFill>
              <w14:schemeClr w14:val="tx1"/>
            </w14:solidFill>
          </w14:textFill>
        </w:rPr>
        <w:t>投 标 文 件</w:t>
      </w:r>
    </w:p>
    <w:p w14:paraId="1EFF2420">
      <w:pPr>
        <w:pStyle w:val="19"/>
        <w:spacing w:line="360" w:lineRule="auto"/>
        <w:rPr>
          <w:rFonts w:ascii="宋体" w:hAnsi="宋体" w:cs="宋体"/>
          <w:color w:val="000000" w:themeColor="text1"/>
          <w:highlight w:val="none"/>
          <w14:textFill>
            <w14:solidFill>
              <w14:schemeClr w14:val="tx1"/>
            </w14:solidFill>
          </w14:textFill>
        </w:rPr>
      </w:pPr>
    </w:p>
    <w:p w14:paraId="3D19B0D9">
      <w:pPr>
        <w:pStyle w:val="19"/>
        <w:spacing w:line="360" w:lineRule="auto"/>
        <w:rPr>
          <w:rFonts w:ascii="宋体" w:hAnsi="宋体" w:cs="宋体"/>
          <w:color w:val="000000" w:themeColor="text1"/>
          <w:highlight w:val="none"/>
          <w14:textFill>
            <w14:solidFill>
              <w14:schemeClr w14:val="tx1"/>
            </w14:solidFill>
          </w14:textFill>
        </w:rPr>
      </w:pPr>
    </w:p>
    <w:p w14:paraId="1DA24AC7">
      <w:pPr>
        <w:pStyle w:val="19"/>
        <w:spacing w:line="360" w:lineRule="auto"/>
        <w:rPr>
          <w:rFonts w:ascii="宋体" w:hAnsi="宋体" w:cs="宋体"/>
          <w:color w:val="000000" w:themeColor="text1"/>
          <w:highlight w:val="none"/>
          <w14:textFill>
            <w14:solidFill>
              <w14:schemeClr w14:val="tx1"/>
            </w14:solidFill>
          </w14:textFill>
        </w:rPr>
      </w:pPr>
    </w:p>
    <w:p w14:paraId="761B74E1">
      <w:pPr>
        <w:pStyle w:val="19"/>
        <w:spacing w:line="360" w:lineRule="auto"/>
        <w:rPr>
          <w:rFonts w:ascii="宋体" w:hAnsi="宋体" w:cs="宋体"/>
          <w:color w:val="000000" w:themeColor="text1"/>
          <w:highlight w:val="none"/>
          <w14:textFill>
            <w14:solidFill>
              <w14:schemeClr w14:val="tx1"/>
            </w14:solidFill>
          </w14:textFill>
        </w:rPr>
      </w:pPr>
    </w:p>
    <w:p w14:paraId="165FCB9C">
      <w:pPr>
        <w:pStyle w:val="19"/>
        <w:spacing w:line="360" w:lineRule="auto"/>
        <w:rPr>
          <w:rFonts w:ascii="宋体" w:hAnsi="宋体" w:cs="宋体"/>
          <w:color w:val="000000" w:themeColor="text1"/>
          <w:highlight w:val="none"/>
          <w14:textFill>
            <w14:solidFill>
              <w14:schemeClr w14:val="tx1"/>
            </w14:solidFill>
          </w14:textFill>
        </w:rPr>
      </w:pPr>
    </w:p>
    <w:p w14:paraId="7412DA7D">
      <w:pPr>
        <w:pStyle w:val="19"/>
        <w:spacing w:line="360" w:lineRule="auto"/>
        <w:rPr>
          <w:rFonts w:ascii="宋体" w:hAnsi="宋体" w:cs="宋体"/>
          <w:color w:val="000000" w:themeColor="text1"/>
          <w:highlight w:val="none"/>
          <w14:textFill>
            <w14:solidFill>
              <w14:schemeClr w14:val="tx1"/>
            </w14:solidFill>
          </w14:textFill>
        </w:rPr>
      </w:pPr>
    </w:p>
    <w:p w14:paraId="1254DDCE">
      <w:pPr>
        <w:pStyle w:val="19"/>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招标编号：</w:t>
      </w:r>
      <w:r>
        <w:rPr>
          <w:rFonts w:hint="eastAsia" w:ascii="宋体" w:hAnsi="宋体" w:cs="宋体"/>
          <w:color w:val="000000" w:themeColor="text1"/>
          <w:sz w:val="30"/>
          <w:highlight w:val="none"/>
          <w:u w:val="single"/>
          <w14:textFill>
            <w14:solidFill>
              <w14:schemeClr w14:val="tx1"/>
            </w14:solidFill>
          </w14:textFill>
        </w:rPr>
        <w:t xml:space="preserve">                      </w:t>
      </w:r>
    </w:p>
    <w:p w14:paraId="5CCDECFE">
      <w:pPr>
        <w:pStyle w:val="19"/>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项目名称：</w:t>
      </w:r>
      <w:r>
        <w:rPr>
          <w:rFonts w:hint="eastAsia" w:ascii="宋体" w:hAnsi="宋体" w:cs="宋体"/>
          <w:color w:val="000000" w:themeColor="text1"/>
          <w:sz w:val="30"/>
          <w:highlight w:val="none"/>
          <w:u w:val="single"/>
          <w14:textFill>
            <w14:solidFill>
              <w14:schemeClr w14:val="tx1"/>
            </w14:solidFill>
          </w14:textFill>
        </w:rPr>
        <w:t xml:space="preserve">                      </w:t>
      </w:r>
    </w:p>
    <w:p w14:paraId="6309BF36">
      <w:pPr>
        <w:pStyle w:val="19"/>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投标文件内容：</w:t>
      </w:r>
      <w:r>
        <w:rPr>
          <w:rFonts w:hint="eastAsia" w:ascii="宋体" w:hAnsi="宋体" w:cs="宋体"/>
          <w:color w:val="000000" w:themeColor="text1"/>
          <w:sz w:val="30"/>
          <w:highlight w:val="none"/>
          <w:u w:val="single"/>
          <w14:textFill>
            <w14:solidFill>
              <w14:schemeClr w14:val="tx1"/>
            </w14:solidFill>
          </w14:textFill>
        </w:rPr>
        <w:t xml:space="preserve"> 投标文件技术部分 </w:t>
      </w:r>
    </w:p>
    <w:p w14:paraId="07F96CE3">
      <w:pPr>
        <w:pStyle w:val="19"/>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招标人：</w:t>
      </w:r>
      <w:r>
        <w:rPr>
          <w:rFonts w:hint="eastAsia" w:ascii="宋体" w:hAnsi="宋体" w:cs="宋体"/>
          <w:color w:val="000000" w:themeColor="text1"/>
          <w:sz w:val="30"/>
          <w:highlight w:val="none"/>
          <w:u w:val="single"/>
          <w14:textFill>
            <w14:solidFill>
              <w14:schemeClr w14:val="tx1"/>
            </w14:solidFill>
          </w14:textFill>
        </w:rPr>
        <w:t xml:space="preserve">                        </w:t>
      </w:r>
    </w:p>
    <w:p w14:paraId="06D2F405">
      <w:pPr>
        <w:pStyle w:val="19"/>
        <w:spacing w:line="360" w:lineRule="auto"/>
        <w:ind w:firstLine="1875" w:firstLineChars="625"/>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投标人：</w:t>
      </w:r>
      <w:r>
        <w:rPr>
          <w:rFonts w:hint="eastAsia" w:ascii="宋体" w:hAnsi="宋体" w:cs="宋体"/>
          <w:color w:val="000000" w:themeColor="text1"/>
          <w:sz w:val="30"/>
          <w:highlight w:val="none"/>
          <w:u w:val="single"/>
          <w14:textFill>
            <w14:solidFill>
              <w14:schemeClr w14:val="tx1"/>
            </w14:solidFill>
          </w14:textFill>
        </w:rPr>
        <w:t xml:space="preserve">                        </w:t>
      </w:r>
    </w:p>
    <w:p w14:paraId="65E81617">
      <w:pPr>
        <w:pStyle w:val="19"/>
        <w:spacing w:line="360" w:lineRule="auto"/>
        <w:ind w:firstLine="1875" w:firstLineChars="625"/>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日  期：</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年</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月</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color w:val="000000" w:themeColor="text1"/>
          <w:sz w:val="30"/>
          <w:highlight w:val="none"/>
          <w14:textFill>
            <w14:solidFill>
              <w14:schemeClr w14:val="tx1"/>
            </w14:solidFill>
          </w14:textFill>
        </w:rPr>
        <w:t>日</w:t>
      </w:r>
    </w:p>
    <w:p w14:paraId="13A46BFD">
      <w:pPr>
        <w:pStyle w:val="19"/>
        <w:spacing w:line="360" w:lineRule="auto"/>
        <w:rPr>
          <w:rFonts w:ascii="宋体" w:hAnsi="宋体" w:cs="宋体"/>
          <w:color w:val="000000" w:themeColor="text1"/>
          <w:highlight w:val="none"/>
          <w14:textFill>
            <w14:solidFill>
              <w14:schemeClr w14:val="tx1"/>
            </w14:solidFill>
          </w14:textFill>
        </w:rPr>
      </w:pPr>
    </w:p>
    <w:p w14:paraId="25CF9783">
      <w:pPr>
        <w:pStyle w:val="1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27F444D3">
      <w:pPr>
        <w:pStyle w:val="19"/>
        <w:spacing w:line="360" w:lineRule="auto"/>
        <w:rPr>
          <w:rFonts w:ascii="宋体" w:hAnsi="宋体" w:cs="宋体"/>
          <w:color w:val="000000" w:themeColor="text1"/>
          <w:highlight w:val="none"/>
          <w14:textFill>
            <w14:solidFill>
              <w14:schemeClr w14:val="tx1"/>
            </w14:solidFill>
          </w14:textFill>
        </w:rPr>
      </w:pPr>
    </w:p>
    <w:p w14:paraId="61010A06">
      <w:pPr>
        <w:pBdr>
          <w:bottom w:val="single" w:color="auto" w:sz="6" w:space="0"/>
        </w:pBdr>
        <w:spacing w:line="480" w:lineRule="auto"/>
        <w:ind w:firstLine="472" w:firstLineChars="224"/>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投标文件技术评审部分索引表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1A48DE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7FEA6AEE">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337" w:type="pct"/>
            <w:vAlign w:val="center"/>
          </w:tcPr>
          <w:p w14:paraId="5F153C19">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861" w:type="pct"/>
            <w:vAlign w:val="center"/>
          </w:tcPr>
          <w:p w14:paraId="4CAF6CDD">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招标文件上的满分值</w:t>
            </w:r>
          </w:p>
        </w:tc>
        <w:tc>
          <w:tcPr>
            <w:tcW w:w="2136" w:type="pct"/>
            <w:tcBorders>
              <w:left w:val="single" w:color="auto" w:sz="4" w:space="0"/>
            </w:tcBorders>
            <w:vAlign w:val="center"/>
          </w:tcPr>
          <w:p w14:paraId="00F035B4">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14:paraId="7AA198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788FC9B3">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3F39DFFC">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2A52A3D6">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3F6401B0">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r>
      <w:tr w14:paraId="621F95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24671EDD">
            <w:pP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2317C7A6">
            <w:pPr>
              <w:rPr>
                <w:rFonts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6252EA18">
            <w:pP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21EB7CCD">
            <w:pPr>
              <w:adjustRightInd w:val="0"/>
              <w:snapToGrid w:val="0"/>
              <w:spacing w:line="360" w:lineRule="auto"/>
              <w:ind w:firstLine="105" w:firstLineChars="50"/>
              <w:rPr>
                <w:rFonts w:ascii="宋体" w:hAnsi="宋体" w:eastAsia="宋体" w:cs="宋体"/>
                <w:bCs/>
                <w:color w:val="000000" w:themeColor="text1"/>
                <w:szCs w:val="21"/>
                <w:highlight w:val="none"/>
                <w14:textFill>
                  <w14:solidFill>
                    <w14:schemeClr w14:val="tx1"/>
                  </w14:solidFill>
                </w14:textFill>
              </w:rPr>
            </w:pPr>
          </w:p>
        </w:tc>
      </w:tr>
      <w:tr w14:paraId="0C47FE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70B3241F">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237DB0B3">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27F08B2F">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521860D7">
            <w:pPr>
              <w:spacing w:line="360" w:lineRule="auto"/>
              <w:ind w:firstLine="8" w:firstLineChars="4"/>
              <w:rPr>
                <w:rFonts w:ascii="宋体" w:hAnsi="宋体" w:eastAsia="宋体" w:cs="宋体"/>
                <w:bCs/>
                <w:color w:val="000000" w:themeColor="text1"/>
                <w:szCs w:val="21"/>
                <w:highlight w:val="none"/>
                <w14:textFill>
                  <w14:solidFill>
                    <w14:schemeClr w14:val="tx1"/>
                  </w14:solidFill>
                </w14:textFill>
              </w:rPr>
            </w:pPr>
          </w:p>
        </w:tc>
      </w:tr>
      <w:tr w14:paraId="2BA223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410DCC15">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1337" w:type="pct"/>
            <w:tcBorders>
              <w:top w:val="single" w:color="auto" w:sz="6" w:space="0"/>
              <w:left w:val="single" w:color="auto" w:sz="6" w:space="0"/>
              <w:bottom w:val="outset" w:color="808080" w:sz="6" w:space="0"/>
              <w:right w:val="single" w:color="auto" w:sz="6" w:space="0"/>
            </w:tcBorders>
            <w:vAlign w:val="center"/>
          </w:tcPr>
          <w:p w14:paraId="495B26DB">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c>
          <w:tcPr>
            <w:tcW w:w="861" w:type="pct"/>
            <w:tcBorders>
              <w:top w:val="single" w:color="auto" w:sz="6" w:space="0"/>
              <w:left w:val="single" w:color="auto" w:sz="6" w:space="0"/>
              <w:bottom w:val="outset" w:color="808080" w:sz="6" w:space="0"/>
              <w:right w:val="single" w:color="auto" w:sz="6" w:space="0"/>
            </w:tcBorders>
            <w:vAlign w:val="center"/>
          </w:tcPr>
          <w:p w14:paraId="48EE889C">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top w:val="single" w:color="auto" w:sz="6" w:space="0"/>
              <w:left w:val="single" w:color="auto" w:sz="4" w:space="0"/>
              <w:bottom w:val="outset" w:color="808080" w:sz="6" w:space="0"/>
              <w:right w:val="single" w:color="auto" w:sz="6" w:space="0"/>
            </w:tcBorders>
            <w:vAlign w:val="center"/>
          </w:tcPr>
          <w:p w14:paraId="01FB957A">
            <w:pPr>
              <w:adjustRightInd w:val="0"/>
              <w:snapToGrid w:val="0"/>
              <w:spacing w:line="360" w:lineRule="auto"/>
              <w:rPr>
                <w:rFonts w:ascii="宋体" w:hAnsi="宋体" w:eastAsia="宋体" w:cs="宋体"/>
                <w:bCs/>
                <w:color w:val="000000" w:themeColor="text1"/>
                <w:szCs w:val="21"/>
                <w:highlight w:val="none"/>
                <w14:textFill>
                  <w14:solidFill>
                    <w14:schemeClr w14:val="tx1"/>
                  </w14:solidFill>
                </w14:textFill>
              </w:rPr>
            </w:pPr>
          </w:p>
        </w:tc>
      </w:tr>
      <w:tr w14:paraId="3FA31E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0642E3C3">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861" w:type="pct"/>
            <w:tcBorders>
              <w:bottom w:val="single" w:color="auto" w:sz="4" w:space="0"/>
            </w:tcBorders>
            <w:vAlign w:val="center"/>
          </w:tcPr>
          <w:p w14:paraId="4F2853E1">
            <w:pPr>
              <w:adjustRightInd w:val="0"/>
              <w:snapToGrid w:val="0"/>
              <w:spacing w:line="360" w:lineRule="auto"/>
              <w:jc w:val="center"/>
              <w:rPr>
                <w:rFonts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bottom w:val="single" w:color="auto" w:sz="4" w:space="0"/>
            </w:tcBorders>
            <w:vAlign w:val="center"/>
          </w:tcPr>
          <w:p w14:paraId="5926C6BD">
            <w:pPr>
              <w:spacing w:line="360" w:lineRule="auto"/>
              <w:jc w:val="center"/>
              <w:rPr>
                <w:rFonts w:ascii="宋体" w:hAnsi="宋体" w:eastAsia="宋体" w:cs="宋体"/>
                <w:bCs/>
                <w:color w:val="000000" w:themeColor="text1"/>
                <w:szCs w:val="21"/>
                <w:highlight w:val="none"/>
                <w14:textFill>
                  <w14:solidFill>
                    <w14:schemeClr w14:val="tx1"/>
                  </w14:solidFill>
                </w14:textFill>
              </w:rPr>
            </w:pPr>
          </w:p>
        </w:tc>
      </w:tr>
    </w:tbl>
    <w:p w14:paraId="6FE8EA69">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br w:type="page"/>
      </w:r>
      <w:bookmarkEnd w:id="935"/>
      <w:bookmarkStart w:id="968" w:name="_Toc20630"/>
      <w:bookmarkStart w:id="969" w:name="_Toc12618"/>
      <w:bookmarkStart w:id="970" w:name="_Toc102860430"/>
      <w:bookmarkStart w:id="971" w:name="_Toc104991888"/>
      <w:bookmarkStart w:id="972" w:name="_Toc94107223"/>
      <w:bookmarkStart w:id="973" w:name="_Toc14384"/>
      <w:bookmarkStart w:id="974" w:name="_Toc18801"/>
      <w:bookmarkStart w:id="975" w:name="_Toc533708135"/>
      <w:bookmarkStart w:id="976" w:name="_Toc1977740"/>
      <w:bookmarkStart w:id="977" w:name="_Toc142508381"/>
      <w:bookmarkStart w:id="978" w:name="_Toc1558"/>
      <w:bookmarkStart w:id="979" w:name="_Toc102860086"/>
      <w:bookmarkStart w:id="980" w:name="_Toc140596941"/>
      <w:r>
        <w:rPr>
          <w:rFonts w:hint="eastAsia" w:ascii="宋体" w:hAnsi="宋体" w:eastAsia="宋体" w:cs="宋体"/>
          <w:b/>
          <w:color w:val="000000" w:themeColor="text1"/>
          <w:kern w:val="0"/>
          <w:sz w:val="30"/>
          <w:szCs w:val="30"/>
          <w:highlight w:val="none"/>
          <w14:textFill>
            <w14:solidFill>
              <w14:schemeClr w14:val="tx1"/>
            </w14:solidFill>
          </w14:textFill>
        </w:rPr>
        <w:t>13.1 用户需求偏离表格式</w:t>
      </w:r>
      <w:bookmarkEnd w:id="968"/>
      <w:bookmarkEnd w:id="969"/>
      <w:bookmarkEnd w:id="970"/>
      <w:bookmarkEnd w:id="971"/>
      <w:bookmarkEnd w:id="972"/>
      <w:bookmarkEnd w:id="973"/>
      <w:bookmarkEnd w:id="974"/>
      <w:bookmarkEnd w:id="975"/>
      <w:bookmarkEnd w:id="976"/>
      <w:bookmarkEnd w:id="977"/>
      <w:bookmarkEnd w:id="978"/>
      <w:bookmarkEnd w:id="979"/>
      <w:bookmarkEnd w:id="980"/>
    </w:p>
    <w:p w14:paraId="5575ACD0">
      <w:pPr>
        <w:spacing w:before="120" w:after="120" w:line="360" w:lineRule="auto"/>
        <w:jc w:val="center"/>
        <w:rPr>
          <w:rFonts w:ascii="宋体" w:hAnsi="宋体" w:eastAsia="宋体" w:cs="Times New Roman"/>
          <w:color w:val="000000" w:themeColor="text1"/>
          <w:kern w:val="0"/>
          <w:szCs w:val="21"/>
          <w:highlight w:val="none"/>
          <w14:textFill>
            <w14:solidFill>
              <w14:schemeClr w14:val="tx1"/>
            </w14:solidFill>
          </w14:textFill>
        </w:rPr>
      </w:pPr>
      <w:bookmarkStart w:id="981" w:name="_Toc17449_WPSOffice_Level3"/>
      <w:r>
        <w:rPr>
          <w:rFonts w:hint="eastAsia" w:ascii="宋体" w:hAnsi="宋体" w:eastAsia="宋体" w:cs="宋体"/>
          <w:b/>
          <w:color w:val="000000" w:themeColor="text1"/>
          <w:kern w:val="0"/>
          <w:sz w:val="30"/>
          <w:szCs w:val="30"/>
          <w:highlight w:val="none"/>
          <w:lang w:val="zh-CN"/>
          <w14:textFill>
            <w14:solidFill>
              <w14:schemeClr w14:val="tx1"/>
            </w14:solidFill>
          </w14:textFill>
        </w:rPr>
        <w:t>用户需求偏离表</w:t>
      </w:r>
      <w:bookmarkEnd w:id="981"/>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952"/>
        <w:gridCol w:w="6414"/>
        <w:gridCol w:w="722"/>
        <w:gridCol w:w="867"/>
        <w:gridCol w:w="815"/>
      </w:tblGrid>
      <w:tr w14:paraId="08F1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14:paraId="1E738C58">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序号</w:t>
            </w:r>
          </w:p>
        </w:tc>
        <w:tc>
          <w:tcPr>
            <w:tcW w:w="3551" w:type="pct"/>
            <w:gridSpan w:val="2"/>
            <w:vAlign w:val="center"/>
          </w:tcPr>
          <w:p w14:paraId="51DBCB35">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招标文件要求</w:t>
            </w:r>
          </w:p>
        </w:tc>
        <w:tc>
          <w:tcPr>
            <w:tcW w:w="1159" w:type="pct"/>
            <w:gridSpan w:val="3"/>
            <w:vAlign w:val="center"/>
          </w:tcPr>
          <w:p w14:paraId="780F95C7">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投标文件内容</w:t>
            </w:r>
          </w:p>
        </w:tc>
      </w:tr>
      <w:tr w14:paraId="4572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14:paraId="45CC38D0">
            <w:pPr>
              <w:keepNext/>
              <w:keepLines/>
              <w:spacing w:line="400" w:lineRule="exact"/>
              <w:jc w:val="center"/>
              <w:outlineLvl w:val="0"/>
              <w:rPr>
                <w:rFonts w:ascii="宋体" w:hAnsi="宋体" w:eastAsia="宋体" w:cs="宋体"/>
                <w:color w:val="000000" w:themeColor="text1"/>
                <w:kern w:val="0"/>
                <w:sz w:val="18"/>
                <w:szCs w:val="18"/>
                <w:highlight w:val="none"/>
                <w14:textFill>
                  <w14:solidFill>
                    <w14:schemeClr w14:val="tx1"/>
                  </w14:solidFill>
                </w14:textFill>
              </w:rPr>
            </w:pPr>
          </w:p>
        </w:tc>
        <w:tc>
          <w:tcPr>
            <w:tcW w:w="459" w:type="pct"/>
            <w:vAlign w:val="center"/>
          </w:tcPr>
          <w:p w14:paraId="46AC4D71">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条款号</w:t>
            </w:r>
          </w:p>
        </w:tc>
        <w:tc>
          <w:tcPr>
            <w:tcW w:w="3092" w:type="pct"/>
            <w:vAlign w:val="center"/>
          </w:tcPr>
          <w:p w14:paraId="5B23C5A3">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简要内容</w:t>
            </w:r>
          </w:p>
        </w:tc>
        <w:tc>
          <w:tcPr>
            <w:tcW w:w="348" w:type="pct"/>
            <w:vAlign w:val="center"/>
          </w:tcPr>
          <w:p w14:paraId="0661D30A">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偏离情况</w:t>
            </w:r>
          </w:p>
        </w:tc>
        <w:tc>
          <w:tcPr>
            <w:tcW w:w="418" w:type="pct"/>
            <w:vAlign w:val="center"/>
          </w:tcPr>
          <w:p w14:paraId="71E9CB6B">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实质性响应的具体内容</w:t>
            </w:r>
          </w:p>
        </w:tc>
        <w:tc>
          <w:tcPr>
            <w:tcW w:w="391" w:type="pct"/>
            <w:vAlign w:val="center"/>
          </w:tcPr>
          <w:p w14:paraId="312DCF31">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对应证明材料页码</w:t>
            </w:r>
          </w:p>
        </w:tc>
      </w:tr>
      <w:tr w14:paraId="7C4B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 w:type="pct"/>
            <w:vAlign w:val="center"/>
          </w:tcPr>
          <w:p w14:paraId="50D0B625">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bookmarkStart w:id="982" w:name="OLE_LINK332" w:colFirst="1" w:colLast="2"/>
            <w:bookmarkStart w:id="983" w:name="OLE_LINK321" w:colFirst="1" w:colLast="5"/>
            <w:bookmarkStart w:id="984" w:name="OLE_LINK331" w:colFirst="1" w:colLast="1"/>
            <w:bookmarkStart w:id="985" w:name="OLE_LINK329" w:colFirst="0" w:colLast="5"/>
            <w:bookmarkStart w:id="986" w:name="OLE_LINK318" w:colFirst="2" w:colLast="2"/>
            <w:r>
              <w:rPr>
                <w:rFonts w:hint="eastAsia" w:ascii="宋体" w:hAnsi="宋体" w:eastAsia="宋体" w:cs="宋体"/>
                <w:color w:val="000000" w:themeColor="text1"/>
                <w:kern w:val="0"/>
                <w:szCs w:val="21"/>
                <w:highlight w:val="none"/>
                <w14:textFill>
                  <w14:solidFill>
                    <w14:schemeClr w14:val="tx1"/>
                  </w14:solidFill>
                </w14:textFill>
              </w:rPr>
              <w:t>1</w:t>
            </w:r>
          </w:p>
        </w:tc>
        <w:tc>
          <w:tcPr>
            <w:tcW w:w="459" w:type="pct"/>
            <w:vAlign w:val="center"/>
          </w:tcPr>
          <w:p w14:paraId="71E89303">
            <w:pPr>
              <w:spacing w:line="400" w:lineRule="exact"/>
              <w:jc w:val="center"/>
              <w:rPr>
                <w:rFonts w:ascii="宋体" w:hAnsi="宋体" w:eastAsia="宋体" w:cs="宋体"/>
                <w:bCs/>
                <w:color w:val="000000" w:themeColor="text1"/>
                <w:kern w:val="0"/>
                <w:szCs w:val="21"/>
                <w:highlight w:val="none"/>
                <w14:textFill>
                  <w14:solidFill>
                    <w14:schemeClr w14:val="tx1"/>
                  </w14:solidFill>
                </w14:textFill>
              </w:rPr>
            </w:pPr>
            <w:bookmarkStart w:id="987" w:name="OLE_LINK330"/>
            <w:r>
              <w:rPr>
                <w:rFonts w:hint="eastAsia" w:ascii="宋体" w:hAnsi="宋体" w:eastAsia="宋体" w:cs="宋体"/>
                <w:bCs/>
                <w:color w:val="000000" w:themeColor="text1"/>
                <w:kern w:val="0"/>
                <w:szCs w:val="21"/>
                <w:highlight w:val="none"/>
                <w14:textFill>
                  <w14:solidFill>
                    <w14:schemeClr w14:val="tx1"/>
                  </w14:solidFill>
                </w14:textFill>
              </w:rPr>
              <w:t>一</w:t>
            </w:r>
            <w:bookmarkEnd w:id="987"/>
          </w:p>
        </w:tc>
        <w:tc>
          <w:tcPr>
            <w:tcW w:w="3092" w:type="pct"/>
            <w:vAlign w:val="center"/>
          </w:tcPr>
          <w:p w14:paraId="025CD7AC">
            <w:pPr>
              <w:autoSpaceDE w:val="0"/>
              <w:autoSpaceDN w:val="0"/>
              <w:adjustRightInd w:val="0"/>
              <w:spacing w:line="400" w:lineRule="exact"/>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w:t>
            </w:r>
            <w:bookmarkStart w:id="988" w:name="OLE_LINK328"/>
            <w:r>
              <w:rPr>
                <w:rFonts w:hint="eastAsia" w:ascii="宋体" w:hAnsi="宋体" w:eastAsia="宋体" w:cs="宋体"/>
                <w:color w:val="000000" w:themeColor="text1"/>
                <w:kern w:val="0"/>
                <w:szCs w:val="21"/>
                <w:highlight w:val="none"/>
                <w14:textFill>
                  <w14:solidFill>
                    <w14:schemeClr w14:val="tx1"/>
                  </w14:solidFill>
                </w14:textFill>
              </w:rPr>
              <w:t>概</w:t>
            </w:r>
            <w:bookmarkEnd w:id="988"/>
            <w:r>
              <w:rPr>
                <w:rFonts w:hint="eastAsia" w:ascii="宋体" w:hAnsi="宋体" w:eastAsia="宋体" w:cs="宋体"/>
                <w:color w:val="000000" w:themeColor="text1"/>
                <w:kern w:val="0"/>
                <w:szCs w:val="21"/>
                <w:highlight w:val="none"/>
                <w14:textFill>
                  <w14:solidFill>
                    <w14:schemeClr w14:val="tx1"/>
                  </w14:solidFill>
                </w14:textFill>
              </w:rPr>
              <w:t>况</w:t>
            </w:r>
          </w:p>
        </w:tc>
        <w:tc>
          <w:tcPr>
            <w:tcW w:w="348" w:type="pct"/>
            <w:vAlign w:val="center"/>
          </w:tcPr>
          <w:p w14:paraId="3ECAA572">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c>
          <w:tcPr>
            <w:tcW w:w="418" w:type="pct"/>
            <w:vAlign w:val="center"/>
          </w:tcPr>
          <w:p w14:paraId="7F39D696">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c>
          <w:tcPr>
            <w:tcW w:w="391" w:type="pct"/>
            <w:vAlign w:val="center"/>
          </w:tcPr>
          <w:p w14:paraId="68EA36F8">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r>
      <w:tr w14:paraId="05C5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010F727">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459" w:type="pct"/>
            <w:vAlign w:val="center"/>
          </w:tcPr>
          <w:p w14:paraId="25E63291">
            <w:pPr>
              <w:spacing w:line="400" w:lineRule="exact"/>
              <w:jc w:val="center"/>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二</w:t>
            </w:r>
          </w:p>
        </w:tc>
        <w:tc>
          <w:tcPr>
            <w:tcW w:w="3092" w:type="pct"/>
            <w:vAlign w:val="center"/>
          </w:tcPr>
          <w:p w14:paraId="0B2E9C47">
            <w:pPr>
              <w:autoSpaceDE w:val="0"/>
              <w:autoSpaceDN w:val="0"/>
              <w:adjustRightInd w:val="0"/>
              <w:spacing w:line="400" w:lineRule="exact"/>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采购范围</w:t>
            </w:r>
          </w:p>
        </w:tc>
        <w:tc>
          <w:tcPr>
            <w:tcW w:w="348" w:type="pct"/>
            <w:vAlign w:val="center"/>
          </w:tcPr>
          <w:p w14:paraId="162E085E">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c>
          <w:tcPr>
            <w:tcW w:w="418" w:type="pct"/>
            <w:vAlign w:val="center"/>
          </w:tcPr>
          <w:p w14:paraId="7F03B6F1">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c>
          <w:tcPr>
            <w:tcW w:w="391" w:type="pct"/>
            <w:vAlign w:val="center"/>
          </w:tcPr>
          <w:p w14:paraId="4C8E2F9D">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r>
      <w:tr w14:paraId="1B48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511D1FF">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459" w:type="pct"/>
            <w:vAlign w:val="center"/>
          </w:tcPr>
          <w:p w14:paraId="17B1D76A">
            <w:pPr>
              <w:spacing w:line="400" w:lineRule="exact"/>
              <w:jc w:val="center"/>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三</w:t>
            </w:r>
          </w:p>
        </w:tc>
        <w:tc>
          <w:tcPr>
            <w:tcW w:w="3092" w:type="pct"/>
            <w:vAlign w:val="center"/>
          </w:tcPr>
          <w:p w14:paraId="1CA1C4B1">
            <w:pPr>
              <w:autoSpaceDE w:val="0"/>
              <w:autoSpaceDN w:val="0"/>
              <w:adjustRightInd w:val="0"/>
              <w:spacing w:line="400" w:lineRule="exact"/>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光伏发电设施技术要求</w:t>
            </w:r>
          </w:p>
        </w:tc>
        <w:tc>
          <w:tcPr>
            <w:tcW w:w="348" w:type="pct"/>
            <w:vAlign w:val="center"/>
          </w:tcPr>
          <w:p w14:paraId="05038336">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c>
          <w:tcPr>
            <w:tcW w:w="418" w:type="pct"/>
            <w:vAlign w:val="center"/>
          </w:tcPr>
          <w:p w14:paraId="72CD57FA">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c>
          <w:tcPr>
            <w:tcW w:w="391" w:type="pct"/>
            <w:vAlign w:val="center"/>
          </w:tcPr>
          <w:p w14:paraId="4AB4F5D9">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r>
      <w:tr w14:paraId="31DA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55F7A91">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459" w:type="pct"/>
            <w:vAlign w:val="center"/>
          </w:tcPr>
          <w:p w14:paraId="7AEDE35D">
            <w:pPr>
              <w:spacing w:line="400" w:lineRule="exact"/>
              <w:jc w:val="center"/>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四</w:t>
            </w:r>
          </w:p>
        </w:tc>
        <w:tc>
          <w:tcPr>
            <w:tcW w:w="3092" w:type="pct"/>
            <w:vAlign w:val="center"/>
          </w:tcPr>
          <w:p w14:paraId="13386D0F">
            <w:pPr>
              <w:autoSpaceDE w:val="0"/>
              <w:autoSpaceDN w:val="0"/>
              <w:adjustRightInd w:val="0"/>
              <w:spacing w:line="400" w:lineRule="exact"/>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技术要求</w:t>
            </w:r>
          </w:p>
        </w:tc>
        <w:tc>
          <w:tcPr>
            <w:tcW w:w="348" w:type="pct"/>
            <w:vAlign w:val="center"/>
          </w:tcPr>
          <w:p w14:paraId="76BC9F1B">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c>
          <w:tcPr>
            <w:tcW w:w="418" w:type="pct"/>
            <w:vAlign w:val="center"/>
          </w:tcPr>
          <w:p w14:paraId="3D30B3AA">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c>
          <w:tcPr>
            <w:tcW w:w="391" w:type="pct"/>
            <w:vAlign w:val="center"/>
          </w:tcPr>
          <w:p w14:paraId="1069471E">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r>
      <w:tr w14:paraId="6FE1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1613186F">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459" w:type="pct"/>
            <w:vAlign w:val="center"/>
          </w:tcPr>
          <w:p w14:paraId="759D13DE">
            <w:pPr>
              <w:spacing w:line="400" w:lineRule="exact"/>
              <w:jc w:val="center"/>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五</w:t>
            </w:r>
          </w:p>
        </w:tc>
        <w:tc>
          <w:tcPr>
            <w:tcW w:w="3092" w:type="pct"/>
            <w:vAlign w:val="center"/>
          </w:tcPr>
          <w:p w14:paraId="261018AC">
            <w:pPr>
              <w:autoSpaceDE w:val="0"/>
              <w:autoSpaceDN w:val="0"/>
              <w:adjustRightInd w:val="0"/>
              <w:spacing w:line="400" w:lineRule="exact"/>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安全运维技术要求</w:t>
            </w:r>
          </w:p>
        </w:tc>
        <w:tc>
          <w:tcPr>
            <w:tcW w:w="348" w:type="pct"/>
            <w:vAlign w:val="center"/>
          </w:tcPr>
          <w:p w14:paraId="528F3D0C">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c>
          <w:tcPr>
            <w:tcW w:w="418" w:type="pct"/>
            <w:vAlign w:val="center"/>
          </w:tcPr>
          <w:p w14:paraId="5C25E8E6">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c>
          <w:tcPr>
            <w:tcW w:w="391" w:type="pct"/>
            <w:vAlign w:val="center"/>
          </w:tcPr>
          <w:p w14:paraId="35649CD7">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r>
      <w:tr w14:paraId="1BF1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3129525">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459" w:type="pct"/>
            <w:vAlign w:val="center"/>
          </w:tcPr>
          <w:p w14:paraId="3AF08BFA">
            <w:pPr>
              <w:spacing w:line="400" w:lineRule="exact"/>
              <w:jc w:val="center"/>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六</w:t>
            </w:r>
          </w:p>
        </w:tc>
        <w:tc>
          <w:tcPr>
            <w:tcW w:w="3092" w:type="pct"/>
            <w:vAlign w:val="center"/>
          </w:tcPr>
          <w:p w14:paraId="3936C000">
            <w:pPr>
              <w:autoSpaceDE w:val="0"/>
              <w:autoSpaceDN w:val="0"/>
              <w:adjustRightInd w:val="0"/>
              <w:spacing w:line="400" w:lineRule="exact"/>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设计规范和设计依据</w:t>
            </w:r>
          </w:p>
        </w:tc>
        <w:tc>
          <w:tcPr>
            <w:tcW w:w="348" w:type="pct"/>
            <w:vAlign w:val="center"/>
          </w:tcPr>
          <w:p w14:paraId="04709319">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c>
          <w:tcPr>
            <w:tcW w:w="418" w:type="pct"/>
            <w:vAlign w:val="center"/>
          </w:tcPr>
          <w:p w14:paraId="6DC7EA6A">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c>
          <w:tcPr>
            <w:tcW w:w="391" w:type="pct"/>
            <w:vAlign w:val="center"/>
          </w:tcPr>
          <w:p w14:paraId="2978D786">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r>
      <w:tr w14:paraId="1C89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7FE90E4">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459" w:type="pct"/>
            <w:vAlign w:val="center"/>
          </w:tcPr>
          <w:p w14:paraId="4C09295C">
            <w:pPr>
              <w:spacing w:line="400" w:lineRule="exact"/>
              <w:jc w:val="center"/>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七</w:t>
            </w:r>
          </w:p>
        </w:tc>
        <w:tc>
          <w:tcPr>
            <w:tcW w:w="3092" w:type="pct"/>
            <w:vAlign w:val="center"/>
          </w:tcPr>
          <w:p w14:paraId="1684808C">
            <w:pPr>
              <w:autoSpaceDE w:val="0"/>
              <w:autoSpaceDN w:val="0"/>
              <w:adjustRightInd w:val="0"/>
              <w:spacing w:line="400" w:lineRule="exact"/>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消防要求</w:t>
            </w:r>
          </w:p>
        </w:tc>
        <w:tc>
          <w:tcPr>
            <w:tcW w:w="348" w:type="pct"/>
            <w:vAlign w:val="center"/>
          </w:tcPr>
          <w:p w14:paraId="74443154">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c>
          <w:tcPr>
            <w:tcW w:w="418" w:type="pct"/>
            <w:vAlign w:val="center"/>
          </w:tcPr>
          <w:p w14:paraId="772565BD">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c>
          <w:tcPr>
            <w:tcW w:w="391" w:type="pct"/>
            <w:vAlign w:val="center"/>
          </w:tcPr>
          <w:p w14:paraId="70BCF82C">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r>
      <w:tr w14:paraId="588A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66141765">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459" w:type="pct"/>
            <w:vAlign w:val="center"/>
          </w:tcPr>
          <w:p w14:paraId="2BD2610C">
            <w:pPr>
              <w:spacing w:line="400" w:lineRule="exact"/>
              <w:jc w:val="center"/>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八</w:t>
            </w:r>
          </w:p>
        </w:tc>
        <w:tc>
          <w:tcPr>
            <w:tcW w:w="3092" w:type="pct"/>
            <w:vAlign w:val="center"/>
          </w:tcPr>
          <w:p w14:paraId="40E1DDA7">
            <w:pPr>
              <w:autoSpaceDE w:val="0"/>
              <w:autoSpaceDN w:val="0"/>
              <w:adjustRightInd w:val="0"/>
              <w:spacing w:line="400" w:lineRule="exact"/>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其他</w:t>
            </w:r>
          </w:p>
        </w:tc>
        <w:tc>
          <w:tcPr>
            <w:tcW w:w="348" w:type="pct"/>
            <w:vAlign w:val="center"/>
          </w:tcPr>
          <w:p w14:paraId="340136C5">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c>
          <w:tcPr>
            <w:tcW w:w="418" w:type="pct"/>
            <w:vAlign w:val="center"/>
          </w:tcPr>
          <w:p w14:paraId="2D9EFB02">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c>
          <w:tcPr>
            <w:tcW w:w="391" w:type="pct"/>
            <w:vAlign w:val="center"/>
          </w:tcPr>
          <w:p w14:paraId="47105497">
            <w:pPr>
              <w:keepNext/>
              <w:keepLines/>
              <w:spacing w:line="400" w:lineRule="exact"/>
              <w:jc w:val="left"/>
              <w:outlineLvl w:val="2"/>
              <w:rPr>
                <w:rFonts w:ascii="宋体" w:hAnsi="宋体" w:eastAsia="宋体" w:cs="宋体"/>
                <w:color w:val="000000" w:themeColor="text1"/>
                <w:kern w:val="0"/>
                <w:szCs w:val="21"/>
                <w:highlight w:val="none"/>
                <w14:textFill>
                  <w14:solidFill>
                    <w14:schemeClr w14:val="tx1"/>
                  </w14:solidFill>
                </w14:textFill>
              </w:rPr>
            </w:pPr>
          </w:p>
        </w:tc>
      </w:tr>
      <w:bookmarkEnd w:id="982"/>
      <w:bookmarkEnd w:id="983"/>
      <w:bookmarkEnd w:id="984"/>
      <w:bookmarkEnd w:id="985"/>
      <w:bookmarkEnd w:id="986"/>
    </w:tbl>
    <w:p w14:paraId="436F6825">
      <w:pPr>
        <w:spacing w:line="360" w:lineRule="auto"/>
        <w:rPr>
          <w:rFonts w:ascii="宋体" w:hAnsi="宋体" w:eastAsia="宋体" w:cs="宋体"/>
          <w:color w:val="000000" w:themeColor="text1"/>
          <w:szCs w:val="21"/>
          <w:highlight w:val="none"/>
          <w14:textFill>
            <w14:solidFill>
              <w14:schemeClr w14:val="tx1"/>
            </w14:solidFill>
          </w14:textFill>
        </w:rPr>
      </w:pPr>
    </w:p>
    <w:p w14:paraId="23FB1CCC">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738C9147">
      <w:pPr>
        <w:spacing w:line="360" w:lineRule="auto"/>
        <w:ind w:left="605" w:leftChars="18" w:hanging="567" w:hangingChars="27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u w:val="single"/>
          <w14:textFill>
            <w14:solidFill>
              <w14:schemeClr w14:val="tx1"/>
            </w14:solidFill>
          </w14:textFill>
        </w:rPr>
        <w:t>投标人应对照招标文件用户需求书的响应，逐条逐项、如实地填写“偏离情况”，</w:t>
      </w:r>
      <w:r>
        <w:rPr>
          <w:rFonts w:hint="eastAsia" w:ascii="宋体" w:hAnsi="宋体" w:eastAsia="宋体" w:cs="Times New Roman"/>
          <w:b/>
          <w:color w:val="000000" w:themeColor="text1"/>
          <w:kern w:val="0"/>
          <w:szCs w:val="21"/>
          <w:highlight w:val="none"/>
          <w:u w:val="single"/>
          <w14:textFill>
            <w14:solidFill>
              <w14:schemeClr w14:val="tx1"/>
            </w14:solidFill>
          </w14:textFill>
        </w:rPr>
        <w:t>若发现未填写本表，或虚假填写本表，或伪造、变造证明材料的，按无效投标文件处理</w:t>
      </w:r>
      <w:r>
        <w:rPr>
          <w:rFonts w:hint="eastAsia" w:ascii="宋体" w:hAnsi="宋体" w:eastAsia="宋体" w:cs="宋体"/>
          <w:b/>
          <w:color w:val="000000" w:themeColor="text1"/>
          <w:szCs w:val="21"/>
          <w:highlight w:val="none"/>
          <w:u w:val="single"/>
          <w14:textFill>
            <w14:solidFill>
              <w14:schemeClr w14:val="tx1"/>
            </w14:solidFill>
          </w14:textFill>
        </w:rPr>
        <w:t>。若招标文件用户需求书中有“★”条款须逐条逐项、如实地填写“偏离情况”，未填写“★”条款以外的条款的，视为完全满足招标文件要求。</w:t>
      </w:r>
    </w:p>
    <w:p w14:paraId="72AE4275">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2238717A">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r>
        <w:rPr>
          <w:rFonts w:hint="eastAsia" w:ascii="宋体" w:hAnsi="宋体" w:eastAsia="宋体" w:cs="Times New Roman"/>
          <w:b/>
          <w:color w:val="000000" w:themeColor="text1"/>
          <w:kern w:val="0"/>
          <w:szCs w:val="21"/>
          <w:highlight w:val="none"/>
          <w:u w:val="single"/>
          <w14:textFill>
            <w14:solidFill>
              <w14:schemeClr w14:val="tx1"/>
            </w14:solidFill>
          </w14:textFill>
        </w:rPr>
        <w:t>应逐条</w:t>
      </w:r>
      <w:r>
        <w:rPr>
          <w:rFonts w:hint="eastAsia" w:ascii="宋体" w:hAnsi="宋体" w:eastAsia="宋体" w:cs="宋体"/>
          <w:b/>
          <w:color w:val="000000" w:themeColor="text1"/>
          <w:szCs w:val="21"/>
          <w:highlight w:val="none"/>
          <w:u w:val="single"/>
          <w14:textFill>
            <w14:solidFill>
              <w14:schemeClr w14:val="tx1"/>
            </w14:solidFill>
          </w14:textFill>
        </w:rPr>
        <w:t>逐项</w:t>
      </w:r>
      <w:r>
        <w:rPr>
          <w:rFonts w:hint="eastAsia" w:ascii="宋体" w:hAnsi="宋体" w:eastAsia="宋体" w:cs="Times New Roman"/>
          <w:b/>
          <w:color w:val="000000" w:themeColor="text1"/>
          <w:kern w:val="0"/>
          <w:szCs w:val="21"/>
          <w:highlight w:val="none"/>
          <w:u w:val="single"/>
          <w14:textFill>
            <w14:solidFill>
              <w14:schemeClr w14:val="tx1"/>
            </w14:solidFill>
          </w14:textFill>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6A66093E">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w:t>
      </w:r>
      <w:r>
        <w:rPr>
          <w:rFonts w:ascii="宋体" w:hAnsi="宋体" w:eastAsia="宋体" w:cs="Times New Roman"/>
          <w:b/>
          <w:color w:val="000000" w:themeColor="text1"/>
          <w:kern w:val="0"/>
          <w:szCs w:val="21"/>
          <w:highlight w:val="none"/>
          <w:u w:val="single"/>
          <w14:textFill>
            <w14:solidFill>
              <w14:schemeClr w14:val="tx1"/>
            </w14:solidFill>
          </w14:textFill>
        </w:rPr>
        <w:t>凡标有“</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”的地方均被视为重要的技术指标要求或性能要求。投标</w:t>
      </w:r>
      <w:r>
        <w:rPr>
          <w:rFonts w:hint="eastAsia" w:ascii="宋体" w:hAnsi="宋体" w:eastAsia="宋体" w:cs="Times New Roman"/>
          <w:b/>
          <w:color w:val="000000" w:themeColor="text1"/>
          <w:kern w:val="0"/>
          <w:szCs w:val="21"/>
          <w:highlight w:val="none"/>
          <w:u w:val="single"/>
          <w14:textFill>
            <w14:solidFill>
              <w14:schemeClr w14:val="tx1"/>
            </w14:solidFill>
          </w14:textFill>
        </w:rPr>
        <w:t>人</w:t>
      </w:r>
      <w:r>
        <w:rPr>
          <w:rFonts w:ascii="宋体" w:hAnsi="宋体" w:eastAsia="宋体" w:cs="Times New Roman"/>
          <w:b/>
          <w:color w:val="000000" w:themeColor="text1"/>
          <w:kern w:val="0"/>
          <w:szCs w:val="21"/>
          <w:highlight w:val="none"/>
          <w:u w:val="single"/>
          <w14:textFill>
            <w14:solidFill>
              <w14:schemeClr w14:val="tx1"/>
            </w14:solidFill>
          </w14:textFill>
        </w:rPr>
        <w:t>要特别加以注意，必须对此回答并完全满足这些要求</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否则若有一项带“</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”的指标未响应或不满足，将按</w:t>
      </w:r>
      <w:r>
        <w:rPr>
          <w:rFonts w:hint="eastAsia" w:ascii="宋体" w:hAnsi="宋体" w:eastAsia="宋体" w:cs="Times New Roman"/>
          <w:b/>
          <w:color w:val="000000" w:themeColor="text1"/>
          <w:kern w:val="0"/>
          <w:szCs w:val="21"/>
          <w:highlight w:val="none"/>
          <w:u w:val="single"/>
          <w14:textFill>
            <w14:solidFill>
              <w14:schemeClr w14:val="tx1"/>
            </w14:solidFill>
          </w14:textFill>
        </w:rPr>
        <w:t>无效投标</w:t>
      </w:r>
      <w:r>
        <w:rPr>
          <w:rFonts w:ascii="宋体" w:hAnsi="宋体" w:eastAsia="宋体" w:cs="Times New Roman"/>
          <w:b/>
          <w:color w:val="000000" w:themeColor="text1"/>
          <w:kern w:val="0"/>
          <w:szCs w:val="21"/>
          <w:highlight w:val="none"/>
          <w:u w:val="single"/>
          <w14:textFill>
            <w14:solidFill>
              <w14:schemeClr w14:val="tx1"/>
            </w14:solidFill>
          </w14:textFill>
        </w:rPr>
        <w:t>处理</w:t>
      </w:r>
      <w:r>
        <w:rPr>
          <w:rFonts w:ascii="宋体" w:hAnsi="宋体" w:eastAsia="宋体" w:cs="Times New Roman"/>
          <w:b/>
          <w:color w:val="000000" w:themeColor="text1"/>
          <w:kern w:val="0"/>
          <w:sz w:val="24"/>
          <w:szCs w:val="21"/>
          <w:highlight w:val="none"/>
          <w:u w:val="single"/>
          <w:lang w:val="zh-CN"/>
          <w14:textFill>
            <w14:solidFill>
              <w14:schemeClr w14:val="tx1"/>
            </w14:solidFill>
          </w14:textFill>
        </w:rPr>
        <w:t>。</w:t>
      </w:r>
    </w:p>
    <w:p w14:paraId="677D8B01">
      <w:pPr>
        <w:spacing w:line="360" w:lineRule="auto"/>
        <w:rPr>
          <w:rFonts w:ascii="宋体" w:hAnsi="宋体" w:eastAsia="宋体" w:cs="宋体"/>
          <w:color w:val="000000" w:themeColor="text1"/>
          <w:szCs w:val="21"/>
          <w:highlight w:val="none"/>
          <w14:textFill>
            <w14:solidFill>
              <w14:schemeClr w14:val="tx1"/>
            </w14:solidFill>
          </w14:textFill>
        </w:rPr>
      </w:pPr>
    </w:p>
    <w:p w14:paraId="564A8C63">
      <w:pPr>
        <w:autoSpaceDE w:val="0"/>
        <w:autoSpaceDN w:val="0"/>
        <w:adjustRightIn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投标人：（</w:t>
      </w:r>
      <w:r>
        <w:rPr>
          <w:rFonts w:hint="eastAsia" w:ascii="宋体" w:hAnsi="宋体" w:eastAsia="宋体" w:cs="宋体"/>
          <w:color w:val="000000" w:themeColor="text1"/>
          <w:szCs w:val="21"/>
          <w:highlight w:val="none"/>
          <w:lang w:val="zh-CN"/>
          <w14:textFill>
            <w14:solidFill>
              <w14:schemeClr w14:val="tx1"/>
            </w14:solidFill>
          </w14:textFill>
        </w:rPr>
        <w:t>加盖投标人法人公章</w:t>
      </w:r>
      <w:r>
        <w:rPr>
          <w:rFonts w:hint="eastAsia" w:ascii="宋体" w:hAnsi="宋体" w:eastAsia="宋体" w:cs="宋体"/>
          <w:color w:val="000000" w:themeColor="text1"/>
          <w:kern w:val="0"/>
          <w:szCs w:val="21"/>
          <w:highlight w:val="none"/>
          <w14:textFill>
            <w14:solidFill>
              <w14:schemeClr w14:val="tx1"/>
            </w14:solidFill>
          </w14:textFill>
        </w:rPr>
        <w:t>）</w:t>
      </w:r>
    </w:p>
    <w:p w14:paraId="04F8A8CE">
      <w:pPr>
        <w:autoSpaceDE w:val="0"/>
        <w:autoSpaceDN w:val="0"/>
        <w:adjustRightInd w:val="0"/>
        <w:ind w:left="15" w:leftChars="-50" w:hanging="1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日  期：   年  月  日</w:t>
      </w:r>
    </w:p>
    <w:p w14:paraId="52709D75">
      <w:pPr>
        <w:tabs>
          <w:tab w:val="left" w:pos="567"/>
        </w:tabs>
        <w:autoSpaceDE w:val="0"/>
        <w:autoSpaceDN w:val="0"/>
        <w:adjustRightInd w:val="0"/>
        <w:spacing w:line="360" w:lineRule="auto"/>
        <w:jc w:val="left"/>
        <w:outlineLvl w:val="2"/>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bookmarkStart w:id="989" w:name="_Toc140596942"/>
      <w:bookmarkStart w:id="990" w:name="_Toc104991889"/>
      <w:bookmarkStart w:id="991" w:name="_Toc16609"/>
      <w:bookmarkStart w:id="992" w:name="_Toc3484"/>
      <w:bookmarkStart w:id="993" w:name="_Toc102860431"/>
      <w:bookmarkStart w:id="994" w:name="_Toc94107224"/>
      <w:bookmarkStart w:id="995" w:name="_Toc28623"/>
      <w:bookmarkStart w:id="996" w:name="_Toc26177"/>
      <w:bookmarkStart w:id="997" w:name="_Toc20665"/>
      <w:bookmarkStart w:id="998" w:name="_Toc102860087"/>
      <w:bookmarkStart w:id="999" w:name="_Toc142508382"/>
      <w:r>
        <w:rPr>
          <w:rFonts w:hint="eastAsia" w:ascii="宋体" w:hAnsi="宋体" w:eastAsia="宋体" w:cs="宋体"/>
          <w:b/>
          <w:color w:val="000000" w:themeColor="text1"/>
          <w:kern w:val="0"/>
          <w:sz w:val="30"/>
          <w:szCs w:val="30"/>
          <w:highlight w:val="none"/>
          <w14:textFill>
            <w14:solidFill>
              <w14:schemeClr w14:val="tx1"/>
            </w14:solidFill>
          </w14:textFill>
        </w:rPr>
        <w:t>13.2</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Times New Roman"/>
          <w:b/>
          <w:color w:val="000000" w:themeColor="text1"/>
          <w:kern w:val="0"/>
          <w:sz w:val="30"/>
          <w:szCs w:val="30"/>
          <w:highlight w:val="none"/>
          <w14:textFill>
            <w14:solidFill>
              <w14:schemeClr w14:val="tx1"/>
            </w14:solidFill>
          </w14:textFill>
        </w:rPr>
        <w:t>供货货物清单表格式</w:t>
      </w:r>
      <w:bookmarkEnd w:id="989"/>
      <w:bookmarkEnd w:id="990"/>
      <w:bookmarkEnd w:id="991"/>
      <w:bookmarkEnd w:id="992"/>
      <w:bookmarkEnd w:id="993"/>
      <w:bookmarkEnd w:id="994"/>
      <w:bookmarkEnd w:id="995"/>
      <w:bookmarkEnd w:id="996"/>
      <w:bookmarkEnd w:id="997"/>
      <w:bookmarkEnd w:id="998"/>
      <w:bookmarkEnd w:id="999"/>
    </w:p>
    <w:p w14:paraId="45557B4D">
      <w:pPr>
        <w:autoSpaceDE w:val="0"/>
        <w:autoSpaceDN w:val="0"/>
        <w:adjustRightInd w:val="0"/>
        <w:ind w:right="-23" w:rightChars="-11"/>
        <w:jc w:val="center"/>
        <w:rPr>
          <w:rFonts w:ascii="宋体" w:hAnsi="宋体" w:eastAsia="宋体" w:cs="宋体"/>
          <w:b/>
          <w:color w:val="000000" w:themeColor="text1"/>
          <w:sz w:val="30"/>
          <w:szCs w:val="30"/>
          <w:highlight w:val="none"/>
          <w:lang w:val="zh-CN"/>
          <w14:textFill>
            <w14:solidFill>
              <w14:schemeClr w14:val="tx1"/>
            </w14:solidFill>
          </w14:textFill>
        </w:rPr>
      </w:pPr>
      <w:r>
        <w:rPr>
          <w:rFonts w:hint="eastAsia" w:ascii="宋体" w:hAnsi="宋体" w:eastAsia="宋体" w:cs="宋体"/>
          <w:b/>
          <w:color w:val="000000" w:themeColor="text1"/>
          <w:sz w:val="30"/>
          <w:szCs w:val="30"/>
          <w:highlight w:val="none"/>
          <w:lang w:val="zh-CN"/>
          <w14:textFill>
            <w14:solidFill>
              <w14:schemeClr w14:val="tx1"/>
            </w14:solidFill>
          </w14:textFill>
        </w:rPr>
        <w:t>供货货物清单表</w:t>
      </w:r>
    </w:p>
    <w:p w14:paraId="7B682517">
      <w:pPr>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514"/>
        <w:gridCol w:w="1105"/>
        <w:gridCol w:w="1037"/>
        <w:gridCol w:w="1170"/>
        <w:gridCol w:w="1103"/>
        <w:gridCol w:w="1103"/>
        <w:gridCol w:w="1103"/>
        <w:gridCol w:w="1104"/>
        <w:gridCol w:w="430"/>
      </w:tblGrid>
      <w:tr w14:paraId="44BB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6563E7AD">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货物明细</w:t>
            </w:r>
          </w:p>
        </w:tc>
      </w:tr>
      <w:tr w14:paraId="00A3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38" w:type="pct"/>
            <w:tcBorders>
              <w:top w:val="single" w:color="auto" w:sz="4" w:space="0"/>
              <w:left w:val="single" w:color="auto" w:sz="4" w:space="0"/>
              <w:bottom w:val="single" w:color="auto" w:sz="4" w:space="0"/>
              <w:right w:val="single" w:color="auto" w:sz="4" w:space="0"/>
            </w:tcBorders>
            <w:vAlign w:val="center"/>
          </w:tcPr>
          <w:p w14:paraId="741A4AE0">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序号</w:t>
            </w:r>
          </w:p>
        </w:tc>
        <w:tc>
          <w:tcPr>
            <w:tcW w:w="730" w:type="pct"/>
            <w:tcBorders>
              <w:top w:val="single" w:color="auto" w:sz="4" w:space="0"/>
              <w:left w:val="single" w:color="auto" w:sz="4" w:space="0"/>
              <w:bottom w:val="single" w:color="auto" w:sz="4" w:space="0"/>
              <w:right w:val="single" w:color="auto" w:sz="4" w:space="0"/>
            </w:tcBorders>
            <w:vAlign w:val="center"/>
          </w:tcPr>
          <w:p w14:paraId="2FB77454">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货物名称</w:t>
            </w:r>
          </w:p>
        </w:tc>
        <w:tc>
          <w:tcPr>
            <w:tcW w:w="533" w:type="pct"/>
            <w:tcBorders>
              <w:top w:val="single" w:color="auto" w:sz="4" w:space="0"/>
              <w:left w:val="single" w:color="auto" w:sz="4" w:space="0"/>
              <w:bottom w:val="single" w:color="auto" w:sz="4" w:space="0"/>
              <w:right w:val="single" w:color="auto" w:sz="4" w:space="0"/>
            </w:tcBorders>
            <w:vAlign w:val="center"/>
          </w:tcPr>
          <w:p w14:paraId="2BF68538">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品牌</w:t>
            </w:r>
          </w:p>
        </w:tc>
        <w:tc>
          <w:tcPr>
            <w:tcW w:w="500" w:type="pct"/>
            <w:tcBorders>
              <w:top w:val="single" w:color="auto" w:sz="4" w:space="0"/>
              <w:left w:val="single" w:color="auto" w:sz="4" w:space="0"/>
              <w:bottom w:val="single" w:color="auto" w:sz="4" w:space="0"/>
              <w:right w:val="single" w:color="auto" w:sz="4" w:space="0"/>
            </w:tcBorders>
            <w:vAlign w:val="center"/>
          </w:tcPr>
          <w:p w14:paraId="2B6192DB">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产地</w:t>
            </w:r>
          </w:p>
        </w:tc>
        <w:tc>
          <w:tcPr>
            <w:tcW w:w="564" w:type="pct"/>
            <w:tcBorders>
              <w:top w:val="single" w:color="auto" w:sz="4" w:space="0"/>
              <w:left w:val="single" w:color="auto" w:sz="4" w:space="0"/>
              <w:bottom w:val="single" w:color="auto" w:sz="4" w:space="0"/>
              <w:right w:val="single" w:color="auto" w:sz="4" w:space="0"/>
            </w:tcBorders>
            <w:vAlign w:val="center"/>
          </w:tcPr>
          <w:p w14:paraId="594BA968">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规格、型号</w:t>
            </w:r>
          </w:p>
        </w:tc>
        <w:tc>
          <w:tcPr>
            <w:tcW w:w="532" w:type="pct"/>
            <w:tcBorders>
              <w:top w:val="single" w:color="auto" w:sz="4" w:space="0"/>
              <w:left w:val="single" w:color="auto" w:sz="4" w:space="0"/>
              <w:bottom w:val="single" w:color="auto" w:sz="4" w:space="0"/>
              <w:right w:val="single" w:color="auto" w:sz="4" w:space="0"/>
            </w:tcBorders>
            <w:vAlign w:val="center"/>
          </w:tcPr>
          <w:p w14:paraId="46AEF06B">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单位</w:t>
            </w:r>
          </w:p>
        </w:tc>
        <w:tc>
          <w:tcPr>
            <w:tcW w:w="532" w:type="pct"/>
            <w:tcBorders>
              <w:top w:val="single" w:color="auto" w:sz="4" w:space="0"/>
              <w:left w:val="single" w:color="auto" w:sz="4" w:space="0"/>
              <w:bottom w:val="single" w:color="auto" w:sz="4" w:space="0"/>
              <w:right w:val="single" w:color="auto" w:sz="4" w:space="0"/>
            </w:tcBorders>
            <w:vAlign w:val="center"/>
          </w:tcPr>
          <w:p w14:paraId="404A1974">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数量</w:t>
            </w:r>
          </w:p>
        </w:tc>
        <w:tc>
          <w:tcPr>
            <w:tcW w:w="532" w:type="pct"/>
            <w:tcBorders>
              <w:top w:val="single" w:color="auto" w:sz="4" w:space="0"/>
              <w:left w:val="single" w:color="auto" w:sz="4" w:space="0"/>
              <w:bottom w:val="single" w:color="auto" w:sz="4" w:space="0"/>
              <w:right w:val="single" w:color="auto" w:sz="4" w:space="0"/>
            </w:tcBorders>
            <w:vAlign w:val="center"/>
          </w:tcPr>
          <w:p w14:paraId="75BF5626">
            <w:pPr>
              <w:autoSpaceDE w:val="0"/>
              <w:autoSpaceDN w:val="0"/>
              <w:adjustRightInd w:val="0"/>
              <w:spacing w:line="400" w:lineRule="exact"/>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生产厂家</w:t>
            </w:r>
          </w:p>
        </w:tc>
        <w:tc>
          <w:tcPr>
            <w:tcW w:w="532" w:type="pct"/>
            <w:tcBorders>
              <w:top w:val="single" w:color="auto" w:sz="4" w:space="0"/>
              <w:left w:val="single" w:color="auto" w:sz="4" w:space="0"/>
              <w:bottom w:val="single" w:color="auto" w:sz="4" w:space="0"/>
              <w:right w:val="single" w:color="auto" w:sz="4" w:space="0"/>
            </w:tcBorders>
            <w:vAlign w:val="center"/>
          </w:tcPr>
          <w:p w14:paraId="4858D5EF">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主要技术参数</w:t>
            </w:r>
          </w:p>
        </w:tc>
        <w:tc>
          <w:tcPr>
            <w:tcW w:w="206" w:type="pct"/>
            <w:tcBorders>
              <w:top w:val="single" w:color="auto" w:sz="4" w:space="0"/>
              <w:left w:val="single" w:color="auto" w:sz="4" w:space="0"/>
              <w:bottom w:val="single" w:color="auto" w:sz="4" w:space="0"/>
              <w:right w:val="single" w:color="auto" w:sz="4" w:space="0"/>
            </w:tcBorders>
            <w:vAlign w:val="center"/>
          </w:tcPr>
          <w:p w14:paraId="1313FB7B">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备注</w:t>
            </w:r>
          </w:p>
        </w:tc>
      </w:tr>
      <w:tr w14:paraId="4CA4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8" w:type="pct"/>
            <w:tcBorders>
              <w:top w:val="single" w:color="auto" w:sz="4" w:space="0"/>
              <w:left w:val="single" w:color="auto" w:sz="4" w:space="0"/>
              <w:bottom w:val="single" w:color="auto" w:sz="4" w:space="0"/>
              <w:right w:val="single" w:color="auto" w:sz="4" w:space="0"/>
            </w:tcBorders>
            <w:vAlign w:val="center"/>
          </w:tcPr>
          <w:p w14:paraId="179ADEF8">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1</w:t>
            </w:r>
          </w:p>
        </w:tc>
        <w:tc>
          <w:tcPr>
            <w:tcW w:w="730" w:type="pct"/>
            <w:tcBorders>
              <w:top w:val="single" w:color="auto" w:sz="4" w:space="0"/>
              <w:left w:val="single" w:color="auto" w:sz="4" w:space="0"/>
              <w:bottom w:val="single" w:color="auto" w:sz="4" w:space="0"/>
              <w:right w:val="single" w:color="auto" w:sz="4" w:space="0"/>
            </w:tcBorders>
          </w:tcPr>
          <w:p w14:paraId="2B689A20">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3" w:type="pct"/>
            <w:tcBorders>
              <w:top w:val="single" w:color="auto" w:sz="4" w:space="0"/>
              <w:left w:val="single" w:color="auto" w:sz="4" w:space="0"/>
              <w:bottom w:val="single" w:color="auto" w:sz="4" w:space="0"/>
              <w:right w:val="single" w:color="auto" w:sz="4" w:space="0"/>
            </w:tcBorders>
            <w:vAlign w:val="center"/>
          </w:tcPr>
          <w:p w14:paraId="66ED8E4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14:paraId="427861B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4" w:type="pct"/>
            <w:tcBorders>
              <w:top w:val="single" w:color="auto" w:sz="4" w:space="0"/>
              <w:left w:val="single" w:color="auto" w:sz="4" w:space="0"/>
              <w:bottom w:val="single" w:color="auto" w:sz="4" w:space="0"/>
              <w:right w:val="single" w:color="auto" w:sz="4" w:space="0"/>
            </w:tcBorders>
            <w:vAlign w:val="center"/>
          </w:tcPr>
          <w:p w14:paraId="1F4AA8A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0E35582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2F83943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65D9660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602C244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206" w:type="pct"/>
            <w:tcBorders>
              <w:top w:val="single" w:color="auto" w:sz="4" w:space="0"/>
              <w:left w:val="single" w:color="auto" w:sz="4" w:space="0"/>
              <w:bottom w:val="single" w:color="auto" w:sz="4" w:space="0"/>
              <w:right w:val="single" w:color="auto" w:sz="4" w:space="0"/>
            </w:tcBorders>
            <w:vAlign w:val="center"/>
          </w:tcPr>
          <w:p w14:paraId="1877F2A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2993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8" w:type="pct"/>
            <w:tcBorders>
              <w:top w:val="single" w:color="auto" w:sz="4" w:space="0"/>
              <w:left w:val="single" w:color="auto" w:sz="4" w:space="0"/>
              <w:bottom w:val="single" w:color="auto" w:sz="4" w:space="0"/>
              <w:right w:val="single" w:color="auto" w:sz="4" w:space="0"/>
            </w:tcBorders>
            <w:vAlign w:val="center"/>
          </w:tcPr>
          <w:p w14:paraId="4E37C315">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2</w:t>
            </w:r>
          </w:p>
        </w:tc>
        <w:tc>
          <w:tcPr>
            <w:tcW w:w="730" w:type="pct"/>
            <w:tcBorders>
              <w:top w:val="single" w:color="auto" w:sz="4" w:space="0"/>
              <w:left w:val="single" w:color="auto" w:sz="4" w:space="0"/>
              <w:bottom w:val="single" w:color="auto" w:sz="4" w:space="0"/>
              <w:right w:val="single" w:color="auto" w:sz="4" w:space="0"/>
            </w:tcBorders>
          </w:tcPr>
          <w:p w14:paraId="4C43D57E">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3" w:type="pct"/>
            <w:tcBorders>
              <w:top w:val="single" w:color="auto" w:sz="4" w:space="0"/>
              <w:left w:val="single" w:color="auto" w:sz="4" w:space="0"/>
              <w:bottom w:val="single" w:color="auto" w:sz="4" w:space="0"/>
              <w:right w:val="single" w:color="auto" w:sz="4" w:space="0"/>
            </w:tcBorders>
            <w:vAlign w:val="center"/>
          </w:tcPr>
          <w:p w14:paraId="61622CF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14:paraId="0E63288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4" w:type="pct"/>
            <w:tcBorders>
              <w:top w:val="single" w:color="auto" w:sz="4" w:space="0"/>
              <w:left w:val="single" w:color="auto" w:sz="4" w:space="0"/>
              <w:bottom w:val="single" w:color="auto" w:sz="4" w:space="0"/>
              <w:right w:val="single" w:color="auto" w:sz="4" w:space="0"/>
            </w:tcBorders>
            <w:vAlign w:val="center"/>
          </w:tcPr>
          <w:p w14:paraId="0D16195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23D5BED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5A083C5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08FEB7F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2EE4054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206" w:type="pct"/>
            <w:tcBorders>
              <w:top w:val="single" w:color="auto" w:sz="4" w:space="0"/>
              <w:left w:val="single" w:color="auto" w:sz="4" w:space="0"/>
              <w:bottom w:val="single" w:color="auto" w:sz="4" w:space="0"/>
              <w:right w:val="single" w:color="auto" w:sz="4" w:space="0"/>
            </w:tcBorders>
            <w:vAlign w:val="center"/>
          </w:tcPr>
          <w:p w14:paraId="7CAA3A8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0005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2AAEA50D">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w:t>
            </w:r>
          </w:p>
        </w:tc>
        <w:tc>
          <w:tcPr>
            <w:tcW w:w="730" w:type="pct"/>
            <w:tcBorders>
              <w:top w:val="single" w:color="auto" w:sz="4" w:space="0"/>
              <w:left w:val="single" w:color="auto" w:sz="4" w:space="0"/>
              <w:bottom w:val="single" w:color="auto" w:sz="4" w:space="0"/>
              <w:right w:val="single" w:color="auto" w:sz="4" w:space="0"/>
            </w:tcBorders>
          </w:tcPr>
          <w:p w14:paraId="08FEB972">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3" w:type="pct"/>
            <w:tcBorders>
              <w:top w:val="single" w:color="auto" w:sz="4" w:space="0"/>
              <w:left w:val="single" w:color="auto" w:sz="4" w:space="0"/>
              <w:bottom w:val="single" w:color="auto" w:sz="4" w:space="0"/>
              <w:right w:val="single" w:color="auto" w:sz="4" w:space="0"/>
            </w:tcBorders>
            <w:vAlign w:val="center"/>
          </w:tcPr>
          <w:p w14:paraId="2F1CF61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14:paraId="0519F2F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4" w:type="pct"/>
            <w:tcBorders>
              <w:top w:val="single" w:color="auto" w:sz="4" w:space="0"/>
              <w:left w:val="single" w:color="auto" w:sz="4" w:space="0"/>
              <w:bottom w:val="single" w:color="auto" w:sz="4" w:space="0"/>
              <w:right w:val="single" w:color="auto" w:sz="4" w:space="0"/>
            </w:tcBorders>
            <w:vAlign w:val="center"/>
          </w:tcPr>
          <w:p w14:paraId="4F8A344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0403BBF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1E4ED37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511342D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6AF7037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206" w:type="pct"/>
            <w:tcBorders>
              <w:top w:val="single" w:color="auto" w:sz="4" w:space="0"/>
              <w:left w:val="single" w:color="auto" w:sz="4" w:space="0"/>
              <w:bottom w:val="single" w:color="auto" w:sz="4" w:space="0"/>
              <w:right w:val="single" w:color="auto" w:sz="4" w:space="0"/>
            </w:tcBorders>
            <w:vAlign w:val="center"/>
          </w:tcPr>
          <w:p w14:paraId="214C1D1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2C16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6C869B8F">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p>
        </w:tc>
        <w:tc>
          <w:tcPr>
            <w:tcW w:w="730" w:type="pct"/>
            <w:tcBorders>
              <w:top w:val="single" w:color="auto" w:sz="4" w:space="0"/>
              <w:left w:val="single" w:color="auto" w:sz="4" w:space="0"/>
              <w:bottom w:val="single" w:color="auto" w:sz="4" w:space="0"/>
              <w:right w:val="single" w:color="auto" w:sz="4" w:space="0"/>
            </w:tcBorders>
          </w:tcPr>
          <w:p w14:paraId="030AB0B8">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533" w:type="pct"/>
            <w:tcBorders>
              <w:top w:val="single" w:color="auto" w:sz="4" w:space="0"/>
              <w:left w:val="single" w:color="auto" w:sz="4" w:space="0"/>
              <w:bottom w:val="single" w:color="auto" w:sz="4" w:space="0"/>
              <w:right w:val="single" w:color="auto" w:sz="4" w:space="0"/>
            </w:tcBorders>
            <w:vAlign w:val="center"/>
          </w:tcPr>
          <w:p w14:paraId="4C2A362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14:paraId="0A6CF9B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4" w:type="pct"/>
            <w:tcBorders>
              <w:top w:val="single" w:color="auto" w:sz="4" w:space="0"/>
              <w:left w:val="single" w:color="auto" w:sz="4" w:space="0"/>
              <w:bottom w:val="single" w:color="auto" w:sz="4" w:space="0"/>
              <w:right w:val="single" w:color="auto" w:sz="4" w:space="0"/>
            </w:tcBorders>
            <w:vAlign w:val="center"/>
          </w:tcPr>
          <w:p w14:paraId="11B5007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67E0331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1F14F357">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01C81F5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7567BC39">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206" w:type="pct"/>
            <w:tcBorders>
              <w:top w:val="single" w:color="auto" w:sz="4" w:space="0"/>
              <w:left w:val="single" w:color="auto" w:sz="4" w:space="0"/>
              <w:bottom w:val="single" w:color="auto" w:sz="4" w:space="0"/>
              <w:right w:val="single" w:color="auto" w:sz="4" w:space="0"/>
            </w:tcBorders>
            <w:vAlign w:val="center"/>
          </w:tcPr>
          <w:p w14:paraId="27ACD29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6165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0388C975">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w:t>
            </w:r>
          </w:p>
        </w:tc>
        <w:tc>
          <w:tcPr>
            <w:tcW w:w="730" w:type="pct"/>
            <w:tcBorders>
              <w:top w:val="single" w:color="auto" w:sz="4" w:space="0"/>
              <w:left w:val="single" w:color="auto" w:sz="4" w:space="0"/>
              <w:bottom w:val="single" w:color="auto" w:sz="4" w:space="0"/>
              <w:right w:val="single" w:color="auto" w:sz="4" w:space="0"/>
            </w:tcBorders>
          </w:tcPr>
          <w:p w14:paraId="31A546D3">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p>
        </w:tc>
        <w:tc>
          <w:tcPr>
            <w:tcW w:w="533" w:type="pct"/>
            <w:tcBorders>
              <w:top w:val="single" w:color="auto" w:sz="4" w:space="0"/>
              <w:left w:val="single" w:color="auto" w:sz="4" w:space="0"/>
              <w:bottom w:val="single" w:color="auto" w:sz="4" w:space="0"/>
              <w:right w:val="single" w:color="auto" w:sz="4" w:space="0"/>
            </w:tcBorders>
            <w:vAlign w:val="center"/>
          </w:tcPr>
          <w:p w14:paraId="2C9AE4C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14:paraId="4D47246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4" w:type="pct"/>
            <w:tcBorders>
              <w:top w:val="single" w:color="auto" w:sz="4" w:space="0"/>
              <w:left w:val="single" w:color="auto" w:sz="4" w:space="0"/>
              <w:bottom w:val="single" w:color="auto" w:sz="4" w:space="0"/>
              <w:right w:val="single" w:color="auto" w:sz="4" w:space="0"/>
            </w:tcBorders>
            <w:vAlign w:val="center"/>
          </w:tcPr>
          <w:p w14:paraId="3D4D085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4F44F76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23D3D41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107BDCC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7AD2A6F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206" w:type="pct"/>
            <w:tcBorders>
              <w:top w:val="single" w:color="auto" w:sz="4" w:space="0"/>
              <w:left w:val="single" w:color="auto" w:sz="4" w:space="0"/>
              <w:bottom w:val="single" w:color="auto" w:sz="4" w:space="0"/>
              <w:right w:val="single" w:color="auto" w:sz="4" w:space="0"/>
            </w:tcBorders>
            <w:vAlign w:val="center"/>
          </w:tcPr>
          <w:p w14:paraId="7E5D6E8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5B1B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8" w:type="pct"/>
            <w:tcBorders>
              <w:top w:val="single" w:color="auto" w:sz="4" w:space="0"/>
              <w:left w:val="single" w:color="auto" w:sz="4" w:space="0"/>
              <w:bottom w:val="single" w:color="auto" w:sz="4" w:space="0"/>
              <w:right w:val="single" w:color="auto" w:sz="4" w:space="0"/>
            </w:tcBorders>
            <w:vAlign w:val="center"/>
          </w:tcPr>
          <w:p w14:paraId="09C93137">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w:t>
            </w:r>
          </w:p>
        </w:tc>
        <w:tc>
          <w:tcPr>
            <w:tcW w:w="730" w:type="pct"/>
            <w:tcBorders>
              <w:top w:val="single" w:color="auto" w:sz="4" w:space="0"/>
              <w:left w:val="single" w:color="auto" w:sz="4" w:space="0"/>
              <w:bottom w:val="single" w:color="auto" w:sz="4" w:space="0"/>
              <w:right w:val="single" w:color="auto" w:sz="4" w:space="0"/>
            </w:tcBorders>
            <w:vAlign w:val="center"/>
          </w:tcPr>
          <w:p w14:paraId="0671B924">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3" w:type="pct"/>
            <w:tcBorders>
              <w:top w:val="single" w:color="auto" w:sz="4" w:space="0"/>
              <w:left w:val="single" w:color="auto" w:sz="4" w:space="0"/>
              <w:bottom w:val="single" w:color="auto" w:sz="4" w:space="0"/>
              <w:right w:val="single" w:color="auto" w:sz="4" w:space="0"/>
            </w:tcBorders>
            <w:vAlign w:val="center"/>
          </w:tcPr>
          <w:p w14:paraId="53D8495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14:paraId="2B83198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4" w:type="pct"/>
            <w:tcBorders>
              <w:top w:val="single" w:color="auto" w:sz="4" w:space="0"/>
              <w:left w:val="single" w:color="auto" w:sz="4" w:space="0"/>
              <w:bottom w:val="single" w:color="auto" w:sz="4" w:space="0"/>
              <w:right w:val="single" w:color="auto" w:sz="4" w:space="0"/>
            </w:tcBorders>
            <w:vAlign w:val="center"/>
          </w:tcPr>
          <w:p w14:paraId="5F761D7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5156240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vAlign w:val="center"/>
          </w:tcPr>
          <w:p w14:paraId="70B0A4F6">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43B566B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32" w:type="pct"/>
            <w:tcBorders>
              <w:top w:val="single" w:color="auto" w:sz="4" w:space="0"/>
              <w:left w:val="single" w:color="auto" w:sz="4" w:space="0"/>
              <w:bottom w:val="single" w:color="auto" w:sz="4" w:space="0"/>
              <w:right w:val="single" w:color="auto" w:sz="4" w:space="0"/>
            </w:tcBorders>
          </w:tcPr>
          <w:p w14:paraId="2131F29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206" w:type="pct"/>
            <w:tcBorders>
              <w:top w:val="single" w:color="auto" w:sz="4" w:space="0"/>
              <w:left w:val="single" w:color="auto" w:sz="4" w:space="0"/>
              <w:bottom w:val="single" w:color="auto" w:sz="4" w:space="0"/>
              <w:right w:val="single" w:color="auto" w:sz="4" w:space="0"/>
            </w:tcBorders>
            <w:vAlign w:val="center"/>
          </w:tcPr>
          <w:p w14:paraId="1435481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58E668CB">
      <w:pPr>
        <w:autoSpaceDE w:val="0"/>
        <w:autoSpaceDN w:val="0"/>
        <w:adjustRightInd w:val="0"/>
        <w:snapToGrid w:val="0"/>
        <w:spacing w:line="360" w:lineRule="auto"/>
        <w:ind w:firstLine="210" w:firstLineChars="100"/>
        <w:jc w:val="left"/>
        <w:rPr>
          <w:rFonts w:ascii="宋体" w:hAnsi="宋体" w:eastAsia="宋体" w:cs="Times New Roman"/>
          <w:color w:val="000000" w:themeColor="text1"/>
          <w:kern w:val="0"/>
          <w:szCs w:val="21"/>
          <w:highlight w:val="none"/>
          <w14:textFill>
            <w14:solidFill>
              <w14:schemeClr w14:val="tx1"/>
            </w14:solidFill>
          </w14:textFill>
        </w:rPr>
      </w:pPr>
    </w:p>
    <w:p w14:paraId="1A4F1A7A">
      <w:pPr>
        <w:autoSpaceDE w:val="0"/>
        <w:autoSpaceDN w:val="0"/>
        <w:adjustRightInd w:val="0"/>
        <w:snapToGrid w:val="0"/>
        <w:spacing w:line="360" w:lineRule="auto"/>
        <w:ind w:firstLine="210" w:firstLineChars="1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备注：</w:t>
      </w:r>
    </w:p>
    <w:p w14:paraId="67B76EEB">
      <w:pPr>
        <w:autoSpaceDE w:val="0"/>
        <w:autoSpaceDN w:val="0"/>
        <w:adjustRightInd w:val="0"/>
        <w:snapToGrid w:val="0"/>
        <w:spacing w:line="360" w:lineRule="auto"/>
        <w:ind w:left="976" w:leftChars="195"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（1）投标人应列明按《用户需求书》所要求的全部货物及其服务的明细清单；</w:t>
      </w:r>
    </w:p>
    <w:p w14:paraId="03271AD8">
      <w:pPr>
        <w:autoSpaceDE w:val="0"/>
        <w:autoSpaceDN w:val="0"/>
        <w:adjustRightInd w:val="0"/>
        <w:snapToGrid w:val="0"/>
        <w:spacing w:line="360" w:lineRule="auto"/>
        <w:ind w:left="976" w:leftChars="195" w:hanging="567" w:hangingChars="270"/>
        <w:jc w:val="left"/>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（2）货物明细中的</w:t>
      </w:r>
      <w:r>
        <w:rPr>
          <w:rFonts w:hint="eastAsia" w:ascii="宋体" w:hAnsi="宋体" w:eastAsia="宋体" w:cs="Times New Roman"/>
          <w:color w:val="000000" w:themeColor="text1"/>
          <w:kern w:val="0"/>
          <w:szCs w:val="21"/>
          <w:highlight w:val="none"/>
          <w:lang w:val="zh-CN"/>
          <w14:textFill>
            <w14:solidFill>
              <w14:schemeClr w14:val="tx1"/>
            </w14:solidFill>
          </w14:textFill>
        </w:rPr>
        <w:t>货物名称、品牌、产地、规格、型号及数量等必须与分项报价明细表的货物名称、品牌、产地、规格、型号及数量完全一致；</w:t>
      </w:r>
    </w:p>
    <w:p w14:paraId="0E3D9269">
      <w:pPr>
        <w:autoSpaceDE w:val="0"/>
        <w:autoSpaceDN w:val="0"/>
        <w:adjustRightInd w:val="0"/>
        <w:snapToGrid w:val="0"/>
        <w:spacing w:line="360" w:lineRule="auto"/>
        <w:ind w:left="976" w:leftChars="195" w:hanging="567" w:hangingChars="270"/>
        <w:jc w:val="left"/>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w:t>
      </w:r>
      <w:r>
        <w:rPr>
          <w:rFonts w:ascii="宋体" w:hAnsi="宋体" w:eastAsia="宋体" w:cs="Times New Roman"/>
          <w:color w:val="000000" w:themeColor="text1"/>
          <w:kern w:val="0"/>
          <w:szCs w:val="21"/>
          <w:highlight w:val="none"/>
          <w:lang w:val="zh-CN"/>
          <w14:textFill>
            <w14:solidFill>
              <w14:schemeClr w14:val="tx1"/>
            </w14:solidFill>
          </w14:textFill>
        </w:rPr>
        <w:t>3</w:t>
      </w:r>
      <w:r>
        <w:rPr>
          <w:rFonts w:hint="eastAsia" w:ascii="宋体" w:hAnsi="宋体" w:eastAsia="宋体" w:cs="Times New Roman"/>
          <w:color w:val="000000" w:themeColor="text1"/>
          <w:kern w:val="0"/>
          <w:szCs w:val="21"/>
          <w:highlight w:val="none"/>
          <w:lang w:val="zh-CN"/>
          <w14:textFill>
            <w14:solidFill>
              <w14:schemeClr w14:val="tx1"/>
            </w14:solidFill>
          </w14:textFill>
        </w:rPr>
        <w:t>）表格可根据实际货物种类自行扩展。</w:t>
      </w:r>
    </w:p>
    <w:p w14:paraId="6B2673A0">
      <w:pPr>
        <w:autoSpaceDE w:val="0"/>
        <w:autoSpaceDN w:val="0"/>
        <w:adjustRightInd w:val="0"/>
        <w:spacing w:line="360" w:lineRule="auto"/>
        <w:ind w:firstLine="4200" w:firstLineChars="2000"/>
        <w:jc w:val="left"/>
        <w:rPr>
          <w:rFonts w:ascii="宋体" w:hAnsi="宋体" w:eastAsia="宋体" w:cs="Times New Roman"/>
          <w:color w:val="000000" w:themeColor="text1"/>
          <w:kern w:val="3"/>
          <w:szCs w:val="21"/>
          <w:highlight w:val="none"/>
          <w14:textFill>
            <w14:solidFill>
              <w14:schemeClr w14:val="tx1"/>
            </w14:solidFill>
          </w14:textFill>
        </w:rPr>
      </w:pPr>
    </w:p>
    <w:p w14:paraId="3D2EBBC8">
      <w:pPr>
        <w:autoSpaceDE w:val="0"/>
        <w:autoSpaceDN w:val="0"/>
        <w:adjustRightInd w:val="0"/>
        <w:spacing w:line="360" w:lineRule="auto"/>
        <w:ind w:firstLine="4200" w:firstLineChars="200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3"/>
          <w:szCs w:val="21"/>
          <w:highlight w:val="none"/>
          <w14:textFill>
            <w14:solidFill>
              <w14:schemeClr w14:val="tx1"/>
            </w14:solidFill>
          </w14:textFill>
        </w:rPr>
        <w:t xml:space="preserve">投 标 人（加盖投标人法人公章）：              </w:t>
      </w:r>
    </w:p>
    <w:p w14:paraId="44E6CED5">
      <w:pPr>
        <w:spacing w:line="360" w:lineRule="auto"/>
        <w:ind w:firstLine="4200" w:firstLineChars="2000"/>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日  期：        年     月     日</w:t>
      </w:r>
    </w:p>
    <w:p w14:paraId="65999FC9">
      <w:pPr>
        <w:widowControl/>
        <w:jc w:val="left"/>
        <w:rPr>
          <w:rFonts w:ascii="宋体" w:hAnsi="宋体" w:eastAsia="宋体" w:cs="Times New Roman"/>
          <w:color w:val="000000" w:themeColor="text1"/>
          <w:kern w:val="0"/>
          <w:szCs w:val="21"/>
          <w:highlight w:val="none"/>
          <w14:textFill>
            <w14:solidFill>
              <w14:schemeClr w14:val="tx1"/>
            </w14:solidFill>
          </w14:textFill>
        </w:rPr>
      </w:pPr>
      <w:bookmarkStart w:id="1000" w:name="_Toc94107225"/>
      <w:r>
        <w:rPr>
          <w:rFonts w:ascii="宋体" w:hAnsi="宋体" w:eastAsia="宋体" w:cs="Times New Roman"/>
          <w:color w:val="000000" w:themeColor="text1"/>
          <w:kern w:val="0"/>
          <w:szCs w:val="21"/>
          <w:highlight w:val="none"/>
          <w14:textFill>
            <w14:solidFill>
              <w14:schemeClr w14:val="tx1"/>
            </w14:solidFill>
          </w14:textFill>
        </w:rPr>
        <w:br w:type="page"/>
      </w:r>
    </w:p>
    <w:bookmarkEnd w:id="1000"/>
    <w:p w14:paraId="5193DD20">
      <w:pPr>
        <w:spacing w:line="360" w:lineRule="auto"/>
        <w:rPr>
          <w:rFonts w:ascii="宋体" w:hAnsi="宋体" w:eastAsia="宋体" w:cs="宋体"/>
          <w:b/>
          <w:color w:val="000000" w:themeColor="text1"/>
          <w:kern w:val="0"/>
          <w:sz w:val="30"/>
          <w:szCs w:val="30"/>
          <w:highlight w:val="none"/>
          <w14:textFill>
            <w14:solidFill>
              <w14:schemeClr w14:val="tx1"/>
            </w14:solidFill>
          </w14:textFill>
        </w:rPr>
      </w:pPr>
      <w:bookmarkStart w:id="1001" w:name="OLE_LINK337"/>
      <w:bookmarkStart w:id="1002" w:name="OLE_LINK241"/>
      <w:bookmarkStart w:id="1003" w:name="OLE_LINK335"/>
      <w:bookmarkStart w:id="1004" w:name="_Toc102860094"/>
      <w:bookmarkStart w:id="1005" w:name="_Toc142508389"/>
      <w:bookmarkStart w:id="1006" w:name="_Toc104991896"/>
      <w:bookmarkStart w:id="1007" w:name="_Toc140596949"/>
      <w:bookmarkStart w:id="1008" w:name="_Toc102860438"/>
      <w:bookmarkStart w:id="1009" w:name="_Toc533708139"/>
      <w:r>
        <w:rPr>
          <w:rFonts w:hint="eastAsia" w:ascii="宋体" w:hAnsi="宋体" w:eastAsia="宋体" w:cs="宋体"/>
          <w:b/>
          <w:color w:val="000000" w:themeColor="text1"/>
          <w:kern w:val="0"/>
          <w:sz w:val="30"/>
          <w:szCs w:val="30"/>
          <w:highlight w:val="none"/>
          <w14:textFill>
            <w14:solidFill>
              <w14:schemeClr w14:val="tx1"/>
            </w14:solidFill>
          </w14:textFill>
        </w:rPr>
        <w:t>13.3 光伏系统主要设备配置</w:t>
      </w:r>
      <w:bookmarkEnd w:id="1001"/>
    </w:p>
    <w:p w14:paraId="3096FF2D">
      <w:pPr>
        <w:spacing w:line="360" w:lineRule="auto"/>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13.3.1 所投光伏组件、并网逆变器产品性能</w:t>
      </w:r>
      <w:bookmarkStart w:id="1010" w:name="OLE_LINK313"/>
      <w:r>
        <w:rPr>
          <w:rFonts w:hint="eastAsia" w:ascii="宋体" w:hAnsi="宋体" w:eastAsia="宋体" w:cs="宋体"/>
          <w:b/>
          <w:color w:val="000000" w:themeColor="text1"/>
          <w:kern w:val="0"/>
          <w:sz w:val="30"/>
          <w:szCs w:val="30"/>
          <w:highlight w:val="none"/>
          <w14:textFill>
            <w14:solidFill>
              <w14:schemeClr w14:val="tx1"/>
            </w14:solidFill>
          </w14:textFill>
        </w:rPr>
        <w:t>（投标人自行提供书面说明和资料）</w:t>
      </w:r>
    </w:p>
    <w:bookmarkEnd w:id="1010"/>
    <w:p w14:paraId="2BC82010">
      <w:pPr>
        <w:spacing w:line="360" w:lineRule="auto"/>
        <w:rPr>
          <w:rFonts w:ascii="宋体" w:hAnsi="宋体" w:eastAsia="宋体" w:cs="宋体"/>
          <w:b/>
          <w:color w:val="000000" w:themeColor="text1"/>
          <w:kern w:val="0"/>
          <w:sz w:val="30"/>
          <w:szCs w:val="30"/>
          <w:highlight w:val="none"/>
          <w14:textFill>
            <w14:solidFill>
              <w14:schemeClr w14:val="tx1"/>
            </w14:solidFill>
          </w14:textFill>
        </w:rPr>
      </w:pPr>
      <w:bookmarkStart w:id="1011" w:name="OLE_LINK283"/>
    </w:p>
    <w:p w14:paraId="3782E0ED">
      <w:pP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bookmarkEnd w:id="1011"/>
    <w:p w14:paraId="32FBB924">
      <w:pPr>
        <w:spacing w:line="360" w:lineRule="auto"/>
        <w:rPr>
          <w:rFonts w:ascii="宋体" w:hAnsi="宋体" w:eastAsia="宋体" w:cs="宋体"/>
          <w:b/>
          <w:color w:val="000000" w:themeColor="text1"/>
          <w:kern w:val="0"/>
          <w:sz w:val="30"/>
          <w:szCs w:val="30"/>
          <w:highlight w:val="none"/>
          <w14:textFill>
            <w14:solidFill>
              <w14:schemeClr w14:val="tx1"/>
            </w14:solidFill>
          </w14:textFill>
        </w:rPr>
      </w:pPr>
      <w:bookmarkStart w:id="1012" w:name="OLE_LINK314"/>
      <w:r>
        <w:rPr>
          <w:rFonts w:hint="eastAsia" w:ascii="宋体" w:hAnsi="宋体" w:eastAsia="宋体" w:cs="宋体"/>
          <w:b/>
          <w:color w:val="000000" w:themeColor="text1"/>
          <w:kern w:val="0"/>
          <w:sz w:val="30"/>
          <w:szCs w:val="30"/>
          <w:highlight w:val="none"/>
          <w14:textFill>
            <w14:solidFill>
              <w14:schemeClr w14:val="tx1"/>
            </w14:solidFill>
          </w14:textFill>
        </w:rPr>
        <w:t>13.3.2 质保时间（投标人提供质保说明书）</w:t>
      </w:r>
    </w:p>
    <w:p w14:paraId="7DFA7A22">
      <w:pPr>
        <w:autoSpaceDE w:val="0"/>
        <w:autoSpaceDN w:val="0"/>
        <w:adjustRightInd w:val="0"/>
        <w:spacing w:line="360" w:lineRule="auto"/>
        <w:jc w:val="center"/>
        <w:rPr>
          <w:rFonts w:ascii="宋体" w:hAnsi="宋体" w:eastAsia="宋体" w:cs="宋体"/>
          <w:b/>
          <w:bCs/>
          <w:color w:val="000000" w:themeColor="text1"/>
          <w:sz w:val="30"/>
          <w:szCs w:val="30"/>
          <w:highlight w:val="none"/>
          <w:lang w:bidi="ar"/>
          <w14:textFill>
            <w14:solidFill>
              <w14:schemeClr w14:val="tx1"/>
            </w14:solidFill>
          </w14:textFill>
        </w:rPr>
      </w:pPr>
      <w:bookmarkStart w:id="1013" w:name="OLE_LINK341"/>
    </w:p>
    <w:bookmarkEnd w:id="1013"/>
    <w:p w14:paraId="0D2C6550">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bidi="ar"/>
          <w14:textFill>
            <w14:solidFill>
              <w14:schemeClr w14:val="tx1"/>
            </w14:solidFill>
          </w14:textFill>
        </w:rPr>
        <w:t>质保说明书</w:t>
      </w:r>
    </w:p>
    <w:bookmarkEnd w:id="1012"/>
    <w:tbl>
      <w:tblPr>
        <w:tblStyle w:val="37"/>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8"/>
        <w:gridCol w:w="3637"/>
      </w:tblGrid>
      <w:tr w14:paraId="4DBC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vAlign w:val="center"/>
          </w:tcPr>
          <w:p w14:paraId="7B376462">
            <w:pPr>
              <w:autoSpaceDE w:val="0"/>
              <w:autoSpaceDN w:val="0"/>
              <w:adjustRightInd w:val="0"/>
              <w:spacing w:line="360" w:lineRule="auto"/>
              <w:jc w:val="center"/>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lang w:bidi="ar"/>
                <w14:textFill>
                  <w14:solidFill>
                    <w14:schemeClr w14:val="tx1"/>
                  </w14:solidFill>
                </w14:textFill>
              </w:rPr>
              <w:t>承诺事项</w:t>
            </w:r>
          </w:p>
        </w:tc>
        <w:tc>
          <w:tcPr>
            <w:tcW w:w="1860" w:type="pct"/>
            <w:tcBorders>
              <w:top w:val="single" w:color="auto" w:sz="4" w:space="0"/>
              <w:left w:val="single" w:color="auto" w:sz="4" w:space="0"/>
              <w:bottom w:val="single" w:color="auto" w:sz="4" w:space="0"/>
              <w:right w:val="single" w:color="auto" w:sz="4" w:space="0"/>
            </w:tcBorders>
            <w:vAlign w:val="center"/>
          </w:tcPr>
          <w:p w14:paraId="1712F7E5">
            <w:pPr>
              <w:autoSpaceDE w:val="0"/>
              <w:autoSpaceDN w:val="0"/>
              <w:adjustRightInd w:val="0"/>
              <w:spacing w:line="360" w:lineRule="auto"/>
              <w:jc w:val="center"/>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lang w:bidi="ar"/>
                <w14:textFill>
                  <w14:solidFill>
                    <w14:schemeClr w14:val="tx1"/>
                  </w14:solidFill>
                </w14:textFill>
              </w:rPr>
              <w:t>承诺时间</w:t>
            </w:r>
          </w:p>
        </w:tc>
      </w:tr>
      <w:tr w14:paraId="303C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3139" w:type="pct"/>
            <w:tcBorders>
              <w:top w:val="single" w:color="auto" w:sz="4" w:space="0"/>
              <w:left w:val="single" w:color="auto" w:sz="4" w:space="0"/>
              <w:bottom w:val="single" w:color="auto" w:sz="4" w:space="0"/>
              <w:right w:val="single" w:color="auto" w:sz="4" w:space="0"/>
            </w:tcBorders>
            <w:vAlign w:val="center"/>
          </w:tcPr>
          <w:p w14:paraId="5C87DB00">
            <w:pPr>
              <w:autoSpaceDE w:val="0"/>
              <w:autoSpaceDN w:val="0"/>
              <w:adjustRightInd w:val="0"/>
              <w:spacing w:line="360" w:lineRule="auto"/>
              <w:jc w:val="left"/>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并网逆变器、交流汇流箱、光伏并网柜产品在满足本项目质保时间的基础上，承诺</w:t>
            </w:r>
            <w:r>
              <w:rPr>
                <w:rFonts w:hint="eastAsia" w:ascii="宋体" w:hAnsi="宋体" w:eastAsia="宋体" w:cs="宋体"/>
                <w:b/>
                <w:bCs/>
                <w:color w:val="000000" w:themeColor="text1"/>
                <w:kern w:val="0"/>
                <w:szCs w:val="21"/>
                <w:highlight w:val="none"/>
                <w:lang w:bidi="ar"/>
                <w14:textFill>
                  <w14:solidFill>
                    <w14:schemeClr w14:val="tx1"/>
                  </w14:solidFill>
                </w14:textFill>
              </w:rPr>
              <w:t>增加</w:t>
            </w:r>
            <w:r>
              <w:rPr>
                <w:rFonts w:hint="eastAsia" w:ascii="宋体" w:hAnsi="宋体" w:eastAsia="宋体" w:cs="宋体"/>
                <w:color w:val="000000" w:themeColor="text1"/>
                <w:kern w:val="0"/>
                <w:szCs w:val="21"/>
                <w:highlight w:val="none"/>
                <w:lang w:bidi="ar"/>
                <w14:textFill>
                  <w14:solidFill>
                    <w14:schemeClr w14:val="tx1"/>
                  </w14:solidFill>
                </w14:textFill>
              </w:rPr>
              <w:t>的质保时间为</w:t>
            </w:r>
          </w:p>
        </w:tc>
        <w:tc>
          <w:tcPr>
            <w:tcW w:w="1860" w:type="pct"/>
            <w:tcBorders>
              <w:top w:val="single" w:color="auto" w:sz="4" w:space="0"/>
              <w:left w:val="single" w:color="auto" w:sz="4" w:space="0"/>
              <w:bottom w:val="single" w:color="auto" w:sz="4" w:space="0"/>
              <w:right w:val="single" w:color="auto" w:sz="4" w:space="0"/>
            </w:tcBorders>
            <w:vAlign w:val="center"/>
          </w:tcPr>
          <w:p w14:paraId="62E96E62">
            <w:pPr>
              <w:autoSpaceDE w:val="0"/>
              <w:autoSpaceDN w:val="0"/>
              <w:adjustRightInd w:val="0"/>
              <w:spacing w:line="360" w:lineRule="auto"/>
              <w:jc w:val="center"/>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bCs/>
                <w:color w:val="000000" w:themeColor="text1"/>
                <w:szCs w:val="21"/>
                <w:highlight w:val="none"/>
                <w:u w:val="single"/>
                <w:lang w:bidi="ar"/>
                <w14:textFill>
                  <w14:solidFill>
                    <w14:schemeClr w14:val="tx1"/>
                  </w14:solidFill>
                </w14:textFill>
              </w:rPr>
              <w:t xml:space="preserve">    </w:t>
            </w:r>
            <w:r>
              <w:rPr>
                <w:rFonts w:hint="eastAsia" w:ascii="宋体" w:hAnsi="宋体" w:eastAsia="宋体" w:cs="宋体"/>
                <w:bCs/>
                <w:color w:val="000000" w:themeColor="text1"/>
                <w:szCs w:val="21"/>
                <w:highlight w:val="none"/>
                <w:lang w:bidi="ar"/>
                <w14:textFill>
                  <w14:solidFill>
                    <w14:schemeClr w14:val="tx1"/>
                  </w14:solidFill>
                </w14:textFill>
              </w:rPr>
              <w:t>年</w:t>
            </w:r>
          </w:p>
        </w:tc>
      </w:tr>
    </w:tbl>
    <w:p w14:paraId="1D423498">
      <w:pPr>
        <w:autoSpaceDE w:val="0"/>
        <w:autoSpaceDN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p>
    <w:p w14:paraId="0FE86ECF">
      <w:pPr>
        <w:autoSpaceDE w:val="0"/>
        <w:autoSpaceDN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62EFA887">
      <w:pPr>
        <w:autoSpaceDE w:val="0"/>
        <w:autoSpaceDN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1.本说明书若未填或漏填的，视为投标人按用户需求书响应。</w:t>
      </w:r>
    </w:p>
    <w:p w14:paraId="1F213F20">
      <w:pPr>
        <w:autoSpaceDE w:val="0"/>
        <w:autoSpaceDN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2.本说明书若与投标文件其他地方表述不一致的，以本承诺表为准。</w:t>
      </w:r>
    </w:p>
    <w:p w14:paraId="597F80AC">
      <w:pPr>
        <w:autoSpaceDE w:val="0"/>
        <w:autoSpaceDN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 </w:t>
      </w:r>
    </w:p>
    <w:p w14:paraId="0B781C5B">
      <w:pPr>
        <w:autoSpaceDE w:val="0"/>
        <w:autoSpaceDN w:val="0"/>
        <w:adjustRightInd w:val="0"/>
        <w:spacing w:line="360" w:lineRule="auto"/>
        <w:ind w:firstLine="50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投标人：（加盖投标人法人公章）</w:t>
      </w:r>
    </w:p>
    <w:p w14:paraId="19E488AE">
      <w:pPr>
        <w:autoSpaceDE w:val="0"/>
        <w:autoSpaceDN w:val="0"/>
        <w:adjustRightInd w:val="0"/>
        <w:spacing w:line="360" w:lineRule="auto"/>
        <w:ind w:firstLine="504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日期：   年   月   日</w:t>
      </w:r>
    </w:p>
    <w:p w14:paraId="6F5C48D6">
      <w:pPr>
        <w:spacing w:line="360" w:lineRule="auto"/>
        <w:rPr>
          <w:rFonts w:ascii="宋体" w:hAnsi="宋体" w:eastAsia="宋体" w:cs="宋体"/>
          <w:b/>
          <w:color w:val="000000" w:themeColor="text1"/>
          <w:kern w:val="0"/>
          <w:sz w:val="30"/>
          <w:szCs w:val="30"/>
          <w:highlight w:val="none"/>
          <w14:textFill>
            <w14:solidFill>
              <w14:schemeClr w14:val="tx1"/>
            </w14:solidFill>
          </w14:textFill>
        </w:rPr>
      </w:pPr>
    </w:p>
    <w:bookmarkEnd w:id="1002"/>
    <w:p w14:paraId="42631A7A">
      <w:pP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6EFB80FA">
      <w:pPr>
        <w:spacing w:line="360" w:lineRule="auto"/>
        <w:rPr>
          <w:rFonts w:ascii="宋体" w:hAnsi="宋体" w:eastAsia="宋体" w:cs="宋体"/>
          <w:b/>
          <w:color w:val="000000" w:themeColor="text1"/>
          <w:kern w:val="0"/>
          <w:sz w:val="30"/>
          <w:szCs w:val="30"/>
          <w:highlight w:val="none"/>
          <w14:textFill>
            <w14:solidFill>
              <w14:schemeClr w14:val="tx1"/>
            </w14:solidFill>
          </w14:textFill>
        </w:rPr>
      </w:pPr>
      <w:bookmarkStart w:id="1014" w:name="OLE_LINK366"/>
      <w:bookmarkStart w:id="1015" w:name="OLE_LINK350"/>
      <w:bookmarkStart w:id="1016" w:name="OLE_LINK343"/>
      <w:bookmarkStart w:id="1017" w:name="OLE_LINK340"/>
      <w:r>
        <w:rPr>
          <w:rFonts w:hint="eastAsia" w:ascii="宋体" w:hAnsi="宋体" w:eastAsia="宋体" w:cs="宋体"/>
          <w:b/>
          <w:color w:val="000000" w:themeColor="text1"/>
          <w:kern w:val="0"/>
          <w:sz w:val="30"/>
          <w:szCs w:val="30"/>
          <w:highlight w:val="none"/>
          <w14:textFill>
            <w14:solidFill>
              <w14:schemeClr w14:val="tx1"/>
            </w14:solidFill>
          </w14:textFill>
        </w:rPr>
        <w:t>1</w:t>
      </w:r>
      <w:bookmarkEnd w:id="1014"/>
      <w:r>
        <w:rPr>
          <w:rFonts w:hint="eastAsia" w:ascii="宋体" w:hAnsi="宋体" w:eastAsia="宋体" w:cs="宋体"/>
          <w:b/>
          <w:color w:val="000000" w:themeColor="text1"/>
          <w:kern w:val="0"/>
          <w:sz w:val="30"/>
          <w:szCs w:val="30"/>
          <w:highlight w:val="none"/>
          <w14:textFill>
            <w14:solidFill>
              <w14:schemeClr w14:val="tx1"/>
            </w14:solidFill>
          </w14:textFill>
        </w:rPr>
        <w:t>3.4 技术服务团队实力（投标人提供证明资料）</w:t>
      </w:r>
    </w:p>
    <w:p w14:paraId="418FDBAD">
      <w:pPr>
        <w:spacing w:line="360" w:lineRule="auto"/>
        <w:ind w:firstLine="643"/>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拟投入本项目的团队人员清单表</w:t>
      </w:r>
    </w:p>
    <w:bookmarkEnd w:id="1015"/>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46"/>
        <w:gridCol w:w="739"/>
        <w:gridCol w:w="850"/>
        <w:gridCol w:w="862"/>
        <w:gridCol w:w="1677"/>
        <w:gridCol w:w="1201"/>
        <w:gridCol w:w="1080"/>
        <w:gridCol w:w="1078"/>
      </w:tblGrid>
      <w:tr w14:paraId="413C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6EB4235">
            <w:pPr>
              <w:pStyle w:val="205"/>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1246" w:type="dxa"/>
            <w:vAlign w:val="center"/>
          </w:tcPr>
          <w:p w14:paraId="4A57B43C">
            <w:pPr>
              <w:pStyle w:val="205"/>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姓名</w:t>
            </w:r>
          </w:p>
        </w:tc>
        <w:tc>
          <w:tcPr>
            <w:tcW w:w="739" w:type="dxa"/>
            <w:vAlign w:val="center"/>
          </w:tcPr>
          <w:p w14:paraId="21AA387E">
            <w:pPr>
              <w:pStyle w:val="205"/>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性别</w:t>
            </w:r>
          </w:p>
        </w:tc>
        <w:tc>
          <w:tcPr>
            <w:tcW w:w="850" w:type="dxa"/>
            <w:vAlign w:val="center"/>
          </w:tcPr>
          <w:p w14:paraId="1A45F352">
            <w:pPr>
              <w:pStyle w:val="205"/>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年龄</w:t>
            </w:r>
          </w:p>
        </w:tc>
        <w:tc>
          <w:tcPr>
            <w:tcW w:w="862" w:type="dxa"/>
            <w:vAlign w:val="center"/>
          </w:tcPr>
          <w:p w14:paraId="08945773">
            <w:pPr>
              <w:pStyle w:val="205"/>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学历</w:t>
            </w:r>
          </w:p>
        </w:tc>
        <w:tc>
          <w:tcPr>
            <w:tcW w:w="1677" w:type="dxa"/>
            <w:vAlign w:val="center"/>
          </w:tcPr>
          <w:p w14:paraId="3DEB9545">
            <w:pPr>
              <w:pStyle w:val="205"/>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资格/职称证书</w:t>
            </w:r>
          </w:p>
        </w:tc>
        <w:tc>
          <w:tcPr>
            <w:tcW w:w="1201" w:type="dxa"/>
            <w:vAlign w:val="center"/>
          </w:tcPr>
          <w:p w14:paraId="11CA3E47">
            <w:pPr>
              <w:pStyle w:val="205"/>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拟任职务</w:t>
            </w:r>
          </w:p>
        </w:tc>
        <w:tc>
          <w:tcPr>
            <w:tcW w:w="1080" w:type="dxa"/>
            <w:vAlign w:val="center"/>
          </w:tcPr>
          <w:p w14:paraId="16C3E4D7">
            <w:pPr>
              <w:pStyle w:val="205"/>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从事本行业年限</w:t>
            </w:r>
          </w:p>
        </w:tc>
        <w:tc>
          <w:tcPr>
            <w:tcW w:w="1078" w:type="dxa"/>
            <w:vAlign w:val="center"/>
          </w:tcPr>
          <w:p w14:paraId="742EC4AC">
            <w:pPr>
              <w:pStyle w:val="205"/>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14:paraId="1B18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5D91A94">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246" w:type="dxa"/>
          </w:tcPr>
          <w:p w14:paraId="64DD6F0A">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739" w:type="dxa"/>
          </w:tcPr>
          <w:p w14:paraId="1DF9B338">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850" w:type="dxa"/>
          </w:tcPr>
          <w:p w14:paraId="0F5D23FE">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862" w:type="dxa"/>
          </w:tcPr>
          <w:p w14:paraId="033A870B">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677" w:type="dxa"/>
          </w:tcPr>
          <w:p w14:paraId="775B5436">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201" w:type="dxa"/>
          </w:tcPr>
          <w:p w14:paraId="05BA83B3">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080" w:type="dxa"/>
          </w:tcPr>
          <w:p w14:paraId="5F5B199B">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078" w:type="dxa"/>
          </w:tcPr>
          <w:p w14:paraId="44F23643">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r>
      <w:tr w14:paraId="0C24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3D44C94">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246" w:type="dxa"/>
          </w:tcPr>
          <w:p w14:paraId="528A8CD3">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739" w:type="dxa"/>
          </w:tcPr>
          <w:p w14:paraId="28496A4C">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850" w:type="dxa"/>
          </w:tcPr>
          <w:p w14:paraId="237FB1D0">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862" w:type="dxa"/>
          </w:tcPr>
          <w:p w14:paraId="74D547FC">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677" w:type="dxa"/>
          </w:tcPr>
          <w:p w14:paraId="35377D11">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201" w:type="dxa"/>
          </w:tcPr>
          <w:p w14:paraId="2CC5CC05">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080" w:type="dxa"/>
          </w:tcPr>
          <w:p w14:paraId="3B30A34C">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078" w:type="dxa"/>
          </w:tcPr>
          <w:p w14:paraId="53F57F63">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r>
      <w:tr w14:paraId="6466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D7B4633">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246" w:type="dxa"/>
          </w:tcPr>
          <w:p w14:paraId="7D411772">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739" w:type="dxa"/>
          </w:tcPr>
          <w:p w14:paraId="452D799C">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850" w:type="dxa"/>
          </w:tcPr>
          <w:p w14:paraId="7C9F1F9F">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862" w:type="dxa"/>
          </w:tcPr>
          <w:p w14:paraId="7F8D21AD">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677" w:type="dxa"/>
          </w:tcPr>
          <w:p w14:paraId="6451E10F">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201" w:type="dxa"/>
          </w:tcPr>
          <w:p w14:paraId="3433D5FD">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080" w:type="dxa"/>
          </w:tcPr>
          <w:p w14:paraId="43A52712">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078" w:type="dxa"/>
          </w:tcPr>
          <w:p w14:paraId="31D8C76A">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r>
      <w:tr w14:paraId="0D40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D9AA9A2">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246" w:type="dxa"/>
          </w:tcPr>
          <w:p w14:paraId="116AA3E4">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739" w:type="dxa"/>
          </w:tcPr>
          <w:p w14:paraId="431E14DB">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850" w:type="dxa"/>
          </w:tcPr>
          <w:p w14:paraId="7412E3C8">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862" w:type="dxa"/>
          </w:tcPr>
          <w:p w14:paraId="13B961C6">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677" w:type="dxa"/>
          </w:tcPr>
          <w:p w14:paraId="49E8B4FB">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201" w:type="dxa"/>
          </w:tcPr>
          <w:p w14:paraId="7F73E908">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080" w:type="dxa"/>
          </w:tcPr>
          <w:p w14:paraId="1CBFCEAC">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078" w:type="dxa"/>
          </w:tcPr>
          <w:p w14:paraId="05684C38">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r>
      <w:tr w14:paraId="00DC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48D447E">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246" w:type="dxa"/>
          </w:tcPr>
          <w:p w14:paraId="3A895144">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739" w:type="dxa"/>
          </w:tcPr>
          <w:p w14:paraId="40FF8016">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850" w:type="dxa"/>
          </w:tcPr>
          <w:p w14:paraId="24E1926D">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862" w:type="dxa"/>
          </w:tcPr>
          <w:p w14:paraId="7CBB2F8B">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677" w:type="dxa"/>
          </w:tcPr>
          <w:p w14:paraId="341BE06E">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201" w:type="dxa"/>
          </w:tcPr>
          <w:p w14:paraId="2C7DBC65">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080" w:type="dxa"/>
          </w:tcPr>
          <w:p w14:paraId="6EB13FC3">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078" w:type="dxa"/>
          </w:tcPr>
          <w:p w14:paraId="20E80A36">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r>
      <w:tr w14:paraId="3093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6881E68">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246" w:type="dxa"/>
          </w:tcPr>
          <w:p w14:paraId="4F033973">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739" w:type="dxa"/>
          </w:tcPr>
          <w:p w14:paraId="49BFC290">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850" w:type="dxa"/>
          </w:tcPr>
          <w:p w14:paraId="5C97DEEF">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862" w:type="dxa"/>
          </w:tcPr>
          <w:p w14:paraId="495061BF">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677" w:type="dxa"/>
          </w:tcPr>
          <w:p w14:paraId="2BC2BDF2">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201" w:type="dxa"/>
          </w:tcPr>
          <w:p w14:paraId="68FDB36B">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080" w:type="dxa"/>
          </w:tcPr>
          <w:p w14:paraId="67D90D26">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078" w:type="dxa"/>
          </w:tcPr>
          <w:p w14:paraId="0CDA5F9F">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r>
      <w:tr w14:paraId="0410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5022C11">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246" w:type="dxa"/>
          </w:tcPr>
          <w:p w14:paraId="0F6143D2">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739" w:type="dxa"/>
          </w:tcPr>
          <w:p w14:paraId="2173993F">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850" w:type="dxa"/>
          </w:tcPr>
          <w:p w14:paraId="6ACAC413">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862" w:type="dxa"/>
          </w:tcPr>
          <w:p w14:paraId="7FD103F6">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677" w:type="dxa"/>
          </w:tcPr>
          <w:p w14:paraId="1091E656">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201" w:type="dxa"/>
          </w:tcPr>
          <w:p w14:paraId="483E2F5C">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080" w:type="dxa"/>
          </w:tcPr>
          <w:p w14:paraId="14ABA627">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c>
          <w:tcPr>
            <w:tcW w:w="1078" w:type="dxa"/>
          </w:tcPr>
          <w:p w14:paraId="1811F5D2">
            <w:pPr>
              <w:pStyle w:val="205"/>
              <w:spacing w:line="480" w:lineRule="auto"/>
              <w:ind w:firstLine="420"/>
              <w:rPr>
                <w:rFonts w:ascii="宋体" w:hAnsi="宋体" w:eastAsia="宋体" w:cs="宋体"/>
                <w:color w:val="000000" w:themeColor="text1"/>
                <w:highlight w:val="none"/>
                <w14:textFill>
                  <w14:solidFill>
                    <w14:schemeClr w14:val="tx1"/>
                  </w14:solidFill>
                </w14:textFill>
              </w:rPr>
            </w:pPr>
          </w:p>
        </w:tc>
      </w:tr>
    </w:tbl>
    <w:p w14:paraId="7C0DC750">
      <w:pPr>
        <w:pStyle w:val="205"/>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37A43010">
      <w:pPr>
        <w:pStyle w:val="205"/>
        <w:ind w:firstLine="420"/>
        <w:rPr>
          <w:rFonts w:ascii="宋体" w:hAnsi="宋体" w:eastAsia="宋体" w:cs="宋体"/>
          <w:color w:val="000000" w:themeColor="text1"/>
          <w:szCs w:val="21"/>
          <w:highlight w:val="none"/>
          <w14:textFill>
            <w14:solidFill>
              <w14:schemeClr w14:val="tx1"/>
            </w14:solidFill>
          </w14:textFill>
        </w:rPr>
      </w:pPr>
      <w:bookmarkStart w:id="1018" w:name="OLE_LINK351"/>
      <w:r>
        <w:rPr>
          <w:rFonts w:hint="eastAsia" w:ascii="宋体" w:hAnsi="宋体" w:eastAsia="宋体" w:cs="宋体"/>
          <w:color w:val="000000" w:themeColor="text1"/>
          <w:szCs w:val="21"/>
          <w:highlight w:val="none"/>
          <w14:textFill>
            <w14:solidFill>
              <w14:schemeClr w14:val="tx1"/>
            </w14:solidFill>
          </w14:textFill>
        </w:rPr>
        <w:t>（1）此表格式供参照，投标人可以根据本表格式内容自行划表填写。</w:t>
      </w:r>
    </w:p>
    <w:bookmarkEnd w:id="1018"/>
    <w:p w14:paraId="30D4B426">
      <w:pPr>
        <w:pStyle w:val="205"/>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（2）须附有资格证书[学历证书/职称证/执业/职业资格证]的复印件加盖投标人公章，并提供由人力资源和社会保障部门（或税务部门）出具的投标人2024年</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月至2024年</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月为其缴纳的社会保险凭证复印件加盖投标人公章。</w:t>
      </w:r>
    </w:p>
    <w:p w14:paraId="6B0FE394">
      <w:pPr>
        <w:pStyle w:val="205"/>
        <w:ind w:firstLine="602"/>
        <w:jc w:val="center"/>
        <w:rPr>
          <w:rFonts w:ascii="宋体" w:hAnsi="宋体" w:eastAsia="宋体" w:cs="宋体"/>
          <w:b/>
          <w:color w:val="000000" w:themeColor="text1"/>
          <w:sz w:val="30"/>
          <w:szCs w:val="30"/>
          <w:highlight w:val="none"/>
          <w14:textFill>
            <w14:solidFill>
              <w14:schemeClr w14:val="tx1"/>
            </w14:solidFill>
          </w14:textFill>
        </w:rPr>
      </w:pPr>
      <w:bookmarkStart w:id="1019" w:name="OLE_LINK349"/>
    </w:p>
    <w:p w14:paraId="5B9A936F">
      <w:pPr>
        <w:pStyle w:val="205"/>
        <w:ind w:firstLine="602"/>
        <w:jc w:val="center"/>
        <w:rPr>
          <w:rFonts w:ascii="宋体" w:hAnsi="宋体" w:eastAsia="宋体" w:cs="宋体"/>
          <w:b/>
          <w:color w:val="000000" w:themeColor="text1"/>
          <w:sz w:val="30"/>
          <w:szCs w:val="30"/>
          <w:highlight w:val="none"/>
          <w14:textFill>
            <w14:solidFill>
              <w14:schemeClr w14:val="tx1"/>
            </w14:solidFill>
          </w14:textFill>
        </w:rPr>
      </w:pPr>
    </w:p>
    <w:bookmarkEnd w:id="1019"/>
    <w:p w14:paraId="5416EE1A">
      <w:pPr>
        <w:pStyle w:val="205"/>
        <w:ind w:firstLine="602"/>
        <w:jc w:val="center"/>
        <w:rPr>
          <w:rFonts w:ascii="宋体" w:hAnsi="宋体" w:eastAsia="宋体" w:cs="宋体"/>
          <w:b/>
          <w:color w:val="000000" w:themeColor="text1"/>
          <w:sz w:val="30"/>
          <w:szCs w:val="30"/>
          <w:highlight w:val="none"/>
          <w14:textFill>
            <w14:solidFill>
              <w14:schemeClr w14:val="tx1"/>
            </w14:solidFill>
          </w14:textFill>
        </w:rPr>
      </w:pPr>
    </w:p>
    <w:p w14:paraId="0EB9410D">
      <w:pPr>
        <w:pStyle w:val="205"/>
        <w:ind w:firstLine="602"/>
        <w:jc w:val="center"/>
        <w:rPr>
          <w:rFonts w:ascii="宋体" w:hAnsi="宋体" w:eastAsia="宋体" w:cs="宋体"/>
          <w:b/>
          <w:color w:val="000000" w:themeColor="text1"/>
          <w:sz w:val="30"/>
          <w:szCs w:val="30"/>
          <w:highlight w:val="none"/>
          <w14:textFill>
            <w14:solidFill>
              <w14:schemeClr w14:val="tx1"/>
            </w14:solidFill>
          </w14:textFill>
        </w:rPr>
      </w:pPr>
    </w:p>
    <w:p w14:paraId="74014EE2">
      <w:pP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713C3906">
      <w:pPr>
        <w:spacing w:line="360" w:lineRule="auto"/>
        <w:rPr>
          <w:rFonts w:ascii="宋体" w:hAnsi="宋体" w:eastAsia="宋体" w:cs="宋体"/>
          <w:b/>
          <w:color w:val="000000" w:themeColor="text1"/>
          <w:kern w:val="0"/>
          <w:sz w:val="30"/>
          <w:szCs w:val="30"/>
          <w:highlight w:val="none"/>
          <w14:textFill>
            <w14:solidFill>
              <w14:schemeClr w14:val="tx1"/>
            </w14:solidFill>
          </w14:textFill>
        </w:rPr>
      </w:pPr>
      <w:bookmarkStart w:id="1020" w:name="OLE_LINK346"/>
      <w:r>
        <w:rPr>
          <w:rFonts w:hint="eastAsia" w:ascii="宋体" w:hAnsi="宋体" w:eastAsia="宋体" w:cs="宋体"/>
          <w:b/>
          <w:color w:val="000000" w:themeColor="text1"/>
          <w:kern w:val="0"/>
          <w:sz w:val="30"/>
          <w:szCs w:val="30"/>
          <w:highlight w:val="none"/>
          <w14:textFill>
            <w14:solidFill>
              <w14:schemeClr w14:val="tx1"/>
            </w14:solidFill>
          </w14:textFill>
        </w:rPr>
        <w:t>13.5 系统总体设计</w:t>
      </w:r>
    </w:p>
    <w:p w14:paraId="2E647E03">
      <w:pPr>
        <w:spacing w:line="360" w:lineRule="auto"/>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13.5.1 设计方案（投标人自行编写）</w:t>
      </w:r>
    </w:p>
    <w:bookmarkEnd w:id="1020"/>
    <w:p w14:paraId="6043030B">
      <w:pP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05D8A18E">
      <w:pPr>
        <w:spacing w:line="360" w:lineRule="auto"/>
        <w:rPr>
          <w:rFonts w:ascii="宋体" w:hAnsi="宋体" w:eastAsia="宋体" w:cs="宋体"/>
          <w:b/>
          <w:color w:val="000000" w:themeColor="text1"/>
          <w:kern w:val="0"/>
          <w:sz w:val="30"/>
          <w:szCs w:val="30"/>
          <w:highlight w:val="none"/>
          <w14:textFill>
            <w14:solidFill>
              <w14:schemeClr w14:val="tx1"/>
            </w14:solidFill>
          </w14:textFill>
        </w:rPr>
      </w:pPr>
      <w:bookmarkStart w:id="1021" w:name="OLE_LINK339"/>
      <w:r>
        <w:rPr>
          <w:rFonts w:hint="eastAsia" w:ascii="宋体" w:hAnsi="宋体" w:eastAsia="宋体" w:cs="宋体"/>
          <w:b/>
          <w:color w:val="000000" w:themeColor="text1"/>
          <w:kern w:val="0"/>
          <w:sz w:val="30"/>
          <w:szCs w:val="30"/>
          <w:highlight w:val="none"/>
          <w14:textFill>
            <w14:solidFill>
              <w14:schemeClr w14:val="tx1"/>
            </w14:solidFill>
          </w14:textFill>
        </w:rPr>
        <w:t>13.6 项目管理和项目实施组织</w:t>
      </w:r>
    </w:p>
    <w:p w14:paraId="62BA6EEB">
      <w:pPr>
        <w:spacing w:line="360" w:lineRule="auto"/>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13.6.1 项目实施方案</w:t>
      </w:r>
      <w:bookmarkStart w:id="1022" w:name="OLE_LINK342"/>
      <w:r>
        <w:rPr>
          <w:rFonts w:hint="eastAsia" w:ascii="宋体" w:hAnsi="宋体" w:eastAsia="宋体" w:cs="宋体"/>
          <w:b/>
          <w:color w:val="000000" w:themeColor="text1"/>
          <w:kern w:val="0"/>
          <w:sz w:val="30"/>
          <w:szCs w:val="30"/>
          <w:highlight w:val="none"/>
          <w14:textFill>
            <w14:solidFill>
              <w14:schemeClr w14:val="tx1"/>
            </w14:solidFill>
          </w14:textFill>
        </w:rPr>
        <w:t>（投标人自行编写）</w:t>
      </w:r>
      <w:bookmarkEnd w:id="1022"/>
    </w:p>
    <w:p w14:paraId="253E1F44">
      <w:pPr>
        <w:spacing w:line="360" w:lineRule="auto"/>
        <w:rPr>
          <w:rFonts w:ascii="宋体" w:hAnsi="宋体" w:eastAsia="宋体" w:cs="宋体"/>
          <w:b/>
          <w:color w:val="000000" w:themeColor="text1"/>
          <w:kern w:val="0"/>
          <w:sz w:val="30"/>
          <w:szCs w:val="30"/>
          <w:highlight w:val="none"/>
          <w14:textFill>
            <w14:solidFill>
              <w14:schemeClr w14:val="tx1"/>
            </w14:solidFill>
          </w14:textFill>
        </w:rPr>
      </w:pPr>
    </w:p>
    <w:p w14:paraId="5B422AC6">
      <w:pP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146FDB2E">
      <w:pPr>
        <w:spacing w:line="360" w:lineRule="auto"/>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13.6.2 安全保证措施（投标人自行编写）</w:t>
      </w:r>
    </w:p>
    <w:p w14:paraId="223820BF">
      <w:pPr>
        <w:spacing w:line="360" w:lineRule="auto"/>
        <w:rPr>
          <w:rFonts w:ascii="宋体" w:hAnsi="宋体" w:eastAsia="宋体" w:cs="宋体"/>
          <w:b/>
          <w:color w:val="000000" w:themeColor="text1"/>
          <w:kern w:val="0"/>
          <w:sz w:val="30"/>
          <w:szCs w:val="30"/>
          <w:highlight w:val="none"/>
          <w14:textFill>
            <w14:solidFill>
              <w14:schemeClr w14:val="tx1"/>
            </w14:solidFill>
          </w14:textFill>
        </w:rPr>
      </w:pPr>
    </w:p>
    <w:bookmarkEnd w:id="1021"/>
    <w:p w14:paraId="5E4CF93B">
      <w:pP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4A022EF7">
      <w:pPr>
        <w:spacing w:line="360" w:lineRule="auto"/>
        <w:rPr>
          <w:rFonts w:ascii="宋体" w:hAnsi="宋体" w:eastAsia="宋体" w:cs="宋体"/>
          <w:b/>
          <w:color w:val="000000" w:themeColor="text1"/>
          <w:kern w:val="0"/>
          <w:sz w:val="30"/>
          <w:szCs w:val="30"/>
          <w:highlight w:val="none"/>
          <w14:textFill>
            <w14:solidFill>
              <w14:schemeClr w14:val="tx1"/>
            </w14:solidFill>
          </w14:textFill>
        </w:rPr>
      </w:pPr>
      <w:bookmarkStart w:id="1023" w:name="OLE_LINK345"/>
      <w:r>
        <w:rPr>
          <w:rFonts w:hint="eastAsia" w:ascii="宋体" w:hAnsi="宋体" w:eastAsia="宋体" w:cs="宋体"/>
          <w:b/>
          <w:color w:val="000000" w:themeColor="text1"/>
          <w:kern w:val="0"/>
          <w:sz w:val="30"/>
          <w:szCs w:val="30"/>
          <w:highlight w:val="none"/>
          <w14:textFill>
            <w14:solidFill>
              <w14:schemeClr w14:val="tx1"/>
            </w14:solidFill>
          </w14:textFill>
        </w:rPr>
        <w:t>13.7 技术服务</w:t>
      </w:r>
    </w:p>
    <w:p w14:paraId="50D08E19">
      <w:pPr>
        <w:spacing w:line="360" w:lineRule="auto"/>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13.7.1 运维方案（投标人自行编写）</w:t>
      </w:r>
    </w:p>
    <w:bookmarkEnd w:id="1003"/>
    <w:bookmarkEnd w:id="1016"/>
    <w:bookmarkEnd w:id="1017"/>
    <w:bookmarkEnd w:id="1023"/>
    <w:p w14:paraId="6BE84326">
      <w:pP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4865027D">
      <w:pPr>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1024" w:name="_Toc14222"/>
      <w:bookmarkStart w:id="1025" w:name="_Toc21389"/>
      <w:bookmarkStart w:id="1026" w:name="_Toc5548"/>
      <w:bookmarkStart w:id="1027" w:name="_Toc1222"/>
      <w:bookmarkStart w:id="1028" w:name="_Toc770"/>
      <w:r>
        <w:rPr>
          <w:rFonts w:hint="eastAsia" w:ascii="宋体" w:hAnsi="宋体" w:eastAsia="宋体" w:cs="宋体"/>
          <w:b/>
          <w:color w:val="000000" w:themeColor="text1"/>
          <w:kern w:val="0"/>
          <w:sz w:val="30"/>
          <w:szCs w:val="30"/>
          <w:highlight w:val="none"/>
          <w14:textFill>
            <w14:solidFill>
              <w14:schemeClr w14:val="tx1"/>
            </w14:solidFill>
          </w14:textFill>
        </w:rPr>
        <w:t>13.8 投标人认为有必要提供的其它材料（不做强制要求）</w:t>
      </w:r>
      <w:bookmarkEnd w:id="1004"/>
      <w:bookmarkEnd w:id="1005"/>
      <w:bookmarkEnd w:id="1006"/>
      <w:bookmarkEnd w:id="1007"/>
      <w:bookmarkEnd w:id="1008"/>
      <w:bookmarkEnd w:id="1024"/>
      <w:bookmarkEnd w:id="1025"/>
      <w:bookmarkEnd w:id="1026"/>
      <w:bookmarkEnd w:id="1027"/>
      <w:bookmarkEnd w:id="1028"/>
    </w:p>
    <w:p w14:paraId="661D4EA6">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0D5F1CF6">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14E6B700">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7207463A">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1C1E0700">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46FF3C14">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48B0A421">
      <w:pPr>
        <w:widowControl/>
        <w:jc w:val="lef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br w:type="page"/>
      </w:r>
    </w:p>
    <w:p w14:paraId="3B95702A">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6EFCBD7E">
      <w:pPr>
        <w:tabs>
          <w:tab w:val="left" w:pos="1080"/>
        </w:tabs>
        <w:autoSpaceDE w:val="0"/>
        <w:autoSpaceDN w:val="0"/>
        <w:adjustRightInd w:val="0"/>
        <w:spacing w:line="360" w:lineRule="auto"/>
        <w:jc w:val="left"/>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1029" w:name="_Toc142508390"/>
      <w:bookmarkStart w:id="1030" w:name="_Toc23484"/>
      <w:bookmarkStart w:id="1031" w:name="_Toc28845"/>
      <w:bookmarkStart w:id="1032" w:name="_Toc22601_WPSOffice_Level1"/>
      <w:bookmarkStart w:id="1033" w:name="_Toc521918141"/>
      <w:bookmarkStart w:id="1034" w:name="_Toc522047402"/>
      <w:r>
        <w:rPr>
          <w:rFonts w:hint="eastAsia" w:ascii="宋体" w:hAnsi="宋体" w:eastAsia="宋体" w:cs="宋体"/>
          <w:b/>
          <w:bCs/>
          <w:color w:val="000000" w:themeColor="text1"/>
          <w:kern w:val="44"/>
          <w:sz w:val="32"/>
          <w:szCs w:val="32"/>
          <w:highlight w:val="none"/>
          <w:lang w:val="zh-CN"/>
          <w14:textFill>
            <w14:solidFill>
              <w14:schemeClr w14:val="tx1"/>
            </w14:solidFill>
          </w14:textFill>
        </w:rPr>
        <w:t>附件一：评标工作大纲</w:t>
      </w:r>
      <w:bookmarkEnd w:id="1029"/>
      <w:bookmarkEnd w:id="1030"/>
      <w:bookmarkEnd w:id="1031"/>
    </w:p>
    <w:p w14:paraId="70FE7A7D">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6DAE0704">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48501D2A">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447B9FB6">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55AADF95">
      <w:pPr>
        <w:autoSpaceDE w:val="0"/>
        <w:autoSpaceDN w:val="0"/>
        <w:adjustRightInd w:val="0"/>
        <w:spacing w:line="360" w:lineRule="auto"/>
        <w:jc w:val="center"/>
        <w:rPr>
          <w:rFonts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40"/>
          <w:szCs w:val="36"/>
          <w:highlight w:val="none"/>
          <w14:textFill>
            <w14:solidFill>
              <w14:schemeClr w14:val="tx1"/>
            </w14:solidFill>
          </w14:textFill>
        </w:rPr>
        <w:t>东莞市水务集团科技发展有限公司屋顶分布式光伏发电（一期）采购项目</w:t>
      </w:r>
    </w:p>
    <w:p w14:paraId="17504880">
      <w:pPr>
        <w:autoSpaceDE w:val="0"/>
        <w:autoSpaceDN w:val="0"/>
        <w:adjustRightInd w:val="0"/>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bookmarkStart w:id="1035" w:name="_Toc14752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（招标编号：广建咨询（东招）2024-0133号）</w:t>
      </w:r>
      <w:bookmarkEnd w:id="1035"/>
    </w:p>
    <w:p w14:paraId="7DFA0327">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7B57F942">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7902502F">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68CB1AFA">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52D6C50E">
      <w:pPr>
        <w:autoSpaceDE w:val="0"/>
        <w:autoSpaceDN w:val="0"/>
        <w:adjustRightInd w:val="0"/>
        <w:spacing w:line="400" w:lineRule="atLeast"/>
        <w:jc w:val="center"/>
        <w:rPr>
          <w:rFonts w:ascii="宋体" w:hAnsi="宋体" w:eastAsia="宋体" w:cs="宋体"/>
          <w:b/>
          <w:bCs/>
          <w:color w:val="000000" w:themeColor="text1"/>
          <w:sz w:val="72"/>
          <w:szCs w:val="72"/>
          <w:highlight w:val="none"/>
          <w:lang w:val="zh-CN"/>
          <w14:textFill>
            <w14:solidFill>
              <w14:schemeClr w14:val="tx1"/>
            </w14:solidFill>
          </w14:textFill>
        </w:rPr>
      </w:pPr>
      <w:bookmarkStart w:id="1036" w:name="_Toc18947_WPSOffice_Level2"/>
      <w:r>
        <w:rPr>
          <w:rFonts w:hint="eastAsia" w:ascii="宋体" w:hAnsi="宋体" w:eastAsia="宋体" w:cs="宋体"/>
          <w:b/>
          <w:bCs/>
          <w:color w:val="000000" w:themeColor="text1"/>
          <w:sz w:val="72"/>
          <w:szCs w:val="72"/>
          <w:highlight w:val="none"/>
          <w:lang w:val="zh-CN"/>
          <w14:textFill>
            <w14:solidFill>
              <w14:schemeClr w14:val="tx1"/>
            </w14:solidFill>
          </w14:textFill>
        </w:rPr>
        <w:t>评标工作大纲</w:t>
      </w:r>
      <w:bookmarkEnd w:id="1036"/>
    </w:p>
    <w:p w14:paraId="14529AEE">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400E6511">
      <w:pPr>
        <w:autoSpaceDE w:val="0"/>
        <w:autoSpaceDN w:val="0"/>
        <w:adjustRightInd w:val="0"/>
        <w:spacing w:line="400" w:lineRule="atLeast"/>
        <w:rPr>
          <w:rFonts w:ascii="宋体" w:hAnsi="宋体" w:eastAsia="宋体" w:cs="宋体"/>
          <w:b/>
          <w:bCs/>
          <w:color w:val="000000" w:themeColor="text1"/>
          <w:sz w:val="36"/>
          <w:szCs w:val="36"/>
          <w:highlight w:val="none"/>
          <w14:textFill>
            <w14:solidFill>
              <w14:schemeClr w14:val="tx1"/>
            </w14:solidFill>
          </w14:textFill>
        </w:rPr>
      </w:pPr>
    </w:p>
    <w:p w14:paraId="03481765">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7FB6257A">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09C8A479">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715A76C4">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建成工程咨询股份有限公司</w:t>
      </w:r>
    </w:p>
    <w:p w14:paraId="368B41FA">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176EE891">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br w:type="page"/>
      </w:r>
      <w:bookmarkStart w:id="1037" w:name="_Toc32395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目录</w:t>
      </w:r>
      <w:bookmarkEnd w:id="1037"/>
    </w:p>
    <w:p w14:paraId="14DCC6DD">
      <w:pPr>
        <w:autoSpaceDE w:val="0"/>
        <w:autoSpaceDN w:val="0"/>
        <w:adjustRightInd w:val="0"/>
        <w:spacing w:line="400" w:lineRule="atLeast"/>
        <w:jc w:val="center"/>
        <w:rPr>
          <w:rFonts w:ascii="宋体" w:hAnsi="宋体" w:eastAsia="宋体" w:cs="宋体"/>
          <w:color w:val="000000" w:themeColor="text1"/>
          <w:sz w:val="44"/>
          <w:szCs w:val="44"/>
          <w:highlight w:val="none"/>
          <w14:textFill>
            <w14:solidFill>
              <w14:schemeClr w14:val="tx1"/>
            </w14:solidFill>
          </w14:textFill>
        </w:rPr>
      </w:pPr>
    </w:p>
    <w:p w14:paraId="74C5CAFF">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038" w:name="_Toc21604_WPSOffice_Level1"/>
      <w:r>
        <w:rPr>
          <w:rFonts w:hint="eastAsia" w:ascii="宋体" w:hAnsi="宋体" w:eastAsia="宋体" w:cs="宋体"/>
          <w:color w:val="000000" w:themeColor="text1"/>
          <w:szCs w:val="30"/>
          <w:highlight w:val="none"/>
          <w:lang w:val="zh-CN"/>
          <w14:textFill>
            <w14:solidFill>
              <w14:schemeClr w14:val="tx1"/>
            </w14:solidFill>
          </w14:textFill>
        </w:rPr>
        <w:t>一、</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总则</w:t>
      </w:r>
      <w:bookmarkEnd w:id="1038"/>
    </w:p>
    <w:p w14:paraId="63099A1C">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039" w:name="_Toc1387_WPSOffice_Level1"/>
      <w:r>
        <w:rPr>
          <w:rFonts w:hint="eastAsia" w:ascii="宋体" w:hAnsi="宋体" w:eastAsia="宋体" w:cs="宋体"/>
          <w:color w:val="000000" w:themeColor="text1"/>
          <w:szCs w:val="30"/>
          <w:highlight w:val="none"/>
          <w:lang w:val="zh-CN"/>
          <w14:textFill>
            <w14:solidFill>
              <w14:schemeClr w14:val="tx1"/>
            </w14:solidFill>
          </w14:textFill>
        </w:rPr>
        <w:t>二、</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投标文件的初审</w:t>
      </w:r>
      <w:bookmarkEnd w:id="1039"/>
    </w:p>
    <w:p w14:paraId="026A1F95">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040" w:name="_Toc30284_WPSOffice_Level1"/>
      <w:r>
        <w:rPr>
          <w:rFonts w:hint="eastAsia" w:ascii="宋体" w:hAnsi="宋体" w:eastAsia="宋体" w:cs="宋体"/>
          <w:color w:val="000000" w:themeColor="text1"/>
          <w:szCs w:val="30"/>
          <w:highlight w:val="none"/>
          <w:lang w:val="zh-CN"/>
          <w14:textFill>
            <w14:solidFill>
              <w14:schemeClr w14:val="tx1"/>
            </w14:solidFill>
          </w14:textFill>
        </w:rPr>
        <w:t>三、</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澄清有关问题</w:t>
      </w:r>
      <w:bookmarkEnd w:id="1040"/>
    </w:p>
    <w:p w14:paraId="3C4A50D3">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041" w:name="_Toc1206_WPSOffice_Level1"/>
      <w:r>
        <w:rPr>
          <w:rFonts w:hint="eastAsia" w:ascii="宋体" w:hAnsi="宋体" w:eastAsia="宋体" w:cs="宋体"/>
          <w:color w:val="000000" w:themeColor="text1"/>
          <w:szCs w:val="30"/>
          <w:highlight w:val="none"/>
          <w14:textFill>
            <w14:solidFill>
              <w14:schemeClr w14:val="tx1"/>
            </w14:solidFill>
          </w14:textFill>
        </w:rPr>
        <w:t>四、 比较和评价</w:t>
      </w:r>
      <w:bookmarkEnd w:id="1041"/>
    </w:p>
    <w:p w14:paraId="0A0B8341">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042" w:name="_Toc12163_WPSOffice_Level1"/>
      <w:r>
        <w:rPr>
          <w:rFonts w:hint="eastAsia" w:ascii="宋体" w:hAnsi="宋体" w:eastAsia="宋体" w:cs="宋体"/>
          <w:color w:val="000000" w:themeColor="text1"/>
          <w:szCs w:val="30"/>
          <w:highlight w:val="none"/>
          <w:lang w:val="zh-CN"/>
          <w14:textFill>
            <w14:solidFill>
              <w14:schemeClr w14:val="tx1"/>
            </w14:solidFill>
          </w14:textFill>
        </w:rPr>
        <w:t>五、</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推荐中标候选人名单</w:t>
      </w:r>
      <w:bookmarkEnd w:id="1042"/>
    </w:p>
    <w:p w14:paraId="76B6FB80">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043" w:name="_Toc366_WPSOffice_Level1"/>
      <w:r>
        <w:rPr>
          <w:rFonts w:hint="eastAsia" w:ascii="宋体" w:hAnsi="宋体" w:eastAsia="宋体" w:cs="宋体"/>
          <w:color w:val="000000" w:themeColor="text1"/>
          <w:szCs w:val="30"/>
          <w:highlight w:val="none"/>
          <w:lang w:val="zh-CN"/>
          <w14:textFill>
            <w14:solidFill>
              <w14:schemeClr w14:val="tx1"/>
            </w14:solidFill>
          </w14:textFill>
        </w:rPr>
        <w:t>六、</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编写评标报告</w:t>
      </w:r>
      <w:bookmarkEnd w:id="1043"/>
    </w:p>
    <w:p w14:paraId="64DB41C1">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044" w:name="_Toc22378_WPSOffice_Level1"/>
      <w:r>
        <w:rPr>
          <w:rFonts w:hint="eastAsia" w:ascii="宋体" w:hAnsi="宋体" w:eastAsia="宋体" w:cs="宋体"/>
          <w:color w:val="000000" w:themeColor="text1"/>
          <w:szCs w:val="30"/>
          <w:highlight w:val="none"/>
          <w:lang w:val="zh-CN"/>
          <w14:textFill>
            <w14:solidFill>
              <w14:schemeClr w14:val="tx1"/>
            </w14:solidFill>
          </w14:textFill>
        </w:rPr>
        <w:t>七、</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注意事项</w:t>
      </w:r>
      <w:bookmarkEnd w:id="1044"/>
    </w:p>
    <w:p w14:paraId="4A766473">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14:paraId="3AF879BA">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14:paraId="6962A843">
      <w:pPr>
        <w:tabs>
          <w:tab w:val="left" w:pos="1080"/>
          <w:tab w:val="right" w:pos="7320"/>
        </w:tabs>
        <w:autoSpaceDE w:val="0"/>
        <w:autoSpaceDN w:val="0"/>
        <w:adjustRightInd w:val="0"/>
        <w:spacing w:line="400" w:lineRule="atLeast"/>
        <w:ind w:left="720" w:hanging="720"/>
        <w:rPr>
          <w:rFonts w:ascii="宋体" w:hAnsi="宋体" w:eastAsia="宋体" w:cs="宋体"/>
          <w:color w:val="000000" w:themeColor="text1"/>
          <w:szCs w:val="30"/>
          <w:highlight w:val="none"/>
          <w14:textFill>
            <w14:solidFill>
              <w14:schemeClr w14:val="tx1"/>
            </w14:solidFill>
          </w14:textFill>
        </w:rPr>
      </w:pPr>
    </w:p>
    <w:p w14:paraId="08DE0E6D">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br w:type="page"/>
      </w:r>
      <w:bookmarkStart w:id="1045" w:name="_Toc27181_WPSOffice_Level1"/>
      <w:r>
        <w:rPr>
          <w:rFonts w:hint="eastAsia" w:ascii="宋体" w:hAnsi="宋体" w:eastAsia="宋体" w:cs="宋体"/>
          <w:color w:val="000000" w:themeColor="text1"/>
          <w:sz w:val="28"/>
          <w:szCs w:val="28"/>
          <w:highlight w:val="none"/>
          <w:lang w:val="zh-CN"/>
          <w14:textFill>
            <w14:solidFill>
              <w14:schemeClr w14:val="tx1"/>
            </w14:solidFill>
          </w14:textFill>
        </w:rPr>
        <w:t>一、</w:t>
      </w:r>
      <w:r>
        <w:rPr>
          <w:rFonts w:hint="eastAsia" w:ascii="宋体" w:hAnsi="宋体" w:eastAsia="宋体" w:cs="宋体"/>
          <w:b/>
          <w:bCs/>
          <w:color w:val="000000" w:themeColor="text1"/>
          <w:sz w:val="28"/>
          <w:szCs w:val="28"/>
          <w:highlight w:val="none"/>
          <w:lang w:val="zh-CN"/>
          <w14:textFill>
            <w14:solidFill>
              <w14:schemeClr w14:val="tx1"/>
            </w14:solidFill>
          </w14:textFill>
        </w:rPr>
        <w:t>总则</w:t>
      </w:r>
      <w:bookmarkEnd w:id="1045"/>
    </w:p>
    <w:p w14:paraId="49DC1748">
      <w:pPr>
        <w:tabs>
          <w:tab w:val="left" w:pos="567"/>
          <w:tab w:val="left" w:pos="600"/>
        </w:tabs>
        <w:autoSpaceDE w:val="0"/>
        <w:autoSpaceDN w:val="0"/>
        <w:adjustRightInd w:val="0"/>
        <w:spacing w:line="360" w:lineRule="auto"/>
        <w:ind w:left="600" w:hanging="600"/>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1、一般规定</w:t>
      </w:r>
    </w:p>
    <w:p w14:paraId="1B75FB07">
      <w:pPr>
        <w:autoSpaceDE w:val="0"/>
        <w:autoSpaceDN w:val="0"/>
        <w:adjustRightInd w:val="0"/>
        <w:spacing w:line="360" w:lineRule="auto"/>
        <w:ind w:left="567" w:hanging="567"/>
        <w:rPr>
          <w:rFonts w:ascii="宋体" w:hAnsi="宋体" w:eastAsia="宋体" w:cs="宋体"/>
          <w:color w:val="000000" w:themeColor="text1"/>
          <w:kern w:val="0"/>
          <w:szCs w:val="32"/>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东莞市水务集团科技发展有限公司屋顶分布式光伏发电（一期）采购项目</w:t>
      </w:r>
      <w:r>
        <w:rPr>
          <w:rFonts w:hint="eastAsia" w:ascii="宋体" w:hAnsi="宋体" w:eastAsia="宋体" w:cs="宋体"/>
          <w:color w:val="000000" w:themeColor="text1"/>
          <w:szCs w:val="21"/>
          <w:highlight w:val="none"/>
          <w:lang w:val="zh-CN"/>
          <w14:textFill>
            <w14:solidFill>
              <w14:schemeClr w14:val="tx1"/>
            </w14:solidFill>
          </w14:textFill>
        </w:rPr>
        <w:t>(招标编号：广建咨询（东招）2024-0133号</w:t>
      </w:r>
      <w:r>
        <w:rPr>
          <w:rFonts w:hint="eastAsia" w:ascii="宋体" w:hAnsi="宋体" w:eastAsia="宋体" w:cs="宋体"/>
          <w:color w:val="000000" w:themeColor="text1"/>
          <w:kern w:val="0"/>
          <w:szCs w:val="32"/>
          <w:highlight w:val="none"/>
          <w14:textFill>
            <w14:solidFill>
              <w14:schemeClr w14:val="tx1"/>
            </w14:solidFill>
          </w14:textFill>
        </w:rPr>
        <w:t>)的</w:t>
      </w:r>
      <w:r>
        <w:rPr>
          <w:rFonts w:hint="eastAsia" w:ascii="宋体" w:hAnsi="宋体" w:eastAsia="宋体" w:cs="宋体"/>
          <w:color w:val="000000" w:themeColor="text1"/>
          <w:szCs w:val="21"/>
          <w:highlight w:val="none"/>
          <w:lang w:val="zh-CN"/>
          <w14:textFill>
            <w14:solidFill>
              <w14:schemeClr w14:val="tx1"/>
            </w14:solidFill>
          </w14:textFill>
        </w:rPr>
        <w:t>招标</w:t>
      </w:r>
      <w:r>
        <w:rPr>
          <w:rFonts w:hint="eastAsia" w:ascii="宋体" w:hAnsi="宋体" w:eastAsia="宋体" w:cs="宋体"/>
          <w:color w:val="000000" w:themeColor="text1"/>
          <w:kern w:val="0"/>
          <w:szCs w:val="32"/>
          <w:highlight w:val="none"/>
          <w14:textFill>
            <w14:solidFill>
              <w14:schemeClr w14:val="tx1"/>
            </w14:solidFill>
          </w14:textFill>
        </w:rPr>
        <w:t>按照《中华人民共和国招标投标法》等有关规定进行。</w:t>
      </w:r>
    </w:p>
    <w:p w14:paraId="182BF52A">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评标必须遵循公平、公正、诚实信用的原则。</w:t>
      </w:r>
    </w:p>
    <w:p w14:paraId="696919E2">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招标代理机构</w:t>
      </w:r>
      <w:r>
        <w:rPr>
          <w:rFonts w:hint="eastAsia" w:ascii="宋体" w:hAnsi="宋体" w:eastAsia="宋体" w:cs="宋体"/>
          <w:color w:val="000000" w:themeColor="text1"/>
          <w:kern w:val="0"/>
          <w:szCs w:val="32"/>
          <w:highlight w:val="none"/>
          <w14:textFill>
            <w14:solidFill>
              <w14:schemeClr w14:val="tx1"/>
            </w14:solidFill>
          </w14:textFill>
        </w:rPr>
        <w:t>(建成工程咨询股份有限公司）组</w:t>
      </w:r>
      <w:r>
        <w:rPr>
          <w:rFonts w:hint="eastAsia" w:ascii="宋体" w:hAnsi="宋体" w:eastAsia="宋体" w:cs="宋体"/>
          <w:color w:val="000000" w:themeColor="text1"/>
          <w:szCs w:val="24"/>
          <w:highlight w:val="none"/>
          <w:lang w:val="zh-CN"/>
          <w14:textFill>
            <w14:solidFill>
              <w14:schemeClr w14:val="tx1"/>
            </w14:solidFill>
          </w14:textFill>
        </w:rPr>
        <w:t>织评标工作，全过程接受招标人及相关部门的监督、管理和指导。</w:t>
      </w:r>
    </w:p>
    <w:p w14:paraId="0012D3D7">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评标按照招标文件规定的内容进行，采取综合评分</w:t>
      </w:r>
      <w:r>
        <w:rPr>
          <w:rFonts w:hint="eastAsia" w:ascii="宋体" w:hAnsi="宋体" w:eastAsia="宋体" w:cs="宋体"/>
          <w:color w:val="000000" w:themeColor="text1"/>
          <w:szCs w:val="21"/>
          <w:highlight w:val="none"/>
          <w14:textFill>
            <w14:solidFill>
              <w14:schemeClr w14:val="tx1"/>
            </w14:solidFill>
          </w14:textFill>
        </w:rPr>
        <w:t>法进行评审</w:t>
      </w:r>
      <w:r>
        <w:rPr>
          <w:rFonts w:hint="eastAsia" w:ascii="宋体" w:hAnsi="宋体" w:eastAsia="宋体" w:cs="宋体"/>
          <w:color w:val="000000" w:themeColor="text1"/>
          <w:szCs w:val="24"/>
          <w:highlight w:val="none"/>
          <w:lang w:val="zh-CN"/>
          <w14:textFill>
            <w14:solidFill>
              <w14:schemeClr w14:val="tx1"/>
            </w14:solidFill>
          </w14:textFill>
        </w:rPr>
        <w:t>。</w:t>
      </w:r>
    </w:p>
    <w:p w14:paraId="6D557F52">
      <w:pPr>
        <w:numPr>
          <w:ilvl w:val="1"/>
          <w:numId w:val="5"/>
        </w:numPr>
        <w:autoSpaceDE w:val="0"/>
        <w:autoSpaceDN w:val="0"/>
        <w:adjustRightInd w:val="0"/>
        <w:spacing w:line="360" w:lineRule="auto"/>
        <w:ind w:left="565" w:hanging="564" w:hangingChars="269"/>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本办法的评审对象是指投标人按照招标文件要求提供的有效投标文件，包括投标人应评标委员会要求对原投标文件作出的正式书面澄清文件。</w:t>
      </w:r>
    </w:p>
    <w:p w14:paraId="0402710B">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6CB764AC">
      <w:pPr>
        <w:tabs>
          <w:tab w:val="left" w:pos="360"/>
          <w:tab w:val="left" w:pos="600"/>
        </w:tabs>
        <w:autoSpaceDE w:val="0"/>
        <w:autoSpaceDN w:val="0"/>
        <w:adjustRightInd w:val="0"/>
        <w:spacing w:line="360" w:lineRule="auto"/>
        <w:ind w:left="600" w:hanging="600"/>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2、</w:t>
      </w:r>
      <w:r>
        <w:rPr>
          <w:rFonts w:hint="eastAsia" w:ascii="宋体" w:hAnsi="宋体" w:eastAsia="宋体" w:cs="宋体"/>
          <w:b/>
          <w:bCs/>
          <w:color w:val="000000" w:themeColor="text1"/>
          <w:szCs w:val="24"/>
          <w:highlight w:val="none"/>
          <w:lang w:val="zh-CN"/>
          <w14:textFill>
            <w14:solidFill>
              <w14:schemeClr w14:val="tx1"/>
            </w14:solidFill>
          </w14:textFill>
        </w:rPr>
        <w:tab/>
      </w:r>
      <w:r>
        <w:rPr>
          <w:rFonts w:hint="eastAsia" w:ascii="宋体" w:hAnsi="宋体" w:eastAsia="宋体" w:cs="宋体"/>
          <w:b/>
          <w:bCs/>
          <w:color w:val="000000" w:themeColor="text1"/>
          <w:szCs w:val="24"/>
          <w:highlight w:val="none"/>
          <w:lang w:val="zh-CN"/>
          <w14:textFill>
            <w14:solidFill>
              <w14:schemeClr w14:val="tx1"/>
            </w14:solidFill>
          </w14:textFill>
        </w:rPr>
        <w:t>评标组织机构的组成</w:t>
      </w:r>
    </w:p>
    <w:p w14:paraId="529E04BB">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2.1</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4"/>
          <w:highlight w:val="none"/>
          <w14:textFill>
            <w14:solidFill>
              <w14:schemeClr w14:val="tx1"/>
            </w14:solidFill>
          </w14:textFill>
        </w:rPr>
        <w:t>由招标人和技术、经济等方面的专家组成，成员为</w:t>
      </w:r>
      <w:bookmarkStart w:id="1046" w:name="OLE_LINK155"/>
      <w:r>
        <w:rPr>
          <w:rFonts w:hint="eastAsia" w:ascii="宋体" w:hAnsi="宋体" w:eastAsia="宋体" w:cs="宋体"/>
          <w:b/>
          <w:bCs/>
          <w:color w:val="000000" w:themeColor="text1"/>
          <w:kern w:val="0"/>
          <w:szCs w:val="24"/>
          <w:highlight w:val="none"/>
          <w14:textFill>
            <w14:solidFill>
              <w14:schemeClr w14:val="tx1"/>
            </w14:solidFill>
          </w14:textFill>
        </w:rPr>
        <w:t>7</w:t>
      </w:r>
      <w:r>
        <w:rPr>
          <w:rFonts w:ascii="宋体" w:hAnsi="宋体" w:eastAsia="宋体" w:cs="宋体"/>
          <w:b/>
          <w:bCs/>
          <w:color w:val="000000" w:themeColor="text1"/>
          <w:kern w:val="0"/>
          <w:szCs w:val="24"/>
          <w:highlight w:val="none"/>
          <w14:textFill>
            <w14:solidFill>
              <w14:schemeClr w14:val="tx1"/>
            </w14:solidFill>
          </w14:textFill>
        </w:rPr>
        <w:t>人</w:t>
      </w:r>
      <w:bookmarkStart w:id="1047" w:name="OLE_LINK154"/>
      <w:r>
        <w:rPr>
          <w:rFonts w:ascii="宋体" w:hAnsi="宋体" w:eastAsia="宋体" w:cs="宋体"/>
          <w:b/>
          <w:bCs/>
          <w:color w:val="000000" w:themeColor="text1"/>
          <w:kern w:val="0"/>
          <w:szCs w:val="24"/>
          <w:highlight w:val="none"/>
          <w14:textFill>
            <w14:solidFill>
              <w14:schemeClr w14:val="tx1"/>
            </w14:solidFill>
          </w14:textFill>
        </w:rPr>
        <w:t>以上（含</w:t>
      </w:r>
      <w:r>
        <w:rPr>
          <w:rFonts w:hint="eastAsia" w:ascii="宋体" w:hAnsi="宋体" w:eastAsia="宋体" w:cs="宋体"/>
          <w:b/>
          <w:bCs/>
          <w:color w:val="000000" w:themeColor="text1"/>
          <w:kern w:val="0"/>
          <w:szCs w:val="24"/>
          <w:highlight w:val="none"/>
          <w14:textFill>
            <w14:solidFill>
              <w14:schemeClr w14:val="tx1"/>
            </w14:solidFill>
          </w14:textFill>
        </w:rPr>
        <w:t>7</w:t>
      </w:r>
      <w:r>
        <w:rPr>
          <w:rFonts w:ascii="宋体" w:hAnsi="宋体" w:eastAsia="宋体" w:cs="宋体"/>
          <w:b/>
          <w:bCs/>
          <w:color w:val="000000" w:themeColor="text1"/>
          <w:kern w:val="0"/>
          <w:szCs w:val="24"/>
          <w:highlight w:val="none"/>
          <w14:textFill>
            <w14:solidFill>
              <w14:schemeClr w14:val="tx1"/>
            </w14:solidFill>
          </w14:textFill>
        </w:rPr>
        <w:t>人）单数</w:t>
      </w:r>
      <w:bookmarkEnd w:id="1046"/>
      <w:bookmarkEnd w:id="1047"/>
      <w:r>
        <w:rPr>
          <w:rFonts w:hint="eastAsia" w:ascii="宋体" w:hAnsi="宋体" w:eastAsia="宋体" w:cs="宋体"/>
          <w:color w:val="000000" w:themeColor="text1"/>
          <w:kern w:val="0"/>
          <w:szCs w:val="24"/>
          <w:highlight w:val="none"/>
          <w14:textFill>
            <w14:solidFill>
              <w14:schemeClr w14:val="tx1"/>
            </w14:solidFill>
          </w14:textFill>
        </w:rPr>
        <w:t>，其中技术、经济等方面的专家不少于成员总数的三分之二。</w:t>
      </w:r>
      <w:r>
        <w:rPr>
          <w:rFonts w:hint="eastAsia" w:ascii="宋体" w:hAnsi="宋体" w:eastAsia="宋体" w:cs="宋体"/>
          <w:color w:val="000000" w:themeColor="text1"/>
          <w:szCs w:val="24"/>
          <w:highlight w:val="none"/>
          <w:lang w:val="zh-CN"/>
          <w14:textFill>
            <w14:solidFill>
              <w14:schemeClr w14:val="tx1"/>
            </w14:solidFill>
          </w14:textFill>
        </w:rPr>
        <w:t>专家依法从广东省综合评标评审</w:t>
      </w:r>
      <w:r>
        <w:rPr>
          <w:rFonts w:hint="eastAsia" w:ascii="宋体" w:hAnsi="宋体" w:eastAsia="宋体" w:cs="宋体"/>
          <w:color w:val="000000" w:themeColor="text1"/>
          <w:kern w:val="0"/>
          <w:szCs w:val="24"/>
          <w:highlight w:val="none"/>
          <w14:textFill>
            <w14:solidFill>
              <w14:schemeClr w14:val="tx1"/>
            </w14:solidFill>
          </w14:textFill>
        </w:rPr>
        <w:t>专家库中随机抽取产生。</w:t>
      </w:r>
    </w:p>
    <w:p w14:paraId="132869A8">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评标工作组由招标人、招标代理机构及有关专家组成，由评标委员会确认，并接受其领导。</w:t>
      </w:r>
    </w:p>
    <w:p w14:paraId="1069FED7">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评标工作组分成评标委员会、秘书组。</w:t>
      </w:r>
    </w:p>
    <w:p w14:paraId="4D624968">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评标委员会应相对独立工作，负责评审、撰写评标报告。招标代理机构秘书组负责评标过程中资料的保管、发放及回收，协调技术和评标委员会评标工作的进展和整理、汇总评标资料及复核。</w:t>
      </w:r>
    </w:p>
    <w:p w14:paraId="4EA709AD">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792B0517">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3、</w:t>
      </w:r>
      <w:r>
        <w:rPr>
          <w:rFonts w:hint="eastAsia" w:ascii="宋体" w:hAnsi="宋体" w:eastAsia="宋体" w:cs="宋体"/>
          <w:b/>
          <w:bCs/>
          <w:color w:val="000000" w:themeColor="text1"/>
          <w:szCs w:val="21"/>
          <w:highlight w:val="none"/>
          <w:lang w:val="zh-CN"/>
          <w14:textFill>
            <w14:solidFill>
              <w14:schemeClr w14:val="tx1"/>
            </w14:solidFill>
          </w14:textFill>
        </w:rPr>
        <w:t>评标</w:t>
      </w:r>
      <w:r>
        <w:rPr>
          <w:rFonts w:hint="eastAsia" w:ascii="宋体" w:hAnsi="宋体" w:eastAsia="宋体" w:cs="宋体"/>
          <w:b/>
          <w:bCs/>
          <w:color w:val="000000" w:themeColor="text1"/>
          <w:szCs w:val="24"/>
          <w:highlight w:val="none"/>
          <w:lang w:val="zh-CN"/>
          <w14:textFill>
            <w14:solidFill>
              <w14:schemeClr w14:val="tx1"/>
            </w14:solidFill>
          </w14:textFill>
        </w:rPr>
        <w:t>委员会职责</w:t>
      </w:r>
    </w:p>
    <w:p w14:paraId="026F3BFE">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3.1  审查投标文件是否符合招标文件要求，并作出评价；</w:t>
      </w:r>
    </w:p>
    <w:p w14:paraId="005D43D6">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3.2  要求投标人对投标文件有关事项作出解释或者澄清；</w:t>
      </w:r>
    </w:p>
    <w:p w14:paraId="150023F1">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3.3</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推荐中标候选人名单及排序；</w:t>
      </w:r>
    </w:p>
    <w:p w14:paraId="416F8BB1">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3.4</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向招标人、招标代理机构或者有关部门报告非法干预评标工作的行为。</w:t>
      </w:r>
    </w:p>
    <w:p w14:paraId="6F4EE941">
      <w:pPr>
        <w:autoSpaceDE w:val="0"/>
        <w:autoSpaceDN w:val="0"/>
        <w:adjustRightInd w:val="0"/>
        <w:spacing w:line="360" w:lineRule="auto"/>
        <w:jc w:val="left"/>
        <w:rPr>
          <w:rFonts w:ascii="宋体" w:hAnsi="宋体" w:eastAsia="宋体" w:cs="宋体"/>
          <w:color w:val="000000" w:themeColor="text1"/>
          <w:kern w:val="0"/>
          <w:sz w:val="24"/>
          <w:szCs w:val="24"/>
          <w:highlight w:val="none"/>
          <w:lang w:val="zh-CN"/>
          <w14:textFill>
            <w14:solidFill>
              <w14:schemeClr w14:val="tx1"/>
            </w14:solidFill>
          </w14:textFill>
        </w:rPr>
      </w:pPr>
    </w:p>
    <w:p w14:paraId="4157484B">
      <w:pPr>
        <w:tabs>
          <w:tab w:val="left" w:pos="720"/>
        </w:tabs>
        <w:autoSpaceDE w:val="0"/>
        <w:autoSpaceDN w:val="0"/>
        <w:adjustRightInd w:val="0"/>
        <w:spacing w:line="360" w:lineRule="auto"/>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4、评标委员会义务</w:t>
      </w:r>
    </w:p>
    <w:p w14:paraId="4C7D2B74">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4.1  遵纪守法，客观、公正、廉洁地履行职责；</w:t>
      </w:r>
    </w:p>
    <w:p w14:paraId="78F8E28B">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4.2  按照招标文件规定的评标方法和评标标准进行评审，对评审意见承担个人责任；</w:t>
      </w:r>
    </w:p>
    <w:p w14:paraId="7F17F3CA">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4.3  对评标过程和结果，以及投标人的商业秘密保密；</w:t>
      </w:r>
    </w:p>
    <w:p w14:paraId="54F091FB">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4.4  参与评标报告的起草；</w:t>
      </w:r>
    </w:p>
    <w:p w14:paraId="2C1D1EEE">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4.5  配合有关部门的投诉处理工作；</w:t>
      </w:r>
    </w:p>
    <w:p w14:paraId="743854A5">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4.6  配合招标人、招标代理机构答复投标人提出的质疑、异议。</w:t>
      </w:r>
    </w:p>
    <w:p w14:paraId="30142305">
      <w:pPr>
        <w:tabs>
          <w:tab w:val="left" w:pos="720"/>
        </w:tabs>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0F905202">
      <w:pPr>
        <w:tabs>
          <w:tab w:val="left" w:pos="1547"/>
        </w:tabs>
        <w:autoSpaceDE w:val="0"/>
        <w:autoSpaceDN w:val="0"/>
        <w:adjustRightInd w:val="0"/>
        <w:spacing w:line="360" w:lineRule="auto"/>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5、评审程序</w:t>
      </w:r>
    </w:p>
    <w:p w14:paraId="2EA6CC60">
      <w:pPr>
        <w:autoSpaceDE w:val="0"/>
        <w:autoSpaceDN w:val="0"/>
        <w:adjustRightInd w:val="0"/>
        <w:spacing w:line="360" w:lineRule="auto"/>
        <w:ind w:left="567" w:hanging="567"/>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Times New Roman"/>
          <w:b/>
          <w:color w:val="000000" w:themeColor="text1"/>
          <w:szCs w:val="24"/>
          <w:highlight w:val="none"/>
          <w:lang w:val="zh-CN"/>
          <w14:textFill>
            <w14:solidFill>
              <w14:schemeClr w14:val="tx1"/>
            </w14:solidFill>
          </w14:textFill>
        </w:rPr>
        <w:t>公开招标：</w:t>
      </w:r>
    </w:p>
    <w:p w14:paraId="4FFB5AD0">
      <w:pPr>
        <w:autoSpaceDE w:val="0"/>
        <w:autoSpaceDN w:val="0"/>
        <w:adjustRightInd w:val="0"/>
        <w:spacing w:line="360" w:lineRule="auto"/>
        <w:ind w:left="567" w:hanging="567"/>
        <w:rPr>
          <w:rFonts w:ascii="宋体" w:hAnsi="宋体" w:eastAsia="宋体" w:cs="Times New Roman"/>
          <w:bCs/>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评审首先由评标委员会对投标人的</w:t>
      </w:r>
      <w:r>
        <w:rPr>
          <w:rFonts w:hint="eastAsia" w:ascii="宋体" w:hAnsi="宋体" w:eastAsia="宋体" w:cs="Times New Roman"/>
          <w:color w:val="000000" w:themeColor="text1"/>
          <w:szCs w:val="24"/>
          <w:highlight w:val="none"/>
          <w:lang w:val="zh-CN"/>
          <w14:textFill>
            <w14:solidFill>
              <w14:schemeClr w14:val="tx1"/>
            </w14:solidFill>
          </w14:textFill>
        </w:rPr>
        <w:t>投标</w:t>
      </w:r>
      <w:r>
        <w:rPr>
          <w:rFonts w:hint="eastAsia" w:ascii="宋体" w:hAnsi="宋体" w:eastAsia="宋体" w:cs="Times New Roman"/>
          <w:bCs/>
          <w:color w:val="000000" w:themeColor="text1"/>
          <w:szCs w:val="24"/>
          <w:highlight w:val="none"/>
          <w:lang w:val="zh-CN"/>
          <w14:textFill>
            <w14:solidFill>
              <w14:schemeClr w14:val="tx1"/>
            </w14:solidFill>
          </w14:textFill>
        </w:rPr>
        <w:t>文件做初审，对未能通过初审的投标文件不再进入下一阶段评审。</w:t>
      </w:r>
    </w:p>
    <w:p w14:paraId="78D7B287">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2</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评标</w:t>
      </w:r>
      <w:r>
        <w:rPr>
          <w:rFonts w:hint="eastAsia" w:ascii="宋体" w:hAnsi="宋体" w:eastAsia="宋体" w:cs="Arial"/>
          <w:color w:val="000000" w:themeColor="text1"/>
          <w:szCs w:val="24"/>
          <w:highlight w:val="none"/>
          <w:lang w:val="zh-CN"/>
          <w14:textFill>
            <w14:solidFill>
              <w14:schemeClr w14:val="tx1"/>
            </w14:solidFill>
          </w14:textFill>
        </w:rPr>
        <w:t>委员会</w:t>
      </w:r>
      <w:r>
        <w:rPr>
          <w:rFonts w:hint="eastAsia" w:ascii="宋体" w:hAnsi="宋体" w:eastAsia="宋体" w:cs="Times New Roman"/>
          <w:color w:val="000000" w:themeColor="text1"/>
          <w:szCs w:val="24"/>
          <w:highlight w:val="none"/>
          <w:lang w:val="zh-CN"/>
          <w14:textFill>
            <w14:solidFill>
              <w14:schemeClr w14:val="tx1"/>
            </w14:solidFill>
          </w14:textFill>
        </w:rPr>
        <w:t>对</w:t>
      </w:r>
      <w:r>
        <w:rPr>
          <w:rFonts w:hint="eastAsia" w:ascii="宋体" w:hAnsi="宋体" w:eastAsia="宋体" w:cs="Arial"/>
          <w:color w:val="000000" w:themeColor="text1"/>
          <w:szCs w:val="24"/>
          <w:highlight w:val="none"/>
          <w:lang w:val="zh-CN"/>
          <w14:textFill>
            <w14:solidFill>
              <w14:schemeClr w14:val="tx1"/>
            </w14:solidFill>
          </w14:textFill>
        </w:rPr>
        <w:t>通过初审的</w:t>
      </w:r>
      <w:r>
        <w:rPr>
          <w:rFonts w:hint="eastAsia" w:ascii="宋体" w:hAnsi="宋体" w:eastAsia="宋体" w:cs="Times New Roman"/>
          <w:color w:val="000000" w:themeColor="text1"/>
          <w:szCs w:val="24"/>
          <w:highlight w:val="none"/>
          <w:lang w:val="zh-CN"/>
          <w14:textFill>
            <w14:solidFill>
              <w14:schemeClr w14:val="tx1"/>
            </w14:solidFill>
          </w14:textFill>
        </w:rPr>
        <w:t>投标人的投标文件进行详细的比较和评价。如需要，进行必要的澄清工作。</w:t>
      </w:r>
    </w:p>
    <w:p w14:paraId="05E8E480">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3  依据评分标准以及各项权重，各位评标委员会成员单独就每个投标人的商务状况、技术状况进行比较和评价，分别评出其商务得分和技术得分。</w:t>
      </w:r>
    </w:p>
    <w:p w14:paraId="5292B4ED">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5.4</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color w:val="000000" w:themeColor="text1"/>
          <w:kern w:val="0"/>
          <w:szCs w:val="24"/>
          <w:highlight w:val="none"/>
          <w:lang w:val="zh-CN"/>
          <w14:textFill>
            <w14:solidFill>
              <w14:schemeClr w14:val="tx1"/>
            </w14:solidFill>
          </w14:textFill>
        </w:rPr>
        <w:t>对有效投标人的投标报价进行审查和价格评分。</w:t>
      </w:r>
    </w:p>
    <w:p w14:paraId="6133CB4D">
      <w:pPr>
        <w:autoSpaceDE w:val="0"/>
        <w:autoSpaceDN w:val="0"/>
        <w:adjustRightInd w:val="0"/>
        <w:spacing w:line="360" w:lineRule="auto"/>
        <w:ind w:left="567" w:hanging="567"/>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5.5  将各</w:t>
      </w:r>
      <w:r>
        <w:rPr>
          <w:rFonts w:hint="eastAsia" w:ascii="宋体" w:hAnsi="宋体" w:eastAsia="宋体" w:cs="Times New Roman"/>
          <w:color w:val="000000" w:themeColor="text1"/>
          <w:szCs w:val="24"/>
          <w:highlight w:val="none"/>
          <w:lang w:val="zh-CN"/>
          <w14:textFill>
            <w14:solidFill>
              <w14:schemeClr w14:val="tx1"/>
            </w14:solidFill>
          </w14:textFill>
        </w:rPr>
        <w:t>评委对</w:t>
      </w:r>
      <w:r>
        <w:rPr>
          <w:rFonts w:hint="eastAsia" w:ascii="宋体" w:hAnsi="宋体" w:eastAsia="宋体" w:cs="Times New Roman"/>
          <w:color w:val="000000" w:themeColor="text1"/>
          <w:kern w:val="0"/>
          <w:szCs w:val="24"/>
          <w:highlight w:val="none"/>
          <w:lang w:val="zh-CN"/>
          <w14:textFill>
            <w14:solidFill>
              <w14:schemeClr w14:val="tx1"/>
            </w14:solidFill>
          </w14:textFill>
        </w:rPr>
        <w:t>投标人的技术打分的最终综合得分、商务打分的算术平均值和价格得分相加得出投标人的总分。</w:t>
      </w:r>
    </w:p>
    <w:p w14:paraId="1B0B35B2">
      <w:pPr>
        <w:autoSpaceDE w:val="0"/>
        <w:autoSpaceDN w:val="0"/>
        <w:adjustRightInd w:val="0"/>
        <w:spacing w:line="360" w:lineRule="auto"/>
        <w:ind w:left="567" w:hanging="567"/>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4"/>
          <w:highlight w:val="none"/>
          <w14:textFill>
            <w14:solidFill>
              <w14:schemeClr w14:val="tx1"/>
            </w14:solidFill>
          </w14:textFill>
        </w:rPr>
        <w:t xml:space="preserve">5.6  </w:t>
      </w:r>
      <w:r>
        <w:rPr>
          <w:rFonts w:hint="eastAsia" w:ascii="宋体" w:hAnsi="宋体" w:eastAsia="宋体" w:cs="Times New Roman"/>
          <w:color w:val="000000" w:themeColor="text1"/>
          <w:kern w:val="0"/>
          <w:szCs w:val="21"/>
          <w:highlight w:val="none"/>
          <w14:textFill>
            <w14:solidFill>
              <w14:schemeClr w14:val="tx1"/>
            </w14:solidFill>
          </w14:textFill>
        </w:rPr>
        <w:t>评标委员会将向招标人推荐评标最后综合得分最高的前二名投标人为中标候选人，并标明排列顺序。</w:t>
      </w:r>
    </w:p>
    <w:p w14:paraId="1817B6A6">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7</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color w:val="000000" w:themeColor="text1"/>
          <w:kern w:val="0"/>
          <w:szCs w:val="24"/>
          <w:highlight w:val="none"/>
          <w:lang w:val="zh-CN"/>
          <w14:textFill>
            <w14:solidFill>
              <w14:schemeClr w14:val="tx1"/>
            </w14:solidFill>
          </w14:textFill>
        </w:rPr>
        <w:t>评标委员会</w:t>
      </w:r>
      <w:r>
        <w:rPr>
          <w:rFonts w:hint="eastAsia" w:ascii="宋体" w:hAnsi="宋体" w:eastAsia="宋体" w:cs="Times New Roman"/>
          <w:color w:val="000000" w:themeColor="text1"/>
          <w:szCs w:val="24"/>
          <w:highlight w:val="none"/>
          <w:lang w:val="zh-CN"/>
          <w14:textFill>
            <w14:solidFill>
              <w14:schemeClr w14:val="tx1"/>
            </w14:solidFill>
          </w14:textFill>
        </w:rPr>
        <w:t>根据评审结果编写评标报告。</w:t>
      </w:r>
    </w:p>
    <w:p w14:paraId="60C6AEA2">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p>
    <w:p w14:paraId="41265CC3">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bookmarkStart w:id="1048" w:name="_Toc19435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二、投标文件的初审</w:t>
      </w:r>
      <w:bookmarkEnd w:id="1048"/>
    </w:p>
    <w:p w14:paraId="77C16B7F">
      <w:pPr>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6、投标文件的初审分为资格性检查和符合性检查。</w:t>
      </w:r>
    </w:p>
    <w:p w14:paraId="5245CBFD">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5AAF95A1">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6.2  符合性检查是指评标委员会依据招标文件规定，从投标文件的有效性、完整性和对招标文件的响应程度进行审查，以确定是否对招标文件的实质性要求作出响应。</w:t>
      </w:r>
    </w:p>
    <w:p w14:paraId="1D0C30D6">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000000" w:themeColor="text1"/>
          <w:szCs w:val="24"/>
          <w:highlight w:val="none"/>
          <w14:textFill>
            <w14:solidFill>
              <w14:schemeClr w14:val="tx1"/>
            </w14:solidFill>
          </w14:textFill>
        </w:rPr>
        <w:t>供货及</w:t>
      </w:r>
      <w:r>
        <w:rPr>
          <w:rFonts w:hint="eastAsia" w:ascii="宋体" w:hAnsi="宋体" w:eastAsia="宋体" w:cs="宋体"/>
          <w:color w:val="000000" w:themeColor="text1"/>
          <w:szCs w:val="24"/>
          <w:highlight w:val="none"/>
          <w:lang w:val="zh-CN"/>
          <w14:textFill>
            <w14:solidFill>
              <w14:schemeClr w14:val="tx1"/>
            </w14:solidFill>
          </w14:textFill>
        </w:rPr>
        <w:t>服务范围、质量</w:t>
      </w:r>
      <w:r>
        <w:rPr>
          <w:rFonts w:hint="eastAsia" w:ascii="宋体" w:hAnsi="宋体" w:eastAsia="宋体" w:cs="宋体"/>
          <w:color w:val="000000" w:themeColor="text1"/>
          <w:szCs w:val="24"/>
          <w:highlight w:val="none"/>
          <w14:textFill>
            <w14:solidFill>
              <w14:schemeClr w14:val="tx1"/>
            </w14:solidFill>
          </w14:textFill>
        </w:rPr>
        <w:t>和性能</w:t>
      </w:r>
      <w:r>
        <w:rPr>
          <w:rFonts w:hint="eastAsia" w:ascii="宋体" w:hAnsi="宋体" w:eastAsia="宋体" w:cs="宋体"/>
          <w:color w:val="000000" w:themeColor="text1"/>
          <w:szCs w:val="24"/>
          <w:highlight w:val="none"/>
          <w:lang w:val="zh-CN"/>
          <w14:textFill>
            <w14:solidFill>
              <w14:schemeClr w14:val="tx1"/>
            </w14:solidFill>
          </w14:textFill>
        </w:rPr>
        <w:t>，或指与招标文件有实质不一致，限制了合同项下委托人的权利和承包人的义务, 或对该重大偏离的修改对提交实质性响应投标的其他投标人将不公平。</w:t>
      </w:r>
    </w:p>
    <w:p w14:paraId="77BA3211">
      <w:pPr>
        <w:autoSpaceDE w:val="0"/>
        <w:autoSpaceDN w:val="0"/>
        <w:adjustRightInd w:val="0"/>
        <w:spacing w:line="360" w:lineRule="auto"/>
        <w:ind w:firstLine="840" w:firstLineChars="4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评标委员会决定投标文件的响应性是基于投标文件的内容本身而不靠外部的证据。</w:t>
      </w:r>
    </w:p>
    <w:p w14:paraId="3D1FBC73">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对是否符合实质性响应招标文件有争议的投标文件,评标委员会成员将以记名方式表决,根据少数服</w:t>
      </w:r>
      <w:r>
        <w:rPr>
          <w:rFonts w:hint="eastAsia" w:ascii="宋体" w:hAnsi="宋体" w:eastAsia="宋体" w:cs="宋体"/>
          <w:b/>
          <w:color w:val="000000" w:themeColor="text1"/>
          <w:szCs w:val="24"/>
          <w:highlight w:val="none"/>
          <w14:textFill>
            <w14:solidFill>
              <w14:schemeClr w14:val="tx1"/>
            </w14:solidFill>
          </w14:textFill>
        </w:rPr>
        <w:t>从</w:t>
      </w:r>
      <w:r>
        <w:rPr>
          <w:rFonts w:hint="eastAsia" w:ascii="宋体" w:hAnsi="宋体" w:eastAsia="宋体" w:cs="宋体"/>
          <w:b/>
          <w:color w:val="000000" w:themeColor="text1"/>
          <w:szCs w:val="24"/>
          <w:highlight w:val="none"/>
          <w:lang w:val="zh-CN"/>
          <w14:textFill>
            <w14:solidFill>
              <w14:schemeClr w14:val="tx1"/>
            </w14:solidFill>
          </w14:textFill>
        </w:rPr>
        <w:t>多数的原则，获多数表决通过的投标人才有资格进入下一阶段的评审,否则将被认定为无效投标文件。</w:t>
      </w:r>
    </w:p>
    <w:p w14:paraId="058D4E70">
      <w:pPr>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7、投标文件出现下列情况之一的，被认定为无效投标：</w:t>
      </w:r>
    </w:p>
    <w:p w14:paraId="1906DD2E">
      <w:pPr>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w:t>
      </w:r>
      <w:r>
        <w:rPr>
          <w:rFonts w:ascii="宋体" w:hAnsi="宋体" w:eastAsia="宋体" w:cs="宋体"/>
          <w:b/>
          <w:color w:val="000000" w:themeColor="text1"/>
          <w:szCs w:val="21"/>
          <w:highlight w:val="none"/>
          <w:lang w:val="zh-CN"/>
          <w14:textFill>
            <w14:solidFill>
              <w14:schemeClr w14:val="tx1"/>
            </w14:solidFill>
          </w14:textFill>
        </w:rPr>
        <w:t xml:space="preserve">.1  </w:t>
      </w:r>
      <w:r>
        <w:rPr>
          <w:rFonts w:hint="eastAsia" w:ascii="宋体" w:hAnsi="宋体" w:eastAsia="宋体" w:cs="宋体"/>
          <w:b/>
          <w:bCs/>
          <w:color w:val="000000" w:themeColor="text1"/>
          <w:kern w:val="0"/>
          <w:szCs w:val="21"/>
          <w:highlight w:val="none"/>
          <w14:textFill>
            <w14:solidFill>
              <w14:schemeClr w14:val="tx1"/>
            </w14:solidFill>
          </w14:textFill>
        </w:rPr>
        <w:t>投标人未按招标文件要求交纳投标保证金的；</w:t>
      </w:r>
    </w:p>
    <w:p w14:paraId="375FF3EB">
      <w:pPr>
        <w:tabs>
          <w:tab w:val="left" w:pos="567"/>
        </w:tabs>
        <w:spacing w:line="360" w:lineRule="auto"/>
        <w:ind w:left="632" w:hanging="632" w:hangingChars="3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7.2  </w:t>
      </w:r>
      <w:r>
        <w:rPr>
          <w:rFonts w:hint="eastAsia" w:ascii="宋体" w:hAnsi="宋体" w:eastAsia="宋体" w:cs="宋体"/>
          <w:b/>
          <w:color w:val="000000" w:themeColor="text1"/>
          <w:kern w:val="0"/>
          <w:szCs w:val="21"/>
          <w:highlight w:val="none"/>
          <w14:textFill>
            <w14:solidFill>
              <w14:schemeClr w14:val="tx1"/>
            </w14:solidFill>
          </w14:textFill>
        </w:rPr>
        <w:t>投标文件中的投标报价高于</w:t>
      </w:r>
      <w:bookmarkStart w:id="1049" w:name="OLE_LINK35"/>
      <w:r>
        <w:rPr>
          <w:rFonts w:hint="eastAsia" w:ascii="宋体" w:hAnsi="宋体" w:eastAsia="宋体" w:cs="宋体"/>
          <w:b/>
          <w:color w:val="000000" w:themeColor="text1"/>
          <w:kern w:val="0"/>
          <w:szCs w:val="21"/>
          <w:highlight w:val="none"/>
          <w14:textFill>
            <w14:solidFill>
              <w14:schemeClr w14:val="tx1"/>
            </w14:solidFill>
          </w14:textFill>
        </w:rPr>
        <w:t>本项目总采购限价的或投标单价报价高于单价采购限价的</w:t>
      </w:r>
      <w:bookmarkEnd w:id="1049"/>
      <w:r>
        <w:rPr>
          <w:rFonts w:hint="eastAsia" w:ascii="宋体" w:hAnsi="宋体" w:eastAsia="宋体" w:cs="宋体"/>
          <w:b/>
          <w:bCs/>
          <w:color w:val="000000" w:themeColor="text1"/>
          <w:kern w:val="0"/>
          <w:szCs w:val="21"/>
          <w:highlight w:val="none"/>
          <w14:textFill>
            <w14:solidFill>
              <w14:schemeClr w14:val="tx1"/>
            </w14:solidFill>
          </w14:textFill>
        </w:rPr>
        <w:t>；</w:t>
      </w:r>
    </w:p>
    <w:p w14:paraId="771D5FC6">
      <w:pPr>
        <w:tabs>
          <w:tab w:val="left" w:pos="567"/>
        </w:tabs>
        <w:spacing w:line="360" w:lineRule="auto"/>
        <w:ind w:left="632" w:hanging="632" w:hangingChars="3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7.3  投标人以低于企业成本价报价，且投标人不能合理说明或不能提供相关证明材料；</w:t>
      </w:r>
    </w:p>
    <w:p w14:paraId="3CF0343A">
      <w:pPr>
        <w:tabs>
          <w:tab w:val="left" w:pos="567"/>
        </w:tabs>
        <w:spacing w:line="360" w:lineRule="auto"/>
        <w:ind w:left="632" w:hanging="632" w:hangingChars="3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7.4  投标人递交两份或多份内容不同的投标文件，或在一份投标文件中报有两个或多个报价，且未书面声明哪一个有效；</w:t>
      </w:r>
    </w:p>
    <w:p w14:paraId="6610744D">
      <w:pPr>
        <w:tabs>
          <w:tab w:val="left" w:pos="567"/>
        </w:tabs>
        <w:spacing w:line="360" w:lineRule="auto"/>
        <w:ind w:left="632" w:hanging="632" w:hangingChars="3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7.5  </w:t>
      </w:r>
      <w:r>
        <w:rPr>
          <w:rFonts w:hint="eastAsia" w:ascii="宋体" w:hAnsi="宋体" w:eastAsia="宋体" w:cs="宋体"/>
          <w:b/>
          <w:color w:val="000000" w:themeColor="text1"/>
          <w:kern w:val="0"/>
          <w:szCs w:val="21"/>
          <w:highlight w:val="none"/>
          <w14:textFill>
            <w14:solidFill>
              <w14:schemeClr w14:val="tx1"/>
            </w14:solidFill>
          </w14:textFill>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204AA902">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7.6  投标文件未按照招标文件规定要求密封；投标文件无法定代表人或其授权代表签字（或盖私章），或签字人无法定代表人有效授权的；签字盖章不符合招标文件要求的； </w:t>
      </w:r>
    </w:p>
    <w:p w14:paraId="6B426EF1">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14:textFill>
            <w14:solidFill>
              <w14:schemeClr w14:val="tx1"/>
            </w14:solidFill>
          </w14:textFill>
        </w:rPr>
        <w:t>7</w:t>
      </w:r>
      <w:r>
        <w:rPr>
          <w:rFonts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14:textFill>
            <w14:solidFill>
              <w14:schemeClr w14:val="tx1"/>
            </w14:solidFill>
          </w14:textFill>
        </w:rPr>
        <w:t>投标有效期限不符合要求；</w:t>
      </w:r>
    </w:p>
    <w:p w14:paraId="6EA6FCBF">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7.8  投标文件未对招标范围内的全部内容进行投标报价</w:t>
      </w:r>
      <w:r>
        <w:rPr>
          <w:rFonts w:hint="eastAsia" w:ascii="宋体" w:hAnsi="宋体" w:eastAsia="宋体" w:cs="Times New Roman"/>
          <w:b/>
          <w:color w:val="000000" w:themeColor="text1"/>
          <w:kern w:val="0"/>
          <w:szCs w:val="21"/>
          <w:highlight w:val="none"/>
          <w14:textFill>
            <w14:solidFill>
              <w14:schemeClr w14:val="tx1"/>
            </w14:solidFill>
          </w14:textFill>
        </w:rPr>
        <w:t>或投标方案不是唯一</w:t>
      </w:r>
      <w:r>
        <w:rPr>
          <w:rFonts w:hint="eastAsia" w:ascii="宋体" w:hAnsi="宋体" w:eastAsia="宋体" w:cs="宋体"/>
          <w:b/>
          <w:bCs/>
          <w:color w:val="000000" w:themeColor="text1"/>
          <w:kern w:val="0"/>
          <w:szCs w:val="21"/>
          <w:highlight w:val="none"/>
          <w14:textFill>
            <w14:solidFill>
              <w14:schemeClr w14:val="tx1"/>
            </w14:solidFill>
          </w14:textFill>
        </w:rPr>
        <w:t>；</w:t>
      </w:r>
    </w:p>
    <w:p w14:paraId="173B2C7E">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9</w:t>
      </w:r>
      <w:r>
        <w:rPr>
          <w:rFonts w:ascii="宋体" w:hAnsi="宋体" w:eastAsia="宋体" w:cs="Times New Roman"/>
          <w:b/>
          <w:color w:val="000000" w:themeColor="text1"/>
          <w:kern w:val="0"/>
          <w:szCs w:val="21"/>
          <w:highlight w:val="none"/>
          <w14:textFill>
            <w14:solidFill>
              <w14:schemeClr w14:val="tx1"/>
            </w14:solidFill>
          </w14:textFill>
        </w:rPr>
        <w:t xml:space="preserve">  未提供或虚假填写《合同条款偏离表》，或对《合同条款偏离表》有负偏离的；</w:t>
      </w:r>
    </w:p>
    <w:p w14:paraId="5426900D">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10</w:t>
      </w:r>
      <w:r>
        <w:rPr>
          <w:rFonts w:ascii="宋体" w:hAnsi="宋体" w:eastAsia="宋体" w:cs="Times New Roman"/>
          <w:b/>
          <w:color w:val="000000" w:themeColor="text1"/>
          <w:kern w:val="0"/>
          <w:szCs w:val="21"/>
          <w:highlight w:val="none"/>
          <w14:textFill>
            <w14:solidFill>
              <w14:schemeClr w14:val="tx1"/>
            </w14:solidFill>
          </w14:textFill>
        </w:rPr>
        <w:t xml:space="preserve">  未填写或虚假填写《用户需求偏离表》的；</w:t>
      </w:r>
    </w:p>
    <w:p w14:paraId="667117FD">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11</w:t>
      </w:r>
      <w:r>
        <w:rPr>
          <w:rFonts w:ascii="宋体" w:hAnsi="宋体" w:eastAsia="宋体" w:cs="Times New Roman"/>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 xml:space="preserve"> </w:t>
      </w:r>
      <w:r>
        <w:rPr>
          <w:rFonts w:ascii="宋体" w:hAnsi="宋体" w:eastAsia="宋体" w:cs="Times New Roman"/>
          <w:b/>
          <w:color w:val="000000" w:themeColor="text1"/>
          <w:kern w:val="0"/>
          <w:szCs w:val="21"/>
          <w:highlight w:val="none"/>
          <w14:textFill>
            <w14:solidFill>
              <w14:schemeClr w14:val="tx1"/>
            </w14:solidFill>
          </w14:textFill>
        </w:rPr>
        <w:t>未</w:t>
      </w:r>
      <w:r>
        <w:rPr>
          <w:rFonts w:hint="eastAsia" w:ascii="宋体" w:hAnsi="宋体" w:eastAsia="宋体" w:cs="Times New Roman"/>
          <w:b/>
          <w:color w:val="000000" w:themeColor="text1"/>
          <w:kern w:val="0"/>
          <w:szCs w:val="21"/>
          <w:highlight w:val="none"/>
          <w14:textFill>
            <w14:solidFill>
              <w14:schemeClr w14:val="tx1"/>
            </w14:solidFill>
          </w14:textFill>
        </w:rPr>
        <w:t>响应</w:t>
      </w:r>
      <w:r>
        <w:rPr>
          <w:rFonts w:ascii="宋体" w:hAnsi="宋体" w:eastAsia="宋体" w:cs="Times New Roman"/>
          <w:b/>
          <w:color w:val="000000" w:themeColor="text1"/>
          <w:kern w:val="0"/>
          <w:szCs w:val="21"/>
          <w:highlight w:val="none"/>
          <w14:textFill>
            <w14:solidFill>
              <w14:schemeClr w14:val="tx1"/>
            </w14:solidFill>
          </w14:textFill>
        </w:rPr>
        <w:t>招标文件提出的实质性要求和条件（标注★的条款）</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1BB239E0">
      <w:pPr>
        <w:autoSpaceDE w:val="0"/>
        <w:autoSpaceDN w:val="0"/>
        <w:adjustRightInd w:val="0"/>
        <w:spacing w:line="360" w:lineRule="auto"/>
        <w:ind w:left="315" w:hanging="315" w:hangingChars="150"/>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bCs/>
          <w:color w:val="000000" w:themeColor="text1"/>
          <w:kern w:val="0"/>
          <w:szCs w:val="24"/>
          <w:highlight w:val="none"/>
          <w:lang w:val="zh-CN"/>
          <w14:textFill>
            <w14:solidFill>
              <w14:schemeClr w14:val="tx1"/>
            </w14:solidFill>
          </w14:textFill>
        </w:rPr>
        <w:t>8、</w:t>
      </w:r>
      <w:r>
        <w:rPr>
          <w:rFonts w:hint="eastAsia" w:ascii="宋体" w:hAnsi="宋体" w:eastAsia="宋体" w:cs="宋体"/>
          <w:color w:val="000000" w:themeColor="text1"/>
          <w:kern w:val="0"/>
          <w:szCs w:val="24"/>
          <w:highlight w:val="none"/>
          <w:lang w:val="zh-CN"/>
          <w14:textFill>
            <w14:solidFill>
              <w14:schemeClr w14:val="tx1"/>
            </w14:solidFill>
          </w14:textFill>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1F630E9C">
      <w:pPr>
        <w:spacing w:line="360" w:lineRule="auto"/>
        <w:ind w:left="480"/>
        <w:rPr>
          <w:rFonts w:ascii="宋体" w:hAnsi="宋体" w:eastAsia="宋体" w:cs="宋体"/>
          <w:b/>
          <w:color w:val="000000" w:themeColor="text1"/>
          <w:kern w:val="0"/>
          <w:szCs w:val="21"/>
          <w:highlight w:val="none"/>
          <w14:textFill>
            <w14:solidFill>
              <w14:schemeClr w14:val="tx1"/>
            </w14:solidFill>
          </w14:textFill>
        </w:rPr>
      </w:pPr>
    </w:p>
    <w:p w14:paraId="36342E0B">
      <w:pPr>
        <w:tabs>
          <w:tab w:val="left" w:pos="1140"/>
        </w:tabs>
        <w:autoSpaceDE w:val="0"/>
        <w:autoSpaceDN w:val="0"/>
        <w:adjustRightInd w:val="0"/>
        <w:spacing w:line="360" w:lineRule="auto"/>
        <w:ind w:firstLine="3528" w:firstLineChars="1255"/>
        <w:jc w:val="left"/>
        <w:rPr>
          <w:rFonts w:ascii="宋体" w:hAnsi="宋体" w:eastAsia="宋体" w:cs="宋体"/>
          <w:b/>
          <w:bCs/>
          <w:color w:val="000000" w:themeColor="text1"/>
          <w:sz w:val="28"/>
          <w:szCs w:val="28"/>
          <w:highlight w:val="none"/>
          <w14:textFill>
            <w14:solidFill>
              <w14:schemeClr w14:val="tx1"/>
            </w14:solidFill>
          </w14:textFill>
        </w:rPr>
      </w:pPr>
      <w:bookmarkStart w:id="1050" w:name="_Toc4109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三、澄清有关问题</w:t>
      </w:r>
      <w:bookmarkEnd w:id="1050"/>
    </w:p>
    <w:p w14:paraId="0AD73EC1">
      <w:pPr>
        <w:autoSpaceDE w:val="0"/>
        <w:autoSpaceDN w:val="0"/>
        <w:adjustRightInd w:val="0"/>
        <w:spacing w:line="360" w:lineRule="auto"/>
        <w:ind w:left="315" w:hanging="315" w:hangingChars="1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9、</w:t>
      </w:r>
      <w:r>
        <w:rPr>
          <w:rFonts w:hint="eastAsia" w:ascii="宋体" w:hAnsi="宋体" w:eastAsia="宋体" w:cs="宋体"/>
          <w:color w:val="000000" w:themeColor="text1"/>
          <w:szCs w:val="24"/>
          <w:highlight w:val="none"/>
          <w:lang w:val="zh-CN"/>
          <w14:textFill>
            <w14:solidFill>
              <w14:schemeClr w14:val="tx1"/>
            </w14:solidFill>
          </w14:textFill>
        </w:rPr>
        <w:t>在</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的商务、技术资格性检查及符合性检查过程中，</w:t>
      </w:r>
      <w:r>
        <w:rPr>
          <w:rFonts w:hint="eastAsia" w:ascii="宋体" w:hAnsi="宋体" w:eastAsia="宋体" w:cs="宋体"/>
          <w:color w:val="000000" w:themeColor="text1"/>
          <w:kern w:val="0"/>
          <w:szCs w:val="24"/>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可应评标委员会要求对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中有关问题进行书面澄清。该书面澄清作为其</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的一部分。</w:t>
      </w:r>
    </w:p>
    <w:p w14:paraId="7E8F3505">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9.1  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中含义不明确、</w:t>
      </w:r>
      <w:r>
        <w:rPr>
          <w:rFonts w:hint="eastAsia" w:ascii="宋体" w:hAnsi="宋体" w:eastAsia="宋体" w:cs="宋体"/>
          <w:color w:val="000000" w:themeColor="text1"/>
          <w:szCs w:val="21"/>
          <w:highlight w:val="none"/>
          <w14:textFill>
            <w14:solidFill>
              <w14:schemeClr w14:val="tx1"/>
            </w14:solidFill>
          </w14:textFill>
        </w:rPr>
        <w:t>对</w:t>
      </w:r>
      <w:r>
        <w:rPr>
          <w:rFonts w:hint="eastAsia" w:ascii="宋体" w:hAnsi="宋体" w:eastAsia="宋体" w:cs="宋体"/>
          <w:color w:val="000000" w:themeColor="text1"/>
          <w:szCs w:val="21"/>
          <w:highlight w:val="none"/>
          <w:lang w:val="zh-CN"/>
          <w14:textFill>
            <w14:solidFill>
              <w14:schemeClr w14:val="tx1"/>
            </w14:solidFill>
          </w14:textFill>
        </w:rPr>
        <w:t>同类问题表述不一致、有明显文字和计算错误、</w:t>
      </w:r>
      <w:r>
        <w:rPr>
          <w:rFonts w:hint="eastAsia" w:ascii="宋体" w:hAnsi="宋体" w:eastAsia="宋体" w:cs="宋体"/>
          <w:color w:val="000000" w:themeColor="text1"/>
          <w:szCs w:val="21"/>
          <w:highlight w:val="none"/>
          <w14:textFill>
            <w14:solidFill>
              <w14:schemeClr w14:val="tx1"/>
            </w14:solidFill>
          </w14:textFill>
        </w:rPr>
        <w:t>投标报价可能低于成本影响履约的</w:t>
      </w:r>
      <w:r>
        <w:rPr>
          <w:rFonts w:hint="eastAsia" w:ascii="宋体" w:hAnsi="宋体" w:eastAsia="宋体" w:cs="宋体"/>
          <w:color w:val="000000" w:themeColor="text1"/>
          <w:szCs w:val="21"/>
          <w:highlight w:val="none"/>
          <w:lang w:val="zh-CN"/>
          <w14:textFill>
            <w14:solidFill>
              <w14:schemeClr w14:val="tx1"/>
            </w14:solidFill>
          </w14:textFill>
        </w:rPr>
        <w:t>，评标委员会</w:t>
      </w:r>
      <w:r>
        <w:rPr>
          <w:rFonts w:hint="eastAsia" w:ascii="宋体" w:hAnsi="宋体" w:eastAsia="宋体" w:cs="宋体"/>
          <w:color w:val="000000" w:themeColor="text1"/>
          <w:szCs w:val="21"/>
          <w:highlight w:val="none"/>
          <w14:textFill>
            <w14:solidFill>
              <w14:schemeClr w14:val="tx1"/>
            </w14:solidFill>
          </w14:textFill>
        </w:rPr>
        <w:t>应当先请投标人作必要的澄清说明</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不得直接否决投标。评标委员会</w:t>
      </w:r>
      <w:r>
        <w:rPr>
          <w:rFonts w:hint="eastAsia" w:ascii="宋体" w:hAnsi="宋体" w:eastAsia="宋体" w:cs="宋体"/>
          <w:color w:val="000000" w:themeColor="text1"/>
          <w:szCs w:val="24"/>
          <w:highlight w:val="none"/>
          <w:lang w:val="zh-CN"/>
          <w14:textFill>
            <w14:solidFill>
              <w14:schemeClr w14:val="tx1"/>
            </w14:solidFill>
          </w14:textFill>
        </w:rPr>
        <w:t>可以书面形式（由评标委员会专家签字）要求投标人作出必要的澄清、说明或者纠正。</w:t>
      </w:r>
    </w:p>
    <w:p w14:paraId="56F208E3">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1E4BC0E9">
      <w:pPr>
        <w:autoSpaceDE w:val="0"/>
        <w:autoSpaceDN w:val="0"/>
        <w:adjustRightInd w:val="0"/>
        <w:spacing w:line="360" w:lineRule="auto"/>
        <w:ind w:left="529" w:right="18"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9.3  经过澄清后仍不符合要求，则该项目在下一步评审进行评分调整；若重大（实质性）偏差仍存在，且不可接受，投标人则被认为是“不响应招标文件要求的投标人”，不再进入下一步评审。</w:t>
      </w:r>
    </w:p>
    <w:p w14:paraId="5B347951">
      <w:pPr>
        <w:spacing w:line="360" w:lineRule="auto"/>
        <w:ind w:left="424" w:hanging="424" w:hangingChars="202"/>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9.4  投标文件报价计算或表达错误的修正</w:t>
      </w:r>
    </w:p>
    <w:p w14:paraId="071F0DFE">
      <w:pPr>
        <w:spacing w:line="360" w:lineRule="auto"/>
        <w:ind w:left="567"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（1）评标委员会将对确定为实质上响应招标文件要求的投标文件进行校核，看其是否有计算或表达上的错误，修正错误的原则为：</w:t>
      </w:r>
    </w:p>
    <w:p w14:paraId="4D687C86">
      <w:pPr>
        <w:spacing w:line="360" w:lineRule="auto"/>
        <w:ind w:firstLine="420" w:firstLineChars="20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A</w:t>
      </w:r>
      <w:r>
        <w:rPr>
          <w:rFonts w:hint="eastAsia" w:ascii="宋体" w:hAnsi="宋体" w:eastAsia="宋体" w:cs="宋体"/>
          <w:color w:val="000000" w:themeColor="text1"/>
          <w:kern w:val="0"/>
          <w:szCs w:val="21"/>
          <w:highlight w:val="none"/>
          <w:lang w:val="zh-CN"/>
          <w14:textFill>
            <w14:solidFill>
              <w14:schemeClr w14:val="tx1"/>
            </w14:solidFill>
          </w14:textFill>
        </w:rPr>
        <w:t>）当以数字表示的金额与以文字表示的金额不一致时，以文字表示的金额为准；</w:t>
      </w:r>
    </w:p>
    <w:p w14:paraId="3C7E03CF">
      <w:pPr>
        <w:spacing w:line="360" w:lineRule="auto"/>
        <w:ind w:left="420" w:leftChars="20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B</w:t>
      </w:r>
      <w:r>
        <w:rPr>
          <w:rFonts w:hint="eastAsia" w:ascii="宋体" w:hAnsi="宋体" w:eastAsia="宋体" w:cs="宋体"/>
          <w:color w:val="000000" w:themeColor="text1"/>
          <w:kern w:val="0"/>
          <w:szCs w:val="21"/>
          <w:highlight w:val="none"/>
          <w:lang w:val="zh-CN"/>
          <w14:textFill>
            <w14:solidFill>
              <w14:schemeClr w14:val="tx1"/>
            </w14:solidFill>
          </w14:textFill>
        </w:rPr>
        <w:t>）当开标一览表(投标报价表)内总报价金额与按单价计算的总价不一致的，以总报价为准，修正单价金额；</w:t>
      </w:r>
    </w:p>
    <w:p w14:paraId="496501F4">
      <w:pPr>
        <w:spacing w:line="360" w:lineRule="auto"/>
        <w:ind w:left="420" w:leftChars="20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C</w:t>
      </w:r>
      <w:r>
        <w:rPr>
          <w:rFonts w:hint="eastAsia" w:ascii="宋体" w:hAnsi="宋体" w:eastAsia="宋体" w:cs="宋体"/>
          <w:color w:val="000000" w:themeColor="text1"/>
          <w:kern w:val="0"/>
          <w:szCs w:val="21"/>
          <w:highlight w:val="none"/>
          <w:lang w:val="zh-CN"/>
          <w14:textFill>
            <w14:solidFill>
              <w14:schemeClr w14:val="tx1"/>
            </w14:solidFill>
          </w14:textFill>
        </w:rPr>
        <w:t>）当分项报价明细表内累计与投标报价表内报价不符时，以投标报价表（开标一览表）为准，修正分项报价明细表内的各分项报价；</w:t>
      </w:r>
    </w:p>
    <w:p w14:paraId="4308BABE">
      <w:pPr>
        <w:spacing w:line="360" w:lineRule="auto"/>
        <w:ind w:firstLine="420" w:firstLineChars="20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D</w:t>
      </w:r>
      <w:r>
        <w:rPr>
          <w:rFonts w:hint="eastAsia" w:ascii="宋体" w:hAnsi="宋体" w:eastAsia="宋体" w:cs="宋体"/>
          <w:color w:val="000000" w:themeColor="text1"/>
          <w:kern w:val="0"/>
          <w:szCs w:val="21"/>
          <w:highlight w:val="none"/>
          <w:lang w:val="zh-CN"/>
          <w14:textFill>
            <w14:solidFill>
              <w14:schemeClr w14:val="tx1"/>
            </w14:solidFill>
          </w14:textFill>
        </w:rPr>
        <w:t>）按前述修正原则排序依次进行修正至唯一值后的报价表经双方确认后，作为</w:t>
      </w:r>
      <w:r>
        <w:rPr>
          <w:rFonts w:hint="eastAsia" w:ascii="宋体" w:hAnsi="宋体" w:eastAsia="宋体" w:cs="宋体"/>
          <w:color w:val="000000" w:themeColor="text1"/>
          <w:kern w:val="0"/>
          <w:szCs w:val="21"/>
          <w:highlight w:val="none"/>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的</w:t>
      </w:r>
      <w:r>
        <w:rPr>
          <w:rFonts w:hint="eastAsia" w:ascii="宋体" w:hAnsi="宋体" w:eastAsia="宋体" w:cs="宋体"/>
          <w:color w:val="000000" w:themeColor="text1"/>
          <w:kern w:val="0"/>
          <w:szCs w:val="21"/>
          <w:highlight w:val="none"/>
          <w14:textFill>
            <w14:solidFill>
              <w14:schemeClr w14:val="tx1"/>
            </w14:solidFill>
          </w14:textFill>
        </w:rPr>
        <w:t>投标报价</w:t>
      </w:r>
      <w:r>
        <w:rPr>
          <w:rFonts w:hint="eastAsia" w:ascii="宋体" w:hAnsi="宋体" w:eastAsia="宋体" w:cs="宋体"/>
          <w:color w:val="000000" w:themeColor="text1"/>
          <w:kern w:val="0"/>
          <w:szCs w:val="21"/>
          <w:highlight w:val="none"/>
          <w:lang w:val="zh-CN"/>
          <w14:textFill>
            <w14:solidFill>
              <w14:schemeClr w14:val="tx1"/>
            </w14:solidFill>
          </w14:textFill>
        </w:rPr>
        <w:t>组成部分。</w:t>
      </w:r>
    </w:p>
    <w:p w14:paraId="40F0E157">
      <w:pPr>
        <w:spacing w:line="360" w:lineRule="auto"/>
        <w:ind w:left="567" w:hanging="567" w:hangingChars="27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按上述</w:t>
      </w:r>
      <w:r>
        <w:rPr>
          <w:rFonts w:hint="eastAsia" w:ascii="宋体" w:hAnsi="宋体" w:eastAsia="宋体" w:cs="宋体"/>
          <w:b/>
          <w:color w:val="000000" w:themeColor="text1"/>
          <w:kern w:val="0"/>
          <w:szCs w:val="21"/>
          <w:highlight w:val="none"/>
          <w:u w:val="single"/>
          <w14:textFill>
            <w14:solidFill>
              <w14:schemeClr w14:val="tx1"/>
            </w14:solidFill>
          </w14:textFill>
        </w:rPr>
        <w:t>报价</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修正</w:t>
      </w:r>
      <w:r>
        <w:rPr>
          <w:rFonts w:hint="eastAsia" w:ascii="宋体" w:hAnsi="宋体" w:eastAsia="宋体" w:cs="宋体"/>
          <w:b/>
          <w:color w:val="000000" w:themeColor="text1"/>
          <w:kern w:val="0"/>
          <w:szCs w:val="21"/>
          <w:highlight w:val="none"/>
          <w:u w:val="single"/>
          <w14:textFill>
            <w14:solidFill>
              <w14:schemeClr w14:val="tx1"/>
            </w14:solidFill>
          </w14:textFill>
        </w:rPr>
        <w:t>错误</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14:paraId="7401AA08">
      <w:pPr>
        <w:spacing w:line="360" w:lineRule="auto"/>
        <w:ind w:left="567" w:hanging="567" w:hangingChars="27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9.5  若投标人出现超低报价，有可能影响服务质量和不能诚信履约的，</w:t>
      </w:r>
      <w:r>
        <w:rPr>
          <w:rFonts w:hint="eastAsia" w:ascii="宋体" w:hAnsi="宋体" w:eastAsia="宋体" w:cs="宋体"/>
          <w:bCs/>
          <w:color w:val="000000" w:themeColor="text1"/>
          <w:szCs w:val="21"/>
          <w:highlight w:val="none"/>
          <w:lang w:val="zh-CN"/>
          <w14:textFill>
            <w14:solidFill>
              <w14:schemeClr w14:val="tx1"/>
            </w14:solidFill>
          </w14:textFill>
        </w:rPr>
        <w:t>评标委员会将要求该投标人作出书面说明并提供相关证明材料，以确定投标人是否以低于企业成本价报价。</w:t>
      </w:r>
      <w:r>
        <w:rPr>
          <w:rFonts w:hint="eastAsia" w:ascii="宋体" w:hAnsi="宋体" w:eastAsia="宋体" w:cs="宋体"/>
          <w:b/>
          <w:color w:val="000000" w:themeColor="text1"/>
          <w:szCs w:val="21"/>
          <w:highlight w:val="none"/>
          <w:lang w:val="zh-CN"/>
          <w14:textFill>
            <w14:solidFill>
              <w14:schemeClr w14:val="tx1"/>
            </w14:solidFill>
          </w14:textFill>
        </w:rPr>
        <w:t>若投标人不能合理说明或不能提供相关证明材料的，评标委员会将认定其投标报价低于成本，同时否决其投标。</w:t>
      </w:r>
    </w:p>
    <w:p w14:paraId="7EE4F687">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bookmarkStart w:id="1051" w:name="_Toc8518_WPSOffice_Level1"/>
    </w:p>
    <w:p w14:paraId="30D2A28A">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四、比较和评价</w:t>
      </w:r>
      <w:bookmarkEnd w:id="1051"/>
    </w:p>
    <w:p w14:paraId="1BB2479A">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10、</w:t>
      </w:r>
      <w:r>
        <w:rPr>
          <w:rFonts w:hint="eastAsia" w:ascii="宋体" w:hAnsi="宋体" w:eastAsia="宋体" w:cs="宋体"/>
          <w:color w:val="000000" w:themeColor="text1"/>
          <w:szCs w:val="24"/>
          <w:highlight w:val="none"/>
          <w:lang w:val="zh-CN"/>
          <w14:textFill>
            <w14:solidFill>
              <w14:schemeClr w14:val="tx1"/>
            </w14:solidFill>
          </w14:textFill>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21718CA7">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p>
    <w:p w14:paraId="1C2DB4DE">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11、评委打分办法</w:t>
      </w:r>
    </w:p>
    <w:p w14:paraId="20806618">
      <w:pPr>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.1 参加评分的评委应尽力体现客观、实事求是，避免学派偏见和个人偏好。</w:t>
      </w:r>
    </w:p>
    <w:p w14:paraId="78D95818">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.2 衡量、对比的依据，应以招标文件、投标文件、提供的正式试验数据、开标澄清中的文字为准，口头回答和收集的资料只作为参考。</w:t>
      </w:r>
    </w:p>
    <w:p w14:paraId="45158575">
      <w:pPr>
        <w:autoSpaceDE w:val="0"/>
        <w:autoSpaceDN w:val="0"/>
        <w:adjustRightInd w:val="0"/>
        <w:spacing w:line="360" w:lineRule="auto"/>
        <w:ind w:left="565" w:leftChars="-1" w:hanging="567" w:hangingChars="27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.3 评分主要是为比较各投标人的商务、技术</w:t>
      </w:r>
      <w:r>
        <w:rPr>
          <w:rFonts w:hint="eastAsia" w:ascii="宋体" w:hAnsi="宋体" w:eastAsia="宋体" w:cs="Times New Roman"/>
          <w:color w:val="000000" w:themeColor="text1"/>
          <w:szCs w:val="24"/>
          <w:highlight w:val="none"/>
          <w14:textFill>
            <w14:solidFill>
              <w14:schemeClr w14:val="tx1"/>
            </w14:solidFill>
          </w14:textFill>
        </w:rPr>
        <w:t>和</w:t>
      </w:r>
      <w:r>
        <w:rPr>
          <w:rFonts w:hint="eastAsia" w:ascii="宋体" w:hAnsi="宋体" w:eastAsia="宋体" w:cs="Times New Roman"/>
          <w:color w:val="000000" w:themeColor="text1"/>
          <w:szCs w:val="24"/>
          <w:highlight w:val="none"/>
          <w:lang w:val="zh-CN"/>
          <w14:textFill>
            <w14:solidFill>
              <w14:schemeClr w14:val="tx1"/>
            </w14:solidFill>
          </w14:textFill>
        </w:rPr>
        <w:t>价格综合排序。</w:t>
      </w:r>
      <w:r>
        <w:rPr>
          <w:rFonts w:hint="eastAsia" w:ascii="宋体" w:hAnsi="宋体" w:eastAsia="宋体" w:cs="宋体"/>
          <w:color w:val="000000" w:themeColor="text1"/>
          <w:kern w:val="0"/>
          <w:szCs w:val="21"/>
          <w:highlight w:val="none"/>
          <w14:textFill>
            <w14:solidFill>
              <w14:schemeClr w14:val="tx1"/>
            </w14:solidFill>
          </w14:textFill>
        </w:rPr>
        <w:t>评标委员会专家组的每一位评委根据招标文件评分标准对投标文件分别评审，对有效投标人投标文件的商务、技术、报价分别评分。</w:t>
      </w:r>
    </w:p>
    <w:p w14:paraId="65ADB357">
      <w:pPr>
        <w:autoSpaceDE w:val="0"/>
        <w:autoSpaceDN w:val="0"/>
        <w:adjustRightInd w:val="0"/>
        <w:spacing w:line="360" w:lineRule="auto"/>
        <w:ind w:left="565" w:leftChars="-1" w:hanging="567" w:hangingChars="2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（1）评标委员会首先对商务标进行评审，按评标标准打分后，取所有评委评分的平均值得出该投标人的商务评分；</w:t>
      </w:r>
    </w:p>
    <w:p w14:paraId="53C608A4">
      <w:pPr>
        <w:autoSpaceDE w:val="0"/>
        <w:autoSpaceDN w:val="0"/>
        <w:adjustRightInd w:val="0"/>
        <w:spacing w:line="360" w:lineRule="auto"/>
        <w:ind w:left="565" w:leftChars="-1"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（2）然后评标委员会对技术标进行评审，按评标标准打分后，</w:t>
      </w:r>
      <w:r>
        <w:rPr>
          <w:rFonts w:hint="eastAsia" w:ascii="宋体" w:hAnsi="宋体" w:eastAsia="宋体" w:cs="宋体"/>
          <w:color w:val="000000" w:themeColor="text1"/>
          <w:szCs w:val="21"/>
          <w:highlight w:val="none"/>
          <w14:textFill>
            <w14:solidFill>
              <w14:schemeClr w14:val="tx1"/>
            </w14:solidFill>
          </w14:textFill>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14:paraId="6F4654F7">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（3）最后评标委员会对报价进行评审，按评标标准计算得出该投标人的报价评分。</w:t>
      </w:r>
    </w:p>
    <w:p w14:paraId="78367C51">
      <w:pPr>
        <w:tabs>
          <w:tab w:val="left" w:pos="600"/>
        </w:tabs>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.4 评标委员会打分采取记名形式。</w:t>
      </w:r>
    </w:p>
    <w:p w14:paraId="5D4C218A">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.5 各评委根据秘书组提供的打分表严格按照评标大纲内的评分标准独立自主打分，任何人不得要求评委统一打分或统一确定等次顺序。</w:t>
      </w:r>
    </w:p>
    <w:p w14:paraId="4CAF9D8C">
      <w:pPr>
        <w:autoSpaceDE w:val="0"/>
        <w:autoSpaceDN w:val="0"/>
        <w:adjustRightInd w:val="0"/>
        <w:spacing w:line="360" w:lineRule="auto"/>
        <w:ind w:left="426" w:hanging="426"/>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.6 对打分表中的每项条款，各评委应根据投标文件、澄清材料、招标文件要求，按满足的程度给投标人打分。</w:t>
      </w:r>
    </w:p>
    <w:p w14:paraId="083BEBB7">
      <w:pPr>
        <w:tabs>
          <w:tab w:val="left" w:pos="600"/>
        </w:tabs>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.7 评分程序</w:t>
      </w:r>
    </w:p>
    <w:p w14:paraId="7DCE7583">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1</w:t>
      </w:r>
      <w:r>
        <w:rPr>
          <w:rFonts w:hint="eastAsia" w:ascii="宋体" w:hAnsi="宋体" w:eastAsia="宋体" w:cs="Times New Roman"/>
          <w:color w:val="000000" w:themeColor="text1"/>
          <w:szCs w:val="24"/>
          <w:highlight w:val="none"/>
          <w:lang w:val="zh-CN"/>
          <w14:textFill>
            <w14:solidFill>
              <w14:schemeClr w14:val="tx1"/>
            </w14:solidFill>
          </w14:textFill>
        </w:rPr>
        <w:t>）就投标人的投标文件对照整理出商务、技术评标因素对比表、偏差表，并在经过校核的基础上逐项打分。</w:t>
      </w:r>
    </w:p>
    <w:p w14:paraId="747F1EF8">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）各评委独立完成打分后，将统计好的评分表交给招标代理机构秘书组复核。</w:t>
      </w:r>
    </w:p>
    <w:p w14:paraId="4BD3FE03">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3</w:t>
      </w:r>
      <w:r>
        <w:rPr>
          <w:rFonts w:hint="eastAsia" w:ascii="宋体" w:hAnsi="宋体" w:eastAsia="宋体" w:cs="Times New Roman"/>
          <w:color w:val="000000" w:themeColor="text1"/>
          <w:szCs w:val="24"/>
          <w:highlight w:val="none"/>
          <w:lang w:val="zh-CN"/>
          <w14:textFill>
            <w14:solidFill>
              <w14:schemeClr w14:val="tx1"/>
            </w14:solidFill>
          </w14:textFill>
        </w:rPr>
        <w:t>）评分统计表中各投标人技术得分应为最终综合得分，商务和价格得分应为评委打分的算术平均值。</w:t>
      </w:r>
    </w:p>
    <w:p w14:paraId="1EC4A4EA">
      <w:pPr>
        <w:autoSpaceDE w:val="0"/>
        <w:autoSpaceDN w:val="0"/>
        <w:adjustRightInd w:val="0"/>
        <w:spacing w:line="360" w:lineRule="auto"/>
        <w:rPr>
          <w:rFonts w:ascii="宋体" w:hAnsi="宋体" w:eastAsia="宋体" w:cs="宋体"/>
          <w:color w:val="000000" w:themeColor="text1"/>
          <w:szCs w:val="24"/>
          <w:highlight w:val="none"/>
          <w:lang w:val="zh-CN"/>
          <w14:textFill>
            <w14:solidFill>
              <w14:schemeClr w14:val="tx1"/>
            </w14:solidFill>
          </w14:textFill>
        </w:rPr>
      </w:pPr>
    </w:p>
    <w:p w14:paraId="78F76717">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bookmarkStart w:id="1052" w:name="OLE_LINK242"/>
      <w:bookmarkStart w:id="1053" w:name="_Toc18349_WPSOffice_Level2"/>
      <w:bookmarkStart w:id="1054" w:name="OLE_LINK139"/>
      <w:r>
        <w:rPr>
          <w:rFonts w:hint="eastAsia" w:ascii="宋体" w:hAnsi="宋体" w:eastAsia="宋体" w:cs="宋体"/>
          <w:b/>
          <w:color w:val="000000" w:themeColor="text1"/>
          <w:szCs w:val="24"/>
          <w:highlight w:val="none"/>
          <w:lang w:val="zh-CN"/>
          <w14:textFill>
            <w14:solidFill>
              <w14:schemeClr w14:val="tx1"/>
            </w14:solidFill>
          </w14:textFill>
        </w:rPr>
        <w:t>12、评分因素及分值</w:t>
      </w:r>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317AC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463AE580">
            <w:pPr>
              <w:spacing w:line="400" w:lineRule="exact"/>
              <w:jc w:val="center"/>
              <w:rPr>
                <w:rFonts w:ascii="宋体" w:hAnsi="宋体" w:eastAsia="宋体" w:cs="宋体"/>
                <w:b/>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kern w:val="0"/>
                <w:sz w:val="22"/>
                <w:highlight w:val="none"/>
                <w:lang w:val="zh-CN"/>
                <w14:textFill>
                  <w14:solidFill>
                    <w14:schemeClr w14:val="tx1"/>
                  </w14:solidFill>
                </w14:textFill>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5C833AFC">
            <w:pPr>
              <w:spacing w:line="400" w:lineRule="exact"/>
              <w:jc w:val="center"/>
              <w:rPr>
                <w:rFonts w:ascii="宋体" w:hAnsi="宋体" w:eastAsia="宋体" w:cs="宋体"/>
                <w:b/>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kern w:val="0"/>
                <w:sz w:val="22"/>
                <w:highlight w:val="none"/>
                <w:lang w:val="zh-CN"/>
                <w14:textFill>
                  <w14:solidFill>
                    <w14:schemeClr w14:val="tx1"/>
                  </w14:solidFill>
                </w14:textFill>
              </w:rPr>
              <w:t>分值</w:t>
            </w:r>
          </w:p>
        </w:tc>
      </w:tr>
      <w:tr w14:paraId="03BAA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4F27E6C7">
            <w:pPr>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bookmarkStart w:id="1055" w:name="OLE_LINK243" w:colFirst="1" w:colLast="1"/>
            <w:r>
              <w:rPr>
                <w:rFonts w:hint="eastAsia" w:ascii="宋体" w:hAnsi="宋体" w:eastAsia="宋体" w:cs="宋体"/>
                <w:bCs/>
                <w:color w:val="000000" w:themeColor="text1"/>
                <w:kern w:val="0"/>
                <w:sz w:val="22"/>
                <w:highlight w:val="none"/>
                <w:lang w:val="zh-CN"/>
                <w14:textFill>
                  <w14:solidFill>
                    <w14:schemeClr w14:val="tx1"/>
                  </w14:solidFill>
                </w14:textFill>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48CD36C3">
            <w:pPr>
              <w:autoSpaceDE w:val="0"/>
              <w:autoSpaceDN w:val="0"/>
              <w:adjustRightInd w:val="0"/>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分</w:t>
            </w:r>
          </w:p>
        </w:tc>
      </w:tr>
      <w:tr w14:paraId="7D3E9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9DFAE7E">
            <w:pPr>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Cs/>
                <w:color w:val="000000" w:themeColor="text1"/>
                <w:kern w:val="0"/>
                <w:sz w:val="22"/>
                <w:highlight w:val="none"/>
                <w:lang w:val="zh-CN"/>
                <w14:textFill>
                  <w14:solidFill>
                    <w14:schemeClr w14:val="tx1"/>
                  </w14:solidFill>
                </w14:textFill>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0535D525">
            <w:pPr>
              <w:autoSpaceDE w:val="0"/>
              <w:autoSpaceDN w:val="0"/>
              <w:adjustRightInd w:val="0"/>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40</w:t>
            </w:r>
            <w:r>
              <w:rPr>
                <w:rFonts w:hint="eastAsia" w:ascii="宋体" w:hAnsi="宋体" w:eastAsia="宋体" w:cs="宋体"/>
                <w:b/>
                <w:color w:val="000000" w:themeColor="text1"/>
                <w:szCs w:val="21"/>
                <w:highlight w:val="none"/>
                <w:lang w:val="zh-CN"/>
                <w14:textFill>
                  <w14:solidFill>
                    <w14:schemeClr w14:val="tx1"/>
                  </w14:solidFill>
                </w14:textFill>
              </w:rPr>
              <w:t>分</w:t>
            </w:r>
          </w:p>
        </w:tc>
      </w:tr>
      <w:tr w14:paraId="78F7E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52DFBB0">
            <w:pPr>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Cs/>
                <w:color w:val="000000" w:themeColor="text1"/>
                <w:kern w:val="0"/>
                <w:sz w:val="22"/>
                <w:highlight w:val="none"/>
                <w:lang w:val="zh-CN"/>
                <w14:textFill>
                  <w14:solidFill>
                    <w14:schemeClr w14:val="tx1"/>
                  </w14:solidFill>
                </w14:textFill>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301D8EB1">
            <w:pPr>
              <w:autoSpaceDE w:val="0"/>
              <w:autoSpaceDN w:val="0"/>
              <w:adjustRightInd w:val="0"/>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分</w:t>
            </w:r>
          </w:p>
        </w:tc>
      </w:tr>
      <w:bookmarkEnd w:id="1052"/>
      <w:bookmarkEnd w:id="1055"/>
    </w:tbl>
    <w:p w14:paraId="59ED08CB">
      <w:pPr>
        <w:tabs>
          <w:tab w:val="left" w:pos="585"/>
        </w:tabs>
        <w:autoSpaceDE w:val="0"/>
        <w:autoSpaceDN w:val="0"/>
        <w:adjustRightInd w:val="0"/>
        <w:spacing w:line="360" w:lineRule="auto"/>
        <w:rPr>
          <w:rFonts w:ascii="宋体" w:hAnsi="宋体" w:eastAsia="宋体" w:cs="宋体"/>
          <w:b/>
          <w:color w:val="000000" w:themeColor="text1"/>
          <w:szCs w:val="21"/>
          <w:highlight w:val="none"/>
          <w14:textFill>
            <w14:solidFill>
              <w14:schemeClr w14:val="tx1"/>
            </w14:solidFill>
          </w14:textFill>
        </w:rPr>
      </w:pPr>
    </w:p>
    <w:p w14:paraId="75774629">
      <w:pPr>
        <w:tabs>
          <w:tab w:val="left" w:pos="585"/>
        </w:tabs>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lang w:val="zh-CN"/>
          <w14:textFill>
            <w14:solidFill>
              <w14:schemeClr w14:val="tx1"/>
            </w14:solidFill>
          </w14:textFill>
        </w:rPr>
        <w:t>商务：总分</w:t>
      </w:r>
      <w:r>
        <w:rPr>
          <w:rFonts w:hint="eastAsia" w:ascii="宋体" w:hAnsi="宋体" w:eastAsia="宋体" w:cs="宋体"/>
          <w:b/>
          <w:color w:val="000000" w:themeColor="text1"/>
          <w:szCs w:val="21"/>
          <w:highlight w:val="none"/>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分</w:t>
      </w:r>
      <w:bookmarkEnd w:id="1053"/>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14:paraId="6C04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5" w:type="pct"/>
            <w:tcBorders>
              <w:top w:val="single" w:color="auto" w:sz="4" w:space="0"/>
              <w:left w:val="single" w:color="auto" w:sz="4" w:space="0"/>
              <w:bottom w:val="single" w:color="auto" w:sz="4" w:space="0"/>
              <w:right w:val="single" w:color="auto" w:sz="4" w:space="0"/>
            </w:tcBorders>
            <w:vAlign w:val="bottom"/>
          </w:tcPr>
          <w:p w14:paraId="7BCB7ABE">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547" w:type="pct"/>
            <w:tcBorders>
              <w:top w:val="single" w:color="auto" w:sz="4" w:space="0"/>
              <w:left w:val="single" w:color="auto" w:sz="4" w:space="0"/>
              <w:bottom w:val="single" w:color="auto" w:sz="4" w:space="0"/>
              <w:right w:val="single" w:color="auto" w:sz="4" w:space="0"/>
            </w:tcBorders>
            <w:vAlign w:val="bottom"/>
          </w:tcPr>
          <w:p w14:paraId="4830C1EF">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评审内容</w:t>
            </w:r>
          </w:p>
        </w:tc>
        <w:tc>
          <w:tcPr>
            <w:tcW w:w="3691" w:type="pct"/>
            <w:tcBorders>
              <w:top w:val="single" w:color="auto" w:sz="4" w:space="0"/>
              <w:left w:val="single" w:color="auto" w:sz="4" w:space="0"/>
              <w:bottom w:val="single" w:color="auto" w:sz="4" w:space="0"/>
              <w:right w:val="single" w:color="auto" w:sz="4" w:space="0"/>
            </w:tcBorders>
            <w:vAlign w:val="bottom"/>
          </w:tcPr>
          <w:p w14:paraId="118CD1DB">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625B84D7">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满分值</w:t>
            </w:r>
          </w:p>
        </w:tc>
      </w:tr>
      <w:tr w14:paraId="34CC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73928D7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1134" w:type="dxa"/>
            <w:tcBorders>
              <w:top w:val="single" w:color="auto" w:sz="4" w:space="0"/>
              <w:left w:val="single" w:color="auto" w:sz="4" w:space="0"/>
              <w:bottom w:val="single" w:color="auto" w:sz="4" w:space="0"/>
              <w:right w:val="single" w:color="auto" w:sz="4" w:space="0"/>
            </w:tcBorders>
            <w:vAlign w:val="center"/>
          </w:tcPr>
          <w:p w14:paraId="584B20AB">
            <w:pPr>
              <w:autoSpaceDE w:val="0"/>
              <w:autoSpaceDN w:val="0"/>
              <w:spacing w:line="400" w:lineRule="exact"/>
              <w:jc w:val="center"/>
              <w:rPr>
                <w:rFonts w:ascii="宋体" w:hAnsi="宋体" w:eastAsia="宋体" w:cs="Times New Roman"/>
                <w:bCs/>
                <w:color w:val="000000" w:themeColor="text1"/>
                <w:kern w:val="0"/>
                <w:sz w:val="24"/>
                <w:szCs w:val="21"/>
                <w:highlight w:val="none"/>
                <w14:textFill>
                  <w14:solidFill>
                    <w14:schemeClr w14:val="tx1"/>
                  </w14:solidFill>
                </w14:textFill>
              </w:rPr>
            </w:pPr>
            <w:r>
              <w:rPr>
                <w:rFonts w:hint="eastAsia" w:ascii="宋体" w:hAnsi="宋体" w:eastAsia="宋体" w:cs="Times New Roman"/>
                <w:bCs/>
                <w:color w:val="000000" w:themeColor="text1"/>
                <w:kern w:val="0"/>
                <w:szCs w:val="21"/>
                <w:highlight w:val="none"/>
                <w14:textFill>
                  <w14:solidFill>
                    <w14:schemeClr w14:val="tx1"/>
                  </w14:solidFill>
                </w14:textFill>
              </w:rPr>
              <w:t>财务状况</w:t>
            </w:r>
          </w:p>
        </w:tc>
        <w:tc>
          <w:tcPr>
            <w:tcW w:w="7655" w:type="dxa"/>
            <w:tcBorders>
              <w:top w:val="single" w:color="auto" w:sz="4" w:space="0"/>
              <w:left w:val="single" w:color="auto" w:sz="4" w:space="0"/>
              <w:bottom w:val="single" w:color="auto" w:sz="4" w:space="0"/>
              <w:right w:val="single" w:color="auto" w:sz="4" w:space="0"/>
            </w:tcBorders>
            <w:vAlign w:val="center"/>
          </w:tcPr>
          <w:p w14:paraId="553130BD">
            <w:pPr>
              <w:autoSpaceDE w:val="0"/>
              <w:autoSpaceDN w:val="0"/>
              <w:spacing w:line="400" w:lineRule="exact"/>
              <w:jc w:val="left"/>
              <w:rPr>
                <w:rFonts w:ascii="宋体" w:hAnsi="宋体" w:eastAsia="宋体" w:cs="Times New Roman"/>
                <w:bCs/>
                <w:color w:val="000000" w:themeColor="text1"/>
                <w:kern w:val="0"/>
                <w:szCs w:val="21"/>
                <w:highlight w:val="none"/>
                <w:lang w:val="zh-CN"/>
                <w14:textFill>
                  <w14:solidFill>
                    <w14:schemeClr w14:val="tx1"/>
                  </w14:solidFill>
                </w14:textFill>
              </w:rPr>
            </w:pPr>
            <w:r>
              <w:rPr>
                <w:rFonts w:hint="eastAsia" w:ascii="宋体" w:hAnsi="宋体" w:eastAsia="宋体" w:cs="Times New Roman"/>
                <w:bCs/>
                <w:color w:val="000000" w:themeColor="text1"/>
                <w:kern w:val="0"/>
                <w:szCs w:val="21"/>
                <w:highlight w:val="none"/>
                <w:lang w:val="zh-CN"/>
                <w14:textFill>
                  <w14:solidFill>
                    <w14:schemeClr w14:val="tx1"/>
                  </w14:solidFill>
                </w14:textFill>
              </w:rPr>
              <w:t>投标人2021年-2023年三个年度，每具有1个年度盈利的得1分，满分3分。</w:t>
            </w:r>
          </w:p>
          <w:p w14:paraId="5B279CB9">
            <w:pPr>
              <w:autoSpaceDE w:val="0"/>
              <w:autoSpaceDN w:val="0"/>
              <w:spacing w:line="400" w:lineRule="exact"/>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lang w:val="zh-CN"/>
                <w14:textFill>
                  <w14:solidFill>
                    <w14:schemeClr w14:val="tx1"/>
                  </w14:solidFill>
                </w14:textFill>
              </w:rPr>
              <w:t>备注：</w:t>
            </w:r>
            <w:r>
              <w:rPr>
                <w:rFonts w:hint="eastAsia" w:ascii="宋体" w:hAnsi="宋体" w:eastAsia="宋体" w:cs="Times New Roman"/>
                <w:b/>
                <w:color w:val="000000" w:themeColor="text1"/>
                <w:kern w:val="0"/>
                <w:szCs w:val="21"/>
                <w:highlight w:val="none"/>
                <w14:textFill>
                  <w14:solidFill>
                    <w14:schemeClr w14:val="tx1"/>
                  </w14:solidFill>
                </w14:textFill>
              </w:rPr>
              <w:t>①</w:t>
            </w:r>
            <w:r>
              <w:rPr>
                <w:rFonts w:hint="eastAsia" w:ascii="宋体" w:hAnsi="宋体" w:eastAsia="宋体" w:cs="Times New Roman"/>
                <w:b/>
                <w:color w:val="000000" w:themeColor="text1"/>
                <w:kern w:val="0"/>
                <w:szCs w:val="21"/>
                <w:highlight w:val="none"/>
                <w:lang w:val="zh-CN"/>
                <w14:textFill>
                  <w14:solidFill>
                    <w14:schemeClr w14:val="tx1"/>
                  </w14:solidFill>
                </w14:textFill>
              </w:rPr>
              <w:t>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bookmarkStart w:id="1056" w:name="OLE_LINK206"/>
            <w:r>
              <w:rPr>
                <w:rFonts w:hint="eastAsia" w:ascii="宋体" w:hAnsi="宋体" w:eastAsia="宋体" w:cs="Times New Roman"/>
                <w:b/>
                <w:color w:val="000000" w:themeColor="text1"/>
                <w:kern w:val="0"/>
                <w:szCs w:val="21"/>
                <w:highlight w:val="none"/>
                <w14:textFill>
                  <w14:solidFill>
                    <w14:schemeClr w14:val="tx1"/>
                  </w14:solidFill>
                </w14:textFill>
              </w:rPr>
              <w:t>②若为联合体投标的，</w:t>
            </w:r>
            <w:bookmarkStart w:id="1057" w:name="OLE_LINK230"/>
            <w:bookmarkStart w:id="1058" w:name="OLE_LINK256"/>
            <w:r>
              <w:rPr>
                <w:rFonts w:hint="eastAsia" w:ascii="宋体" w:hAnsi="宋体" w:eastAsia="宋体" w:cs="Times New Roman"/>
                <w:b/>
                <w:color w:val="000000" w:themeColor="text1"/>
                <w:kern w:val="0"/>
                <w:szCs w:val="21"/>
                <w:highlight w:val="none"/>
                <w14:textFill>
                  <w14:solidFill>
                    <w14:schemeClr w14:val="tx1"/>
                  </w14:solidFill>
                </w14:textFill>
              </w:rPr>
              <w:t>以联合体牵头方提供的财务报表为准</w:t>
            </w:r>
            <w:bookmarkEnd w:id="1057"/>
            <w:r>
              <w:rPr>
                <w:rFonts w:hint="eastAsia" w:ascii="宋体" w:hAnsi="宋体" w:eastAsia="宋体" w:cs="Times New Roman"/>
                <w:b/>
                <w:color w:val="000000" w:themeColor="text1"/>
                <w:kern w:val="0"/>
                <w:szCs w:val="21"/>
                <w:highlight w:val="none"/>
                <w14:textFill>
                  <w14:solidFill>
                    <w14:schemeClr w14:val="tx1"/>
                  </w14:solidFill>
                </w14:textFill>
              </w:rPr>
              <w:t>。</w:t>
            </w:r>
            <w:bookmarkEnd w:id="1056"/>
            <w:bookmarkEnd w:id="1058"/>
          </w:p>
        </w:tc>
        <w:tc>
          <w:tcPr>
            <w:tcW w:w="907" w:type="dxa"/>
            <w:tcBorders>
              <w:top w:val="single" w:color="auto" w:sz="4" w:space="0"/>
              <w:left w:val="single" w:color="auto" w:sz="4" w:space="0"/>
              <w:bottom w:val="single" w:color="auto" w:sz="4" w:space="0"/>
              <w:right w:val="single" w:color="auto" w:sz="4" w:space="0"/>
            </w:tcBorders>
            <w:vAlign w:val="center"/>
          </w:tcPr>
          <w:p w14:paraId="19B44BC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3分</w:t>
            </w:r>
          </w:p>
        </w:tc>
      </w:tr>
      <w:bookmarkEnd w:id="1054"/>
      <w:tr w14:paraId="3CC3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179C3AB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134" w:type="dxa"/>
            <w:tcBorders>
              <w:top w:val="single" w:color="auto" w:sz="4" w:space="0"/>
              <w:left w:val="single" w:color="auto" w:sz="4" w:space="0"/>
              <w:bottom w:val="single" w:color="auto" w:sz="4" w:space="0"/>
              <w:right w:val="single" w:color="auto" w:sz="4" w:space="0"/>
            </w:tcBorders>
            <w:vAlign w:val="center"/>
          </w:tcPr>
          <w:p w14:paraId="5F85194E">
            <w:pPr>
              <w:autoSpaceDE w:val="0"/>
              <w:autoSpaceDN w:val="0"/>
              <w:spacing w:line="400" w:lineRule="exact"/>
              <w:jc w:val="center"/>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标准化程度</w:t>
            </w:r>
          </w:p>
        </w:tc>
        <w:tc>
          <w:tcPr>
            <w:tcW w:w="7655" w:type="dxa"/>
            <w:tcBorders>
              <w:top w:val="single" w:color="auto" w:sz="4" w:space="0"/>
              <w:left w:val="single" w:color="auto" w:sz="4" w:space="0"/>
              <w:bottom w:val="single" w:color="auto" w:sz="4" w:space="0"/>
              <w:right w:val="single" w:color="auto" w:sz="4" w:space="0"/>
            </w:tcBorders>
            <w:vAlign w:val="center"/>
          </w:tcPr>
          <w:p w14:paraId="1028A03A">
            <w:pPr>
              <w:autoSpaceDE w:val="0"/>
              <w:autoSpaceDN w:val="0"/>
              <w:adjustRightInd w:val="0"/>
              <w:snapToGrid w:val="0"/>
              <w:spacing w:line="400" w:lineRule="exact"/>
              <w:jc w:val="lef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1"/>
                <w:highlight w:val="none"/>
                <w14:textFill>
                  <w14:solidFill>
                    <w14:schemeClr w14:val="tx1"/>
                  </w14:solidFill>
                </w14:textFill>
              </w:rPr>
              <w:t>（1）投标人具有有效期内的ISO9001质量管理体系认证证书，得1分。</w:t>
            </w:r>
          </w:p>
          <w:p w14:paraId="01979137">
            <w:pPr>
              <w:autoSpaceDE w:val="0"/>
              <w:autoSpaceDN w:val="0"/>
              <w:adjustRightInd w:val="0"/>
              <w:snapToGrid w:val="0"/>
              <w:spacing w:line="400" w:lineRule="exact"/>
              <w:jc w:val="lef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1"/>
                <w:highlight w:val="none"/>
                <w14:textFill>
                  <w14:solidFill>
                    <w14:schemeClr w14:val="tx1"/>
                  </w14:solidFill>
                </w14:textFill>
              </w:rPr>
              <w:t>（2）投标人具有有效期内的ISO14001环境管理体系认证证书，得1分。</w:t>
            </w:r>
          </w:p>
          <w:p w14:paraId="2EAA8AAD">
            <w:pPr>
              <w:autoSpaceDE w:val="0"/>
              <w:autoSpaceDN w:val="0"/>
              <w:adjustRightInd w:val="0"/>
              <w:snapToGrid w:val="0"/>
              <w:spacing w:line="400" w:lineRule="exact"/>
              <w:jc w:val="lef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1"/>
                <w:highlight w:val="none"/>
                <w14:textFill>
                  <w14:solidFill>
                    <w14:schemeClr w14:val="tx1"/>
                  </w14:solidFill>
                </w14:textFill>
              </w:rPr>
              <w:t>（3）投标人具有有效期内的OHSAS18001（或GB/T45001-2020，或ISO45001）职业健康安全管理体系认证证书，得1分。</w:t>
            </w:r>
          </w:p>
          <w:p w14:paraId="5F96E251">
            <w:pPr>
              <w:autoSpaceDE w:val="0"/>
              <w:autoSpaceDN w:val="0"/>
              <w:adjustRightInd w:val="0"/>
              <w:snapToGrid w:val="0"/>
              <w:spacing w:line="400" w:lineRule="exact"/>
              <w:jc w:val="left"/>
              <w:rPr>
                <w:rFonts w:ascii="宋体" w:hAnsi="宋体" w:eastAsia="宋体" w:cs="Times New Roman"/>
                <w:b/>
                <w:color w:val="000000" w:themeColor="text1"/>
                <w:kern w:val="0"/>
                <w:sz w:val="24"/>
                <w:szCs w:val="24"/>
                <w:highlight w:val="none"/>
                <w14:textFill>
                  <w14:solidFill>
                    <w14:schemeClr w14:val="tx1"/>
                  </w14:solidFill>
                </w14:textFill>
              </w:rPr>
            </w:pPr>
            <w:bookmarkStart w:id="1059" w:name="OLE_LINK365"/>
            <w:r>
              <w:rPr>
                <w:rFonts w:hint="eastAsia" w:ascii="宋体" w:hAnsi="宋体" w:eastAsia="宋体" w:cs="Times New Roman"/>
                <w:b/>
                <w:color w:val="000000" w:themeColor="text1"/>
                <w:kern w:val="0"/>
                <w:szCs w:val="21"/>
                <w:highlight w:val="none"/>
                <w14:textFill>
                  <w14:solidFill>
                    <w14:schemeClr w14:val="tx1"/>
                  </w14:solidFill>
                </w14:textFill>
              </w:rPr>
              <w:t>备注：①投标人应提供上述有效证书复印件及能显示证书有效状态的全国认证认可信息公共服务平台（http://cx.cnca.cn/)查询结果凭证{凭证界面需显示有“全国认证认可信息公共服务平台”或“认证证书（需显示网址cx.cnca.cn）”}，否则不得分。</w:t>
            </w:r>
            <w:bookmarkEnd w:id="1059"/>
            <w:r>
              <w:rPr>
                <w:rFonts w:hint="eastAsia" w:ascii="宋体" w:hAnsi="宋体" w:eastAsia="宋体" w:cs="Times New Roman"/>
                <w:b/>
                <w:color w:val="000000" w:themeColor="text1"/>
                <w:kern w:val="0"/>
                <w:szCs w:val="21"/>
                <w:highlight w:val="none"/>
                <w14:textFill>
                  <w14:solidFill>
                    <w14:schemeClr w14:val="tx1"/>
                  </w14:solidFill>
                </w14:textFill>
              </w:rPr>
              <w:t>②若为联合体投标的，</w:t>
            </w:r>
            <w:bookmarkStart w:id="1060" w:name="OLE_LINK370"/>
            <w:r>
              <w:rPr>
                <w:rFonts w:hint="eastAsia" w:ascii="宋体" w:hAnsi="宋体" w:eastAsia="宋体" w:cs="Times New Roman"/>
                <w:b/>
                <w:color w:val="000000" w:themeColor="text1"/>
                <w:kern w:val="0"/>
                <w:szCs w:val="21"/>
                <w:highlight w:val="none"/>
                <w14:textFill>
                  <w14:solidFill>
                    <w14:schemeClr w14:val="tx1"/>
                  </w14:solidFill>
                </w14:textFill>
              </w:rPr>
              <w:t>以联合体牵头方提供的认证证书为准</w:t>
            </w:r>
            <w:bookmarkEnd w:id="1060"/>
            <w:r>
              <w:rPr>
                <w:rFonts w:hint="eastAsia" w:ascii="宋体" w:hAnsi="宋体" w:eastAsia="宋体" w:cs="Times New Roman"/>
                <w:b/>
                <w:color w:val="000000" w:themeColor="text1"/>
                <w:kern w:val="0"/>
                <w:szCs w:val="21"/>
                <w:highlight w:val="none"/>
                <w14:textFill>
                  <w14:solidFill>
                    <w14:schemeClr w14:val="tx1"/>
                  </w14:solidFill>
                </w14:textFill>
              </w:rPr>
              <w:t>。</w:t>
            </w:r>
          </w:p>
        </w:tc>
        <w:tc>
          <w:tcPr>
            <w:tcW w:w="907" w:type="dxa"/>
            <w:tcBorders>
              <w:top w:val="single" w:color="auto" w:sz="4" w:space="0"/>
              <w:left w:val="single" w:color="auto" w:sz="4" w:space="0"/>
              <w:bottom w:val="single" w:color="auto" w:sz="4" w:space="0"/>
              <w:right w:val="single" w:color="auto" w:sz="4" w:space="0"/>
            </w:tcBorders>
            <w:vAlign w:val="center"/>
          </w:tcPr>
          <w:p w14:paraId="3A75301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3分</w:t>
            </w:r>
          </w:p>
        </w:tc>
      </w:tr>
      <w:tr w14:paraId="46A4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29DC93F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bookmarkStart w:id="1061" w:name="_Hlk104987354"/>
            <w:r>
              <w:rPr>
                <w:rFonts w:hint="eastAsia" w:ascii="宋体" w:hAnsi="宋体" w:eastAsia="宋体" w:cs="宋体"/>
                <w:color w:val="000000" w:themeColor="text1"/>
                <w:kern w:val="0"/>
                <w:szCs w:val="21"/>
                <w:highlight w:val="none"/>
                <w14:textFill>
                  <w14:solidFill>
                    <w14:schemeClr w14:val="tx1"/>
                  </w14:solidFill>
                </w14:textFill>
              </w:rPr>
              <w:t>3</w:t>
            </w:r>
          </w:p>
        </w:tc>
        <w:tc>
          <w:tcPr>
            <w:tcW w:w="1134" w:type="dxa"/>
            <w:tcBorders>
              <w:top w:val="single" w:color="auto" w:sz="4" w:space="0"/>
              <w:left w:val="single" w:color="auto" w:sz="4" w:space="0"/>
              <w:bottom w:val="single" w:color="auto" w:sz="4" w:space="0"/>
              <w:right w:val="single" w:color="auto" w:sz="4" w:space="0"/>
            </w:tcBorders>
            <w:vAlign w:val="center"/>
          </w:tcPr>
          <w:p w14:paraId="0E24E018">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业绩</w:t>
            </w:r>
          </w:p>
        </w:tc>
        <w:tc>
          <w:tcPr>
            <w:tcW w:w="7655" w:type="dxa"/>
            <w:tcBorders>
              <w:top w:val="single" w:color="auto" w:sz="4" w:space="0"/>
              <w:left w:val="single" w:color="auto" w:sz="4" w:space="0"/>
              <w:bottom w:val="single" w:color="auto" w:sz="4" w:space="0"/>
              <w:right w:val="single" w:color="auto" w:sz="4" w:space="0"/>
            </w:tcBorders>
            <w:vAlign w:val="center"/>
          </w:tcPr>
          <w:p w14:paraId="37B5B423">
            <w:pPr>
              <w:tabs>
                <w:tab w:val="left" w:pos="134"/>
              </w:tabs>
              <w:autoSpaceDE w:val="0"/>
              <w:autoSpaceDN w:val="0"/>
              <w:adjustRightInd w:val="0"/>
              <w:spacing w:line="400" w:lineRule="exac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1"/>
                <w:highlight w:val="none"/>
                <w14:textFill>
                  <w14:solidFill>
                    <w14:schemeClr w14:val="tx1"/>
                  </w14:solidFill>
                </w14:textFill>
              </w:rPr>
              <w:t>投标人2019年1月1日以来（合同签订日期为2019年1月1日或以后）完成的</w:t>
            </w:r>
            <w:bookmarkStart w:id="1062" w:name="OLE_LINK162"/>
            <w:bookmarkStart w:id="1063" w:name="OLE_LINK26"/>
            <w:r>
              <w:rPr>
                <w:rFonts w:hint="eastAsia" w:ascii="宋体" w:hAnsi="宋体" w:eastAsia="宋体" w:cs="Times New Roman"/>
                <w:bCs/>
                <w:color w:val="000000" w:themeColor="text1"/>
                <w:kern w:val="0"/>
                <w:szCs w:val="21"/>
                <w:highlight w:val="none"/>
                <w14:textFill>
                  <w14:solidFill>
                    <w14:schemeClr w14:val="tx1"/>
                  </w14:solidFill>
                </w14:textFill>
              </w:rPr>
              <w:t>屋顶分布式光伏发电</w:t>
            </w:r>
            <w:bookmarkEnd w:id="1062"/>
            <w:r>
              <w:rPr>
                <w:rFonts w:hint="eastAsia" w:ascii="宋体" w:hAnsi="宋体" w:eastAsia="宋体" w:cs="Times New Roman"/>
                <w:bCs/>
                <w:color w:val="000000" w:themeColor="text1"/>
                <w:kern w:val="0"/>
                <w:szCs w:val="21"/>
                <w:highlight w:val="none"/>
                <w14:textFill>
                  <w14:solidFill>
                    <w14:schemeClr w14:val="tx1"/>
                  </w14:solidFill>
                </w14:textFill>
              </w:rPr>
              <w:t>的</w:t>
            </w:r>
            <w:bookmarkEnd w:id="1063"/>
            <w:r>
              <w:rPr>
                <w:rFonts w:hint="eastAsia" w:ascii="宋体" w:hAnsi="宋体" w:eastAsia="宋体" w:cs="Times New Roman"/>
                <w:bCs/>
                <w:color w:val="000000" w:themeColor="text1"/>
                <w:kern w:val="0"/>
                <w:szCs w:val="21"/>
                <w:highlight w:val="none"/>
                <w14:textFill>
                  <w14:solidFill>
                    <w14:schemeClr w14:val="tx1"/>
                  </w14:solidFill>
                </w14:textFill>
              </w:rPr>
              <w:t>业绩，按下列情况评分，满分</w:t>
            </w:r>
            <w:bookmarkStart w:id="1064" w:name="OLE_LINK143"/>
            <w:r>
              <w:rPr>
                <w:rFonts w:ascii="宋体" w:hAnsi="宋体" w:eastAsia="宋体" w:cs="Times New Roman"/>
                <w:bCs/>
                <w:color w:val="000000" w:themeColor="text1"/>
                <w:kern w:val="0"/>
                <w:szCs w:val="21"/>
                <w:highlight w:val="none"/>
                <w14:textFill>
                  <w14:solidFill>
                    <w14:schemeClr w14:val="tx1"/>
                  </w14:solidFill>
                </w14:textFill>
              </w:rPr>
              <w:t>24</w:t>
            </w:r>
            <w:bookmarkEnd w:id="1064"/>
            <w:r>
              <w:rPr>
                <w:rFonts w:hint="eastAsia" w:ascii="宋体" w:hAnsi="宋体" w:eastAsia="宋体" w:cs="Times New Roman"/>
                <w:bCs/>
                <w:color w:val="000000" w:themeColor="text1"/>
                <w:kern w:val="0"/>
                <w:szCs w:val="21"/>
                <w:highlight w:val="none"/>
                <w14:textFill>
                  <w14:solidFill>
                    <w14:schemeClr w14:val="tx1"/>
                  </w14:solidFill>
                </w14:textFill>
              </w:rPr>
              <w:t>分：</w:t>
            </w:r>
          </w:p>
          <w:p w14:paraId="50CC7E20">
            <w:pPr>
              <w:tabs>
                <w:tab w:val="left" w:pos="134"/>
              </w:tabs>
              <w:autoSpaceDE w:val="0"/>
              <w:autoSpaceDN w:val="0"/>
              <w:adjustRightInd w:val="0"/>
              <w:spacing w:line="400" w:lineRule="exac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1"/>
                <w:highlight w:val="none"/>
                <w14:textFill>
                  <w14:solidFill>
                    <w14:schemeClr w14:val="tx1"/>
                  </w14:solidFill>
                </w14:textFill>
              </w:rPr>
              <w:t>（1）</w:t>
            </w:r>
            <w:bookmarkStart w:id="1065" w:name="OLE_LINK166"/>
            <w:r>
              <w:rPr>
                <w:rFonts w:hint="eastAsia" w:ascii="宋体" w:hAnsi="宋体" w:eastAsia="宋体" w:cs="Times New Roman"/>
                <w:bCs/>
                <w:color w:val="000000" w:themeColor="text1"/>
                <w:kern w:val="0"/>
                <w:szCs w:val="21"/>
                <w:highlight w:val="none"/>
                <w14:textFill>
                  <w14:solidFill>
                    <w14:schemeClr w14:val="tx1"/>
                  </w14:solidFill>
                </w14:textFill>
              </w:rPr>
              <w:t>单</w:t>
            </w:r>
            <w:bookmarkStart w:id="1066" w:name="OLE_LINK161"/>
            <w:r>
              <w:rPr>
                <w:rFonts w:hint="eastAsia" w:ascii="宋体" w:hAnsi="宋体" w:eastAsia="宋体" w:cs="Times New Roman"/>
                <w:bCs/>
                <w:color w:val="000000" w:themeColor="text1"/>
                <w:kern w:val="0"/>
                <w:szCs w:val="21"/>
                <w:highlight w:val="none"/>
                <w14:textFill>
                  <w14:solidFill>
                    <w14:schemeClr w14:val="tx1"/>
                  </w14:solidFill>
                </w14:textFill>
              </w:rPr>
              <w:t>项</w:t>
            </w:r>
            <w:bookmarkEnd w:id="1066"/>
            <w:r>
              <w:rPr>
                <w:rFonts w:hint="eastAsia" w:ascii="宋体" w:hAnsi="宋体" w:eastAsia="宋体" w:cs="Times New Roman"/>
                <w:bCs/>
                <w:color w:val="000000" w:themeColor="text1"/>
                <w:kern w:val="0"/>
                <w:szCs w:val="21"/>
                <w:highlight w:val="none"/>
                <w14:textFill>
                  <w14:solidFill>
                    <w14:schemeClr w14:val="tx1"/>
                  </w14:solidFill>
                </w14:textFill>
              </w:rPr>
              <w:t>合同总装机容量</w:t>
            </w:r>
            <w:bookmarkEnd w:id="1065"/>
            <w:r>
              <w:rPr>
                <w:rFonts w:hint="eastAsia" w:ascii="宋体" w:hAnsi="宋体" w:eastAsia="宋体" w:cs="Times New Roman"/>
                <w:bCs/>
                <w:color w:val="000000" w:themeColor="text1"/>
                <w:kern w:val="0"/>
                <w:szCs w:val="21"/>
                <w:highlight w:val="none"/>
                <w14:textFill>
                  <w14:solidFill>
                    <w14:schemeClr w14:val="tx1"/>
                  </w14:solidFill>
                </w14:textFill>
              </w:rPr>
              <w:t>≥</w:t>
            </w:r>
            <w:bookmarkStart w:id="1067" w:name="OLE_LINK165"/>
            <w:r>
              <w:rPr>
                <w:rFonts w:hint="eastAsia" w:ascii="宋体" w:hAnsi="宋体" w:eastAsia="宋体" w:cs="Times New Roman"/>
                <w:bCs/>
                <w:color w:val="000000" w:themeColor="text1"/>
                <w:kern w:val="0"/>
                <w:szCs w:val="21"/>
                <w:highlight w:val="none"/>
                <w14:textFill>
                  <w14:solidFill>
                    <w14:schemeClr w14:val="tx1"/>
                  </w14:solidFill>
                </w14:textFill>
              </w:rPr>
              <w:t>4.46MWp（或4.46MW，或4460kWp，或4460kW）</w:t>
            </w:r>
            <w:bookmarkEnd w:id="1067"/>
            <w:r>
              <w:rPr>
                <w:rFonts w:hint="eastAsia" w:ascii="宋体" w:hAnsi="宋体" w:eastAsia="宋体" w:cs="Times New Roman"/>
                <w:bCs/>
                <w:color w:val="000000" w:themeColor="text1"/>
                <w:kern w:val="0"/>
                <w:szCs w:val="21"/>
                <w:highlight w:val="none"/>
                <w14:textFill>
                  <w14:solidFill>
                    <w14:schemeClr w14:val="tx1"/>
                  </w14:solidFill>
                </w14:textFill>
              </w:rPr>
              <w:t>的前述业绩，每项得5分。</w:t>
            </w:r>
          </w:p>
          <w:p w14:paraId="500F828B">
            <w:pPr>
              <w:tabs>
                <w:tab w:val="left" w:pos="134"/>
              </w:tabs>
              <w:autoSpaceDE w:val="0"/>
              <w:autoSpaceDN w:val="0"/>
              <w:adjustRightInd w:val="0"/>
              <w:spacing w:line="400" w:lineRule="exac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1"/>
                <w:highlight w:val="none"/>
                <w14:textFill>
                  <w14:solidFill>
                    <w14:schemeClr w14:val="tx1"/>
                  </w14:solidFill>
                </w14:textFill>
              </w:rPr>
              <w:t>（2）</w:t>
            </w:r>
            <w:bookmarkStart w:id="1068" w:name="OLE_LINK164"/>
            <w:r>
              <w:rPr>
                <w:rFonts w:hint="eastAsia" w:ascii="宋体" w:hAnsi="宋体" w:eastAsia="宋体" w:cs="Times New Roman"/>
                <w:bCs/>
                <w:color w:val="000000" w:themeColor="text1"/>
                <w:kern w:val="0"/>
                <w:szCs w:val="21"/>
                <w:highlight w:val="none"/>
                <w14:textFill>
                  <w14:solidFill>
                    <w14:schemeClr w14:val="tx1"/>
                  </w14:solidFill>
                </w14:textFill>
              </w:rPr>
              <w:t>2.23MWp（或2.23MW，或2230kWp，或2230kW）</w:t>
            </w:r>
            <w:bookmarkEnd w:id="1068"/>
            <w:r>
              <w:rPr>
                <w:rFonts w:hint="eastAsia" w:ascii="宋体" w:hAnsi="宋体" w:eastAsia="宋体" w:cs="Times New Roman"/>
                <w:bCs/>
                <w:color w:val="000000" w:themeColor="text1"/>
                <w:kern w:val="0"/>
                <w:szCs w:val="21"/>
                <w:highlight w:val="none"/>
                <w14:textFill>
                  <w14:solidFill>
                    <w14:schemeClr w14:val="tx1"/>
                  </w14:solidFill>
                </w14:textFill>
              </w:rPr>
              <w:t>≤</w:t>
            </w:r>
            <w:bookmarkStart w:id="1069" w:name="OLE_LINK167"/>
            <w:r>
              <w:rPr>
                <w:rFonts w:hint="eastAsia" w:ascii="宋体" w:hAnsi="宋体" w:eastAsia="宋体" w:cs="Times New Roman"/>
                <w:bCs/>
                <w:color w:val="000000" w:themeColor="text1"/>
                <w:kern w:val="0"/>
                <w:szCs w:val="21"/>
                <w:highlight w:val="none"/>
                <w14:textFill>
                  <w14:solidFill>
                    <w14:schemeClr w14:val="tx1"/>
                  </w14:solidFill>
                </w14:textFill>
              </w:rPr>
              <w:t>单项合同总装机容量</w:t>
            </w:r>
            <w:bookmarkEnd w:id="1069"/>
            <w:r>
              <w:rPr>
                <w:rFonts w:hint="eastAsia" w:ascii="宋体" w:hAnsi="宋体" w:eastAsia="宋体" w:cs="Times New Roman"/>
                <w:bCs/>
                <w:color w:val="000000" w:themeColor="text1"/>
                <w:kern w:val="0"/>
                <w:szCs w:val="21"/>
                <w:highlight w:val="none"/>
                <w14:textFill>
                  <w14:solidFill>
                    <w14:schemeClr w14:val="tx1"/>
                  </w14:solidFill>
                </w14:textFill>
              </w:rPr>
              <w:t>＜4.46MWp（或4.46MW，或4460kWp，或4460kW）的前述业绩，每项得3分。</w:t>
            </w:r>
          </w:p>
          <w:p w14:paraId="7E0FDE11">
            <w:pPr>
              <w:tabs>
                <w:tab w:val="left" w:pos="134"/>
              </w:tabs>
              <w:autoSpaceDE w:val="0"/>
              <w:autoSpaceDN w:val="0"/>
              <w:adjustRightInd w:val="0"/>
              <w:spacing w:line="400" w:lineRule="exac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1"/>
                <w:highlight w:val="none"/>
                <w14:textFill>
                  <w14:solidFill>
                    <w14:schemeClr w14:val="tx1"/>
                  </w14:solidFill>
                </w14:textFill>
              </w:rPr>
              <w:t>（3）</w:t>
            </w:r>
            <w:bookmarkStart w:id="1070" w:name="OLE_LINK168"/>
            <w:r>
              <w:rPr>
                <w:rFonts w:hint="eastAsia" w:ascii="宋体" w:hAnsi="宋体" w:eastAsia="宋体" w:cs="Times New Roman"/>
                <w:bCs/>
                <w:color w:val="000000" w:themeColor="text1"/>
                <w:kern w:val="0"/>
                <w:szCs w:val="21"/>
                <w:highlight w:val="none"/>
                <w14:textFill>
                  <w14:solidFill>
                    <w14:schemeClr w14:val="tx1"/>
                  </w14:solidFill>
                </w14:textFill>
              </w:rPr>
              <w:t>1.12MWp（或1.12MW，或1120kWp，或1120kW）</w:t>
            </w:r>
            <w:bookmarkEnd w:id="1070"/>
            <w:r>
              <w:rPr>
                <w:rFonts w:hint="eastAsia" w:ascii="宋体" w:hAnsi="宋体" w:eastAsia="宋体" w:cs="Times New Roman"/>
                <w:bCs/>
                <w:color w:val="000000" w:themeColor="text1"/>
                <w:kern w:val="0"/>
                <w:szCs w:val="21"/>
                <w:highlight w:val="none"/>
                <w14:textFill>
                  <w14:solidFill>
                    <w14:schemeClr w14:val="tx1"/>
                  </w14:solidFill>
                </w14:textFill>
              </w:rPr>
              <w:t>≤</w:t>
            </w:r>
            <w:bookmarkStart w:id="1071" w:name="OLE_LINK169"/>
            <w:r>
              <w:rPr>
                <w:rFonts w:hint="eastAsia" w:ascii="宋体" w:hAnsi="宋体" w:eastAsia="宋体" w:cs="Times New Roman"/>
                <w:bCs/>
                <w:color w:val="000000" w:themeColor="text1"/>
                <w:kern w:val="0"/>
                <w:szCs w:val="21"/>
                <w:highlight w:val="none"/>
                <w14:textFill>
                  <w14:solidFill>
                    <w14:schemeClr w14:val="tx1"/>
                  </w14:solidFill>
                </w14:textFill>
              </w:rPr>
              <w:t>单项合同总装机容量</w:t>
            </w:r>
            <w:bookmarkEnd w:id="1071"/>
            <w:r>
              <w:rPr>
                <w:rFonts w:hint="eastAsia" w:ascii="宋体" w:hAnsi="宋体" w:eastAsia="宋体" w:cs="Times New Roman"/>
                <w:bCs/>
                <w:color w:val="000000" w:themeColor="text1"/>
                <w:kern w:val="0"/>
                <w:szCs w:val="21"/>
                <w:highlight w:val="none"/>
                <w14:textFill>
                  <w14:solidFill>
                    <w14:schemeClr w14:val="tx1"/>
                  </w14:solidFill>
                </w14:textFill>
              </w:rPr>
              <w:t>＜2.23MWp（或2.23MW，或2230kWp，或2230kW）的前述业绩，每项得2分。</w:t>
            </w:r>
          </w:p>
          <w:p w14:paraId="41C72EA2">
            <w:pPr>
              <w:tabs>
                <w:tab w:val="left" w:pos="134"/>
              </w:tabs>
              <w:autoSpaceDE w:val="0"/>
              <w:autoSpaceDN w:val="0"/>
              <w:adjustRightInd w:val="0"/>
              <w:spacing w:line="400" w:lineRule="exac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1"/>
                <w:highlight w:val="none"/>
                <w14:textFill>
                  <w14:solidFill>
                    <w14:schemeClr w14:val="tx1"/>
                  </w14:solidFill>
                </w14:textFill>
              </w:rPr>
              <w:t>（4）0.56MWp（或0.56MW，或560kWp，或560kW）≤单项合同总装机容量＜1.12MWp（或1.12MW，或1120kWp，或1120kW）的前述业绩，每项得1分，本子项最高得</w:t>
            </w:r>
            <w:bookmarkStart w:id="1072" w:name="OLE_LINK147"/>
            <w:r>
              <w:rPr>
                <w:rFonts w:ascii="宋体" w:hAnsi="宋体" w:eastAsia="宋体" w:cs="Times New Roman"/>
                <w:bCs/>
                <w:color w:val="000000" w:themeColor="text1"/>
                <w:kern w:val="0"/>
                <w:szCs w:val="21"/>
                <w:highlight w:val="none"/>
                <w14:textFill>
                  <w14:solidFill>
                    <w14:schemeClr w14:val="tx1"/>
                  </w14:solidFill>
                </w14:textFill>
              </w:rPr>
              <w:t>8</w:t>
            </w:r>
            <w:bookmarkEnd w:id="1072"/>
            <w:r>
              <w:rPr>
                <w:rFonts w:hint="eastAsia" w:ascii="宋体" w:hAnsi="宋体" w:eastAsia="宋体" w:cs="Times New Roman"/>
                <w:bCs/>
                <w:color w:val="000000" w:themeColor="text1"/>
                <w:kern w:val="0"/>
                <w:szCs w:val="21"/>
                <w:highlight w:val="none"/>
                <w14:textFill>
                  <w14:solidFill>
                    <w14:schemeClr w14:val="tx1"/>
                  </w14:solidFill>
                </w14:textFill>
              </w:rPr>
              <w:t>分。</w:t>
            </w:r>
          </w:p>
          <w:p w14:paraId="1154CB74">
            <w:pPr>
              <w:tabs>
                <w:tab w:val="left" w:pos="134"/>
              </w:tabs>
              <w:autoSpaceDE w:val="0"/>
              <w:autoSpaceDN w:val="0"/>
              <w:adjustRightInd w:val="0"/>
              <w:spacing w:line="400" w:lineRule="exac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备注：</w:t>
            </w:r>
          </w:p>
          <w:p w14:paraId="7D0DE95E">
            <w:pPr>
              <w:pStyle w:val="128"/>
              <w:numPr>
                <w:ilvl w:val="0"/>
                <w:numId w:val="6"/>
              </w:numPr>
              <w:autoSpaceDE w:val="0"/>
              <w:autoSpaceDN w:val="0"/>
              <w:adjustRightInd w:val="0"/>
              <w:spacing w:line="400" w:lineRule="exact"/>
              <w:ind w:firstLineChars="0"/>
              <w:rPr>
                <w:rFonts w:ascii="宋体" w:hAnsi="宋体" w:eastAsia="宋体" w:cs="Times New Roman"/>
                <w:b/>
                <w:color w:val="000000" w:themeColor="text1"/>
                <w:kern w:val="0"/>
                <w:szCs w:val="21"/>
                <w:highlight w:val="none"/>
                <w14:textFill>
                  <w14:solidFill>
                    <w14:schemeClr w14:val="tx1"/>
                  </w14:solidFill>
                </w14:textFill>
              </w:rPr>
            </w:pPr>
            <w:bookmarkStart w:id="1073" w:name="OLE_LINK51"/>
            <w:bookmarkStart w:id="1074" w:name="OLE_LINK132"/>
            <w:r>
              <w:rPr>
                <w:rFonts w:hint="eastAsia" w:ascii="宋体" w:hAnsi="宋体" w:eastAsia="宋体" w:cs="Times New Roman"/>
                <w:b/>
                <w:color w:val="000000" w:themeColor="text1"/>
                <w:kern w:val="0"/>
                <w:szCs w:val="21"/>
                <w:highlight w:val="none"/>
                <w14:textFill>
                  <w14:solidFill>
                    <w14:schemeClr w14:val="tx1"/>
                  </w14:solidFill>
                </w14:textFill>
              </w:rPr>
              <w:t>业绩须附合同</w:t>
            </w:r>
            <w:bookmarkEnd w:id="1073"/>
            <w:r>
              <w:rPr>
                <w:rFonts w:hint="eastAsia" w:ascii="宋体" w:hAnsi="宋体" w:eastAsia="宋体" w:cs="Times New Roman"/>
                <w:b/>
                <w:color w:val="000000" w:themeColor="text1"/>
                <w:kern w:val="0"/>
                <w:szCs w:val="21"/>
                <w:highlight w:val="none"/>
                <w14:textFill>
                  <w14:solidFill>
                    <w14:schemeClr w14:val="tx1"/>
                  </w14:solidFill>
                </w14:textFill>
              </w:rPr>
              <w:t>复印件</w:t>
            </w:r>
            <w:bookmarkStart w:id="1075" w:name="OLE_LINK290"/>
            <w:r>
              <w:rPr>
                <w:rFonts w:hint="eastAsia" w:ascii="宋体" w:hAnsi="宋体" w:eastAsia="宋体" w:cs="Times New Roman"/>
                <w:b/>
                <w:color w:val="000000" w:themeColor="text1"/>
                <w:kern w:val="0"/>
                <w:szCs w:val="21"/>
                <w:highlight w:val="none"/>
                <w14:textFill>
                  <w14:solidFill>
                    <w14:schemeClr w14:val="tx1"/>
                  </w14:solidFill>
                </w14:textFill>
              </w:rPr>
              <w:t>和</w:t>
            </w:r>
            <w:bookmarkStart w:id="1076" w:name="OLE_LINK334"/>
            <w:r>
              <w:rPr>
                <w:rFonts w:hint="eastAsia" w:ascii="宋体" w:hAnsi="宋体" w:eastAsia="宋体" w:cs="宋体"/>
                <w:b/>
                <w:color w:val="000000" w:themeColor="text1"/>
                <w:szCs w:val="21"/>
                <w:highlight w:val="none"/>
                <w:lang w:val="zh-CN"/>
                <w14:textFill>
                  <w14:solidFill>
                    <w14:schemeClr w14:val="tx1"/>
                  </w14:solidFill>
                </w14:textFill>
              </w:rPr>
              <w:t>并网证明</w:t>
            </w:r>
            <w:bookmarkEnd w:id="1075"/>
            <w:bookmarkEnd w:id="1076"/>
            <w:r>
              <w:rPr>
                <w:rFonts w:hint="eastAsia" w:ascii="宋体" w:hAnsi="宋体" w:eastAsia="宋体" w:cs="Times New Roman"/>
                <w:b/>
                <w:color w:val="000000" w:themeColor="text1"/>
                <w:kern w:val="0"/>
                <w:szCs w:val="21"/>
                <w:highlight w:val="none"/>
                <w14:textFill>
                  <w14:solidFill>
                    <w14:schemeClr w14:val="tx1"/>
                  </w14:solidFill>
                </w14:textFill>
              </w:rPr>
              <w:t>，否则不得分</w:t>
            </w:r>
            <w:bookmarkEnd w:id="1074"/>
            <w:r>
              <w:rPr>
                <w:rFonts w:hint="eastAsia" w:ascii="宋体" w:hAnsi="宋体" w:eastAsia="宋体" w:cs="Times New Roman"/>
                <w:b/>
                <w:color w:val="000000" w:themeColor="text1"/>
                <w:kern w:val="0"/>
                <w:szCs w:val="21"/>
                <w:highlight w:val="none"/>
                <w14:textFill>
                  <w14:solidFill>
                    <w14:schemeClr w14:val="tx1"/>
                  </w14:solidFill>
                </w14:textFill>
              </w:rPr>
              <w:t>；</w:t>
            </w:r>
          </w:p>
          <w:p w14:paraId="19BEBF40">
            <w:pPr>
              <w:tabs>
                <w:tab w:val="left" w:pos="134"/>
              </w:tabs>
              <w:autoSpaceDE w:val="0"/>
              <w:autoSpaceDN w:val="0"/>
              <w:adjustRightInd w:val="0"/>
              <w:spacing w:line="400" w:lineRule="exac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②</w:t>
            </w:r>
            <w:bookmarkStart w:id="1077" w:name="OLE_LINK133"/>
            <w:bookmarkStart w:id="1078" w:name="OLE_LINK52"/>
            <w:r>
              <w:rPr>
                <w:rFonts w:hint="eastAsia" w:ascii="宋体" w:hAnsi="宋体" w:eastAsia="宋体" w:cs="Times New Roman"/>
                <w:b/>
                <w:color w:val="000000" w:themeColor="text1"/>
                <w:kern w:val="0"/>
                <w:szCs w:val="21"/>
                <w:highlight w:val="none"/>
                <w14:textFill>
                  <w14:solidFill>
                    <w14:schemeClr w14:val="tx1"/>
                  </w14:solidFill>
                </w14:textFill>
              </w:rPr>
              <w:t>若合同无法反映评分条件（1.合同签订日期为2019年1月1日或以后；2.合同标的必须为屋顶分布式光伏</w:t>
            </w:r>
            <w:bookmarkStart w:id="1079" w:name="OLE_LINK285"/>
            <w:r>
              <w:rPr>
                <w:rFonts w:hint="eastAsia" w:ascii="宋体" w:hAnsi="宋体" w:eastAsia="宋体" w:cs="Times New Roman"/>
                <w:b/>
                <w:color w:val="000000" w:themeColor="text1"/>
                <w:kern w:val="0"/>
                <w:szCs w:val="21"/>
                <w:highlight w:val="none"/>
                <w14:textFill>
                  <w14:solidFill>
                    <w14:schemeClr w14:val="tx1"/>
                  </w14:solidFill>
                </w14:textFill>
              </w:rPr>
              <w:t>发</w:t>
            </w:r>
            <w:bookmarkStart w:id="1080" w:name="OLE_LINK253"/>
            <w:r>
              <w:rPr>
                <w:rFonts w:hint="eastAsia" w:ascii="宋体" w:hAnsi="宋体" w:eastAsia="宋体" w:cs="Times New Roman"/>
                <w:b/>
                <w:color w:val="000000" w:themeColor="text1"/>
                <w:kern w:val="0"/>
                <w:szCs w:val="21"/>
                <w:highlight w:val="none"/>
                <w14:textFill>
                  <w14:solidFill>
                    <w14:schemeClr w14:val="tx1"/>
                  </w14:solidFill>
                </w14:textFill>
              </w:rPr>
              <w:t>电</w:t>
            </w:r>
            <w:bookmarkStart w:id="1081" w:name="OLE_LINK338"/>
            <w:bookmarkStart w:id="1082" w:name="OLE_LINK251"/>
            <w:r>
              <w:rPr>
                <w:rFonts w:hint="eastAsia" w:ascii="宋体" w:hAnsi="宋体" w:eastAsia="宋体" w:cs="Times New Roman"/>
                <w:b/>
                <w:color w:val="000000" w:themeColor="text1"/>
                <w:kern w:val="0"/>
                <w:szCs w:val="21"/>
                <w:highlight w:val="none"/>
                <w14:textFill>
                  <w14:solidFill>
                    <w14:schemeClr w14:val="tx1"/>
                  </w14:solidFill>
                </w14:textFill>
              </w:rPr>
              <w:t>的业绩</w:t>
            </w:r>
            <w:bookmarkEnd w:id="1079"/>
            <w:bookmarkEnd w:id="1080"/>
            <w:bookmarkEnd w:id="1081"/>
            <w:bookmarkEnd w:id="1082"/>
            <w:r>
              <w:rPr>
                <w:rFonts w:hint="eastAsia" w:ascii="宋体" w:hAnsi="宋体" w:eastAsia="宋体" w:cs="Times New Roman"/>
                <w:b/>
                <w:color w:val="000000" w:themeColor="text1"/>
                <w:kern w:val="0"/>
                <w:szCs w:val="21"/>
                <w:highlight w:val="none"/>
                <w14:textFill>
                  <w14:solidFill>
                    <w14:schemeClr w14:val="tx1"/>
                  </w14:solidFill>
                </w14:textFill>
              </w:rPr>
              <w:t>；3.单项合同总装机容量），还需提供合同甲方出具的书面补充说明文件复印件作为辅助证明（补充说明文件复印件能显示合同甲方公章）</w:t>
            </w:r>
            <w:bookmarkEnd w:id="1077"/>
            <w:bookmarkStart w:id="1083" w:name="OLE_LINK284"/>
            <w:r>
              <w:rPr>
                <w:rFonts w:hint="eastAsia" w:ascii="宋体" w:hAnsi="宋体" w:eastAsia="宋体" w:cs="Times New Roman"/>
                <w:b/>
                <w:color w:val="000000" w:themeColor="text1"/>
                <w:kern w:val="0"/>
                <w:szCs w:val="21"/>
                <w:highlight w:val="none"/>
                <w14:textFill>
                  <w14:solidFill>
                    <w14:schemeClr w14:val="tx1"/>
                  </w14:solidFill>
                </w14:textFill>
              </w:rPr>
              <w:t>；</w:t>
            </w:r>
            <w:bookmarkEnd w:id="1078"/>
            <w:bookmarkEnd w:id="1083"/>
            <w:bookmarkStart w:id="1084" w:name="OLE_LINK228"/>
          </w:p>
          <w:p w14:paraId="45BBB6B8">
            <w:pPr>
              <w:tabs>
                <w:tab w:val="left" w:pos="134"/>
              </w:tabs>
              <w:autoSpaceDE w:val="0"/>
              <w:autoSpaceDN w:val="0"/>
              <w:adjustRightInd w:val="0"/>
              <w:spacing w:line="400" w:lineRule="exac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③</w:t>
            </w:r>
            <w:bookmarkEnd w:id="1084"/>
            <w:bookmarkStart w:id="1085" w:name="OLE_LINK198"/>
            <w:r>
              <w:rPr>
                <w:rFonts w:hint="eastAsia" w:ascii="宋体" w:hAnsi="宋体" w:eastAsia="宋体" w:cs="Times New Roman"/>
                <w:b/>
                <w:color w:val="000000" w:themeColor="text1"/>
                <w:kern w:val="0"/>
                <w:szCs w:val="21"/>
                <w:highlight w:val="none"/>
                <w14:textFill>
                  <w14:solidFill>
                    <w14:schemeClr w14:val="tx1"/>
                  </w14:solidFill>
                </w14:textFill>
              </w:rPr>
              <w:t>若为联合体投标的，联合</w:t>
            </w:r>
            <w:bookmarkStart w:id="1086" w:name="OLE_LINK356"/>
            <w:r>
              <w:rPr>
                <w:rFonts w:hint="eastAsia" w:ascii="宋体" w:hAnsi="宋体" w:eastAsia="宋体" w:cs="Times New Roman"/>
                <w:b/>
                <w:color w:val="000000" w:themeColor="text1"/>
                <w:kern w:val="0"/>
                <w:szCs w:val="21"/>
                <w:highlight w:val="none"/>
                <w14:textFill>
                  <w14:solidFill>
                    <w14:schemeClr w14:val="tx1"/>
                  </w14:solidFill>
                </w14:textFill>
              </w:rPr>
              <w:t>体任意一方</w:t>
            </w:r>
            <w:bookmarkEnd w:id="1086"/>
            <w:r>
              <w:rPr>
                <w:rFonts w:hint="eastAsia" w:ascii="宋体" w:hAnsi="宋体" w:eastAsia="宋体" w:cs="Times New Roman"/>
                <w:b/>
                <w:color w:val="000000" w:themeColor="text1"/>
                <w:kern w:val="0"/>
                <w:szCs w:val="21"/>
                <w:highlight w:val="none"/>
                <w14:textFill>
                  <w14:solidFill>
                    <w14:schemeClr w14:val="tx1"/>
                  </w14:solidFill>
                </w14:textFill>
              </w:rPr>
              <w:t>提供的业绩</w:t>
            </w:r>
            <w:bookmarkStart w:id="1087" w:name="OLE_LINK237"/>
            <w:r>
              <w:rPr>
                <w:rFonts w:hint="eastAsia" w:ascii="宋体" w:hAnsi="宋体" w:eastAsia="宋体" w:cs="Times New Roman"/>
                <w:b/>
                <w:color w:val="000000" w:themeColor="text1"/>
                <w:kern w:val="0"/>
                <w:szCs w:val="21"/>
                <w:highlight w:val="none"/>
                <w14:textFill>
                  <w14:solidFill>
                    <w14:schemeClr w14:val="tx1"/>
                  </w14:solidFill>
                </w14:textFill>
              </w:rPr>
              <w:t>满足要求</w:t>
            </w:r>
            <w:bookmarkEnd w:id="1087"/>
            <w:r>
              <w:rPr>
                <w:rFonts w:hint="eastAsia" w:ascii="宋体" w:hAnsi="宋体" w:eastAsia="宋体" w:cs="Times New Roman"/>
                <w:b/>
                <w:color w:val="000000" w:themeColor="text1"/>
                <w:kern w:val="0"/>
                <w:szCs w:val="21"/>
                <w:highlight w:val="none"/>
                <w14:textFill>
                  <w14:solidFill>
                    <w14:schemeClr w14:val="tx1"/>
                  </w14:solidFill>
                </w14:textFill>
              </w:rPr>
              <w:t>均予以认可</w:t>
            </w:r>
            <w:bookmarkStart w:id="1088" w:name="OLE_LINK259"/>
            <w:r>
              <w:rPr>
                <w:rFonts w:hint="eastAsia" w:ascii="宋体" w:hAnsi="宋体" w:eastAsia="宋体" w:cs="Times New Roman"/>
                <w:b/>
                <w:color w:val="000000" w:themeColor="text1"/>
                <w:kern w:val="0"/>
                <w:szCs w:val="21"/>
                <w:highlight w:val="none"/>
                <w14:textFill>
                  <w14:solidFill>
                    <w14:schemeClr w14:val="tx1"/>
                  </w14:solidFill>
                </w14:textFill>
              </w:rPr>
              <w:t>；</w:t>
            </w:r>
            <w:bookmarkEnd w:id="1085"/>
            <w:bookmarkEnd w:id="1088"/>
          </w:p>
          <w:p w14:paraId="4D5D7AB9">
            <w:pPr>
              <w:tabs>
                <w:tab w:val="left" w:pos="134"/>
              </w:tabs>
              <w:autoSpaceDE w:val="0"/>
              <w:autoSpaceDN w:val="0"/>
              <w:adjustRightInd w:val="0"/>
              <w:spacing w:line="400" w:lineRule="exac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④未按上述要求提供证明材料的业绩，或所附材料无法证明填报项目符合本项评分要求的业绩，在评标时将不予考虑。</w:t>
            </w:r>
          </w:p>
        </w:tc>
        <w:tc>
          <w:tcPr>
            <w:tcW w:w="907" w:type="dxa"/>
            <w:tcBorders>
              <w:top w:val="single" w:color="auto" w:sz="4" w:space="0"/>
              <w:left w:val="single" w:color="auto" w:sz="4" w:space="0"/>
              <w:bottom w:val="single" w:color="auto" w:sz="4" w:space="0"/>
              <w:right w:val="single" w:color="auto" w:sz="4" w:space="0"/>
            </w:tcBorders>
            <w:vAlign w:val="center"/>
          </w:tcPr>
          <w:p w14:paraId="1639E8CC">
            <w:pPr>
              <w:autoSpaceDE w:val="0"/>
              <w:autoSpaceDN w:val="0"/>
              <w:adjustRightInd w:val="0"/>
              <w:spacing w:line="400" w:lineRule="exact"/>
              <w:jc w:val="center"/>
              <w:rPr>
                <w:rFonts w:ascii="宋体" w:hAnsi="宋体" w:eastAsia="宋体" w:cs="宋体"/>
                <w:color w:val="000000" w:themeColor="text1"/>
                <w:szCs w:val="24"/>
                <w:highlight w:val="none"/>
                <w14:textFill>
                  <w14:solidFill>
                    <w14:schemeClr w14:val="tx1"/>
                  </w14:solidFill>
                </w14:textFill>
              </w:rPr>
            </w:pPr>
            <w:bookmarkStart w:id="1089" w:name="OLE_LINK142"/>
            <w:r>
              <w:rPr>
                <w:rFonts w:ascii="宋体" w:hAnsi="宋体" w:eastAsia="宋体" w:cs="宋体"/>
                <w:color w:val="000000" w:themeColor="text1"/>
                <w:szCs w:val="21"/>
                <w:highlight w:val="none"/>
                <w14:textFill>
                  <w14:solidFill>
                    <w14:schemeClr w14:val="tx1"/>
                  </w14:solidFill>
                </w14:textFill>
              </w:rPr>
              <w:t>24</w:t>
            </w:r>
            <w:bookmarkEnd w:id="1089"/>
            <w:r>
              <w:rPr>
                <w:rFonts w:hint="eastAsia" w:ascii="宋体" w:hAnsi="宋体" w:eastAsia="宋体" w:cs="宋体"/>
                <w:color w:val="000000" w:themeColor="text1"/>
                <w:szCs w:val="21"/>
                <w:highlight w:val="none"/>
                <w14:textFill>
                  <w14:solidFill>
                    <w14:schemeClr w14:val="tx1"/>
                  </w14:solidFill>
                </w14:textFill>
              </w:rPr>
              <w:t>分</w:t>
            </w:r>
          </w:p>
        </w:tc>
      </w:tr>
      <w:bookmarkEnd w:id="1061"/>
    </w:tbl>
    <w:p w14:paraId="3117EDD5">
      <w:pPr>
        <w:autoSpaceDE w:val="0"/>
        <w:autoSpaceDN w:val="0"/>
        <w:adjustRightInd w:val="0"/>
        <w:spacing w:line="360" w:lineRule="auto"/>
        <w:ind w:firstLine="840" w:firstLineChars="400"/>
        <w:rPr>
          <w:rFonts w:ascii="宋体" w:hAnsi="宋体" w:eastAsia="宋体" w:cs="宋体"/>
          <w:color w:val="000000" w:themeColor="text1"/>
          <w:szCs w:val="24"/>
          <w:highlight w:val="none"/>
          <w:lang w:val="zh-CN"/>
          <w14:textFill>
            <w14:solidFill>
              <w14:schemeClr w14:val="tx1"/>
            </w14:solidFill>
          </w14:textFill>
        </w:rPr>
      </w:pPr>
      <w:bookmarkStart w:id="1090" w:name="OLE_LINK170"/>
      <w:bookmarkStart w:id="1091" w:name="_Toc11639_WPSOffice_Level2"/>
      <w:r>
        <w:rPr>
          <w:rFonts w:hint="eastAsia" w:ascii="宋体" w:hAnsi="宋体" w:eastAsia="宋体" w:cs="宋体"/>
          <w:color w:val="000000" w:themeColor="text1"/>
          <w:szCs w:val="24"/>
          <w:highlight w:val="none"/>
          <w:lang w:val="zh-CN"/>
          <w14:textFill>
            <w14:solidFill>
              <w14:schemeClr w14:val="tx1"/>
            </w14:solidFill>
          </w14:textFill>
        </w:rPr>
        <w:t>备注：</w:t>
      </w:r>
    </w:p>
    <w:p w14:paraId="7E0BBEF8">
      <w:pPr>
        <w:pStyle w:val="16"/>
        <w:spacing w:before="0"/>
        <w:ind w:left="420" w:leftChars="200" w:firstLine="422" w:firstLineChars="200"/>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对</w:t>
      </w:r>
      <w:r>
        <w:rPr>
          <w:rFonts w:hint="eastAsia" w:ascii="宋体" w:hAnsi="宋体" w:eastAsia="宋体" w:cs="宋体"/>
          <w:b/>
          <w:color w:val="000000" w:themeColor="text1"/>
          <w:szCs w:val="21"/>
          <w:highlight w:val="none"/>
          <w14:textFill>
            <w14:solidFill>
              <w14:schemeClr w14:val="tx1"/>
            </w14:solidFill>
          </w14:textFill>
        </w:rPr>
        <w:t>于各</w:t>
      </w:r>
      <w:r>
        <w:rPr>
          <w:rFonts w:hint="eastAsia" w:ascii="宋体" w:hAnsi="宋体" w:eastAsia="宋体" w:cs="宋体"/>
          <w:b/>
          <w:color w:val="000000" w:themeColor="text1"/>
          <w:szCs w:val="21"/>
          <w:highlight w:val="none"/>
          <w:lang w:val="zh-CN"/>
          <w14:textFill>
            <w14:solidFill>
              <w14:schemeClr w14:val="tx1"/>
            </w14:solidFill>
          </w14:textFill>
        </w:rPr>
        <w:t>评标委员会成员</w:t>
      </w:r>
      <w:r>
        <w:rPr>
          <w:rFonts w:hint="eastAsia" w:ascii="宋体" w:hAnsi="宋体" w:eastAsia="宋体" w:cs="宋体"/>
          <w:b/>
          <w:color w:val="000000" w:themeColor="text1"/>
          <w:szCs w:val="21"/>
          <w:highlight w:val="none"/>
          <w14:textFill>
            <w14:solidFill>
              <w14:schemeClr w14:val="tx1"/>
            </w14:solidFill>
          </w14:textFill>
        </w:rPr>
        <w:t>存在客观分打分不一致时</w:t>
      </w:r>
      <w:r>
        <w:rPr>
          <w:rFonts w:hint="eastAsia" w:ascii="宋体" w:hAnsi="宋体" w:eastAsia="宋体" w:cs="宋体"/>
          <w:b/>
          <w:color w:val="000000" w:themeColor="text1"/>
          <w:szCs w:val="21"/>
          <w:highlight w:val="none"/>
          <w:lang w:val="zh-CN"/>
          <w14:textFill>
            <w14:solidFill>
              <w14:schemeClr w14:val="tx1"/>
            </w14:solidFill>
          </w14:textFill>
        </w:rPr>
        <w:t>,根据少数服</w:t>
      </w:r>
      <w:r>
        <w:rPr>
          <w:rFonts w:hint="eastAsia" w:ascii="宋体" w:hAnsi="宋体" w:eastAsia="宋体" w:cs="宋体"/>
          <w:b/>
          <w:color w:val="000000" w:themeColor="text1"/>
          <w:szCs w:val="21"/>
          <w:highlight w:val="none"/>
          <w14:textFill>
            <w14:solidFill>
              <w14:schemeClr w14:val="tx1"/>
            </w14:solidFill>
          </w14:textFill>
        </w:rPr>
        <w:t>从</w:t>
      </w:r>
      <w:r>
        <w:rPr>
          <w:rFonts w:hint="eastAsia" w:ascii="宋体" w:hAnsi="宋体" w:eastAsia="宋体" w:cs="宋体"/>
          <w:b/>
          <w:color w:val="000000" w:themeColor="text1"/>
          <w:szCs w:val="21"/>
          <w:highlight w:val="none"/>
          <w:lang w:val="zh-CN"/>
          <w14:textFill>
            <w14:solidFill>
              <w14:schemeClr w14:val="tx1"/>
            </w14:solidFill>
          </w14:textFill>
        </w:rPr>
        <w:t>多数的原则，以记名方式表决</w:t>
      </w:r>
      <w:r>
        <w:rPr>
          <w:rFonts w:hint="eastAsia" w:ascii="宋体" w:hAnsi="宋体" w:eastAsia="宋体" w:cs="宋体"/>
          <w:b/>
          <w:color w:val="000000" w:themeColor="text1"/>
          <w:szCs w:val="21"/>
          <w:highlight w:val="none"/>
          <w14:textFill>
            <w14:solidFill>
              <w14:schemeClr w14:val="tx1"/>
            </w14:solidFill>
          </w14:textFill>
        </w:rPr>
        <w:t>确定该项的评分。</w:t>
      </w:r>
      <w:bookmarkEnd w:id="1090"/>
    </w:p>
    <w:p w14:paraId="23AA31F2">
      <w:pPr>
        <w:tabs>
          <w:tab w:val="left" w:pos="585"/>
        </w:tabs>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4"/>
          <w:highlight w:val="none"/>
          <w14:textFill>
            <w14:solidFill>
              <w14:schemeClr w14:val="tx1"/>
            </w14:solidFill>
          </w14:textFill>
        </w:rPr>
        <w:t>2）</w:t>
      </w:r>
      <w:r>
        <w:rPr>
          <w:rFonts w:hint="eastAsia" w:ascii="宋体" w:hAnsi="宋体" w:eastAsia="宋体" w:cs="宋体"/>
          <w:b/>
          <w:color w:val="000000" w:themeColor="text1"/>
          <w:szCs w:val="24"/>
          <w:highlight w:val="none"/>
          <w:lang w:val="zh-CN"/>
          <w14:textFill>
            <w14:solidFill>
              <w14:schemeClr w14:val="tx1"/>
            </w14:solidFill>
          </w14:textFill>
        </w:rPr>
        <w:t>技术：</w:t>
      </w:r>
      <w:r>
        <w:rPr>
          <w:rFonts w:hint="eastAsia" w:ascii="宋体" w:hAnsi="宋体" w:eastAsia="宋体" w:cs="宋体"/>
          <w:b/>
          <w:color w:val="000000" w:themeColor="text1"/>
          <w:szCs w:val="21"/>
          <w:highlight w:val="none"/>
          <w:lang w:val="zh-CN"/>
          <w14:textFill>
            <w14:solidFill>
              <w14:schemeClr w14:val="tx1"/>
            </w14:solidFill>
          </w14:textFill>
        </w:rPr>
        <w:t>总</w:t>
      </w:r>
      <w:bookmarkStart w:id="1092" w:name="OLE_LINK163"/>
      <w:r>
        <w:rPr>
          <w:rFonts w:hint="eastAsia" w:ascii="宋体" w:hAnsi="宋体" w:eastAsia="宋体" w:cs="宋体"/>
          <w:b/>
          <w:color w:val="000000" w:themeColor="text1"/>
          <w:szCs w:val="21"/>
          <w:highlight w:val="none"/>
          <w:lang w:val="zh-CN"/>
          <w14:textFill>
            <w14:solidFill>
              <w14:schemeClr w14:val="tx1"/>
            </w14:solidFill>
          </w14:textFill>
        </w:rPr>
        <w:t>分</w:t>
      </w:r>
      <w:bookmarkEnd w:id="1092"/>
      <w:r>
        <w:rPr>
          <w:rFonts w:hint="eastAsia" w:ascii="宋体" w:hAnsi="宋体" w:eastAsia="宋体" w:cs="宋体"/>
          <w:b/>
          <w:color w:val="000000" w:themeColor="text1"/>
          <w:szCs w:val="21"/>
          <w:highlight w:val="none"/>
          <w14:textFill>
            <w14:solidFill>
              <w14:schemeClr w14:val="tx1"/>
            </w14:solidFill>
          </w14:textFill>
        </w:rPr>
        <w:t>40</w:t>
      </w:r>
      <w:r>
        <w:rPr>
          <w:rFonts w:hint="eastAsia" w:ascii="宋体" w:hAnsi="宋体" w:eastAsia="宋体" w:cs="宋体"/>
          <w:b/>
          <w:color w:val="000000" w:themeColor="text1"/>
          <w:szCs w:val="21"/>
          <w:highlight w:val="none"/>
          <w:lang w:val="zh-CN"/>
          <w14:textFill>
            <w14:solidFill>
              <w14:schemeClr w14:val="tx1"/>
            </w14:solidFill>
          </w14:textFill>
        </w:rPr>
        <w:t>分</w:t>
      </w:r>
      <w:bookmarkEnd w:id="1091"/>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1018"/>
        <w:gridCol w:w="1018"/>
        <w:gridCol w:w="6920"/>
        <w:gridCol w:w="817"/>
      </w:tblGrid>
      <w:tr w14:paraId="60A0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534AE283">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bookmarkStart w:id="1093" w:name="_Hlk104987779"/>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491" w:type="pct"/>
            <w:tcBorders>
              <w:top w:val="single" w:color="auto" w:sz="4" w:space="0"/>
              <w:left w:val="single" w:color="auto" w:sz="4" w:space="0"/>
              <w:bottom w:val="single" w:color="auto" w:sz="4" w:space="0"/>
              <w:right w:val="single" w:color="auto" w:sz="4" w:space="0"/>
            </w:tcBorders>
            <w:vAlign w:val="center"/>
          </w:tcPr>
          <w:p w14:paraId="7AE08E02">
            <w:pPr>
              <w:autoSpaceDE w:val="0"/>
              <w:autoSpaceDN w:val="0"/>
              <w:adjustRightInd w:val="0"/>
              <w:spacing w:line="400" w:lineRule="exact"/>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评审项目</w:t>
            </w:r>
          </w:p>
        </w:tc>
        <w:tc>
          <w:tcPr>
            <w:tcW w:w="491" w:type="pct"/>
            <w:tcBorders>
              <w:top w:val="single" w:color="auto" w:sz="4" w:space="0"/>
              <w:left w:val="single" w:color="auto" w:sz="4" w:space="0"/>
              <w:bottom w:val="single" w:color="auto" w:sz="4" w:space="0"/>
              <w:right w:val="single" w:color="auto" w:sz="4" w:space="0"/>
            </w:tcBorders>
            <w:vAlign w:val="center"/>
          </w:tcPr>
          <w:p w14:paraId="13B4DB70">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评审内容</w:t>
            </w:r>
          </w:p>
        </w:tc>
        <w:tc>
          <w:tcPr>
            <w:tcW w:w="3337" w:type="pct"/>
            <w:tcBorders>
              <w:top w:val="single" w:color="auto" w:sz="4" w:space="0"/>
              <w:left w:val="single" w:color="auto" w:sz="4" w:space="0"/>
              <w:bottom w:val="single" w:color="auto" w:sz="4" w:space="0"/>
              <w:right w:val="single" w:color="auto" w:sz="4" w:space="0"/>
            </w:tcBorders>
            <w:vAlign w:val="center"/>
          </w:tcPr>
          <w:p w14:paraId="1C532325">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评审细则</w:t>
            </w:r>
          </w:p>
        </w:tc>
        <w:tc>
          <w:tcPr>
            <w:tcW w:w="394" w:type="pct"/>
            <w:tcBorders>
              <w:top w:val="single" w:color="auto" w:sz="4" w:space="0"/>
              <w:left w:val="single" w:color="auto" w:sz="4" w:space="0"/>
              <w:bottom w:val="single" w:color="auto" w:sz="4" w:space="0"/>
              <w:right w:val="single" w:color="auto" w:sz="4" w:space="0"/>
            </w:tcBorders>
            <w:vAlign w:val="center"/>
          </w:tcPr>
          <w:p w14:paraId="3C77F28C">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满分值</w:t>
            </w:r>
          </w:p>
        </w:tc>
      </w:tr>
      <w:tr w14:paraId="76AD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Merge w:val="restart"/>
            <w:tcBorders>
              <w:top w:val="single" w:color="auto" w:sz="4" w:space="0"/>
              <w:left w:val="single" w:color="auto" w:sz="4" w:space="0"/>
              <w:right w:val="single" w:color="auto" w:sz="4" w:space="0"/>
            </w:tcBorders>
            <w:vAlign w:val="center"/>
          </w:tcPr>
          <w:p w14:paraId="0F87844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bookmarkStart w:id="1094" w:name="OLE_LINK191" w:colFirst="0" w:colLast="0"/>
            <w:bookmarkStart w:id="1095" w:name="OLE_LINK190" w:colFirst="1" w:colLast="1"/>
            <w:r>
              <w:rPr>
                <w:rFonts w:hint="eastAsia" w:ascii="宋体" w:hAnsi="宋体" w:eastAsia="宋体" w:cs="宋体"/>
                <w:color w:val="000000" w:themeColor="text1"/>
                <w:kern w:val="0"/>
                <w:szCs w:val="21"/>
                <w:highlight w:val="none"/>
                <w14:textFill>
                  <w14:solidFill>
                    <w14:schemeClr w14:val="tx1"/>
                  </w14:solidFill>
                </w14:textFill>
              </w:rPr>
              <w:t>1</w:t>
            </w:r>
          </w:p>
        </w:tc>
        <w:tc>
          <w:tcPr>
            <w:tcW w:w="491" w:type="pct"/>
            <w:vMerge w:val="restart"/>
            <w:tcBorders>
              <w:top w:val="single" w:color="auto" w:sz="4" w:space="0"/>
              <w:left w:val="single" w:color="auto" w:sz="4" w:space="0"/>
              <w:right w:val="single" w:color="auto" w:sz="4" w:space="0"/>
            </w:tcBorders>
            <w:vAlign w:val="center"/>
          </w:tcPr>
          <w:p w14:paraId="5CEB8810">
            <w:pPr>
              <w:spacing w:line="360" w:lineRule="exact"/>
              <w:jc w:val="center"/>
              <w:rPr>
                <w:rFonts w:ascii="宋体" w:hAnsi="宋体" w:eastAsia="宋体" w:cs="宋体"/>
                <w:color w:val="000000" w:themeColor="text1"/>
                <w:szCs w:val="21"/>
                <w:highlight w:val="none"/>
                <w:lang w:bidi="ar"/>
                <w14:textFill>
                  <w14:solidFill>
                    <w14:schemeClr w14:val="tx1"/>
                  </w14:solidFill>
                </w14:textFill>
              </w:rPr>
            </w:pPr>
            <w:bookmarkStart w:id="1096" w:name="OLE_LINK236"/>
            <w:bookmarkStart w:id="1097" w:name="OLE_LINK182"/>
            <w:bookmarkStart w:id="1098" w:name="OLE_LINK194"/>
            <w:r>
              <w:rPr>
                <w:rFonts w:hint="eastAsia" w:ascii="宋体" w:hAnsi="宋体" w:eastAsia="宋体" w:cs="宋体"/>
                <w:color w:val="000000" w:themeColor="text1"/>
                <w:szCs w:val="21"/>
                <w:highlight w:val="none"/>
                <w:lang w:bidi="ar"/>
                <w14:textFill>
                  <w14:solidFill>
                    <w14:schemeClr w14:val="tx1"/>
                  </w14:solidFill>
                </w14:textFill>
              </w:rPr>
              <w:t>光伏系统主要设备配置</w:t>
            </w:r>
            <w:bookmarkEnd w:id="1096"/>
          </w:p>
        </w:tc>
        <w:tc>
          <w:tcPr>
            <w:tcW w:w="491" w:type="pct"/>
            <w:tcBorders>
              <w:top w:val="single" w:color="auto" w:sz="4" w:space="0"/>
              <w:left w:val="single" w:color="auto" w:sz="4" w:space="0"/>
              <w:bottom w:val="single" w:color="auto" w:sz="4" w:space="0"/>
              <w:right w:val="single" w:color="auto" w:sz="4" w:space="0"/>
            </w:tcBorders>
            <w:vAlign w:val="center"/>
          </w:tcPr>
          <w:p w14:paraId="52CFC4F3">
            <w:pPr>
              <w:spacing w:line="360" w:lineRule="exact"/>
              <w:jc w:val="center"/>
              <w:rPr>
                <w:rFonts w:ascii="宋体" w:hAnsi="宋体" w:eastAsia="宋体" w:cs="宋体"/>
                <w:color w:val="000000" w:themeColor="text1"/>
                <w:kern w:val="0"/>
                <w:szCs w:val="21"/>
                <w:highlight w:val="none"/>
                <w14:textFill>
                  <w14:solidFill>
                    <w14:schemeClr w14:val="tx1"/>
                  </w14:solidFill>
                </w14:textFill>
              </w:rPr>
            </w:pPr>
            <w:bookmarkStart w:id="1099" w:name="OLE_LINK260"/>
            <w:r>
              <w:rPr>
                <w:rFonts w:hint="eastAsia" w:ascii="宋体" w:hAnsi="宋体" w:eastAsia="宋体" w:cs="宋体"/>
                <w:color w:val="000000" w:themeColor="text1"/>
                <w:szCs w:val="21"/>
                <w:highlight w:val="none"/>
                <w:lang w:val="zh-CN" w:bidi="ar"/>
                <w14:textFill>
                  <w14:solidFill>
                    <w14:schemeClr w14:val="tx1"/>
                  </w14:solidFill>
                </w14:textFill>
              </w:rPr>
              <w:t>所投</w:t>
            </w:r>
            <w:bookmarkStart w:id="1100" w:name="OLE_LINK171"/>
            <w:bookmarkStart w:id="1101" w:name="OLE_LINK172"/>
            <w:bookmarkStart w:id="1102" w:name="OLE_LINK177"/>
            <w:r>
              <w:rPr>
                <w:rFonts w:hint="eastAsia" w:ascii="宋体" w:hAnsi="宋体" w:eastAsia="宋体" w:cs="宋体"/>
                <w:color w:val="000000" w:themeColor="text1"/>
                <w:szCs w:val="21"/>
                <w:highlight w:val="none"/>
                <w:lang w:bidi="ar"/>
                <w14:textFill>
                  <w14:solidFill>
                    <w14:schemeClr w14:val="tx1"/>
                  </w14:solidFill>
                </w14:textFill>
              </w:rPr>
              <w:t>光伏组件</w:t>
            </w:r>
            <w:bookmarkEnd w:id="1100"/>
            <w:r>
              <w:rPr>
                <w:rFonts w:hint="eastAsia" w:ascii="宋体" w:hAnsi="宋体" w:eastAsia="宋体" w:cs="宋体"/>
                <w:color w:val="000000" w:themeColor="text1"/>
                <w:szCs w:val="21"/>
                <w:highlight w:val="none"/>
                <w:lang w:bidi="ar"/>
                <w14:textFill>
                  <w14:solidFill>
                    <w14:schemeClr w14:val="tx1"/>
                  </w14:solidFill>
                </w14:textFill>
              </w:rPr>
              <w:t>、</w:t>
            </w:r>
            <w:r>
              <w:rPr>
                <w:rFonts w:hint="eastAsia" w:ascii="宋体" w:hAnsi="宋体" w:eastAsia="宋体" w:cs="宋体"/>
                <w:color w:val="000000" w:themeColor="text1"/>
                <w:szCs w:val="21"/>
                <w:highlight w:val="none"/>
                <w:lang w:val="zh-CN" w:bidi="ar"/>
                <w14:textFill>
                  <w14:solidFill>
                    <w14:schemeClr w14:val="tx1"/>
                  </w14:solidFill>
                </w14:textFill>
              </w:rPr>
              <w:t>并网逆变器</w:t>
            </w:r>
            <w:r>
              <w:rPr>
                <w:rFonts w:hint="eastAsia" w:ascii="宋体" w:hAnsi="宋体" w:eastAsia="宋体" w:cs="宋体"/>
                <w:color w:val="000000" w:themeColor="text1"/>
                <w:szCs w:val="21"/>
                <w:highlight w:val="none"/>
                <w:lang w:bidi="ar"/>
                <w14:textFill>
                  <w14:solidFill>
                    <w14:schemeClr w14:val="tx1"/>
                  </w14:solidFill>
                </w14:textFill>
              </w:rPr>
              <w:t>产</w:t>
            </w:r>
            <w:bookmarkEnd w:id="1101"/>
            <w:r>
              <w:rPr>
                <w:rFonts w:hint="eastAsia" w:ascii="宋体" w:hAnsi="宋体" w:eastAsia="宋体" w:cs="宋体"/>
                <w:color w:val="000000" w:themeColor="text1"/>
                <w:szCs w:val="21"/>
                <w:highlight w:val="none"/>
                <w:lang w:bidi="ar"/>
                <w14:textFill>
                  <w14:solidFill>
                    <w14:schemeClr w14:val="tx1"/>
                  </w14:solidFill>
                </w14:textFill>
              </w:rPr>
              <w:t>品</w:t>
            </w:r>
            <w:bookmarkEnd w:id="1097"/>
            <w:r>
              <w:rPr>
                <w:rFonts w:hint="eastAsia" w:ascii="宋体" w:hAnsi="宋体" w:eastAsia="宋体" w:cs="宋体"/>
                <w:color w:val="000000" w:themeColor="text1"/>
                <w:szCs w:val="21"/>
                <w:highlight w:val="none"/>
                <w:lang w:val="zh-CN" w:bidi="ar"/>
                <w14:textFill>
                  <w14:solidFill>
                    <w14:schemeClr w14:val="tx1"/>
                  </w14:solidFill>
                </w14:textFill>
              </w:rPr>
              <w:t>性能</w:t>
            </w:r>
            <w:bookmarkEnd w:id="1098"/>
            <w:bookmarkEnd w:id="1099"/>
            <w:bookmarkEnd w:id="1102"/>
          </w:p>
        </w:tc>
        <w:tc>
          <w:tcPr>
            <w:tcW w:w="3337" w:type="pct"/>
            <w:tcBorders>
              <w:top w:val="single" w:color="auto" w:sz="4" w:space="0"/>
              <w:left w:val="single" w:color="auto" w:sz="4" w:space="0"/>
              <w:bottom w:val="single" w:color="auto" w:sz="4" w:space="0"/>
              <w:right w:val="single" w:color="auto" w:sz="4" w:space="0"/>
            </w:tcBorders>
            <w:vAlign w:val="center"/>
          </w:tcPr>
          <w:p w14:paraId="07C370C7">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根据各投标人所投光伏组件、并网逆变器产品性能【①光伏组件的标称功率、组件效率、功率衰减率、防水性、结构设计、安全防护等级等技术参数，光伏组件型号认证证书[抗PID认证、抗盐雾腐蚀认证、载荷认证、产品定型认证(金太阳认证或是TUV、CSA、UL、SGS、VDE、JET等国际认证)]；②并网逆变器直流侧参数、交流侧参数、效率、防护等级等技术参数，使用年限，功能响应程度；】进行评审：</w:t>
            </w:r>
          </w:p>
          <w:p w14:paraId="6FCA353E">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优：产品技术参数符合行业标准，能够完全满足或优于采购需求，性能</w:t>
            </w:r>
            <w:r>
              <w:rPr>
                <w:rFonts w:hint="eastAsia" w:ascii="宋体" w:hAnsi="宋体" w:eastAsia="宋体" w:cs="宋体"/>
                <w:color w:val="000000" w:themeColor="text1"/>
                <w:szCs w:val="21"/>
                <w:highlight w:val="none"/>
                <w14:textFill>
                  <w14:solidFill>
                    <w14:schemeClr w14:val="tx1"/>
                  </w14:solidFill>
                </w14:textFill>
              </w:rPr>
              <w:t>卓越</w:t>
            </w:r>
            <w:r>
              <w:rPr>
                <w:rFonts w:hint="eastAsia" w:ascii="宋体" w:hAnsi="宋体" w:eastAsia="宋体" w:cs="宋体"/>
                <w:color w:val="000000" w:themeColor="text1"/>
                <w:szCs w:val="21"/>
                <w:highlight w:val="none"/>
                <w:lang w:bidi="ar"/>
                <w14:textFill>
                  <w14:solidFill>
                    <w14:schemeClr w14:val="tx1"/>
                  </w14:solidFill>
                </w14:textFill>
              </w:rPr>
              <w:t>、结构设计合理性强、稳定可靠，得[10-7]分；</w:t>
            </w:r>
          </w:p>
          <w:p w14:paraId="3B697925">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良：产品</w:t>
            </w:r>
            <w:r>
              <w:rPr>
                <w:rFonts w:hint="eastAsia" w:ascii="宋体" w:hAnsi="宋体" w:eastAsia="宋体" w:cs="宋体"/>
                <w:color w:val="000000" w:themeColor="text1"/>
                <w:szCs w:val="21"/>
                <w:highlight w:val="none"/>
                <w14:textFill>
                  <w14:solidFill>
                    <w14:schemeClr w14:val="tx1"/>
                  </w14:solidFill>
                </w14:textFill>
              </w:rPr>
              <w:t>技术参数符合行业标准，能够满足</w:t>
            </w:r>
            <w:r>
              <w:rPr>
                <w:rFonts w:hint="eastAsia" w:ascii="宋体" w:hAnsi="宋体" w:eastAsia="宋体" w:cs="宋体"/>
                <w:color w:val="000000" w:themeColor="text1"/>
                <w:szCs w:val="21"/>
                <w:highlight w:val="none"/>
                <w:lang w:bidi="ar"/>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需求，</w:t>
            </w:r>
            <w:r>
              <w:rPr>
                <w:rFonts w:hint="eastAsia" w:ascii="宋体" w:hAnsi="宋体" w:eastAsia="宋体" w:cs="宋体"/>
                <w:color w:val="000000" w:themeColor="text1"/>
                <w:szCs w:val="21"/>
                <w:highlight w:val="none"/>
                <w:lang w:bidi="ar"/>
                <w14:textFill>
                  <w14:solidFill>
                    <w14:schemeClr w14:val="tx1"/>
                  </w14:solidFill>
                </w14:textFill>
              </w:rPr>
              <w:t>性能良好、结构设计较合理、稳定可靠，得（7-4]分；</w:t>
            </w:r>
          </w:p>
          <w:p w14:paraId="58595064">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中：产品</w:t>
            </w:r>
            <w:r>
              <w:rPr>
                <w:rFonts w:hint="eastAsia" w:ascii="宋体" w:hAnsi="宋体" w:eastAsia="宋体" w:cs="宋体"/>
                <w:color w:val="000000" w:themeColor="text1"/>
                <w:szCs w:val="21"/>
                <w:highlight w:val="none"/>
                <w14:textFill>
                  <w14:solidFill>
                    <w14:schemeClr w14:val="tx1"/>
                  </w14:solidFill>
                </w14:textFill>
              </w:rPr>
              <w:t>技术参数符合行业标准，基本能满足</w:t>
            </w:r>
            <w:r>
              <w:rPr>
                <w:rFonts w:hint="eastAsia" w:ascii="宋体" w:hAnsi="宋体" w:eastAsia="宋体" w:cs="宋体"/>
                <w:color w:val="000000" w:themeColor="text1"/>
                <w:szCs w:val="21"/>
                <w:highlight w:val="none"/>
                <w:lang w:bidi="ar"/>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需求，</w:t>
            </w:r>
            <w:r>
              <w:rPr>
                <w:rFonts w:hint="eastAsia" w:ascii="宋体" w:hAnsi="宋体" w:eastAsia="宋体" w:cs="宋体"/>
                <w:color w:val="000000" w:themeColor="text1"/>
                <w:szCs w:val="21"/>
                <w:highlight w:val="none"/>
                <w:lang w:bidi="ar"/>
                <w14:textFill>
                  <w14:solidFill>
                    <w14:schemeClr w14:val="tx1"/>
                  </w14:solidFill>
                </w14:textFill>
              </w:rPr>
              <w:t>性能一般、结构设计基本合理、较稳定可靠，得（4-1]分；</w:t>
            </w:r>
          </w:p>
          <w:p w14:paraId="756DDEE5">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差：产品</w:t>
            </w:r>
            <w:r>
              <w:rPr>
                <w:rFonts w:hint="eastAsia" w:ascii="宋体" w:hAnsi="宋体" w:eastAsia="宋体" w:cs="宋体"/>
                <w:color w:val="000000" w:themeColor="text1"/>
                <w:szCs w:val="21"/>
                <w:highlight w:val="none"/>
                <w14:textFill>
                  <w14:solidFill>
                    <w14:schemeClr w14:val="tx1"/>
                  </w14:solidFill>
                </w14:textFill>
              </w:rPr>
              <w:t>技术参数不符合行业标准，不能满足</w:t>
            </w:r>
            <w:r>
              <w:rPr>
                <w:rFonts w:hint="eastAsia" w:ascii="宋体" w:hAnsi="宋体" w:eastAsia="宋体" w:cs="宋体"/>
                <w:color w:val="000000" w:themeColor="text1"/>
                <w:szCs w:val="21"/>
                <w:highlight w:val="none"/>
                <w:lang w:bidi="ar"/>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需求，</w:t>
            </w:r>
            <w:r>
              <w:rPr>
                <w:rFonts w:hint="eastAsia" w:ascii="宋体" w:hAnsi="宋体" w:eastAsia="宋体" w:cs="宋体"/>
                <w:color w:val="000000" w:themeColor="text1"/>
                <w:szCs w:val="21"/>
                <w:highlight w:val="none"/>
                <w:lang w:bidi="ar"/>
                <w14:textFill>
                  <w14:solidFill>
                    <w14:schemeClr w14:val="tx1"/>
                  </w14:solidFill>
                </w14:textFill>
              </w:rPr>
              <w:t>性能不佳、结构设计合理性差、不稳定可靠，得（1-0]分。</w:t>
            </w:r>
          </w:p>
          <w:p w14:paraId="130CFDD7">
            <w:pPr>
              <w:spacing w:line="360" w:lineRule="exact"/>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备注：投标人必须提供投标产品性能说明书或其他能体现投标产品性能的证明材料，并附试验报告、认证证书全部内容，以投标人提供的上述资料作为依据进行评审，未按要求提供上述资料的本项不得分。</w:t>
            </w:r>
          </w:p>
        </w:tc>
        <w:tc>
          <w:tcPr>
            <w:tcW w:w="394" w:type="pct"/>
            <w:tcBorders>
              <w:top w:val="single" w:color="auto" w:sz="4" w:space="0"/>
              <w:left w:val="single" w:color="auto" w:sz="4" w:space="0"/>
              <w:bottom w:val="single" w:color="auto" w:sz="4" w:space="0"/>
              <w:right w:val="single" w:color="auto" w:sz="4" w:space="0"/>
            </w:tcBorders>
            <w:vAlign w:val="center"/>
          </w:tcPr>
          <w:p w14:paraId="7472E45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10分</w:t>
            </w:r>
          </w:p>
        </w:tc>
      </w:tr>
      <w:tr w14:paraId="4507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Merge w:val="continue"/>
            <w:tcBorders>
              <w:left w:val="single" w:color="auto" w:sz="4" w:space="0"/>
              <w:bottom w:val="single" w:color="auto" w:sz="4" w:space="0"/>
              <w:right w:val="single" w:color="auto" w:sz="4" w:space="0"/>
            </w:tcBorders>
            <w:vAlign w:val="center"/>
          </w:tcPr>
          <w:p w14:paraId="04DD53E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bookmarkStart w:id="1103" w:name="OLE_LINK410" w:colFirst="2" w:colLast="4"/>
          </w:p>
        </w:tc>
        <w:tc>
          <w:tcPr>
            <w:tcW w:w="491" w:type="pct"/>
            <w:vMerge w:val="continue"/>
            <w:tcBorders>
              <w:left w:val="single" w:color="auto" w:sz="4" w:space="0"/>
              <w:bottom w:val="single" w:color="auto" w:sz="4" w:space="0"/>
              <w:right w:val="single" w:color="auto" w:sz="4" w:space="0"/>
            </w:tcBorders>
            <w:vAlign w:val="center"/>
          </w:tcPr>
          <w:p w14:paraId="39E8952B">
            <w:pPr>
              <w:spacing w:line="360" w:lineRule="exact"/>
              <w:jc w:val="center"/>
              <w:rPr>
                <w:rFonts w:ascii="宋体" w:hAnsi="宋体" w:eastAsia="宋体" w:cs="宋体"/>
                <w:color w:val="000000" w:themeColor="text1"/>
                <w:szCs w:val="21"/>
                <w:highlight w:val="none"/>
                <w:lang w:val="zh-CN" w:bidi="ar"/>
                <w14:textFill>
                  <w14:solidFill>
                    <w14:schemeClr w14:val="tx1"/>
                  </w14:solidFill>
                </w14:textFill>
              </w:rPr>
            </w:pPr>
            <w:bookmarkStart w:id="1104" w:name="OLE_LINK227"/>
          </w:p>
          <w:bookmarkEnd w:id="1104"/>
        </w:tc>
        <w:tc>
          <w:tcPr>
            <w:tcW w:w="491" w:type="pct"/>
            <w:tcBorders>
              <w:top w:val="single" w:color="auto" w:sz="4" w:space="0"/>
              <w:left w:val="single" w:color="auto" w:sz="4" w:space="0"/>
              <w:bottom w:val="single" w:color="auto" w:sz="4" w:space="0"/>
              <w:right w:val="single" w:color="auto" w:sz="4" w:space="0"/>
            </w:tcBorders>
            <w:vAlign w:val="center"/>
          </w:tcPr>
          <w:p w14:paraId="2AAF5AB4">
            <w:pPr>
              <w:spacing w:line="360" w:lineRule="exact"/>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质保时间</w:t>
            </w:r>
          </w:p>
        </w:tc>
        <w:tc>
          <w:tcPr>
            <w:tcW w:w="3337" w:type="pct"/>
            <w:tcBorders>
              <w:top w:val="single" w:color="auto" w:sz="4" w:space="0"/>
              <w:left w:val="single" w:color="auto" w:sz="4" w:space="0"/>
              <w:bottom w:val="single" w:color="auto" w:sz="4" w:space="0"/>
              <w:right w:val="single" w:color="auto" w:sz="4" w:space="0"/>
            </w:tcBorders>
            <w:vAlign w:val="center"/>
          </w:tcPr>
          <w:p w14:paraId="24377B31">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根据各投标人针对</w:t>
            </w:r>
            <w:bookmarkStart w:id="1105" w:name="OLE_LINK348"/>
            <w:r>
              <w:rPr>
                <w:rFonts w:hint="eastAsia" w:ascii="宋体" w:hAnsi="宋体" w:eastAsia="宋体" w:cs="宋体"/>
                <w:color w:val="000000" w:themeColor="text1"/>
                <w:szCs w:val="21"/>
                <w:highlight w:val="none"/>
                <w:lang w:bidi="ar"/>
                <w14:textFill>
                  <w14:solidFill>
                    <w14:schemeClr w14:val="tx1"/>
                  </w14:solidFill>
                </w14:textFill>
              </w:rPr>
              <w:t>并网逆变器、交流汇流箱、光伏并网柜</w:t>
            </w:r>
            <w:bookmarkEnd w:id="1105"/>
            <w:r>
              <w:rPr>
                <w:rFonts w:hint="eastAsia" w:ascii="宋体" w:hAnsi="宋体" w:eastAsia="宋体" w:cs="宋体"/>
                <w:color w:val="000000" w:themeColor="text1"/>
                <w:szCs w:val="21"/>
                <w:highlight w:val="none"/>
                <w:lang w:bidi="ar"/>
                <w14:textFill>
                  <w14:solidFill>
                    <w14:schemeClr w14:val="tx1"/>
                  </w14:solidFill>
                </w14:textFill>
              </w:rPr>
              <w:t>承诺的质保时间进行评审：在满足本项目</w:t>
            </w:r>
            <w:bookmarkStart w:id="1106" w:name="OLE_LINK355"/>
            <w:r>
              <w:rPr>
                <w:rFonts w:hint="eastAsia" w:ascii="宋体" w:hAnsi="宋体" w:eastAsia="宋体" w:cs="宋体"/>
                <w:color w:val="000000" w:themeColor="text1"/>
                <w:szCs w:val="21"/>
                <w:highlight w:val="none"/>
                <w:lang w:bidi="ar"/>
                <w14:textFill>
                  <w14:solidFill>
                    <w14:schemeClr w14:val="tx1"/>
                  </w14:solidFill>
                </w14:textFill>
              </w:rPr>
              <w:t>质保时间</w:t>
            </w:r>
            <w:bookmarkEnd w:id="1106"/>
            <w:r>
              <w:rPr>
                <w:rFonts w:hint="eastAsia" w:ascii="宋体" w:hAnsi="宋体" w:eastAsia="宋体" w:cs="宋体"/>
                <w:color w:val="000000" w:themeColor="text1"/>
                <w:szCs w:val="21"/>
                <w:highlight w:val="none"/>
                <w:lang w:bidi="ar"/>
                <w14:textFill>
                  <w14:solidFill>
                    <w14:schemeClr w14:val="tx1"/>
                  </w14:solidFill>
                </w14:textFill>
              </w:rPr>
              <w:t>的基础上，每增加1年得1分，本项最高得3分。</w:t>
            </w:r>
          </w:p>
          <w:p w14:paraId="7F7DCB6E">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备注：须提供</w:t>
            </w:r>
            <w:bookmarkStart w:id="1107" w:name="OLE_LINK315"/>
            <w:r>
              <w:rPr>
                <w:rFonts w:hint="eastAsia" w:ascii="宋体" w:hAnsi="宋体" w:eastAsia="宋体" w:cs="宋体"/>
                <w:color w:val="000000" w:themeColor="text1"/>
                <w:szCs w:val="21"/>
                <w:highlight w:val="none"/>
                <w:lang w:bidi="ar"/>
                <w14:textFill>
                  <w14:solidFill>
                    <w14:schemeClr w14:val="tx1"/>
                  </w14:solidFill>
                </w14:textFill>
              </w:rPr>
              <w:t>质保说明书</w:t>
            </w:r>
            <w:bookmarkEnd w:id="1107"/>
            <w:r>
              <w:rPr>
                <w:rFonts w:hint="eastAsia" w:ascii="宋体" w:hAnsi="宋体" w:eastAsia="宋体" w:cs="宋体"/>
                <w:color w:val="000000" w:themeColor="text1"/>
                <w:szCs w:val="21"/>
                <w:highlight w:val="none"/>
                <w:lang w:bidi="ar"/>
                <w14:textFill>
                  <w14:solidFill>
                    <w14:schemeClr w14:val="tx1"/>
                  </w14:solidFill>
                </w14:textFill>
              </w:rPr>
              <w:t>加盖投标人公章。</w:t>
            </w:r>
          </w:p>
        </w:tc>
        <w:tc>
          <w:tcPr>
            <w:tcW w:w="394" w:type="pct"/>
            <w:tcBorders>
              <w:top w:val="single" w:color="auto" w:sz="4" w:space="0"/>
              <w:left w:val="single" w:color="auto" w:sz="4" w:space="0"/>
              <w:bottom w:val="single" w:color="auto" w:sz="4" w:space="0"/>
              <w:right w:val="single" w:color="auto" w:sz="4" w:space="0"/>
            </w:tcBorders>
            <w:vAlign w:val="center"/>
          </w:tcPr>
          <w:p w14:paraId="17F249D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r>
      <w:bookmarkEnd w:id="1094"/>
      <w:bookmarkEnd w:id="1095"/>
      <w:bookmarkEnd w:id="1103"/>
      <w:tr w14:paraId="6241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Merge w:val="restart"/>
            <w:tcBorders>
              <w:top w:val="single" w:color="auto" w:sz="4" w:space="0"/>
              <w:left w:val="single" w:color="auto" w:sz="4" w:space="0"/>
              <w:right w:val="single" w:color="auto" w:sz="4" w:space="0"/>
            </w:tcBorders>
            <w:vAlign w:val="center"/>
          </w:tcPr>
          <w:p w14:paraId="5CF4F54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bookmarkStart w:id="1108" w:name="OLE_LINK204" w:colFirst="2" w:colLast="2"/>
            <w:bookmarkStart w:id="1109" w:name="OLE_LINK524" w:colFirst="0" w:colLast="0"/>
            <w:bookmarkStart w:id="1110" w:name="OLE_LINK203" w:colFirst="1" w:colLast="1"/>
            <w:r>
              <w:rPr>
                <w:rFonts w:hint="eastAsia" w:ascii="宋体" w:hAnsi="宋体" w:eastAsia="宋体" w:cs="宋体"/>
                <w:color w:val="000000" w:themeColor="text1"/>
                <w:kern w:val="0"/>
                <w:szCs w:val="21"/>
                <w:highlight w:val="none"/>
                <w14:textFill>
                  <w14:solidFill>
                    <w14:schemeClr w14:val="tx1"/>
                  </w14:solidFill>
                </w14:textFill>
              </w:rPr>
              <w:t>2</w:t>
            </w:r>
          </w:p>
        </w:tc>
        <w:tc>
          <w:tcPr>
            <w:tcW w:w="491" w:type="pct"/>
            <w:vMerge w:val="restart"/>
            <w:tcBorders>
              <w:top w:val="single" w:color="auto" w:sz="4" w:space="0"/>
              <w:left w:val="single" w:color="auto" w:sz="4" w:space="0"/>
              <w:right w:val="single" w:color="auto" w:sz="4" w:space="0"/>
            </w:tcBorders>
            <w:vAlign w:val="center"/>
          </w:tcPr>
          <w:p w14:paraId="3C73050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bookmarkStart w:id="1111" w:name="OLE_LINK246"/>
            <w:r>
              <w:rPr>
                <w:rFonts w:hint="eastAsia" w:ascii="宋体" w:hAnsi="宋体" w:eastAsia="宋体" w:cs="宋体"/>
                <w:color w:val="000000" w:themeColor="text1"/>
                <w:kern w:val="0"/>
                <w:szCs w:val="21"/>
                <w:highlight w:val="none"/>
                <w14:textFill>
                  <w14:solidFill>
                    <w14:schemeClr w14:val="tx1"/>
                  </w14:solidFill>
                </w14:textFill>
              </w:rPr>
              <w:t>技术服务团队实力</w:t>
            </w:r>
          </w:p>
          <w:bookmarkEnd w:id="1111"/>
        </w:tc>
        <w:tc>
          <w:tcPr>
            <w:tcW w:w="491" w:type="pct"/>
            <w:tcBorders>
              <w:top w:val="single" w:color="auto" w:sz="4" w:space="0"/>
              <w:left w:val="single" w:color="auto" w:sz="4" w:space="0"/>
              <w:bottom w:val="single" w:color="auto" w:sz="4" w:space="0"/>
              <w:right w:val="single" w:color="auto" w:sz="4" w:space="0"/>
            </w:tcBorders>
            <w:vAlign w:val="center"/>
          </w:tcPr>
          <w:p w14:paraId="2395B68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项目负责人</w:t>
            </w:r>
          </w:p>
        </w:tc>
        <w:tc>
          <w:tcPr>
            <w:tcW w:w="3337" w:type="pct"/>
            <w:tcBorders>
              <w:top w:val="single" w:color="auto" w:sz="4" w:space="0"/>
              <w:left w:val="single" w:color="auto" w:sz="4" w:space="0"/>
              <w:bottom w:val="single" w:color="auto" w:sz="4" w:space="0"/>
              <w:right w:val="single" w:color="auto" w:sz="4" w:space="0"/>
            </w:tcBorders>
            <w:vAlign w:val="center"/>
          </w:tcPr>
          <w:p w14:paraId="4187A3EB">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bookmarkStart w:id="1112" w:name="OLE_LINK199"/>
            <w:r>
              <w:rPr>
                <w:rFonts w:hint="eastAsia" w:ascii="宋体" w:hAnsi="宋体" w:eastAsia="宋体" w:cs="宋体"/>
                <w:color w:val="000000" w:themeColor="text1"/>
                <w:szCs w:val="21"/>
                <w:highlight w:val="none"/>
                <w:lang w:bidi="ar"/>
                <w14:textFill>
                  <w14:solidFill>
                    <w14:schemeClr w14:val="tx1"/>
                  </w14:solidFill>
                </w14:textFill>
              </w:rPr>
              <w:t>根据各投标人拟投</w:t>
            </w:r>
            <w:bookmarkStart w:id="1113" w:name="OLE_LINK213"/>
            <w:r>
              <w:rPr>
                <w:rFonts w:hint="eastAsia" w:ascii="宋体" w:hAnsi="宋体" w:eastAsia="宋体" w:cs="宋体"/>
                <w:color w:val="000000" w:themeColor="text1"/>
                <w:szCs w:val="21"/>
                <w:highlight w:val="none"/>
                <w:lang w:bidi="ar"/>
                <w14:textFill>
                  <w14:solidFill>
                    <w14:schemeClr w14:val="tx1"/>
                  </w14:solidFill>
                </w14:textFill>
              </w:rPr>
              <w:t>入本项目</w:t>
            </w:r>
            <w:bookmarkEnd w:id="1113"/>
            <w:r>
              <w:rPr>
                <w:rFonts w:hint="eastAsia" w:ascii="宋体" w:hAnsi="宋体" w:eastAsia="宋体" w:cs="宋体"/>
                <w:color w:val="000000" w:themeColor="text1"/>
                <w:szCs w:val="21"/>
                <w:highlight w:val="none"/>
                <w:lang w:bidi="ar"/>
                <w14:textFill>
                  <w14:solidFill>
                    <w14:schemeClr w14:val="tx1"/>
                  </w14:solidFill>
                </w14:textFill>
              </w:rPr>
              <w:t>的</w:t>
            </w:r>
            <w:bookmarkEnd w:id="1112"/>
            <w:r>
              <w:rPr>
                <w:rFonts w:hint="eastAsia" w:ascii="宋体" w:hAnsi="宋体" w:eastAsia="宋体" w:cs="宋体"/>
                <w:color w:val="000000" w:themeColor="text1"/>
                <w:szCs w:val="21"/>
                <w:highlight w:val="none"/>
                <w:lang w:bidi="ar"/>
                <w14:textFill>
                  <w14:solidFill>
                    <w14:schemeClr w14:val="tx1"/>
                  </w14:solidFill>
                </w14:textFill>
              </w:rPr>
              <w:t>项目负责人</w:t>
            </w:r>
            <w:bookmarkStart w:id="1114" w:name="OLE_LINK209"/>
            <w:r>
              <w:rPr>
                <w:rFonts w:hint="eastAsia" w:ascii="宋体" w:hAnsi="宋体" w:eastAsia="宋体" w:cs="宋体"/>
                <w:color w:val="000000" w:themeColor="text1"/>
                <w:szCs w:val="21"/>
                <w:highlight w:val="none"/>
                <w:lang w:bidi="ar"/>
                <w14:textFill>
                  <w14:solidFill>
                    <w14:schemeClr w14:val="tx1"/>
                  </w14:solidFill>
                </w14:textFill>
              </w:rPr>
              <w:t>（仅一人）</w:t>
            </w:r>
            <w:bookmarkEnd w:id="1114"/>
            <w:bookmarkStart w:id="1115" w:name="OLE_LINK200"/>
            <w:r>
              <w:rPr>
                <w:rFonts w:hint="eastAsia" w:ascii="宋体" w:hAnsi="宋体" w:eastAsia="宋体" w:cs="宋体"/>
                <w:color w:val="000000" w:themeColor="text1"/>
                <w:szCs w:val="21"/>
                <w:highlight w:val="none"/>
                <w:lang w:bidi="ar"/>
                <w14:textFill>
                  <w14:solidFill>
                    <w14:schemeClr w14:val="tx1"/>
                  </w14:solidFill>
                </w14:textFill>
              </w:rPr>
              <w:t>进行评审</w:t>
            </w:r>
            <w:bookmarkEnd w:id="1115"/>
            <w:r>
              <w:rPr>
                <w:rFonts w:hint="eastAsia" w:ascii="宋体" w:hAnsi="宋体" w:eastAsia="宋体" w:cs="宋体"/>
                <w:color w:val="000000" w:themeColor="text1"/>
                <w:szCs w:val="21"/>
                <w:highlight w:val="none"/>
                <w:lang w:bidi="ar"/>
                <w14:textFill>
                  <w14:solidFill>
                    <w14:schemeClr w14:val="tx1"/>
                  </w14:solidFill>
                </w14:textFill>
              </w:rPr>
              <w:t>：</w:t>
            </w:r>
          </w:p>
          <w:p w14:paraId="0BA85088">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①具备二级或以上等级的注册建造师，建造师注册证书中列明的专业类别为机电工程，得1分；</w:t>
            </w:r>
          </w:p>
          <w:p w14:paraId="532622EF">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②具备工程类专业中级（或以上）工程师职称，得1分；</w:t>
            </w:r>
          </w:p>
          <w:p w14:paraId="79170722">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③具备建设行政主管部门颁发的安全生产考核合格证（须为项目负责人安全生产考核合格证，即“建安B”类证），得1分；</w:t>
            </w:r>
          </w:p>
          <w:p w14:paraId="03799B2A">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本子项最高得3分。</w:t>
            </w:r>
          </w:p>
          <w:p w14:paraId="6B425ED1">
            <w:pPr>
              <w:spacing w:line="360" w:lineRule="exact"/>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注：①若为联合体投标的，联合体任意一方提供的人员满足要求均予以认可；②须提供有效的相关证书复印件加盖投标人公章，并提供</w:t>
            </w:r>
            <w:bookmarkStart w:id="1116" w:name="OLE_LINK286"/>
            <w:r>
              <w:rPr>
                <w:rFonts w:hint="eastAsia" w:ascii="宋体" w:hAnsi="宋体" w:eastAsia="宋体" w:cs="宋体"/>
                <w:color w:val="000000" w:themeColor="text1"/>
                <w:szCs w:val="21"/>
                <w:highlight w:val="none"/>
                <w:lang w:bidi="ar"/>
                <w14:textFill>
                  <w14:solidFill>
                    <w14:schemeClr w14:val="tx1"/>
                  </w14:solidFill>
                </w14:textFill>
              </w:rPr>
              <w:t>由人力资源和社会保障部门（或税务部门）出具的</w:t>
            </w:r>
            <w:bookmarkEnd w:id="1116"/>
            <w:r>
              <w:rPr>
                <w:rFonts w:hint="eastAsia" w:ascii="宋体" w:hAnsi="宋体" w:eastAsia="宋体" w:cs="宋体"/>
                <w:color w:val="000000" w:themeColor="text1"/>
                <w:szCs w:val="21"/>
                <w:highlight w:val="none"/>
                <w:lang w:bidi="ar"/>
                <w14:textFill>
                  <w14:solidFill>
                    <w14:schemeClr w14:val="tx1"/>
                  </w14:solidFill>
                </w14:textFill>
              </w:rPr>
              <w:t>投标人2024年</w:t>
            </w:r>
            <w:r>
              <w:rPr>
                <w:rFonts w:ascii="宋体" w:hAnsi="宋体" w:eastAsia="宋体" w:cs="宋体"/>
                <w:color w:val="000000" w:themeColor="text1"/>
                <w:szCs w:val="21"/>
                <w:highlight w:val="none"/>
                <w:lang w:bidi="ar"/>
                <w14:textFill>
                  <w14:solidFill>
                    <w14:schemeClr w14:val="tx1"/>
                  </w14:solidFill>
                </w14:textFill>
              </w:rPr>
              <w:t>2</w:t>
            </w:r>
            <w:r>
              <w:rPr>
                <w:rFonts w:hint="eastAsia" w:ascii="宋体" w:hAnsi="宋体" w:eastAsia="宋体" w:cs="宋体"/>
                <w:color w:val="000000" w:themeColor="text1"/>
                <w:szCs w:val="21"/>
                <w:highlight w:val="none"/>
                <w:lang w:bidi="ar"/>
                <w14:textFill>
                  <w14:solidFill>
                    <w14:schemeClr w14:val="tx1"/>
                  </w14:solidFill>
                </w14:textFill>
              </w:rPr>
              <w:t>月至2024年</w:t>
            </w:r>
            <w:r>
              <w:rPr>
                <w:rFonts w:ascii="宋体" w:hAnsi="宋体" w:eastAsia="宋体" w:cs="宋体"/>
                <w:color w:val="000000" w:themeColor="text1"/>
                <w:szCs w:val="21"/>
                <w:highlight w:val="none"/>
                <w:lang w:bidi="ar"/>
                <w14:textFill>
                  <w14:solidFill>
                    <w14:schemeClr w14:val="tx1"/>
                  </w14:solidFill>
                </w14:textFill>
              </w:rPr>
              <w:t>7</w:t>
            </w:r>
            <w:r>
              <w:rPr>
                <w:rFonts w:hint="eastAsia" w:ascii="宋体" w:hAnsi="宋体" w:eastAsia="宋体" w:cs="宋体"/>
                <w:color w:val="000000" w:themeColor="text1"/>
                <w:szCs w:val="21"/>
                <w:highlight w:val="none"/>
                <w:lang w:bidi="ar"/>
                <w14:textFill>
                  <w14:solidFill>
                    <w14:schemeClr w14:val="tx1"/>
                  </w14:solidFill>
                </w14:textFill>
              </w:rPr>
              <w:t>月为其缴纳的</w:t>
            </w:r>
            <w:bookmarkStart w:id="1117" w:name="OLE_LINK197"/>
            <w:r>
              <w:rPr>
                <w:rFonts w:hint="eastAsia" w:ascii="宋体" w:hAnsi="宋体" w:eastAsia="宋体" w:cs="宋体"/>
                <w:color w:val="000000" w:themeColor="text1"/>
                <w:szCs w:val="21"/>
                <w:highlight w:val="none"/>
                <w:lang w:bidi="ar"/>
                <w14:textFill>
                  <w14:solidFill>
                    <w14:schemeClr w14:val="tx1"/>
                  </w14:solidFill>
                </w14:textFill>
              </w:rPr>
              <w:t>社会保险凭证</w:t>
            </w:r>
            <w:bookmarkEnd w:id="1117"/>
            <w:r>
              <w:rPr>
                <w:rFonts w:hint="eastAsia" w:ascii="宋体" w:hAnsi="宋体" w:eastAsia="宋体" w:cs="宋体"/>
                <w:color w:val="000000" w:themeColor="text1"/>
                <w:szCs w:val="21"/>
                <w:highlight w:val="none"/>
                <w:lang w:bidi="ar"/>
                <w14:textFill>
                  <w14:solidFill>
                    <w14:schemeClr w14:val="tx1"/>
                  </w14:solidFill>
                </w14:textFill>
              </w:rPr>
              <w:t>复印件加盖投标人公章。</w:t>
            </w:r>
          </w:p>
        </w:tc>
        <w:tc>
          <w:tcPr>
            <w:tcW w:w="394" w:type="pct"/>
            <w:tcBorders>
              <w:top w:val="single" w:color="auto" w:sz="4" w:space="0"/>
              <w:left w:val="single" w:color="auto" w:sz="4" w:space="0"/>
              <w:bottom w:val="single" w:color="auto" w:sz="4" w:space="0"/>
              <w:right w:val="single" w:color="auto" w:sz="4" w:space="0"/>
            </w:tcBorders>
            <w:vAlign w:val="center"/>
          </w:tcPr>
          <w:p w14:paraId="6C3C597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r>
      <w:tr w14:paraId="4532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Merge w:val="continue"/>
            <w:tcBorders>
              <w:left w:val="single" w:color="auto" w:sz="4" w:space="0"/>
              <w:bottom w:val="single" w:color="auto" w:sz="4" w:space="0"/>
              <w:right w:val="single" w:color="auto" w:sz="4" w:space="0"/>
            </w:tcBorders>
            <w:vAlign w:val="center"/>
          </w:tcPr>
          <w:p w14:paraId="0D24CE5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bookmarkStart w:id="1118" w:name="OLE_LINK214" w:colFirst="1" w:colLast="1"/>
          </w:p>
        </w:tc>
        <w:tc>
          <w:tcPr>
            <w:tcW w:w="491" w:type="pct"/>
            <w:vMerge w:val="continue"/>
            <w:tcBorders>
              <w:left w:val="single" w:color="auto" w:sz="4" w:space="0"/>
              <w:bottom w:val="single" w:color="auto" w:sz="4" w:space="0"/>
              <w:right w:val="single" w:color="auto" w:sz="4" w:space="0"/>
            </w:tcBorders>
            <w:vAlign w:val="center"/>
          </w:tcPr>
          <w:p w14:paraId="580BECF7">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p>
        </w:tc>
        <w:tc>
          <w:tcPr>
            <w:tcW w:w="491" w:type="pct"/>
            <w:tcBorders>
              <w:top w:val="single" w:color="auto" w:sz="4" w:space="0"/>
              <w:left w:val="single" w:color="auto" w:sz="4" w:space="0"/>
              <w:bottom w:val="single" w:color="auto" w:sz="4" w:space="0"/>
              <w:right w:val="single" w:color="auto" w:sz="4" w:space="0"/>
            </w:tcBorders>
            <w:vAlign w:val="center"/>
          </w:tcPr>
          <w:p w14:paraId="5C8E9D04">
            <w:pPr>
              <w:spacing w:line="360" w:lineRule="exact"/>
              <w:jc w:val="center"/>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团队人员（除项目负责人外）</w:t>
            </w:r>
          </w:p>
        </w:tc>
        <w:tc>
          <w:tcPr>
            <w:tcW w:w="3337" w:type="pct"/>
            <w:tcBorders>
              <w:top w:val="single" w:color="auto" w:sz="4" w:space="0"/>
              <w:left w:val="single" w:color="auto" w:sz="4" w:space="0"/>
              <w:bottom w:val="single" w:color="auto" w:sz="4" w:space="0"/>
              <w:right w:val="single" w:color="auto" w:sz="4" w:space="0"/>
            </w:tcBorders>
            <w:vAlign w:val="center"/>
          </w:tcPr>
          <w:p w14:paraId="662A81C3">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根据各投标人拟投入本项目的团队人员（除项目负责人外）进行评审：</w:t>
            </w:r>
          </w:p>
          <w:p w14:paraId="07C0F17B">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①具备工程类专业中级（或以上）工程师职称，每提供一人得1分，本</w:t>
            </w:r>
            <w:bookmarkStart w:id="1119" w:name="OLE_LINK207"/>
            <w:r>
              <w:rPr>
                <w:rFonts w:hint="eastAsia" w:ascii="宋体" w:hAnsi="宋体" w:eastAsia="宋体" w:cs="宋体"/>
                <w:color w:val="000000" w:themeColor="text1"/>
                <w:szCs w:val="21"/>
                <w:highlight w:val="none"/>
                <w:lang w:bidi="ar"/>
                <w14:textFill>
                  <w14:solidFill>
                    <w14:schemeClr w14:val="tx1"/>
                  </w14:solidFill>
                </w14:textFill>
              </w:rPr>
              <w:t>子</w:t>
            </w:r>
            <w:bookmarkEnd w:id="1119"/>
            <w:r>
              <w:rPr>
                <w:rFonts w:hint="eastAsia" w:ascii="宋体" w:hAnsi="宋体" w:eastAsia="宋体" w:cs="宋体"/>
                <w:color w:val="000000" w:themeColor="text1"/>
                <w:szCs w:val="21"/>
                <w:highlight w:val="none"/>
                <w:lang w:bidi="ar"/>
                <w14:textFill>
                  <w14:solidFill>
                    <w14:schemeClr w14:val="tx1"/>
                  </w14:solidFill>
                </w14:textFill>
              </w:rPr>
              <w:t>项最高得分2分；</w:t>
            </w:r>
          </w:p>
          <w:p w14:paraId="0FFCB4C8">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②具备在有效期内的《特种作业操作证》</w:t>
            </w:r>
            <w:r>
              <w:rPr>
                <w:rFonts w:ascii="宋体" w:hAnsi="宋体" w:eastAsia="宋体" w:cs="宋体"/>
                <w:color w:val="000000" w:themeColor="text1"/>
                <w:szCs w:val="21"/>
                <w:highlight w:val="none"/>
                <w:lang w:bidi="ar"/>
                <w14:textFill>
                  <w14:solidFill>
                    <w14:schemeClr w14:val="tx1"/>
                  </w14:solidFill>
                </w14:textFill>
              </w:rPr>
              <w:t>(作业类别为电工作业，操作项目为高压电工作业或低压电工作业)</w:t>
            </w:r>
            <w:r>
              <w:rPr>
                <w:rFonts w:hint="eastAsia" w:ascii="宋体" w:hAnsi="宋体" w:eastAsia="宋体" w:cs="宋体"/>
                <w:color w:val="000000" w:themeColor="text1"/>
                <w:szCs w:val="21"/>
                <w:highlight w:val="none"/>
                <w:lang w:bidi="ar"/>
                <w14:textFill>
                  <w14:solidFill>
                    <w14:schemeClr w14:val="tx1"/>
                  </w14:solidFill>
                </w14:textFill>
              </w:rPr>
              <w:t>，每提供一人得1分，本子项最高得2分；</w:t>
            </w:r>
          </w:p>
          <w:p w14:paraId="6CB01FDD">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③具备在有效期内的《特种作业操作证》</w:t>
            </w:r>
            <w:r>
              <w:rPr>
                <w:rFonts w:ascii="宋体" w:hAnsi="宋体" w:eastAsia="宋体" w:cs="宋体"/>
                <w:color w:val="000000" w:themeColor="text1"/>
                <w:szCs w:val="21"/>
                <w:highlight w:val="none"/>
                <w:lang w:bidi="ar"/>
                <w14:textFill>
                  <w14:solidFill>
                    <w14:schemeClr w14:val="tx1"/>
                  </w14:solidFill>
                </w14:textFill>
              </w:rPr>
              <w:t>(作业类别为高处作业，操作项目为高处安装、维护、拆除作业)</w:t>
            </w:r>
            <w:r>
              <w:rPr>
                <w:rFonts w:hint="eastAsia" w:ascii="宋体" w:hAnsi="宋体" w:eastAsia="宋体" w:cs="宋体"/>
                <w:color w:val="000000" w:themeColor="text1"/>
                <w:szCs w:val="21"/>
                <w:highlight w:val="none"/>
                <w:lang w:bidi="ar"/>
                <w14:textFill>
                  <w14:solidFill>
                    <w14:schemeClr w14:val="tx1"/>
                  </w14:solidFill>
                </w14:textFill>
              </w:rPr>
              <w:t>，每提供一人得1分，</w:t>
            </w:r>
            <w:bookmarkStart w:id="1120" w:name="OLE_LINK210"/>
            <w:r>
              <w:rPr>
                <w:rFonts w:hint="eastAsia" w:ascii="宋体" w:hAnsi="宋体" w:eastAsia="宋体" w:cs="宋体"/>
                <w:color w:val="000000" w:themeColor="text1"/>
                <w:szCs w:val="21"/>
                <w:highlight w:val="none"/>
                <w:lang w:bidi="ar"/>
                <w14:textFill>
                  <w14:solidFill>
                    <w14:schemeClr w14:val="tx1"/>
                  </w14:solidFill>
                </w14:textFill>
              </w:rPr>
              <w:t>本子项</w:t>
            </w:r>
            <w:bookmarkEnd w:id="1120"/>
            <w:r>
              <w:rPr>
                <w:rFonts w:hint="eastAsia" w:ascii="宋体" w:hAnsi="宋体" w:eastAsia="宋体" w:cs="宋体"/>
                <w:color w:val="000000" w:themeColor="text1"/>
                <w:szCs w:val="21"/>
                <w:highlight w:val="none"/>
                <w:lang w:bidi="ar"/>
                <w14:textFill>
                  <w14:solidFill>
                    <w14:schemeClr w14:val="tx1"/>
                  </w14:solidFill>
                </w14:textFill>
              </w:rPr>
              <w:t>最高得2分；</w:t>
            </w:r>
          </w:p>
          <w:p w14:paraId="3BC35EDE">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④具备在有效期内的《特种作业操作证》</w:t>
            </w:r>
            <w:r>
              <w:rPr>
                <w:rFonts w:ascii="宋体" w:hAnsi="宋体" w:eastAsia="宋体" w:cs="宋体"/>
                <w:color w:val="000000" w:themeColor="text1"/>
                <w:szCs w:val="21"/>
                <w:highlight w:val="none"/>
                <w:lang w:bidi="ar"/>
                <w14:textFill>
                  <w14:solidFill>
                    <w14:schemeClr w14:val="tx1"/>
                  </w14:solidFill>
                </w14:textFill>
              </w:rPr>
              <w:t>(作业类别为焊接与热切割作业，操作项目为熔化焊接与热切割作业)</w:t>
            </w:r>
            <w:r>
              <w:rPr>
                <w:rFonts w:hint="eastAsia" w:ascii="宋体" w:hAnsi="宋体" w:eastAsia="宋体" w:cs="宋体"/>
                <w:color w:val="000000" w:themeColor="text1"/>
                <w:szCs w:val="21"/>
                <w:highlight w:val="none"/>
                <w:lang w:bidi="ar"/>
                <w14:textFill>
                  <w14:solidFill>
                    <w14:schemeClr w14:val="tx1"/>
                  </w14:solidFill>
                </w14:textFill>
              </w:rPr>
              <w:t>，每提供人得1分，本子项最高得2分；</w:t>
            </w:r>
          </w:p>
          <w:p w14:paraId="511B2E9C">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本项最高得8分。</w:t>
            </w:r>
          </w:p>
          <w:p w14:paraId="1AD7E6D9">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bookmarkStart w:id="1121" w:name="OLE_LINK202"/>
            <w:r>
              <w:rPr>
                <w:rFonts w:hint="eastAsia" w:ascii="宋体" w:hAnsi="宋体" w:eastAsia="宋体" w:cs="宋体"/>
                <w:color w:val="000000" w:themeColor="text1"/>
                <w:szCs w:val="21"/>
                <w:highlight w:val="none"/>
                <w:lang w:bidi="ar"/>
                <w14:textFill>
                  <w14:solidFill>
                    <w14:schemeClr w14:val="tx1"/>
                  </w14:solidFill>
                </w14:textFill>
              </w:rPr>
              <w:t>注：①若为联合体投标的，联合体任意一方提供的人员满足要求均予以认可；②以上人员不得重复得分，若同一人员同时具有上述证书的，按最高分值计算一次得分，不重复计分；③须提供有效的相关证书复印件</w:t>
            </w:r>
            <w:bookmarkStart w:id="1122" w:name="OLE_LINK352"/>
            <w:r>
              <w:rPr>
                <w:rFonts w:hint="eastAsia" w:ascii="宋体" w:hAnsi="宋体" w:eastAsia="宋体" w:cs="宋体"/>
                <w:color w:val="000000" w:themeColor="text1"/>
                <w:szCs w:val="21"/>
                <w:highlight w:val="none"/>
                <w:lang w:bidi="ar"/>
                <w14:textFill>
                  <w14:solidFill>
                    <w14:schemeClr w14:val="tx1"/>
                  </w14:solidFill>
                </w14:textFill>
              </w:rPr>
              <w:t>加盖投标人公章，并提供由人力资源和社会保障部门（或税务部门）出具的投标人</w:t>
            </w:r>
            <w:bookmarkStart w:id="1123" w:name="OLE_LINK211"/>
            <w:r>
              <w:rPr>
                <w:rFonts w:hint="eastAsia" w:ascii="宋体" w:hAnsi="宋体" w:eastAsia="宋体" w:cs="宋体"/>
                <w:color w:val="000000" w:themeColor="text1"/>
                <w:szCs w:val="21"/>
                <w:highlight w:val="none"/>
                <w:lang w:bidi="ar"/>
                <w14:textFill>
                  <w14:solidFill>
                    <w14:schemeClr w14:val="tx1"/>
                  </w14:solidFill>
                </w14:textFill>
              </w:rPr>
              <w:t>2024年</w:t>
            </w:r>
            <w:r>
              <w:rPr>
                <w:rFonts w:ascii="宋体" w:hAnsi="宋体" w:eastAsia="宋体" w:cs="宋体"/>
                <w:color w:val="000000" w:themeColor="text1"/>
                <w:szCs w:val="21"/>
                <w:highlight w:val="none"/>
                <w:lang w:bidi="ar"/>
                <w14:textFill>
                  <w14:solidFill>
                    <w14:schemeClr w14:val="tx1"/>
                  </w14:solidFill>
                </w14:textFill>
              </w:rPr>
              <w:t>2</w:t>
            </w:r>
            <w:r>
              <w:rPr>
                <w:rFonts w:hint="eastAsia" w:ascii="宋体" w:hAnsi="宋体" w:eastAsia="宋体" w:cs="宋体"/>
                <w:color w:val="000000" w:themeColor="text1"/>
                <w:szCs w:val="21"/>
                <w:highlight w:val="none"/>
                <w:lang w:bidi="ar"/>
                <w14:textFill>
                  <w14:solidFill>
                    <w14:schemeClr w14:val="tx1"/>
                  </w14:solidFill>
                </w14:textFill>
              </w:rPr>
              <w:t>月至2024年</w:t>
            </w:r>
            <w:r>
              <w:rPr>
                <w:rFonts w:ascii="宋体" w:hAnsi="宋体" w:eastAsia="宋体" w:cs="宋体"/>
                <w:color w:val="000000" w:themeColor="text1"/>
                <w:szCs w:val="21"/>
                <w:highlight w:val="none"/>
                <w:lang w:bidi="ar"/>
                <w14:textFill>
                  <w14:solidFill>
                    <w14:schemeClr w14:val="tx1"/>
                  </w14:solidFill>
                </w14:textFill>
              </w:rPr>
              <w:t>7</w:t>
            </w:r>
            <w:r>
              <w:rPr>
                <w:rFonts w:hint="eastAsia" w:ascii="宋体" w:hAnsi="宋体" w:eastAsia="宋体" w:cs="宋体"/>
                <w:color w:val="000000" w:themeColor="text1"/>
                <w:szCs w:val="21"/>
                <w:highlight w:val="none"/>
                <w:lang w:bidi="ar"/>
                <w14:textFill>
                  <w14:solidFill>
                    <w14:schemeClr w14:val="tx1"/>
                  </w14:solidFill>
                </w14:textFill>
              </w:rPr>
              <w:t>月</w:t>
            </w:r>
            <w:bookmarkEnd w:id="1123"/>
            <w:r>
              <w:rPr>
                <w:rFonts w:hint="eastAsia" w:ascii="宋体" w:hAnsi="宋体" w:eastAsia="宋体" w:cs="宋体"/>
                <w:color w:val="000000" w:themeColor="text1"/>
                <w:szCs w:val="21"/>
                <w:highlight w:val="none"/>
                <w:lang w:bidi="ar"/>
                <w14:textFill>
                  <w14:solidFill>
                    <w14:schemeClr w14:val="tx1"/>
                  </w14:solidFill>
                </w14:textFill>
              </w:rPr>
              <w:t>为其缴纳的社会保险凭证复印件加盖投标人公章</w:t>
            </w:r>
            <w:bookmarkEnd w:id="1122"/>
            <w:r>
              <w:rPr>
                <w:rFonts w:hint="eastAsia" w:ascii="宋体" w:hAnsi="宋体" w:eastAsia="宋体" w:cs="宋体"/>
                <w:color w:val="000000" w:themeColor="text1"/>
                <w:szCs w:val="21"/>
                <w:highlight w:val="none"/>
                <w:lang w:bidi="ar"/>
                <w14:textFill>
                  <w14:solidFill>
                    <w14:schemeClr w14:val="tx1"/>
                  </w14:solidFill>
                </w14:textFill>
              </w:rPr>
              <w:t>。</w:t>
            </w:r>
            <w:bookmarkEnd w:id="1121"/>
          </w:p>
        </w:tc>
        <w:tc>
          <w:tcPr>
            <w:tcW w:w="394" w:type="pct"/>
            <w:tcBorders>
              <w:top w:val="single" w:color="auto" w:sz="4" w:space="0"/>
              <w:left w:val="single" w:color="auto" w:sz="4" w:space="0"/>
              <w:bottom w:val="single" w:color="auto" w:sz="4" w:space="0"/>
              <w:right w:val="single" w:color="auto" w:sz="4" w:space="0"/>
            </w:tcBorders>
            <w:vAlign w:val="center"/>
          </w:tcPr>
          <w:p w14:paraId="67BFD3F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r>
      <w:bookmarkEnd w:id="1108"/>
      <w:bookmarkEnd w:id="1109"/>
      <w:bookmarkEnd w:id="1110"/>
      <w:tr w14:paraId="1FF8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46CFDC0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491" w:type="pct"/>
            <w:tcBorders>
              <w:top w:val="single" w:color="auto" w:sz="4" w:space="0"/>
              <w:left w:val="single" w:color="auto" w:sz="4" w:space="0"/>
              <w:bottom w:val="single" w:color="auto" w:sz="4" w:space="0"/>
              <w:right w:val="single" w:color="auto" w:sz="4" w:space="0"/>
            </w:tcBorders>
            <w:vAlign w:val="center"/>
          </w:tcPr>
          <w:p w14:paraId="2F37D80C">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bookmarkStart w:id="1124" w:name="OLE_LINK238"/>
            <w:bookmarkStart w:id="1125" w:name="OLE_LINK247"/>
            <w:r>
              <w:rPr>
                <w:rFonts w:hint="eastAsia" w:ascii="宋体" w:hAnsi="宋体" w:eastAsia="宋体" w:cs="宋体"/>
                <w:color w:val="000000" w:themeColor="text1"/>
                <w:szCs w:val="21"/>
                <w:highlight w:val="none"/>
                <w:lang w:bidi="ar"/>
                <w14:textFill>
                  <w14:solidFill>
                    <w14:schemeClr w14:val="tx1"/>
                  </w14:solidFill>
                </w14:textFill>
              </w:rPr>
              <w:t>系统总体设计</w:t>
            </w:r>
            <w:bookmarkEnd w:id="1124"/>
          </w:p>
        </w:tc>
        <w:tc>
          <w:tcPr>
            <w:tcW w:w="491" w:type="pct"/>
            <w:tcBorders>
              <w:top w:val="single" w:color="auto" w:sz="4" w:space="0"/>
              <w:left w:val="single" w:color="auto" w:sz="4" w:space="0"/>
              <w:bottom w:val="single" w:color="auto" w:sz="4" w:space="0"/>
              <w:right w:val="single" w:color="auto" w:sz="4" w:space="0"/>
            </w:tcBorders>
            <w:vAlign w:val="center"/>
          </w:tcPr>
          <w:p w14:paraId="0C681B5B">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设计方案</w:t>
            </w:r>
            <w:bookmarkEnd w:id="1125"/>
          </w:p>
        </w:tc>
        <w:tc>
          <w:tcPr>
            <w:tcW w:w="3337" w:type="pct"/>
            <w:tcBorders>
              <w:top w:val="single" w:color="auto" w:sz="4" w:space="0"/>
              <w:left w:val="single" w:color="auto" w:sz="4" w:space="0"/>
              <w:bottom w:val="single" w:color="auto" w:sz="4" w:space="0"/>
              <w:right w:val="single" w:color="auto" w:sz="4" w:space="0"/>
            </w:tcBorders>
            <w:vAlign w:val="center"/>
          </w:tcPr>
          <w:p w14:paraId="10EE211E">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根据各投标人针对本项目提供的技术方案，包括但不限于对本项目重点难点分析、场地分析、整体规划布置、技术措施、设计服务承诺等进行评审： </w:t>
            </w:r>
          </w:p>
          <w:p w14:paraId="1A793213">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优：对用户需求和问题分析清晰深刻，有全面且详细的方案内容描述，具体功能实现描述详尽，</w:t>
            </w:r>
            <w:bookmarkStart w:id="1126" w:name="OLE_LINK184"/>
            <w:r>
              <w:rPr>
                <w:rFonts w:hint="eastAsia" w:ascii="宋体" w:hAnsi="宋体" w:eastAsia="宋体" w:cs="宋体"/>
                <w:color w:val="000000" w:themeColor="text1"/>
                <w:szCs w:val="21"/>
                <w:highlight w:val="none"/>
                <w:lang w:bidi="ar"/>
                <w14:textFill>
                  <w14:solidFill>
                    <w14:schemeClr w14:val="tx1"/>
                  </w14:solidFill>
                </w14:textFill>
              </w:rPr>
              <w:t>可实施程度高</w:t>
            </w:r>
            <w:bookmarkEnd w:id="1126"/>
            <w:r>
              <w:rPr>
                <w:rFonts w:hint="eastAsia" w:ascii="宋体" w:hAnsi="宋体" w:eastAsia="宋体" w:cs="宋体"/>
                <w:color w:val="000000" w:themeColor="text1"/>
                <w:szCs w:val="21"/>
                <w:highlight w:val="none"/>
                <w:lang w:bidi="ar"/>
                <w14:textFill>
                  <w14:solidFill>
                    <w14:schemeClr w14:val="tx1"/>
                  </w14:solidFill>
                </w14:textFill>
              </w:rPr>
              <w:t>，得[3-2]分；</w:t>
            </w:r>
          </w:p>
          <w:p w14:paraId="3682C2E4">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良：</w:t>
            </w:r>
            <w:bookmarkStart w:id="1127" w:name="OLE_LINK185"/>
            <w:r>
              <w:rPr>
                <w:rFonts w:hint="eastAsia" w:ascii="宋体" w:hAnsi="宋体" w:eastAsia="宋体" w:cs="宋体"/>
                <w:color w:val="000000" w:themeColor="text1"/>
                <w:szCs w:val="21"/>
                <w:highlight w:val="none"/>
                <w:lang w:bidi="ar"/>
                <w14:textFill>
                  <w14:solidFill>
                    <w14:schemeClr w14:val="tx1"/>
                  </w14:solidFill>
                </w14:textFill>
              </w:rPr>
              <w:t>对用户需求和问题分析基本清晰，</w:t>
            </w:r>
            <w:bookmarkEnd w:id="1127"/>
            <w:bookmarkStart w:id="1128" w:name="OLE_LINK188"/>
            <w:r>
              <w:rPr>
                <w:rFonts w:hint="eastAsia" w:ascii="宋体" w:hAnsi="宋体" w:eastAsia="宋体" w:cs="宋体"/>
                <w:color w:val="000000" w:themeColor="text1"/>
                <w:szCs w:val="21"/>
                <w:highlight w:val="none"/>
                <w:lang w:bidi="ar"/>
                <w14:textFill>
                  <w14:solidFill>
                    <w14:schemeClr w14:val="tx1"/>
                  </w14:solidFill>
                </w14:textFill>
              </w:rPr>
              <w:t>有较为全面的</w:t>
            </w:r>
            <w:bookmarkStart w:id="1129" w:name="OLE_LINK187"/>
            <w:r>
              <w:rPr>
                <w:rFonts w:hint="eastAsia" w:ascii="宋体" w:hAnsi="宋体" w:eastAsia="宋体" w:cs="宋体"/>
                <w:color w:val="000000" w:themeColor="text1"/>
                <w:szCs w:val="21"/>
                <w:highlight w:val="none"/>
                <w:lang w:bidi="ar"/>
                <w14:textFill>
                  <w14:solidFill>
                    <w14:schemeClr w14:val="tx1"/>
                  </w14:solidFill>
                </w14:textFill>
              </w:rPr>
              <w:t>方案内容描述</w:t>
            </w:r>
            <w:bookmarkEnd w:id="1129"/>
            <w:r>
              <w:rPr>
                <w:rFonts w:hint="eastAsia" w:ascii="宋体" w:hAnsi="宋体" w:eastAsia="宋体" w:cs="宋体"/>
                <w:color w:val="000000" w:themeColor="text1"/>
                <w:szCs w:val="21"/>
                <w:highlight w:val="none"/>
                <w:lang w:bidi="ar"/>
                <w14:textFill>
                  <w14:solidFill>
                    <w14:schemeClr w14:val="tx1"/>
                  </w14:solidFill>
                </w14:textFill>
              </w:rPr>
              <w:t>，</w:t>
            </w:r>
            <w:bookmarkEnd w:id="1128"/>
            <w:r>
              <w:rPr>
                <w:rFonts w:hint="eastAsia" w:ascii="宋体" w:hAnsi="宋体" w:eastAsia="宋体" w:cs="宋体"/>
                <w:color w:val="000000" w:themeColor="text1"/>
                <w:szCs w:val="21"/>
                <w:highlight w:val="none"/>
                <w:lang w:bidi="ar"/>
                <w14:textFill>
                  <w14:solidFill>
                    <w14:schemeClr w14:val="tx1"/>
                  </w14:solidFill>
                </w14:textFill>
              </w:rPr>
              <w:t>具体功能实现描述欠详尽，</w:t>
            </w:r>
            <w:bookmarkStart w:id="1130" w:name="OLE_LINK189"/>
            <w:r>
              <w:rPr>
                <w:rFonts w:hint="eastAsia" w:ascii="宋体" w:hAnsi="宋体" w:eastAsia="宋体" w:cs="宋体"/>
                <w:color w:val="000000" w:themeColor="text1"/>
                <w:szCs w:val="21"/>
                <w:highlight w:val="none"/>
                <w:lang w:bidi="ar"/>
                <w14:textFill>
                  <w14:solidFill>
                    <w14:schemeClr w14:val="tx1"/>
                  </w14:solidFill>
                </w14:textFill>
              </w:rPr>
              <w:t>可实施程度较高，</w:t>
            </w:r>
            <w:bookmarkEnd w:id="1130"/>
            <w:r>
              <w:rPr>
                <w:rFonts w:hint="eastAsia" w:ascii="宋体" w:hAnsi="宋体" w:eastAsia="宋体" w:cs="宋体"/>
                <w:color w:val="000000" w:themeColor="text1"/>
                <w:szCs w:val="21"/>
                <w:highlight w:val="none"/>
                <w:lang w:bidi="ar"/>
                <w14:textFill>
                  <w14:solidFill>
                    <w14:schemeClr w14:val="tx1"/>
                  </w14:solidFill>
                </w14:textFill>
              </w:rPr>
              <w:t>得（2-1]分；</w:t>
            </w:r>
          </w:p>
          <w:p w14:paraId="517B8350">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中：对用户需求和问题分析一般，</w:t>
            </w:r>
            <w:bookmarkStart w:id="1131" w:name="OLE_LINK196"/>
            <w:r>
              <w:rPr>
                <w:rFonts w:hint="eastAsia" w:ascii="宋体" w:hAnsi="宋体" w:eastAsia="宋体" w:cs="宋体"/>
                <w:color w:val="000000" w:themeColor="text1"/>
                <w:szCs w:val="21"/>
                <w:highlight w:val="none"/>
                <w:lang w:bidi="ar"/>
                <w14:textFill>
                  <w14:solidFill>
                    <w14:schemeClr w14:val="tx1"/>
                  </w14:solidFill>
                </w14:textFill>
              </w:rPr>
              <w:t>有简单的</w:t>
            </w:r>
            <w:bookmarkStart w:id="1132" w:name="OLE_LINK195"/>
            <w:r>
              <w:rPr>
                <w:rFonts w:hint="eastAsia" w:ascii="宋体" w:hAnsi="宋体" w:eastAsia="宋体" w:cs="宋体"/>
                <w:color w:val="000000" w:themeColor="text1"/>
                <w:szCs w:val="21"/>
                <w:highlight w:val="none"/>
                <w:lang w:bidi="ar"/>
                <w14:textFill>
                  <w14:solidFill>
                    <w14:schemeClr w14:val="tx1"/>
                  </w14:solidFill>
                </w14:textFill>
              </w:rPr>
              <w:t>方案内容描述</w:t>
            </w:r>
            <w:bookmarkEnd w:id="1131"/>
            <w:bookmarkEnd w:id="1132"/>
            <w:r>
              <w:rPr>
                <w:rFonts w:hint="eastAsia" w:ascii="宋体" w:hAnsi="宋体" w:eastAsia="宋体" w:cs="宋体"/>
                <w:color w:val="000000" w:themeColor="text1"/>
                <w:szCs w:val="21"/>
                <w:highlight w:val="none"/>
                <w:lang w:bidi="ar"/>
                <w14:textFill>
                  <w14:solidFill>
                    <w14:schemeClr w14:val="tx1"/>
                  </w14:solidFill>
                </w14:textFill>
              </w:rPr>
              <w:t>，具体功能实现描述存在缺失，</w:t>
            </w:r>
            <w:bookmarkStart w:id="1133" w:name="OLE_LINK192"/>
            <w:r>
              <w:rPr>
                <w:rFonts w:hint="eastAsia" w:ascii="宋体" w:hAnsi="宋体" w:eastAsia="宋体" w:cs="宋体"/>
                <w:color w:val="000000" w:themeColor="text1"/>
                <w:szCs w:val="21"/>
                <w:highlight w:val="none"/>
                <w:lang w:bidi="ar"/>
                <w14:textFill>
                  <w14:solidFill>
                    <w14:schemeClr w14:val="tx1"/>
                  </w14:solidFill>
                </w14:textFill>
              </w:rPr>
              <w:t>可实施程度一般，</w:t>
            </w:r>
            <w:bookmarkEnd w:id="1133"/>
            <w:r>
              <w:rPr>
                <w:rFonts w:hint="eastAsia" w:ascii="宋体" w:hAnsi="宋体" w:eastAsia="宋体" w:cs="宋体"/>
                <w:color w:val="000000" w:themeColor="text1"/>
                <w:szCs w:val="21"/>
                <w:highlight w:val="none"/>
                <w:lang w:bidi="ar"/>
                <w14:textFill>
                  <w14:solidFill>
                    <w14:schemeClr w14:val="tx1"/>
                  </w14:solidFill>
                </w14:textFill>
              </w:rPr>
              <w:t>得（1-0.5]分；</w:t>
            </w:r>
          </w:p>
          <w:p w14:paraId="0A696FC7">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差：对用户需求和问题分析简单，有简单的方案内容描述，具体功能实现描述严重缺失，</w:t>
            </w:r>
            <w:bookmarkStart w:id="1134" w:name="OLE_LINK193"/>
            <w:r>
              <w:rPr>
                <w:rFonts w:hint="eastAsia" w:ascii="宋体" w:hAnsi="宋体" w:eastAsia="宋体" w:cs="宋体"/>
                <w:color w:val="000000" w:themeColor="text1"/>
                <w:szCs w:val="21"/>
                <w:highlight w:val="none"/>
                <w:lang w:bidi="ar"/>
                <w14:textFill>
                  <w14:solidFill>
                    <w14:schemeClr w14:val="tx1"/>
                  </w14:solidFill>
                </w14:textFill>
              </w:rPr>
              <w:t>可实施程度低</w:t>
            </w:r>
            <w:bookmarkEnd w:id="1134"/>
            <w:r>
              <w:rPr>
                <w:rFonts w:hint="eastAsia" w:ascii="宋体" w:hAnsi="宋体" w:eastAsia="宋体" w:cs="宋体"/>
                <w:color w:val="000000" w:themeColor="text1"/>
                <w:szCs w:val="21"/>
                <w:highlight w:val="none"/>
                <w:lang w:bidi="ar"/>
                <w14:textFill>
                  <w14:solidFill>
                    <w14:schemeClr w14:val="tx1"/>
                  </w14:solidFill>
                </w14:textFill>
              </w:rPr>
              <w:t>，得（0.5-0]分。</w:t>
            </w:r>
          </w:p>
        </w:tc>
        <w:tc>
          <w:tcPr>
            <w:tcW w:w="394" w:type="pct"/>
            <w:tcBorders>
              <w:top w:val="single" w:color="auto" w:sz="4" w:space="0"/>
              <w:left w:val="single" w:color="auto" w:sz="4" w:space="0"/>
              <w:bottom w:val="single" w:color="auto" w:sz="4" w:space="0"/>
              <w:right w:val="single" w:color="auto" w:sz="4" w:space="0"/>
            </w:tcBorders>
            <w:vAlign w:val="center"/>
          </w:tcPr>
          <w:p w14:paraId="09F1E55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r>
      <w:tr w14:paraId="5BA4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Merge w:val="restart"/>
            <w:tcBorders>
              <w:top w:val="single" w:color="auto" w:sz="4" w:space="0"/>
              <w:left w:val="single" w:color="auto" w:sz="4" w:space="0"/>
              <w:right w:val="single" w:color="auto" w:sz="4" w:space="0"/>
            </w:tcBorders>
            <w:vAlign w:val="center"/>
          </w:tcPr>
          <w:p w14:paraId="23F1AE2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bookmarkStart w:id="1135" w:name="OLE_LINK205" w:colFirst="1" w:colLast="1"/>
            <w:r>
              <w:rPr>
                <w:rFonts w:hint="eastAsia" w:ascii="宋体" w:hAnsi="宋体" w:eastAsia="宋体" w:cs="宋体"/>
                <w:color w:val="000000" w:themeColor="text1"/>
                <w:kern w:val="0"/>
                <w:szCs w:val="21"/>
                <w:highlight w:val="none"/>
                <w14:textFill>
                  <w14:solidFill>
                    <w14:schemeClr w14:val="tx1"/>
                  </w14:solidFill>
                </w14:textFill>
              </w:rPr>
              <w:t>4</w:t>
            </w:r>
          </w:p>
        </w:tc>
        <w:tc>
          <w:tcPr>
            <w:tcW w:w="491" w:type="pct"/>
            <w:vMerge w:val="restart"/>
            <w:tcBorders>
              <w:top w:val="single" w:color="auto" w:sz="4" w:space="0"/>
              <w:left w:val="single" w:color="auto" w:sz="4" w:space="0"/>
              <w:right w:val="single" w:color="auto" w:sz="4" w:space="0"/>
            </w:tcBorders>
            <w:vAlign w:val="center"/>
          </w:tcPr>
          <w:p w14:paraId="09B40184">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bookmarkStart w:id="1136" w:name="OLE_LINK239"/>
            <w:bookmarkStart w:id="1137" w:name="OLE_LINK254"/>
            <w:r>
              <w:rPr>
                <w:rFonts w:hint="eastAsia" w:ascii="宋体" w:hAnsi="宋体" w:eastAsia="宋体" w:cs="宋体"/>
                <w:color w:val="000000" w:themeColor="text1"/>
                <w:szCs w:val="21"/>
                <w:highlight w:val="none"/>
                <w:lang w:bidi="ar"/>
                <w14:textFill>
                  <w14:solidFill>
                    <w14:schemeClr w14:val="tx1"/>
                  </w14:solidFill>
                </w14:textFill>
              </w:rPr>
              <w:t>项目管理和项目</w:t>
            </w:r>
            <w:bookmarkStart w:id="1138" w:name="OLE_LINK179"/>
            <w:r>
              <w:rPr>
                <w:rFonts w:hint="eastAsia" w:ascii="宋体" w:hAnsi="宋体" w:eastAsia="宋体" w:cs="宋体"/>
                <w:color w:val="000000" w:themeColor="text1"/>
                <w:szCs w:val="21"/>
                <w:highlight w:val="none"/>
                <w:lang w:bidi="ar"/>
                <w14:textFill>
                  <w14:solidFill>
                    <w14:schemeClr w14:val="tx1"/>
                  </w14:solidFill>
                </w14:textFill>
              </w:rPr>
              <w:t>实施</w:t>
            </w:r>
            <w:bookmarkEnd w:id="1138"/>
            <w:r>
              <w:rPr>
                <w:rFonts w:hint="eastAsia" w:ascii="宋体" w:hAnsi="宋体" w:eastAsia="宋体" w:cs="宋体"/>
                <w:color w:val="000000" w:themeColor="text1"/>
                <w:szCs w:val="21"/>
                <w:highlight w:val="none"/>
                <w:lang w:bidi="ar"/>
                <w14:textFill>
                  <w14:solidFill>
                    <w14:schemeClr w14:val="tx1"/>
                  </w14:solidFill>
                </w14:textFill>
              </w:rPr>
              <w:t>组织</w:t>
            </w:r>
            <w:bookmarkEnd w:id="1136"/>
          </w:p>
          <w:bookmarkEnd w:id="1137"/>
        </w:tc>
        <w:tc>
          <w:tcPr>
            <w:tcW w:w="491" w:type="pct"/>
            <w:tcBorders>
              <w:top w:val="single" w:color="auto" w:sz="4" w:space="0"/>
              <w:left w:val="single" w:color="auto" w:sz="4" w:space="0"/>
              <w:bottom w:val="single" w:color="auto" w:sz="4" w:space="0"/>
              <w:right w:val="single" w:color="auto" w:sz="4" w:space="0"/>
            </w:tcBorders>
            <w:vAlign w:val="center"/>
          </w:tcPr>
          <w:p w14:paraId="59AAE085">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bookmarkStart w:id="1139" w:name="OLE_LINK183"/>
            <w:r>
              <w:rPr>
                <w:rFonts w:hint="eastAsia" w:ascii="宋体" w:hAnsi="宋体" w:eastAsia="宋体" w:cs="宋体"/>
                <w:color w:val="000000" w:themeColor="text1"/>
                <w:szCs w:val="21"/>
                <w:highlight w:val="none"/>
                <w:lang w:bidi="ar"/>
                <w14:textFill>
                  <w14:solidFill>
                    <w14:schemeClr w14:val="tx1"/>
                  </w14:solidFill>
                </w14:textFill>
              </w:rPr>
              <w:t>项目实施方案</w:t>
            </w:r>
            <w:bookmarkEnd w:id="1139"/>
          </w:p>
        </w:tc>
        <w:tc>
          <w:tcPr>
            <w:tcW w:w="3337" w:type="pct"/>
            <w:tcBorders>
              <w:top w:val="single" w:color="auto" w:sz="4" w:space="0"/>
              <w:left w:val="single" w:color="auto" w:sz="4" w:space="0"/>
              <w:bottom w:val="single" w:color="auto" w:sz="4" w:space="0"/>
              <w:right w:val="single" w:color="auto" w:sz="4" w:space="0"/>
            </w:tcBorders>
            <w:vAlign w:val="center"/>
          </w:tcPr>
          <w:p w14:paraId="0B7437AB">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bookmarkStart w:id="1140" w:name="OLE_LINK178"/>
            <w:r>
              <w:rPr>
                <w:rFonts w:hint="eastAsia" w:ascii="宋体" w:hAnsi="宋体" w:eastAsia="宋体" w:cs="宋体"/>
                <w:color w:val="000000" w:themeColor="text1"/>
                <w:szCs w:val="21"/>
                <w:highlight w:val="none"/>
                <w:lang w:bidi="ar"/>
                <w14:textFill>
                  <w14:solidFill>
                    <w14:schemeClr w14:val="tx1"/>
                  </w14:solidFill>
                </w14:textFill>
              </w:rPr>
              <w:t>根据各投标人提供的项目实施方案，包括</w:t>
            </w:r>
            <w:bookmarkStart w:id="1141" w:name="OLE_LINK186"/>
            <w:r>
              <w:rPr>
                <w:rFonts w:hint="eastAsia" w:ascii="宋体" w:hAnsi="宋体" w:eastAsia="宋体" w:cs="宋体"/>
                <w:color w:val="000000" w:themeColor="text1"/>
                <w:szCs w:val="21"/>
                <w:highlight w:val="none"/>
                <w:lang w:bidi="ar"/>
                <w14:textFill>
                  <w14:solidFill>
                    <w14:schemeClr w14:val="tx1"/>
                  </w14:solidFill>
                </w14:textFill>
              </w:rPr>
              <w:t>项目进度计划、人员机械</w:t>
            </w:r>
            <w:bookmarkEnd w:id="1141"/>
            <w:r>
              <w:rPr>
                <w:rFonts w:hint="eastAsia" w:ascii="宋体" w:hAnsi="宋体" w:eastAsia="宋体" w:cs="宋体"/>
                <w:color w:val="000000" w:themeColor="text1"/>
                <w:szCs w:val="21"/>
                <w:highlight w:val="none"/>
                <w:lang w:bidi="ar"/>
                <w14:textFill>
                  <w14:solidFill>
                    <w14:schemeClr w14:val="tx1"/>
                  </w14:solidFill>
                </w14:textFill>
              </w:rPr>
              <w:t>安排、供货计划、运输方案、安装技术方案、现场总平面布置、并网送电计划、质量保证方案、</w:t>
            </w:r>
            <w:bookmarkStart w:id="1142" w:name="OLE_LINK221"/>
            <w:r>
              <w:rPr>
                <w:rFonts w:hint="eastAsia" w:ascii="宋体" w:hAnsi="宋体" w:eastAsia="宋体" w:cs="宋体"/>
                <w:color w:val="000000" w:themeColor="text1"/>
                <w:szCs w:val="21"/>
                <w:highlight w:val="none"/>
                <w:lang w:bidi="ar"/>
                <w14:textFill>
                  <w14:solidFill>
                    <w14:schemeClr w14:val="tx1"/>
                  </w14:solidFill>
                </w14:textFill>
              </w:rPr>
              <w:t>应急管理</w:t>
            </w:r>
            <w:bookmarkEnd w:id="1142"/>
            <w:r>
              <w:rPr>
                <w:rFonts w:hint="eastAsia" w:ascii="宋体" w:hAnsi="宋体" w:eastAsia="宋体" w:cs="宋体"/>
                <w:color w:val="000000" w:themeColor="text1"/>
                <w:szCs w:val="21"/>
                <w:highlight w:val="none"/>
                <w:lang w:bidi="ar"/>
                <w14:textFill>
                  <w14:solidFill>
                    <w14:schemeClr w14:val="tx1"/>
                  </w14:solidFill>
                </w14:textFill>
              </w:rPr>
              <w:t>方案进行评审：</w:t>
            </w:r>
          </w:p>
          <w:p w14:paraId="04885D70">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优：方案内容全面、思路清晰、与本项目需求高度契合、针对性强、全面科学、可操作性强的，得[</w:t>
            </w:r>
            <w:bookmarkStart w:id="1143" w:name="OLE_LINK517"/>
            <w:r>
              <w:rPr>
                <w:rFonts w:ascii="宋体" w:hAnsi="宋体" w:eastAsia="宋体" w:cs="宋体"/>
                <w:color w:val="000000" w:themeColor="text1"/>
                <w:szCs w:val="21"/>
                <w:highlight w:val="none"/>
                <w:lang w:bidi="ar"/>
                <w14:textFill>
                  <w14:solidFill>
                    <w14:schemeClr w14:val="tx1"/>
                  </w14:solidFill>
                </w14:textFill>
              </w:rPr>
              <w:t>6-</w:t>
            </w:r>
            <w:bookmarkStart w:id="1144" w:name="OLE_LINK229"/>
            <w:r>
              <w:rPr>
                <w:rFonts w:ascii="宋体" w:hAnsi="宋体" w:eastAsia="宋体" w:cs="宋体"/>
                <w:color w:val="000000" w:themeColor="text1"/>
                <w:szCs w:val="21"/>
                <w:highlight w:val="none"/>
                <w:lang w:bidi="ar"/>
                <w14:textFill>
                  <w14:solidFill>
                    <w14:schemeClr w14:val="tx1"/>
                  </w14:solidFill>
                </w14:textFill>
              </w:rPr>
              <w:t>4</w:t>
            </w:r>
            <w:bookmarkEnd w:id="1143"/>
            <w:bookmarkEnd w:id="1144"/>
            <w:r>
              <w:rPr>
                <w:rFonts w:hint="eastAsia" w:ascii="宋体" w:hAnsi="宋体" w:eastAsia="宋体" w:cs="宋体"/>
                <w:color w:val="000000" w:themeColor="text1"/>
                <w:szCs w:val="21"/>
                <w:highlight w:val="none"/>
                <w:lang w:bidi="ar"/>
                <w14:textFill>
                  <w14:solidFill>
                    <w14:schemeClr w14:val="tx1"/>
                  </w14:solidFill>
                </w14:textFill>
              </w:rPr>
              <w:t>]分；</w:t>
            </w:r>
          </w:p>
          <w:p w14:paraId="7E753BA5">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良：方案内容不够全面、思路不够清晰、与本项目需求契合度一般、针对性一般、全面科学性不足、可操作性一般的，得</w:t>
            </w:r>
            <w:bookmarkStart w:id="1145" w:name="OLE_LINK233"/>
            <w:r>
              <w:rPr>
                <w:rFonts w:hint="eastAsia" w:ascii="宋体" w:hAnsi="宋体" w:eastAsia="宋体" w:cs="宋体"/>
                <w:color w:val="000000" w:themeColor="text1"/>
                <w:szCs w:val="21"/>
                <w:highlight w:val="none"/>
                <w:lang w:bidi="ar"/>
                <w14:textFill>
                  <w14:solidFill>
                    <w14:schemeClr w14:val="tx1"/>
                  </w14:solidFill>
                </w14:textFill>
              </w:rPr>
              <w:t>（</w:t>
            </w:r>
            <w:r>
              <w:rPr>
                <w:rFonts w:ascii="宋体" w:hAnsi="宋体" w:eastAsia="宋体" w:cs="宋体"/>
                <w:color w:val="000000" w:themeColor="text1"/>
                <w:szCs w:val="21"/>
                <w:highlight w:val="none"/>
                <w:lang w:bidi="ar"/>
                <w14:textFill>
                  <w14:solidFill>
                    <w14:schemeClr w14:val="tx1"/>
                  </w14:solidFill>
                </w14:textFill>
              </w:rPr>
              <w:t>4-2</w:t>
            </w:r>
            <w:r>
              <w:rPr>
                <w:rFonts w:hint="eastAsia" w:ascii="宋体" w:hAnsi="宋体" w:eastAsia="宋体" w:cs="宋体"/>
                <w:color w:val="000000" w:themeColor="text1"/>
                <w:szCs w:val="21"/>
                <w:highlight w:val="none"/>
                <w:lang w:bidi="ar"/>
                <w14:textFill>
                  <w14:solidFill>
                    <w14:schemeClr w14:val="tx1"/>
                  </w14:solidFill>
                </w14:textFill>
              </w:rPr>
              <w:t>]</w:t>
            </w:r>
            <w:bookmarkEnd w:id="1145"/>
            <w:r>
              <w:rPr>
                <w:rFonts w:hint="eastAsia" w:ascii="宋体" w:hAnsi="宋体" w:eastAsia="宋体" w:cs="宋体"/>
                <w:color w:val="000000" w:themeColor="text1"/>
                <w:szCs w:val="21"/>
                <w:highlight w:val="none"/>
                <w:lang w:bidi="ar"/>
                <w14:textFill>
                  <w14:solidFill>
                    <w14:schemeClr w14:val="tx1"/>
                  </w14:solidFill>
                </w14:textFill>
              </w:rPr>
              <w:t>分；</w:t>
            </w:r>
          </w:p>
          <w:p w14:paraId="727E1E5A">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中：方案内容缺失、思路不清晰、与本项目需求契合度较差、针对性较差、全面科学性缺失、可操作性较差的，得</w:t>
            </w:r>
            <w:bookmarkStart w:id="1146" w:name="OLE_LINK234"/>
            <w:r>
              <w:rPr>
                <w:rFonts w:hint="eastAsia" w:ascii="宋体" w:hAnsi="宋体" w:eastAsia="宋体" w:cs="宋体"/>
                <w:color w:val="000000" w:themeColor="text1"/>
                <w:szCs w:val="21"/>
                <w:highlight w:val="none"/>
                <w:lang w:bidi="ar"/>
                <w14:textFill>
                  <w14:solidFill>
                    <w14:schemeClr w14:val="tx1"/>
                  </w14:solidFill>
                </w14:textFill>
              </w:rPr>
              <w:t>（</w:t>
            </w:r>
            <w:r>
              <w:rPr>
                <w:rFonts w:ascii="宋体" w:hAnsi="宋体" w:eastAsia="宋体" w:cs="宋体"/>
                <w:color w:val="000000" w:themeColor="text1"/>
                <w:szCs w:val="21"/>
                <w:highlight w:val="none"/>
                <w:lang w:bidi="ar"/>
                <w14:textFill>
                  <w14:solidFill>
                    <w14:schemeClr w14:val="tx1"/>
                  </w14:solidFill>
                </w14:textFill>
              </w:rPr>
              <w:t>2-1</w:t>
            </w:r>
            <w:r>
              <w:rPr>
                <w:rFonts w:hint="eastAsia" w:ascii="宋体" w:hAnsi="宋体" w:eastAsia="宋体" w:cs="宋体"/>
                <w:color w:val="000000" w:themeColor="text1"/>
                <w:szCs w:val="21"/>
                <w:highlight w:val="none"/>
                <w:lang w:bidi="ar"/>
                <w14:textFill>
                  <w14:solidFill>
                    <w14:schemeClr w14:val="tx1"/>
                  </w14:solidFill>
                </w14:textFill>
              </w:rPr>
              <w:t>]</w:t>
            </w:r>
            <w:bookmarkEnd w:id="1146"/>
            <w:r>
              <w:rPr>
                <w:rFonts w:hint="eastAsia" w:ascii="宋体" w:hAnsi="宋体" w:eastAsia="宋体" w:cs="宋体"/>
                <w:color w:val="000000" w:themeColor="text1"/>
                <w:szCs w:val="21"/>
                <w:highlight w:val="none"/>
                <w:lang w:bidi="ar"/>
                <w14:textFill>
                  <w14:solidFill>
                    <w14:schemeClr w14:val="tx1"/>
                  </w14:solidFill>
                </w14:textFill>
              </w:rPr>
              <w:t>分；</w:t>
            </w:r>
          </w:p>
          <w:p w14:paraId="6B5F54CF">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差：方案内容严重缺失、无思路、与本项目需求契合度差、针对性差、不全面科学、可操作性差的，得（</w:t>
            </w:r>
            <w:r>
              <w:rPr>
                <w:rFonts w:ascii="宋体" w:hAnsi="宋体" w:eastAsia="宋体" w:cs="宋体"/>
                <w:color w:val="000000" w:themeColor="text1"/>
                <w:szCs w:val="21"/>
                <w:highlight w:val="none"/>
                <w:lang w:bidi="ar"/>
                <w14:textFill>
                  <w14:solidFill>
                    <w14:schemeClr w14:val="tx1"/>
                  </w14:solidFill>
                </w14:textFill>
              </w:rPr>
              <w:t>1</w:t>
            </w:r>
            <w:r>
              <w:rPr>
                <w:rFonts w:hint="eastAsia" w:ascii="宋体" w:hAnsi="宋体" w:eastAsia="宋体" w:cs="宋体"/>
                <w:color w:val="000000" w:themeColor="text1"/>
                <w:szCs w:val="21"/>
                <w:highlight w:val="none"/>
                <w:lang w:bidi="ar"/>
                <w14:textFill>
                  <w14:solidFill>
                    <w14:schemeClr w14:val="tx1"/>
                  </w14:solidFill>
                </w14:textFill>
              </w:rPr>
              <w:t>-0]分。</w:t>
            </w:r>
            <w:bookmarkEnd w:id="1140"/>
          </w:p>
        </w:tc>
        <w:tc>
          <w:tcPr>
            <w:tcW w:w="394" w:type="pct"/>
            <w:tcBorders>
              <w:top w:val="single" w:color="auto" w:sz="4" w:space="0"/>
              <w:left w:val="single" w:color="auto" w:sz="4" w:space="0"/>
              <w:bottom w:val="single" w:color="auto" w:sz="4" w:space="0"/>
              <w:right w:val="single" w:color="auto" w:sz="4" w:space="0"/>
            </w:tcBorders>
            <w:vAlign w:val="center"/>
          </w:tcPr>
          <w:p w14:paraId="43457B9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bookmarkStart w:id="1147" w:name="OLE_LINK516"/>
            <w:r>
              <w:rPr>
                <w:rFonts w:ascii="宋体" w:hAnsi="宋体" w:eastAsia="宋体" w:cs="宋体"/>
                <w:color w:val="000000" w:themeColor="text1"/>
                <w:kern w:val="0"/>
                <w:szCs w:val="21"/>
                <w:highlight w:val="none"/>
                <w14:textFill>
                  <w14:solidFill>
                    <w14:schemeClr w14:val="tx1"/>
                  </w14:solidFill>
                </w14:textFill>
              </w:rPr>
              <w:t>6</w:t>
            </w:r>
            <w:bookmarkEnd w:id="1147"/>
          </w:p>
        </w:tc>
      </w:tr>
      <w:tr w14:paraId="04B7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Merge w:val="continue"/>
            <w:tcBorders>
              <w:left w:val="single" w:color="auto" w:sz="4" w:space="0"/>
              <w:bottom w:val="single" w:color="auto" w:sz="4" w:space="0"/>
              <w:right w:val="single" w:color="auto" w:sz="4" w:space="0"/>
            </w:tcBorders>
            <w:vAlign w:val="center"/>
          </w:tcPr>
          <w:p w14:paraId="421E3DB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491" w:type="pct"/>
            <w:vMerge w:val="continue"/>
            <w:tcBorders>
              <w:left w:val="single" w:color="auto" w:sz="4" w:space="0"/>
              <w:bottom w:val="single" w:color="auto" w:sz="4" w:space="0"/>
              <w:right w:val="single" w:color="auto" w:sz="4" w:space="0"/>
            </w:tcBorders>
            <w:vAlign w:val="center"/>
          </w:tcPr>
          <w:p w14:paraId="1D332732">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bookmarkStart w:id="1148" w:name="OLE_LINK257"/>
          </w:p>
        </w:tc>
        <w:tc>
          <w:tcPr>
            <w:tcW w:w="491" w:type="pct"/>
            <w:tcBorders>
              <w:top w:val="single" w:color="auto" w:sz="4" w:space="0"/>
              <w:left w:val="single" w:color="auto" w:sz="4" w:space="0"/>
              <w:bottom w:val="single" w:color="auto" w:sz="4" w:space="0"/>
              <w:right w:val="single" w:color="auto" w:sz="4" w:space="0"/>
            </w:tcBorders>
            <w:vAlign w:val="center"/>
          </w:tcPr>
          <w:p w14:paraId="4E737118">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安全保证措施</w:t>
            </w:r>
            <w:bookmarkEnd w:id="1148"/>
          </w:p>
        </w:tc>
        <w:tc>
          <w:tcPr>
            <w:tcW w:w="3337" w:type="pct"/>
            <w:tcBorders>
              <w:top w:val="single" w:color="auto" w:sz="4" w:space="0"/>
              <w:left w:val="single" w:color="auto" w:sz="4" w:space="0"/>
              <w:bottom w:val="single" w:color="auto" w:sz="4" w:space="0"/>
              <w:right w:val="single" w:color="auto" w:sz="4" w:space="0"/>
            </w:tcBorders>
            <w:vAlign w:val="center"/>
          </w:tcPr>
          <w:p w14:paraId="3DC68DF2">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根据各投标人提供的安全保证措施，包括成品保护措施、用电</w:t>
            </w:r>
            <w:bookmarkStart w:id="1149" w:name="OLE_LINK216"/>
            <w:r>
              <w:rPr>
                <w:rFonts w:hint="eastAsia" w:ascii="宋体" w:hAnsi="宋体" w:eastAsia="宋体" w:cs="宋体"/>
                <w:color w:val="000000" w:themeColor="text1"/>
                <w:szCs w:val="21"/>
                <w:highlight w:val="none"/>
                <w:lang w:bidi="ar"/>
                <w14:textFill>
                  <w14:solidFill>
                    <w14:schemeClr w14:val="tx1"/>
                  </w14:solidFill>
                </w14:textFill>
              </w:rPr>
              <w:t>专项方案</w:t>
            </w:r>
            <w:bookmarkEnd w:id="1149"/>
            <w:r>
              <w:rPr>
                <w:rFonts w:hint="eastAsia" w:ascii="宋体" w:hAnsi="宋体" w:eastAsia="宋体" w:cs="宋体"/>
                <w:color w:val="000000" w:themeColor="text1"/>
                <w:szCs w:val="21"/>
                <w:highlight w:val="none"/>
                <w:lang w:bidi="ar"/>
                <w14:textFill>
                  <w14:solidFill>
                    <w14:schemeClr w14:val="tx1"/>
                  </w14:solidFill>
                </w14:textFill>
              </w:rPr>
              <w:t>、高处作业专项方案、吊装作业专项方案、动火作业专项方案进行评审：</w:t>
            </w:r>
          </w:p>
          <w:p w14:paraId="054049CB">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优：能够根据本项目的特点清楚、详尽地描述安全保证措施，考虑周全完整，切实可行，得</w:t>
            </w:r>
            <w:bookmarkStart w:id="1150" w:name="OLE_LINK235"/>
            <w:r>
              <w:rPr>
                <w:rFonts w:hint="eastAsia" w:ascii="宋体" w:hAnsi="宋体" w:eastAsia="宋体" w:cs="宋体"/>
                <w:color w:val="000000" w:themeColor="text1"/>
                <w:szCs w:val="21"/>
                <w:highlight w:val="none"/>
                <w:lang w:bidi="ar"/>
                <w14:textFill>
                  <w14:solidFill>
                    <w14:schemeClr w14:val="tx1"/>
                  </w14:solidFill>
                </w14:textFill>
              </w:rPr>
              <w:t>[2-1.5]</w:t>
            </w:r>
            <w:bookmarkEnd w:id="1150"/>
            <w:r>
              <w:rPr>
                <w:rFonts w:hint="eastAsia" w:ascii="宋体" w:hAnsi="宋体" w:eastAsia="宋体" w:cs="宋体"/>
                <w:color w:val="000000" w:themeColor="text1"/>
                <w:szCs w:val="21"/>
                <w:highlight w:val="none"/>
                <w:lang w:bidi="ar"/>
                <w14:textFill>
                  <w14:solidFill>
                    <w14:schemeClr w14:val="tx1"/>
                  </w14:solidFill>
                </w14:textFill>
              </w:rPr>
              <w:t>分；</w:t>
            </w:r>
          </w:p>
          <w:p w14:paraId="0E5BB229">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良：能够根据本项目的特点较具体描述安全</w:t>
            </w:r>
            <w:bookmarkStart w:id="1151" w:name="OLE_LINK219"/>
            <w:r>
              <w:rPr>
                <w:rFonts w:hint="eastAsia" w:ascii="宋体" w:hAnsi="宋体" w:eastAsia="宋体" w:cs="宋体"/>
                <w:color w:val="000000" w:themeColor="text1"/>
                <w:szCs w:val="21"/>
                <w:highlight w:val="none"/>
                <w:lang w:bidi="ar"/>
                <w14:textFill>
                  <w14:solidFill>
                    <w14:schemeClr w14:val="tx1"/>
                  </w14:solidFill>
                </w14:textFill>
              </w:rPr>
              <w:t>保证</w:t>
            </w:r>
            <w:bookmarkEnd w:id="1151"/>
            <w:r>
              <w:rPr>
                <w:rFonts w:hint="eastAsia" w:ascii="宋体" w:hAnsi="宋体" w:eastAsia="宋体" w:cs="宋体"/>
                <w:color w:val="000000" w:themeColor="text1"/>
                <w:szCs w:val="21"/>
                <w:highlight w:val="none"/>
                <w:lang w:bidi="ar"/>
                <w14:textFill>
                  <w14:solidFill>
                    <w14:schemeClr w14:val="tx1"/>
                  </w14:solidFill>
                </w14:textFill>
              </w:rPr>
              <w:t>措施，考虑较周全</w:t>
            </w:r>
            <w:bookmarkStart w:id="1152" w:name="OLE_LINK218"/>
            <w:r>
              <w:rPr>
                <w:rFonts w:hint="eastAsia" w:ascii="宋体" w:hAnsi="宋体" w:eastAsia="宋体" w:cs="宋体"/>
                <w:color w:val="000000" w:themeColor="text1"/>
                <w:szCs w:val="21"/>
                <w:highlight w:val="none"/>
                <w:lang w:bidi="ar"/>
                <w14:textFill>
                  <w14:solidFill>
                    <w14:schemeClr w14:val="tx1"/>
                  </w14:solidFill>
                </w14:textFill>
              </w:rPr>
              <w:t>，</w:t>
            </w:r>
            <w:bookmarkEnd w:id="1152"/>
            <w:bookmarkStart w:id="1153" w:name="OLE_LINK220"/>
            <w:r>
              <w:rPr>
                <w:rFonts w:hint="eastAsia" w:ascii="宋体" w:hAnsi="宋体" w:eastAsia="宋体" w:cs="宋体"/>
                <w:color w:val="000000" w:themeColor="text1"/>
                <w:szCs w:val="21"/>
                <w:highlight w:val="none"/>
                <w:lang w:bidi="ar"/>
                <w14:textFill>
                  <w14:solidFill>
                    <w14:schemeClr w14:val="tx1"/>
                  </w14:solidFill>
                </w14:textFill>
              </w:rPr>
              <w:t>可行性较高，得</w:t>
            </w:r>
            <w:bookmarkEnd w:id="1153"/>
            <w:r>
              <w:rPr>
                <w:rFonts w:hint="eastAsia" w:ascii="宋体" w:hAnsi="宋体" w:eastAsia="宋体" w:cs="宋体"/>
                <w:color w:val="000000" w:themeColor="text1"/>
                <w:szCs w:val="21"/>
                <w:highlight w:val="none"/>
                <w:lang w:bidi="ar"/>
                <w14:textFill>
                  <w14:solidFill>
                    <w14:schemeClr w14:val="tx1"/>
                  </w14:solidFill>
                </w14:textFill>
              </w:rPr>
              <w:t>（1.5-1]分；</w:t>
            </w:r>
          </w:p>
          <w:p w14:paraId="6ECE9852">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中：安全保证措施基本合理可行，表达基本清楚，可行性一般，得（1-0.5]分；</w:t>
            </w:r>
          </w:p>
          <w:p w14:paraId="06B6824B">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差：安全保证措施不够完善，安排不够合理，可行性差，得（0.5-1]分。</w:t>
            </w:r>
          </w:p>
        </w:tc>
        <w:tc>
          <w:tcPr>
            <w:tcW w:w="394" w:type="pct"/>
            <w:tcBorders>
              <w:top w:val="single" w:color="auto" w:sz="4" w:space="0"/>
              <w:left w:val="single" w:color="auto" w:sz="4" w:space="0"/>
              <w:bottom w:val="single" w:color="auto" w:sz="4" w:space="0"/>
              <w:right w:val="single" w:color="auto" w:sz="4" w:space="0"/>
            </w:tcBorders>
            <w:vAlign w:val="center"/>
          </w:tcPr>
          <w:p w14:paraId="22B13E8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bookmarkStart w:id="1154" w:name="OLE_LINK225"/>
            <w:r>
              <w:rPr>
                <w:rFonts w:hint="eastAsia" w:ascii="宋体" w:hAnsi="宋体" w:eastAsia="宋体" w:cs="宋体"/>
                <w:color w:val="000000" w:themeColor="text1"/>
                <w:kern w:val="0"/>
                <w:szCs w:val="21"/>
                <w:highlight w:val="none"/>
                <w14:textFill>
                  <w14:solidFill>
                    <w14:schemeClr w14:val="tx1"/>
                  </w14:solidFill>
                </w14:textFill>
              </w:rPr>
              <w:t>2</w:t>
            </w:r>
            <w:bookmarkEnd w:id="1154"/>
          </w:p>
        </w:tc>
      </w:tr>
      <w:bookmarkEnd w:id="1135"/>
      <w:tr w14:paraId="45B6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right w:val="single" w:color="auto" w:sz="4" w:space="0"/>
            </w:tcBorders>
            <w:vAlign w:val="center"/>
          </w:tcPr>
          <w:p w14:paraId="151DE04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491" w:type="pct"/>
            <w:tcBorders>
              <w:top w:val="single" w:color="auto" w:sz="4" w:space="0"/>
              <w:left w:val="single" w:color="auto" w:sz="4" w:space="0"/>
              <w:right w:val="single" w:color="auto" w:sz="4" w:space="0"/>
            </w:tcBorders>
            <w:vAlign w:val="center"/>
          </w:tcPr>
          <w:p w14:paraId="36314EBF">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bookmarkStart w:id="1155" w:name="OLE_LINK278"/>
            <w:r>
              <w:rPr>
                <w:rFonts w:hint="eastAsia" w:ascii="宋体" w:hAnsi="宋体" w:eastAsia="宋体" w:cs="宋体"/>
                <w:color w:val="000000" w:themeColor="text1"/>
                <w:szCs w:val="21"/>
                <w:highlight w:val="none"/>
                <w:lang w:bidi="ar"/>
                <w14:textFill>
                  <w14:solidFill>
                    <w14:schemeClr w14:val="tx1"/>
                  </w14:solidFill>
                </w14:textFill>
              </w:rPr>
              <w:t>技术服务</w:t>
            </w:r>
          </w:p>
        </w:tc>
        <w:tc>
          <w:tcPr>
            <w:tcW w:w="491" w:type="pct"/>
            <w:tcBorders>
              <w:top w:val="single" w:color="auto" w:sz="4" w:space="0"/>
              <w:left w:val="single" w:color="auto" w:sz="4" w:space="0"/>
              <w:right w:val="single" w:color="auto" w:sz="4" w:space="0"/>
            </w:tcBorders>
            <w:vAlign w:val="center"/>
          </w:tcPr>
          <w:p w14:paraId="1CA6B826">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运维方案</w:t>
            </w:r>
            <w:bookmarkEnd w:id="1155"/>
          </w:p>
        </w:tc>
        <w:tc>
          <w:tcPr>
            <w:tcW w:w="3337" w:type="pct"/>
            <w:tcBorders>
              <w:top w:val="single" w:color="auto" w:sz="4" w:space="0"/>
              <w:left w:val="single" w:color="auto" w:sz="4" w:space="0"/>
              <w:right w:val="single" w:color="auto" w:sz="4" w:space="0"/>
            </w:tcBorders>
            <w:vAlign w:val="center"/>
          </w:tcPr>
          <w:p w14:paraId="42F35D93">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根据各投标人提供的运维方案，包括运维服务团队、运维服务[包括但不限于服务承诺、技术支持、保修期、备品备件、维护保养时间安排(整体检查计划、故障通知响应时间、修复故障时间)等]、应急和安全保障措施、技术培训进行评审： </w:t>
            </w:r>
          </w:p>
          <w:p w14:paraId="0D59AD18">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优：</w:t>
            </w:r>
            <w:bookmarkStart w:id="1156" w:name="OLE_LINK217"/>
            <w:r>
              <w:rPr>
                <w:rFonts w:hint="eastAsia" w:ascii="宋体" w:hAnsi="宋体" w:eastAsia="宋体" w:cs="宋体"/>
                <w:color w:val="000000" w:themeColor="text1"/>
                <w:szCs w:val="21"/>
                <w:highlight w:val="none"/>
                <w:lang w:bidi="ar"/>
                <w14:textFill>
                  <w14:solidFill>
                    <w14:schemeClr w14:val="tx1"/>
                  </w14:solidFill>
                </w14:textFill>
              </w:rPr>
              <w:t>运维方案</w:t>
            </w:r>
            <w:bookmarkEnd w:id="1156"/>
            <w:r>
              <w:rPr>
                <w:rFonts w:hint="eastAsia" w:ascii="宋体" w:hAnsi="宋体" w:eastAsia="宋体" w:cs="宋体"/>
                <w:color w:val="000000" w:themeColor="text1"/>
                <w:szCs w:val="21"/>
                <w:highlight w:val="none"/>
                <w:lang w:bidi="ar"/>
                <w14:textFill>
                  <w14:solidFill>
                    <w14:schemeClr w14:val="tx1"/>
                  </w14:solidFill>
                </w14:textFill>
              </w:rPr>
              <w:t>内容全面、思路清晰、针对性强、可行性和可操作性高的，得[</w:t>
            </w:r>
            <w:r>
              <w:rPr>
                <w:rFonts w:ascii="宋体" w:hAnsi="宋体" w:eastAsia="宋体" w:cs="宋体"/>
                <w:color w:val="000000" w:themeColor="text1"/>
                <w:szCs w:val="21"/>
                <w:highlight w:val="none"/>
                <w:lang w:bidi="ar"/>
                <w14:textFill>
                  <w14:solidFill>
                    <w14:schemeClr w14:val="tx1"/>
                  </w14:solidFill>
                </w14:textFill>
              </w:rPr>
              <w:t>5-3.5</w:t>
            </w:r>
            <w:r>
              <w:rPr>
                <w:rFonts w:hint="eastAsia" w:ascii="宋体" w:hAnsi="宋体" w:eastAsia="宋体" w:cs="宋体"/>
                <w:color w:val="000000" w:themeColor="text1"/>
                <w:szCs w:val="21"/>
                <w:highlight w:val="none"/>
                <w:lang w:bidi="ar"/>
                <w14:textFill>
                  <w14:solidFill>
                    <w14:schemeClr w14:val="tx1"/>
                  </w14:solidFill>
                </w14:textFill>
              </w:rPr>
              <w:t>]分；</w:t>
            </w:r>
          </w:p>
          <w:p w14:paraId="44521948">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良：运维方案内容不够全面、思路不够清晰、针对性一般、可行性和可操作性一般的，得（</w:t>
            </w:r>
            <w:bookmarkStart w:id="1157" w:name="OLE_LINK518"/>
            <w:r>
              <w:rPr>
                <w:rFonts w:ascii="宋体" w:hAnsi="宋体" w:eastAsia="宋体" w:cs="宋体"/>
                <w:color w:val="000000" w:themeColor="text1"/>
                <w:szCs w:val="21"/>
                <w:highlight w:val="none"/>
                <w:lang w:bidi="ar"/>
                <w14:textFill>
                  <w14:solidFill>
                    <w14:schemeClr w14:val="tx1"/>
                  </w14:solidFill>
                </w14:textFill>
              </w:rPr>
              <w:t>3.5-2</w:t>
            </w:r>
            <w:bookmarkEnd w:id="1157"/>
            <w:r>
              <w:rPr>
                <w:rFonts w:hint="eastAsia" w:ascii="宋体" w:hAnsi="宋体" w:eastAsia="宋体" w:cs="宋体"/>
                <w:color w:val="000000" w:themeColor="text1"/>
                <w:szCs w:val="21"/>
                <w:highlight w:val="none"/>
                <w:lang w:bidi="ar"/>
                <w14:textFill>
                  <w14:solidFill>
                    <w14:schemeClr w14:val="tx1"/>
                  </w14:solidFill>
                </w14:textFill>
              </w:rPr>
              <w:t>]分；</w:t>
            </w:r>
          </w:p>
          <w:p w14:paraId="1CA0B567">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中：运维方案内容缺失、思路不清晰、针对性较差、可行性和可操作性较差的，得（</w:t>
            </w:r>
            <w:bookmarkStart w:id="1158" w:name="OLE_LINK215"/>
            <w:r>
              <w:rPr>
                <w:rFonts w:ascii="宋体" w:hAnsi="宋体" w:eastAsia="宋体" w:cs="宋体"/>
                <w:color w:val="000000" w:themeColor="text1"/>
                <w:szCs w:val="21"/>
                <w:highlight w:val="none"/>
                <w:lang w:bidi="ar"/>
                <w14:textFill>
                  <w14:solidFill>
                    <w14:schemeClr w14:val="tx1"/>
                  </w14:solidFill>
                </w14:textFill>
              </w:rPr>
              <w:t>2</w:t>
            </w:r>
            <w:r>
              <w:rPr>
                <w:rFonts w:hint="eastAsia" w:ascii="宋体" w:hAnsi="宋体" w:eastAsia="宋体" w:cs="宋体"/>
                <w:color w:val="000000" w:themeColor="text1"/>
                <w:szCs w:val="21"/>
                <w:highlight w:val="none"/>
                <w:lang w:bidi="ar"/>
                <w14:textFill>
                  <w14:solidFill>
                    <w14:schemeClr w14:val="tx1"/>
                  </w14:solidFill>
                </w14:textFill>
              </w:rPr>
              <w:t>-</w:t>
            </w:r>
            <w:bookmarkStart w:id="1159" w:name="OLE_LINK226"/>
            <w:r>
              <w:rPr>
                <w:rFonts w:hint="eastAsia" w:ascii="宋体" w:hAnsi="宋体" w:eastAsia="宋体" w:cs="宋体"/>
                <w:color w:val="000000" w:themeColor="text1"/>
                <w:szCs w:val="21"/>
                <w:highlight w:val="none"/>
                <w:lang w:bidi="ar"/>
                <w14:textFill>
                  <w14:solidFill>
                    <w14:schemeClr w14:val="tx1"/>
                  </w14:solidFill>
                </w14:textFill>
              </w:rPr>
              <w:t>0.5</w:t>
            </w:r>
            <w:bookmarkEnd w:id="1158"/>
            <w:bookmarkEnd w:id="1159"/>
            <w:r>
              <w:rPr>
                <w:rFonts w:hint="eastAsia" w:ascii="宋体" w:hAnsi="宋体" w:eastAsia="宋体" w:cs="宋体"/>
                <w:color w:val="000000" w:themeColor="text1"/>
                <w:szCs w:val="21"/>
                <w:highlight w:val="none"/>
                <w:lang w:bidi="ar"/>
                <w14:textFill>
                  <w14:solidFill>
                    <w14:schemeClr w14:val="tx1"/>
                  </w14:solidFill>
                </w14:textFill>
              </w:rPr>
              <w:t>]分；</w:t>
            </w:r>
          </w:p>
          <w:p w14:paraId="5C5BE684">
            <w:pPr>
              <w:spacing w:line="360" w:lineRule="exact"/>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差：运维方案内容严重缺失、无思路、针对性差、可行性和可操作性差的，得（</w:t>
            </w:r>
            <w:r>
              <w:rPr>
                <w:rFonts w:ascii="宋体" w:hAnsi="宋体" w:eastAsia="宋体" w:cs="宋体"/>
                <w:color w:val="000000" w:themeColor="text1"/>
                <w:szCs w:val="21"/>
                <w:highlight w:val="none"/>
                <w:lang w:bidi="ar"/>
                <w14:textFill>
                  <w14:solidFill>
                    <w14:schemeClr w14:val="tx1"/>
                  </w14:solidFill>
                </w14:textFill>
              </w:rPr>
              <w:t>0.5</w:t>
            </w:r>
            <w:r>
              <w:rPr>
                <w:rFonts w:hint="eastAsia" w:ascii="宋体" w:hAnsi="宋体" w:eastAsia="宋体" w:cs="宋体"/>
                <w:color w:val="000000" w:themeColor="text1"/>
                <w:szCs w:val="21"/>
                <w:highlight w:val="none"/>
                <w:lang w:bidi="ar"/>
                <w14:textFill>
                  <w14:solidFill>
                    <w14:schemeClr w14:val="tx1"/>
                  </w14:solidFill>
                </w14:textFill>
              </w:rPr>
              <w:t>-0]分。</w:t>
            </w:r>
          </w:p>
        </w:tc>
        <w:tc>
          <w:tcPr>
            <w:tcW w:w="394" w:type="pct"/>
            <w:tcBorders>
              <w:top w:val="single" w:color="auto" w:sz="4" w:space="0"/>
              <w:left w:val="single" w:color="auto" w:sz="4" w:space="0"/>
              <w:right w:val="single" w:color="auto" w:sz="4" w:space="0"/>
            </w:tcBorders>
            <w:vAlign w:val="center"/>
          </w:tcPr>
          <w:p w14:paraId="4CA7355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bookmarkStart w:id="1160" w:name="OLE_LINK515"/>
            <w:r>
              <w:rPr>
                <w:rFonts w:hint="eastAsia" w:ascii="宋体" w:hAnsi="宋体" w:eastAsia="宋体" w:cs="宋体"/>
                <w:color w:val="000000" w:themeColor="text1"/>
                <w:kern w:val="0"/>
                <w:szCs w:val="21"/>
                <w:highlight w:val="none"/>
                <w14:textFill>
                  <w14:solidFill>
                    <w14:schemeClr w14:val="tx1"/>
                  </w14:solidFill>
                </w14:textFill>
              </w:rPr>
              <w:t>5</w:t>
            </w:r>
            <w:bookmarkEnd w:id="1160"/>
          </w:p>
        </w:tc>
      </w:tr>
      <w:bookmarkEnd w:id="1093"/>
      <w:bookmarkEnd w:id="1118"/>
    </w:tbl>
    <w:p w14:paraId="73318E2B">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备注：</w:t>
      </w:r>
    </w:p>
    <w:p w14:paraId="4F27F192">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①表中“</w:t>
      </w:r>
      <w:r>
        <w:rPr>
          <w:rFonts w:ascii="宋体" w:hAnsi="宋体" w:eastAsia="宋体" w:cs="宋体"/>
          <w:color w:val="000000" w:themeColor="text1"/>
          <w:szCs w:val="24"/>
          <w:highlight w:val="none"/>
          <w:lang w:val="zh-CN"/>
          <w14:textFill>
            <w14:solidFill>
              <w14:schemeClr w14:val="tx1"/>
            </w14:solidFill>
          </w14:textFill>
        </w:rPr>
        <w:t>[”代表闭区间，“]”代表闭区间，如[0，1]代表该分数段范围为大于等</w:t>
      </w:r>
      <w:r>
        <w:rPr>
          <w:rFonts w:hint="eastAsia" w:ascii="宋体" w:hAnsi="宋体" w:eastAsia="宋体" w:cs="宋体"/>
          <w:color w:val="000000" w:themeColor="text1"/>
          <w:szCs w:val="24"/>
          <w:highlight w:val="none"/>
          <w:lang w:val="zh-CN"/>
          <w14:textFill>
            <w14:solidFill>
              <w14:schemeClr w14:val="tx1"/>
            </w14:solidFill>
          </w14:textFill>
        </w:rPr>
        <w:t>于</w:t>
      </w:r>
      <w:r>
        <w:rPr>
          <w:rFonts w:ascii="宋体" w:hAnsi="宋体" w:eastAsia="宋体" w:cs="宋体"/>
          <w:color w:val="000000" w:themeColor="text1"/>
          <w:szCs w:val="24"/>
          <w:highlight w:val="none"/>
          <w:lang w:val="zh-CN"/>
          <w14:textFill>
            <w14:solidFill>
              <w14:schemeClr w14:val="tx1"/>
            </w14:solidFill>
          </w14:textFill>
        </w:rPr>
        <w:t>0且小于等于1。表中“（”代表开区间，“]”代表闭区间，如（1，2]代表该分数段范</w:t>
      </w:r>
      <w:r>
        <w:rPr>
          <w:rFonts w:hint="eastAsia" w:ascii="宋体" w:hAnsi="宋体" w:eastAsia="宋体" w:cs="宋体"/>
          <w:color w:val="000000" w:themeColor="text1"/>
          <w:szCs w:val="24"/>
          <w:highlight w:val="none"/>
          <w:lang w:val="zh-CN"/>
          <w14:textFill>
            <w14:solidFill>
              <w14:schemeClr w14:val="tx1"/>
            </w14:solidFill>
          </w14:textFill>
        </w:rPr>
        <w:t>围为大于</w:t>
      </w:r>
      <w:r>
        <w:rPr>
          <w:rFonts w:ascii="宋体" w:hAnsi="宋体" w:eastAsia="宋体" w:cs="宋体"/>
          <w:color w:val="000000" w:themeColor="text1"/>
          <w:szCs w:val="24"/>
          <w:highlight w:val="none"/>
          <w:lang w:val="zh-CN"/>
          <w14:textFill>
            <w14:solidFill>
              <w14:schemeClr w14:val="tx1"/>
            </w14:solidFill>
          </w14:textFill>
        </w:rPr>
        <w:t>1且小于等于2。</w:t>
      </w:r>
    </w:p>
    <w:p w14:paraId="4A6B41E2">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ascii="宋体" w:hAnsi="宋体" w:eastAsia="宋体" w:cs="宋体"/>
          <w:color w:val="000000" w:themeColor="text1"/>
          <w:szCs w:val="24"/>
          <w:highlight w:val="none"/>
          <w:lang w:val="zh-CN"/>
          <w14:textFill>
            <w14:solidFill>
              <w14:schemeClr w14:val="tx1"/>
            </w14:solidFill>
          </w14:textFill>
        </w:rPr>
        <w:t>②分数出现小数点，保留小数点后2位，从小数点后第3位四</w:t>
      </w:r>
      <w:r>
        <w:rPr>
          <w:rFonts w:hint="eastAsia" w:ascii="宋体" w:hAnsi="宋体" w:eastAsia="宋体" w:cs="宋体"/>
          <w:color w:val="000000" w:themeColor="text1"/>
          <w:szCs w:val="24"/>
          <w:highlight w:val="none"/>
          <w:lang w:val="zh-CN"/>
          <w14:textFill>
            <w14:solidFill>
              <w14:schemeClr w14:val="tx1"/>
            </w14:solidFill>
          </w14:textFill>
        </w:rPr>
        <w:t>舍五入。</w:t>
      </w:r>
    </w:p>
    <w:p w14:paraId="0FCB5EC2">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③上述“评分项目”中按“优、良、中、差”区间评审的，若低于该项满分分值</w:t>
      </w:r>
      <w:r>
        <w:rPr>
          <w:rFonts w:ascii="宋体" w:hAnsi="宋体" w:eastAsia="宋体" w:cs="宋体"/>
          <w:b/>
          <w:color w:val="000000" w:themeColor="text1"/>
          <w:szCs w:val="24"/>
          <w:highlight w:val="none"/>
          <w:lang w:val="zh-CN"/>
          <w14:textFill>
            <w14:solidFill>
              <w14:schemeClr w14:val="tx1"/>
            </w14:solidFill>
          </w14:textFill>
        </w:rPr>
        <w:t>60%时，评标专家需详细填写该项低分的充分理由，例如：该项目内容存在违反国家有关标</w:t>
      </w:r>
      <w:r>
        <w:rPr>
          <w:rFonts w:hint="eastAsia" w:ascii="宋体" w:hAnsi="宋体" w:eastAsia="宋体" w:cs="宋体"/>
          <w:b/>
          <w:color w:val="000000" w:themeColor="text1"/>
          <w:szCs w:val="24"/>
          <w:highlight w:val="none"/>
          <w:lang w:val="zh-CN"/>
          <w14:textFill>
            <w14:solidFill>
              <w14:schemeClr w14:val="tx1"/>
            </w14:solidFill>
          </w14:textFill>
        </w:rPr>
        <w:t>准和规范或与项目实际不符等原则性问题。</w:t>
      </w:r>
    </w:p>
    <w:p w14:paraId="07FF0249">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④</w:t>
      </w:r>
      <w:r>
        <w:rPr>
          <w:rFonts w:hint="eastAsia" w:ascii="宋体" w:hAnsi="宋体" w:eastAsia="宋体" w:cs="宋体"/>
          <w:b/>
          <w:color w:val="000000" w:themeColor="text1"/>
          <w:kern w:val="0"/>
          <w:szCs w:val="21"/>
          <w:highlight w:val="none"/>
          <w:lang w:val="zh-CN"/>
          <w14:textFill>
            <w14:solidFill>
              <w14:schemeClr w14:val="tx1"/>
            </w14:solidFill>
          </w14:textFill>
        </w:rPr>
        <w:t>对</w:t>
      </w:r>
      <w:r>
        <w:rPr>
          <w:rFonts w:hint="eastAsia" w:ascii="宋体" w:hAnsi="宋体" w:eastAsia="宋体" w:cs="宋体"/>
          <w:b/>
          <w:color w:val="000000" w:themeColor="text1"/>
          <w:kern w:val="0"/>
          <w:szCs w:val="21"/>
          <w:highlight w:val="none"/>
          <w14:textFill>
            <w14:solidFill>
              <w14:schemeClr w14:val="tx1"/>
            </w14:solidFill>
          </w14:textFill>
        </w:rPr>
        <w:t>于各</w:t>
      </w:r>
      <w:r>
        <w:rPr>
          <w:rFonts w:hint="eastAsia" w:ascii="宋体" w:hAnsi="宋体" w:eastAsia="宋体" w:cs="宋体"/>
          <w:b/>
          <w:color w:val="000000" w:themeColor="text1"/>
          <w:kern w:val="0"/>
          <w:szCs w:val="21"/>
          <w:highlight w:val="none"/>
          <w:lang w:val="zh-CN"/>
          <w14:textFill>
            <w14:solidFill>
              <w14:schemeClr w14:val="tx1"/>
            </w14:solidFill>
          </w14:textFill>
        </w:rPr>
        <w:t>评标委员会成员</w:t>
      </w:r>
      <w:r>
        <w:rPr>
          <w:rFonts w:hint="eastAsia" w:ascii="宋体" w:hAnsi="宋体" w:eastAsia="宋体" w:cs="宋体"/>
          <w:b/>
          <w:color w:val="000000" w:themeColor="text1"/>
          <w:kern w:val="0"/>
          <w:szCs w:val="21"/>
          <w:highlight w:val="none"/>
          <w14:textFill>
            <w14:solidFill>
              <w14:schemeClr w14:val="tx1"/>
            </w14:solidFill>
          </w14:textFill>
        </w:rPr>
        <w:t>存在客观分打分不一致时</w:t>
      </w:r>
      <w:r>
        <w:rPr>
          <w:rFonts w:hint="eastAsia" w:ascii="宋体" w:hAnsi="宋体" w:eastAsia="宋体" w:cs="宋体"/>
          <w:b/>
          <w:color w:val="000000" w:themeColor="text1"/>
          <w:kern w:val="0"/>
          <w:szCs w:val="21"/>
          <w:highlight w:val="none"/>
          <w:lang w:val="zh-CN"/>
          <w14:textFill>
            <w14:solidFill>
              <w14:schemeClr w14:val="tx1"/>
            </w14:solidFill>
          </w14:textFill>
        </w:rPr>
        <w:t>,根据少数服</w:t>
      </w:r>
      <w:r>
        <w:rPr>
          <w:rFonts w:hint="eastAsia" w:ascii="宋体" w:hAnsi="宋体" w:eastAsia="宋体" w:cs="宋体"/>
          <w:b/>
          <w:color w:val="000000" w:themeColor="text1"/>
          <w:kern w:val="0"/>
          <w:szCs w:val="21"/>
          <w:highlight w:val="none"/>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多数的原则，以记名方式表决</w:t>
      </w:r>
      <w:r>
        <w:rPr>
          <w:rFonts w:hint="eastAsia" w:ascii="宋体" w:hAnsi="宋体" w:eastAsia="宋体" w:cs="宋体"/>
          <w:b/>
          <w:color w:val="000000" w:themeColor="text1"/>
          <w:kern w:val="0"/>
          <w:szCs w:val="21"/>
          <w:highlight w:val="none"/>
          <w14:textFill>
            <w14:solidFill>
              <w14:schemeClr w14:val="tx1"/>
            </w14:solidFill>
          </w14:textFill>
        </w:rPr>
        <w:t>确定该项的评分。</w:t>
      </w:r>
    </w:p>
    <w:p w14:paraId="5D075AC6">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（3）价格评分方法</w:t>
      </w:r>
    </w:p>
    <w:p w14:paraId="7E3236DE">
      <w:pPr>
        <w:spacing w:line="360" w:lineRule="auto"/>
        <w:ind w:left="480" w:firstLine="211" w:firstLineChars="100"/>
        <w:rPr>
          <w:rFonts w:ascii="宋体" w:hAnsi="宋体" w:eastAsia="宋体" w:cs="宋体"/>
          <w:b/>
          <w:bCs/>
          <w:color w:val="000000" w:themeColor="text1"/>
          <w:kern w:val="0"/>
          <w:szCs w:val="21"/>
          <w:highlight w:val="none"/>
          <w:lang w:val="zh-CN"/>
          <w14:textFill>
            <w14:solidFill>
              <w14:schemeClr w14:val="tx1"/>
            </w14:solidFill>
          </w14:textFill>
        </w:rPr>
      </w:pPr>
      <w:r>
        <w:rPr>
          <w:rFonts w:hint="eastAsia" w:ascii="宋体" w:hAnsi="宋体" w:eastAsia="宋体" w:cs="宋体"/>
          <w:b/>
          <w:bCs/>
          <w:color w:val="000000" w:themeColor="text1"/>
          <w:kern w:val="0"/>
          <w:szCs w:val="28"/>
          <w:highlight w:val="none"/>
          <w:lang w:val="zh-CN"/>
          <w14:textFill>
            <w14:solidFill>
              <w14:schemeClr w14:val="tx1"/>
            </w14:solidFill>
          </w14:textFill>
        </w:rPr>
        <w:t xml:space="preserve">1）经济文件的符合性审查 </w:t>
      </w:r>
    </w:p>
    <w:p w14:paraId="676FD3CA">
      <w:pPr>
        <w:spacing w:line="360" w:lineRule="auto"/>
        <w:ind w:left="420" w:leftChars="200" w:firstLine="420" w:firstLineChars="2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如果投标人不接受修正后的报价，则其投标将被拒绝，作为无效投标处理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14:paraId="481CD103">
      <w:pPr>
        <w:autoSpaceDE w:val="0"/>
        <w:autoSpaceDN w:val="0"/>
        <w:adjustRightInd w:val="0"/>
        <w:spacing w:line="360" w:lineRule="auto"/>
        <w:ind w:left="420" w:leftChars="200" w:firstLine="420" w:firstLineChars="200"/>
        <w:rPr>
          <w:rFonts w:ascii="宋体" w:hAnsi="宋体" w:eastAsia="宋体" w:cs="宋体"/>
          <w:b/>
          <w:color w:val="000000" w:themeColor="text1"/>
          <w:szCs w:val="24"/>
          <w:highlight w:val="none"/>
          <w:u w:val="singl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若投标人出现超低报价，</w:t>
      </w:r>
      <w:r>
        <w:rPr>
          <w:rFonts w:hint="eastAsia" w:ascii="宋体" w:hAnsi="宋体" w:eastAsia="宋体" w:cs="宋体"/>
          <w:color w:val="000000" w:themeColor="text1"/>
          <w:kern w:val="0"/>
          <w:szCs w:val="21"/>
          <w:highlight w:val="none"/>
          <w14:textFill>
            <w14:solidFill>
              <w14:schemeClr w14:val="tx1"/>
            </w14:solidFill>
          </w14:textFill>
        </w:rPr>
        <w:t>有可能影响服务质量和不能诚信履约的，</w:t>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1"/>
          <w:highlight w:val="none"/>
          <w:lang w:val="zh-CN"/>
          <w14:textFill>
            <w14:solidFill>
              <w14:schemeClr w14:val="tx1"/>
            </w14:solidFill>
          </w14:textFill>
        </w:rPr>
        <w:t>将要求该投标人作出书面说明并提供相关证明材料，</w:t>
      </w:r>
      <w:r>
        <w:rPr>
          <w:rFonts w:hint="eastAsia" w:ascii="宋体" w:hAnsi="宋体" w:eastAsia="宋体" w:cs="宋体"/>
          <w:color w:val="000000" w:themeColor="text1"/>
          <w:szCs w:val="24"/>
          <w:highlight w:val="none"/>
          <w:lang w:val="zh-CN"/>
          <w14:textFill>
            <w14:solidFill>
              <w14:schemeClr w14:val="tx1"/>
            </w14:solidFill>
          </w14:textFill>
        </w:rPr>
        <w:t>以确定投标人是否以低于企业成本价报价。</w:t>
      </w:r>
      <w:bookmarkStart w:id="1161" w:name="OLE_LINK354"/>
      <w:r>
        <w:rPr>
          <w:rFonts w:hint="eastAsia" w:ascii="宋体" w:hAnsi="宋体" w:eastAsia="宋体" w:cs="宋体"/>
          <w:b/>
          <w:color w:val="000000" w:themeColor="text1"/>
          <w:szCs w:val="24"/>
          <w:highlight w:val="none"/>
          <w:u w:val="single"/>
          <w:lang w:val="zh-CN"/>
          <w14:textFill>
            <w14:solidFill>
              <w14:schemeClr w14:val="tx1"/>
            </w14:solidFill>
          </w14:textFill>
        </w:rPr>
        <w:t>若投标人不能合理说明或不能提供相关证明材料的，评标委员会将认定其投标报价低于成本，同时否决其投标。</w:t>
      </w:r>
      <w:bookmarkEnd w:id="1161"/>
    </w:p>
    <w:p w14:paraId="148B37C2">
      <w:pPr>
        <w:spacing w:line="360" w:lineRule="auto"/>
        <w:ind w:left="420" w:leftChars="200" w:firstLine="422" w:firstLineChars="200"/>
        <w:rPr>
          <w:rFonts w:ascii="宋体" w:hAnsi="宋体" w:eastAsia="宋体" w:cs="宋体"/>
          <w:b/>
          <w:color w:val="000000" w:themeColor="text1"/>
          <w:kern w:val="0"/>
          <w:szCs w:val="21"/>
          <w:highlight w:val="none"/>
          <w:lang w:val="zh-CN"/>
          <w14:textFill>
            <w14:solidFill>
              <w14:schemeClr w14:val="tx1"/>
            </w14:solidFill>
          </w14:textFill>
        </w:rPr>
      </w:pPr>
      <w:bookmarkStart w:id="1162" w:name="OLE_LINK353"/>
      <w:r>
        <w:rPr>
          <w:rFonts w:hint="eastAsia" w:ascii="宋体" w:hAnsi="宋体" w:eastAsia="宋体" w:cs="宋体"/>
          <w:b/>
          <w:color w:val="000000" w:themeColor="text1"/>
          <w:kern w:val="0"/>
          <w:szCs w:val="21"/>
          <w:highlight w:val="none"/>
          <w:lang w:val="zh-CN"/>
          <w14:textFill>
            <w14:solidFill>
              <w14:schemeClr w14:val="tx1"/>
            </w14:solidFill>
          </w14:textFill>
        </w:rPr>
        <w:t>对是否低于企业成本价报价的事宜有争议的投标文件,评标委员会成员将以记名方式表决,根据少数服</w:t>
      </w:r>
      <w:r>
        <w:rPr>
          <w:rFonts w:hint="eastAsia" w:ascii="宋体" w:hAnsi="宋体" w:eastAsia="宋体" w:cs="宋体"/>
          <w:b/>
          <w:color w:val="000000" w:themeColor="text1"/>
          <w:kern w:val="0"/>
          <w:szCs w:val="21"/>
          <w:highlight w:val="none"/>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多数的原则，获多数表决通过的投标人才有资格进入下一阶段的评审,否则将按无效投标处理。</w:t>
      </w:r>
    </w:p>
    <w:bookmarkEnd w:id="1162"/>
    <w:p w14:paraId="3BE6D4E2">
      <w:pPr>
        <w:spacing w:line="360" w:lineRule="auto"/>
        <w:ind w:left="420" w:leftChars="200" w:firstLine="420" w:firstLineChars="200"/>
        <w:rPr>
          <w:rFonts w:ascii="宋体" w:hAnsi="宋体" w:eastAsia="宋体" w:cs="宋体"/>
          <w:color w:val="000000" w:themeColor="text1"/>
          <w:kern w:val="0"/>
          <w:szCs w:val="21"/>
          <w:highlight w:val="none"/>
          <w:lang w:val="zh-CN"/>
          <w14:textFill>
            <w14:solidFill>
              <w14:schemeClr w14:val="tx1"/>
            </w14:solidFill>
          </w14:textFill>
        </w:rPr>
      </w:pPr>
    </w:p>
    <w:p w14:paraId="2181BFEA">
      <w:pPr>
        <w:spacing w:line="360" w:lineRule="auto"/>
        <w:ind w:left="480" w:firstLine="211" w:firstLineChars="100"/>
        <w:rPr>
          <w:rFonts w:ascii="宋体" w:hAnsi="宋体" w:eastAsia="宋体" w:cs="宋体"/>
          <w:b/>
          <w:bCs/>
          <w:color w:val="000000" w:themeColor="text1"/>
          <w:kern w:val="0"/>
          <w:szCs w:val="21"/>
          <w:highlight w:val="none"/>
          <w14:textFill>
            <w14:solidFill>
              <w14:schemeClr w14:val="tx1"/>
            </w14:solidFill>
          </w14:textFill>
        </w:rPr>
      </w:pPr>
      <w:r>
        <w:rPr>
          <w:rFonts w:ascii="宋体" w:hAnsi="宋体" w:eastAsia="宋体" w:cs="宋体"/>
          <w:b/>
          <w:bCs/>
          <w:color w:val="000000" w:themeColor="text1"/>
          <w:kern w:val="0"/>
          <w:szCs w:val="21"/>
          <w:highlight w:val="none"/>
          <w:lang w:val="zh-CN"/>
          <w14:textFill>
            <w14:solidFill>
              <w14:schemeClr w14:val="tx1"/>
            </w14:solidFill>
          </w14:textFill>
        </w:rPr>
        <w:t>2</w:t>
      </w:r>
      <w:r>
        <w:rPr>
          <w:rFonts w:hint="eastAsia" w:ascii="宋体" w:hAnsi="宋体" w:eastAsia="宋体" w:cs="宋体"/>
          <w:b/>
          <w:bCs/>
          <w:color w:val="000000" w:themeColor="text1"/>
          <w:kern w:val="0"/>
          <w:szCs w:val="21"/>
          <w:highlight w:val="none"/>
          <w:lang w:val="zh-CN"/>
          <w14:textFill>
            <w14:solidFill>
              <w14:schemeClr w14:val="tx1"/>
            </w14:solidFill>
          </w14:textFill>
        </w:rPr>
        <w:t>）</w:t>
      </w:r>
      <w:r>
        <w:rPr>
          <w:rFonts w:hint="eastAsia" w:ascii="宋体" w:hAnsi="宋体" w:eastAsia="宋体" w:cs="宋体"/>
          <w:b/>
          <w:bCs/>
          <w:color w:val="000000" w:themeColor="text1"/>
          <w:kern w:val="0"/>
          <w:szCs w:val="28"/>
          <w:highlight w:val="none"/>
          <w:lang w:val="zh-CN"/>
          <w14:textFill>
            <w14:solidFill>
              <w14:schemeClr w14:val="tx1"/>
            </w14:solidFill>
          </w14:textFill>
        </w:rPr>
        <w:t>价格评分</w:t>
      </w:r>
      <w:r>
        <w:rPr>
          <w:rFonts w:hint="eastAsia" w:ascii="宋体" w:hAnsi="宋体" w:eastAsia="宋体" w:cs="宋体"/>
          <w:b/>
          <w:bCs/>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val="zh-CN"/>
          <w14:textFill>
            <w14:solidFill>
              <w14:schemeClr w14:val="tx1"/>
            </w14:solidFill>
          </w14:textFill>
        </w:rPr>
        <w:t>总分</w:t>
      </w:r>
      <w:bookmarkStart w:id="1163" w:name="OLE_LINK223"/>
      <w:r>
        <w:rPr>
          <w:rFonts w:hint="eastAsia" w:ascii="宋体" w:hAnsi="宋体" w:eastAsia="宋体" w:cs="宋体"/>
          <w:b/>
          <w:bCs/>
          <w:color w:val="000000" w:themeColor="text1"/>
          <w:kern w:val="0"/>
          <w:szCs w:val="21"/>
          <w:highlight w:val="none"/>
          <w14:textFill>
            <w14:solidFill>
              <w14:schemeClr w14:val="tx1"/>
            </w14:solidFill>
          </w14:textFill>
        </w:rPr>
        <w:t>30</w:t>
      </w:r>
      <w:bookmarkEnd w:id="1163"/>
      <w:r>
        <w:rPr>
          <w:rFonts w:hint="eastAsia" w:ascii="宋体" w:hAnsi="宋体" w:eastAsia="宋体" w:cs="宋体"/>
          <w:b/>
          <w:bCs/>
          <w:color w:val="000000" w:themeColor="text1"/>
          <w:kern w:val="0"/>
          <w:szCs w:val="21"/>
          <w:highlight w:val="none"/>
          <w:lang w:val="zh-CN"/>
          <w14:textFill>
            <w14:solidFill>
              <w14:schemeClr w14:val="tx1"/>
            </w14:solidFill>
          </w14:textFill>
        </w:rPr>
        <w:t>分</w:t>
      </w:r>
    </w:p>
    <w:p w14:paraId="09AC375F">
      <w:pPr>
        <w:autoSpaceDN w:val="0"/>
        <w:adjustRightInd w:val="0"/>
        <w:snapToGrid w:val="0"/>
        <w:spacing w:line="360" w:lineRule="auto"/>
        <w:ind w:left="420" w:leftChars="100" w:hanging="210" w:hangingChars="1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A、根据有效投标人的投标报价，最低价作为基准价（Y）。投标人报价（X）等于基准价的得满分</w:t>
      </w:r>
      <w:bookmarkStart w:id="1164" w:name="OLE_LINK222"/>
      <w:r>
        <w:rPr>
          <w:rFonts w:hint="eastAsia" w:ascii="宋体" w:hAnsi="宋体" w:eastAsia="宋体" w:cs="宋体"/>
          <w:color w:val="000000" w:themeColor="text1"/>
          <w:kern w:val="0"/>
          <w:szCs w:val="21"/>
          <w:highlight w:val="none"/>
          <w14:textFill>
            <w14:solidFill>
              <w14:schemeClr w14:val="tx1"/>
            </w14:solidFill>
          </w14:textFill>
        </w:rPr>
        <w:t>30</w:t>
      </w:r>
      <w:bookmarkEnd w:id="1164"/>
      <w:r>
        <w:rPr>
          <w:rFonts w:hint="eastAsia" w:ascii="宋体" w:hAnsi="宋体" w:eastAsia="宋体" w:cs="宋体"/>
          <w:color w:val="000000" w:themeColor="text1"/>
          <w:kern w:val="0"/>
          <w:szCs w:val="21"/>
          <w:highlight w:val="none"/>
          <w14:textFill>
            <w14:solidFill>
              <w14:schemeClr w14:val="tx1"/>
            </w14:solidFill>
          </w14:textFill>
        </w:rPr>
        <w:t>分，其他投标人的价格得分统一按照下列公式计算：</w:t>
      </w:r>
      <w:r>
        <w:rPr>
          <w:rFonts w:hint="eastAsia" w:ascii="宋体" w:hAnsi="宋体" w:eastAsia="宋体" w:cs="宋体"/>
          <w:color w:val="000000" w:themeColor="text1"/>
          <w:kern w:val="0"/>
          <w:szCs w:val="21"/>
          <w:highlight w:val="none"/>
          <w14:textFill>
            <w14:solidFill>
              <w14:schemeClr w14:val="tx1"/>
            </w14:solidFill>
          </w14:textFill>
        </w:rPr>
        <w:br w:type="textWrapping"/>
      </w:r>
      <w:r>
        <w:rPr>
          <w:rFonts w:hint="eastAsia" w:ascii="宋体" w:hAnsi="宋体" w:eastAsia="宋体" w:cs="宋体"/>
          <w:color w:val="000000" w:themeColor="text1"/>
          <w:kern w:val="0"/>
          <w:szCs w:val="21"/>
          <w:highlight w:val="none"/>
          <w14:textFill>
            <w14:solidFill>
              <w14:schemeClr w14:val="tx1"/>
            </w14:solidFill>
          </w14:textFill>
        </w:rPr>
        <w:t xml:space="preserve">    价格得分=(基准价／投标报价)×</w:t>
      </w:r>
      <w:bookmarkStart w:id="1165" w:name="OLE_LINK224"/>
      <w:r>
        <w:rPr>
          <w:rFonts w:hint="eastAsia" w:ascii="宋体" w:hAnsi="宋体" w:eastAsia="宋体" w:cs="宋体"/>
          <w:color w:val="000000" w:themeColor="text1"/>
          <w:kern w:val="0"/>
          <w:szCs w:val="21"/>
          <w:highlight w:val="none"/>
          <w14:textFill>
            <w14:solidFill>
              <w14:schemeClr w14:val="tx1"/>
            </w14:solidFill>
          </w14:textFill>
        </w:rPr>
        <w:t>30</w:t>
      </w:r>
      <w:bookmarkEnd w:id="1165"/>
    </w:p>
    <w:p w14:paraId="2ED4F64E">
      <w:pPr>
        <w:autoSpaceDN w:val="0"/>
        <w:adjustRightInd w:val="0"/>
        <w:snapToGrid w:val="0"/>
        <w:spacing w:line="360" w:lineRule="auto"/>
        <w:ind w:firstLine="210" w:firstLineChars="1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B、分数出现小数点，保留小数点后2位，从小数点后第3位四舍五入。</w:t>
      </w:r>
    </w:p>
    <w:p w14:paraId="3AF9CA0E">
      <w:pPr>
        <w:tabs>
          <w:tab w:val="left" w:pos="585"/>
        </w:tabs>
        <w:autoSpaceDE w:val="0"/>
        <w:autoSpaceDN w:val="0"/>
        <w:adjustRightInd w:val="0"/>
        <w:spacing w:line="400" w:lineRule="exact"/>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（4）综合得分</w:t>
      </w:r>
    </w:p>
    <w:p w14:paraId="1BC94C03">
      <w:pPr>
        <w:spacing w:line="400" w:lineRule="exact"/>
        <w:ind w:firstLine="848" w:firstLineChars="404"/>
        <w:rPr>
          <w:rFonts w:ascii="宋体" w:hAnsi="宋体" w:eastAsia="宋体" w:cs="宋体"/>
          <w:color w:val="000000" w:themeColor="text1"/>
          <w:kern w:val="0"/>
          <w:szCs w:val="28"/>
          <w:highlight w:val="none"/>
          <w:lang w:val="zh-CN"/>
          <w14:textFill>
            <w14:solidFill>
              <w14:schemeClr w14:val="tx1"/>
            </w14:solidFill>
          </w14:textFill>
        </w:rPr>
      </w:pPr>
      <w:bookmarkStart w:id="1166" w:name="_Toc31624_WPSOffice_Level2"/>
      <w:r>
        <w:rPr>
          <w:rFonts w:hint="eastAsia" w:ascii="宋体" w:hAnsi="宋体" w:eastAsia="宋体" w:cs="宋体"/>
          <w:color w:val="000000" w:themeColor="text1"/>
          <w:kern w:val="0"/>
          <w:szCs w:val="28"/>
          <w:highlight w:val="none"/>
          <w:lang w:val="zh-CN"/>
          <w14:textFill>
            <w14:solidFill>
              <w14:schemeClr w14:val="tx1"/>
            </w14:solidFill>
          </w14:textFill>
        </w:rPr>
        <w:t>评标总得分=F1＋F2＋……+Fn</w:t>
      </w:r>
      <w:bookmarkEnd w:id="1166"/>
    </w:p>
    <w:p w14:paraId="1475C92A">
      <w:pPr>
        <w:widowControl/>
        <w:autoSpaceDE w:val="0"/>
        <w:autoSpaceDN w:val="0"/>
        <w:adjustRightInd w:val="0"/>
        <w:spacing w:line="400" w:lineRule="exact"/>
        <w:ind w:firstLine="840" w:firstLineChars="400"/>
        <w:jc w:val="left"/>
        <w:rPr>
          <w:rFonts w:ascii="宋体" w:hAnsi="宋体" w:eastAsia="宋体" w:cs="宋体"/>
          <w:color w:val="000000" w:themeColor="text1"/>
          <w:kern w:val="0"/>
          <w:szCs w:val="21"/>
          <w:highlight w:val="none"/>
          <w14:textFill>
            <w14:solidFill>
              <w14:schemeClr w14:val="tx1"/>
            </w14:solidFill>
          </w14:textFill>
        </w:rPr>
      </w:pPr>
      <w:bookmarkStart w:id="1167" w:name="_Toc13236_WPSOffice_Level2"/>
      <w:r>
        <w:rPr>
          <w:rFonts w:hint="eastAsia" w:ascii="宋体" w:hAnsi="宋体" w:eastAsia="宋体" w:cs="宋体"/>
          <w:color w:val="000000" w:themeColor="text1"/>
          <w:kern w:val="0"/>
          <w:szCs w:val="21"/>
          <w:highlight w:val="none"/>
          <w14:textFill>
            <w14:solidFill>
              <w14:schemeClr w14:val="tx1"/>
            </w14:solidFill>
          </w14:textFill>
        </w:rPr>
        <w:t>F1、F2、……Fn分别为各项评分因素的得分</w:t>
      </w:r>
      <w:bookmarkEnd w:id="1167"/>
      <w:r>
        <w:rPr>
          <w:rFonts w:hint="eastAsia" w:ascii="宋体" w:hAnsi="宋体" w:eastAsia="宋体" w:cs="宋体"/>
          <w:color w:val="000000" w:themeColor="text1"/>
          <w:kern w:val="0"/>
          <w:szCs w:val="21"/>
          <w:highlight w:val="none"/>
          <w14:textFill>
            <w14:solidFill>
              <w14:schemeClr w14:val="tx1"/>
            </w14:solidFill>
          </w14:textFill>
        </w:rPr>
        <w:t>。</w:t>
      </w:r>
    </w:p>
    <w:p w14:paraId="05B2FAF9">
      <w:pPr>
        <w:autoSpaceDE w:val="0"/>
        <w:autoSpaceDN w:val="0"/>
        <w:adjustRightInd w:val="0"/>
        <w:spacing w:line="360" w:lineRule="auto"/>
        <w:ind w:left="564" w:leftChars="1" w:hanging="562" w:hangingChars="200"/>
        <w:rPr>
          <w:rFonts w:ascii="宋体" w:hAnsi="宋体" w:eastAsia="宋体" w:cs="宋体"/>
          <w:b/>
          <w:bCs/>
          <w:color w:val="000000" w:themeColor="text1"/>
          <w:sz w:val="28"/>
          <w:szCs w:val="28"/>
          <w:highlight w:val="none"/>
          <w14:textFill>
            <w14:solidFill>
              <w14:schemeClr w14:val="tx1"/>
            </w14:solidFill>
          </w14:textFill>
        </w:rPr>
      </w:pPr>
    </w:p>
    <w:p w14:paraId="3E52C41A">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bookmarkStart w:id="1168" w:name="_Toc518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五、推荐中标人</w:t>
      </w:r>
      <w:bookmarkEnd w:id="1168"/>
    </w:p>
    <w:p w14:paraId="0839E248">
      <w:pPr>
        <w:autoSpaceDE w:val="0"/>
        <w:autoSpaceDN w:val="0"/>
        <w:adjustRightInd w:val="0"/>
        <w:spacing w:line="360" w:lineRule="auto"/>
        <w:ind w:left="420" w:hanging="420" w:hangingChars="20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13</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4"/>
          <w:highlight w:val="none"/>
          <w:lang w:val="zh-CN"/>
          <w14:textFill>
            <w14:solidFill>
              <w14:schemeClr w14:val="tx1"/>
            </w14:solidFill>
          </w14:textFill>
        </w:rPr>
        <w:t>评标委员会按评审后得分由高到低顺序排列</w:t>
      </w:r>
      <w:r>
        <w:rPr>
          <w:rFonts w:hint="eastAsia" w:ascii="宋体" w:hAnsi="宋体" w:eastAsia="宋体" w:cs="Times New Roman"/>
          <w:color w:val="000000" w:themeColor="text1"/>
          <w:kern w:val="0"/>
          <w:szCs w:val="21"/>
          <w:highlight w:val="none"/>
          <w14:textFill>
            <w14:solidFill>
              <w14:schemeClr w14:val="tx1"/>
            </w14:solidFill>
          </w14:textFill>
        </w:rPr>
        <w:t>，并向招标人推荐最后综合得分最高的前二名投标人为中标候选人（最后综合得分排名第一、第二的投标人分别为第一、第二中标候选人），招标人将确定第一中标候选人为中标人。</w:t>
      </w:r>
    </w:p>
    <w:p w14:paraId="2FAA868D">
      <w:pPr>
        <w:autoSpaceDE w:val="0"/>
        <w:autoSpaceDN w:val="0"/>
        <w:adjustRightInd w:val="0"/>
        <w:spacing w:line="360" w:lineRule="auto"/>
        <w:ind w:left="420" w:leftChars="200" w:firstLine="420" w:firstLineChars="200"/>
        <w:jc w:val="left"/>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如果有两个或以上的投标人的最后综合得分相同，则在最后综合得分相同的投标人中按投标报价</w:t>
      </w:r>
      <w:r>
        <w:rPr>
          <w:rFonts w:hint="eastAsia" w:ascii="宋体" w:hAnsi="宋体" w:eastAsia="宋体" w:cs="Times New Roman"/>
          <w:color w:val="000000" w:themeColor="text1"/>
          <w:kern w:val="0"/>
          <w:szCs w:val="21"/>
          <w:highlight w:val="none"/>
          <w:lang w:val="zh-CN"/>
          <w14:textFill>
            <w14:solidFill>
              <w14:schemeClr w14:val="tx1"/>
            </w14:solidFill>
          </w14:textFill>
        </w:rPr>
        <w:t>由低到高顺序排出次序，报价低的排前，报价高的排后。</w:t>
      </w:r>
      <w:r>
        <w:rPr>
          <w:rFonts w:hint="eastAsia" w:ascii="宋体" w:hAnsi="宋体" w:eastAsia="宋体" w:cs="Times New Roman"/>
          <w:color w:val="000000" w:themeColor="text1"/>
          <w:kern w:val="0"/>
          <w:szCs w:val="21"/>
          <w:highlight w:val="none"/>
          <w14:textFill>
            <w14:solidFill>
              <w14:schemeClr w14:val="tx1"/>
            </w14:solidFill>
          </w14:textFill>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3BF89103">
      <w:pPr>
        <w:widowControl/>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49DFE5FF">
      <w:pPr>
        <w:autoSpaceDE w:val="0"/>
        <w:autoSpaceDN w:val="0"/>
        <w:adjustRightInd w:val="0"/>
        <w:spacing w:line="360" w:lineRule="auto"/>
        <w:ind w:left="185" w:leftChars="88" w:firstLine="3443" w:firstLineChars="1225"/>
        <w:rPr>
          <w:rFonts w:ascii="宋体" w:hAnsi="宋体" w:eastAsia="宋体" w:cs="宋体"/>
          <w:b/>
          <w:bCs/>
          <w:color w:val="000000" w:themeColor="text1"/>
          <w:sz w:val="28"/>
          <w:szCs w:val="28"/>
          <w:highlight w:val="none"/>
          <w:lang w:val="zh-CN"/>
          <w14:textFill>
            <w14:solidFill>
              <w14:schemeClr w14:val="tx1"/>
            </w14:solidFill>
          </w14:textFill>
        </w:rPr>
      </w:pPr>
      <w:bookmarkStart w:id="1169" w:name="_Toc22724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六、编写评标报告</w:t>
      </w:r>
      <w:bookmarkEnd w:id="1169"/>
    </w:p>
    <w:p w14:paraId="2D875389">
      <w:pPr>
        <w:autoSpaceDE w:val="0"/>
        <w:autoSpaceDN w:val="0"/>
        <w:adjustRightInd w:val="0"/>
        <w:spacing w:line="360" w:lineRule="auto"/>
        <w:ind w:left="420" w:hanging="420" w:hangingChars="200"/>
        <w:jc w:val="left"/>
        <w:rPr>
          <w:rFonts w:ascii="宋体" w:hAnsi="宋体" w:eastAsia="宋体" w:cs="宋体"/>
          <w:b/>
          <w:bCs/>
          <w:color w:val="000000" w:themeColor="text1"/>
          <w:szCs w:val="32"/>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lang w:val="zh-CN"/>
          <w14:textFill>
            <w14:solidFill>
              <w14:schemeClr w14:val="tx1"/>
            </w14:solidFill>
          </w14:textFill>
        </w:rPr>
        <w:t>、评标委员会根据评审结果撰写评标报告。评标报告是评标委员会根据全体评标委员会成员签字的原始评审记录和评审结果编写的报告，其主要内容包括：</w:t>
      </w:r>
    </w:p>
    <w:p w14:paraId="3B9C77D3">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（1）开标邀请时间、开标日期和地点；</w:t>
      </w:r>
    </w:p>
    <w:p w14:paraId="7CADB74F">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（2）投标人名单和评标委员会成员名单；</w:t>
      </w:r>
    </w:p>
    <w:p w14:paraId="2F5E53DA">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（3）开标评审方法和标准；</w:t>
      </w:r>
    </w:p>
    <w:p w14:paraId="50C3994D">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（4）开标评审记录和评审情况及说明，包括投标无效投标人名单及原因；</w:t>
      </w:r>
    </w:p>
    <w:p w14:paraId="7ADD0745">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（5）评审结果和中标候选投标人排序表；</w:t>
      </w:r>
    </w:p>
    <w:p w14:paraId="0C6CDC47">
      <w:pPr>
        <w:autoSpaceDE w:val="0"/>
        <w:autoSpaceDN w:val="0"/>
        <w:adjustRightInd w:val="0"/>
        <w:spacing w:line="360" w:lineRule="auto"/>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（6）评标委员会的推荐</w:t>
      </w:r>
      <w:r>
        <w:rPr>
          <w:rFonts w:hint="eastAsia" w:ascii="宋体" w:hAnsi="宋体" w:eastAsia="宋体" w:cs="宋体"/>
          <w:color w:val="000000" w:themeColor="text1"/>
          <w:szCs w:val="24"/>
          <w:highlight w:val="none"/>
          <w:lang w:val="zh-CN"/>
          <w14:textFill>
            <w14:solidFill>
              <w14:schemeClr w14:val="tx1"/>
            </w14:solidFill>
          </w14:textFill>
        </w:rPr>
        <w:t>建议。</w:t>
      </w:r>
    </w:p>
    <w:p w14:paraId="474B4D29">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p>
    <w:p w14:paraId="2EDBEEAB">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1170" w:name="_Toc23773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七、注意事项</w:t>
      </w:r>
      <w:bookmarkEnd w:id="1170"/>
    </w:p>
    <w:p w14:paraId="465FE89E">
      <w:pPr>
        <w:autoSpaceDE w:val="0"/>
        <w:autoSpaceDN w:val="0"/>
        <w:adjustRightInd w:val="0"/>
        <w:spacing w:line="360" w:lineRule="auto"/>
        <w:ind w:left="420"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5</w:t>
      </w:r>
      <w:r>
        <w:rPr>
          <w:rFonts w:hint="eastAsia" w:ascii="宋体" w:hAnsi="宋体" w:eastAsia="宋体" w:cs="宋体"/>
          <w:color w:val="000000" w:themeColor="text1"/>
          <w:szCs w:val="24"/>
          <w:highlight w:val="none"/>
          <w:lang w:val="zh-CN"/>
          <w14:textFill>
            <w14:solidFill>
              <w14:schemeClr w14:val="tx1"/>
            </w14:solidFill>
          </w14:textFill>
        </w:rPr>
        <w:t>、为确保评审工作的顺利进行，防止因泄密或其它意外而造成的不良后果及影响，凡参加评审工作的人员都必须认真执行本规定：</w:t>
      </w:r>
    </w:p>
    <w:p w14:paraId="686BCEB6">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（1）在评审工作期间，所有分发的投标文件、资料等仅限于在评审场所中使用，不得带往其它地方，所有的招标文件、投标文件、资料等一律编号登记；</w:t>
      </w:r>
    </w:p>
    <w:p w14:paraId="0AE609BE">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（2）评审人员及工作人员不得在公共场合谈论有关评审内容；</w:t>
      </w:r>
    </w:p>
    <w:p w14:paraId="36106789">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2E60BE60">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14:textFill>
            <w14:solidFill>
              <w14:schemeClr w14:val="tx1"/>
            </w14:solidFill>
          </w14:textFill>
        </w:rPr>
        <w:t>如有需要举行</w:t>
      </w:r>
      <w:r>
        <w:rPr>
          <w:rFonts w:hint="eastAsia" w:ascii="宋体" w:hAnsi="宋体" w:eastAsia="宋体" w:cs="宋体"/>
          <w:color w:val="000000" w:themeColor="text1"/>
          <w:szCs w:val="24"/>
          <w:highlight w:val="none"/>
          <w:lang w:val="zh-CN"/>
          <w14:textFill>
            <w14:solidFill>
              <w14:schemeClr w14:val="tx1"/>
            </w14:solidFill>
          </w14:textFill>
        </w:rPr>
        <w:t>澄清会</w:t>
      </w:r>
      <w:r>
        <w:rPr>
          <w:rFonts w:hint="eastAsia" w:ascii="宋体" w:hAnsi="宋体" w:eastAsia="宋体" w:cs="宋体"/>
          <w:color w:val="000000" w:themeColor="text1"/>
          <w:szCs w:val="24"/>
          <w:highlight w:val="none"/>
          <w14:textFill>
            <w14:solidFill>
              <w14:schemeClr w14:val="tx1"/>
            </w14:solidFill>
          </w14:textFill>
        </w:rPr>
        <w:t>，</w:t>
      </w:r>
      <w:r>
        <w:rPr>
          <w:rFonts w:hint="eastAsia" w:ascii="宋体" w:hAnsi="宋体" w:eastAsia="宋体" w:cs="宋体"/>
          <w:color w:val="000000" w:themeColor="text1"/>
          <w:szCs w:val="24"/>
          <w:highlight w:val="none"/>
          <w:lang w:val="zh-CN"/>
          <w14:textFill>
            <w14:solidFill>
              <w14:schemeClr w14:val="tx1"/>
            </w14:solidFill>
          </w14:textFill>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507426EA">
      <w:pPr>
        <w:widowControl/>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（5）任何评审人员和工作人员不得对外公布评审的一切内容。</w:t>
      </w:r>
      <w:bookmarkEnd w:id="1009"/>
      <w:bookmarkEnd w:id="1032"/>
      <w:bookmarkEnd w:id="1033"/>
      <w:bookmarkEnd w:id="1034"/>
    </w:p>
    <w:p w14:paraId="1305C823">
      <w:pPr>
        <w:rPr>
          <w:color w:val="000000" w:themeColor="text1"/>
          <w:highlight w:val="none"/>
          <w14:textFill>
            <w14:solidFill>
              <w14:schemeClr w14:val="tx1"/>
            </w14:solidFill>
          </w14:textFill>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ˎ̥">
    <w:altName w:val="微软雅黑"/>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BF3C8">
    <w:pPr>
      <w:pStyle w:val="26"/>
      <w:jc w:val="center"/>
    </w:pPr>
    <w:r>
      <w:rPr>
        <w:rFonts w:hint="eastAsia"/>
      </w:rPr>
      <w:t>第</w:t>
    </w:r>
    <w:r>
      <w:rPr>
        <w:bCs/>
      </w:rPr>
      <w:fldChar w:fldCharType="begin"/>
    </w:r>
    <w:r>
      <w:rPr>
        <w:bCs/>
      </w:rPr>
      <w:instrText xml:space="preserve">PAGE</w:instrText>
    </w:r>
    <w:r>
      <w:rPr>
        <w:bCs/>
      </w:rPr>
      <w:fldChar w:fldCharType="separate"/>
    </w:r>
    <w:r>
      <w:rPr>
        <w:bCs/>
      </w:rPr>
      <w:t>99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143</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2D3DA">
    <w:pPr>
      <w:pStyle w:val="26"/>
      <w:jc w:val="center"/>
    </w:pPr>
    <w:r>
      <w:rPr>
        <w:rFonts w:hint="eastAsia"/>
      </w:rPr>
      <w:t>第</w:t>
    </w:r>
    <w:r>
      <w:rPr>
        <w:bCs/>
      </w:rPr>
      <w:fldChar w:fldCharType="begin"/>
    </w:r>
    <w:r>
      <w:rPr>
        <w:bCs/>
      </w:rPr>
      <w:instrText xml:space="preserve">PAGE</w:instrText>
    </w:r>
    <w:r>
      <w:rPr>
        <w:bCs/>
      </w:rPr>
      <w:fldChar w:fldCharType="separate"/>
    </w:r>
    <w:r>
      <w:rPr>
        <w:bCs/>
      </w:rPr>
      <w:t>87</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143</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9BB2C">
    <w:pPr>
      <w:pStyle w:val="26"/>
      <w:jc w:val="center"/>
    </w:pPr>
    <w:r>
      <w:rPr>
        <w:rFonts w:hint="eastAsia"/>
      </w:rPr>
      <w:t>第</w:t>
    </w:r>
    <w:r>
      <w:rPr>
        <w:bCs/>
      </w:rPr>
      <w:fldChar w:fldCharType="begin"/>
    </w:r>
    <w:r>
      <w:rPr>
        <w:bCs/>
      </w:rPr>
      <w:instrText xml:space="preserve">PAGE</w:instrText>
    </w:r>
    <w:r>
      <w:rPr>
        <w:bCs/>
      </w:rPr>
      <w:fldChar w:fldCharType="separate"/>
    </w:r>
    <w:r>
      <w:rPr>
        <w:bCs/>
      </w:rPr>
      <w:t>103</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143</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EA23B">
    <w:pPr>
      <w:pStyle w:val="26"/>
      <w:jc w:val="center"/>
    </w:pPr>
    <w:r>
      <w:rPr>
        <w:rFonts w:hint="eastAsia"/>
      </w:rPr>
      <w:t>第</w:t>
    </w:r>
    <w:r>
      <w:rPr>
        <w:bCs/>
      </w:rPr>
      <w:fldChar w:fldCharType="begin"/>
    </w:r>
    <w:r>
      <w:rPr>
        <w:bCs/>
      </w:rPr>
      <w:instrText xml:space="preserve">PAGE</w:instrText>
    </w:r>
    <w:r>
      <w:rPr>
        <w:bCs/>
      </w:rPr>
      <w:fldChar w:fldCharType="separate"/>
    </w:r>
    <w:r>
      <w:rPr>
        <w:bCs/>
      </w:rPr>
      <w:t>117</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143</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11DD3">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141</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143</w:t>
    </w:r>
    <w:r>
      <w:rPr>
        <w:bCs/>
        <w:sz w:val="24"/>
        <w:szCs w:val="24"/>
      </w:rPr>
      <w:fldChar w:fldCharType="end"/>
    </w:r>
    <w:r>
      <w:rPr>
        <w:b/>
        <w:bCs/>
        <w:sz w:val="24"/>
        <w:szCs w:val="24"/>
      </w:rPr>
      <w:t xml:space="preserve"> </w:t>
    </w:r>
    <w:r>
      <w:rPr>
        <w:rFonts w:hint="eastAsia"/>
      </w:rPr>
      <w:t>页</w:t>
    </w:r>
  </w:p>
  <w:p w14:paraId="5721F32E">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1E402"/>
    <w:multiLevelType w:val="singleLevel"/>
    <w:tmpl w:val="8341E402"/>
    <w:lvl w:ilvl="0" w:tentative="0">
      <w:start w:val="1"/>
      <w:numFmt w:val="chineseCounting"/>
      <w:suff w:val="nothing"/>
      <w:lvlText w:val="%1、"/>
      <w:lvlJc w:val="left"/>
      <w:rPr>
        <w:rFonts w:hint="eastAsia"/>
      </w:rPr>
    </w:lvl>
  </w:abstractNum>
  <w:abstractNum w:abstractNumId="1">
    <w:nsid w:val="0ADAAA43"/>
    <w:multiLevelType w:val="singleLevel"/>
    <w:tmpl w:val="0ADAAA43"/>
    <w:lvl w:ilvl="0" w:tentative="0">
      <w:start w:val="3"/>
      <w:numFmt w:val="decimal"/>
      <w:suff w:val="nothing"/>
      <w:lvlText w:val="%1、"/>
      <w:lvlJc w:val="left"/>
    </w:lvl>
  </w:abstractNum>
  <w:abstractNum w:abstractNumId="2">
    <w:nsid w:val="13CD5E33"/>
    <w:multiLevelType w:val="multilevel"/>
    <w:tmpl w:val="13CD5E3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4">
    <w:nsid w:val="3C01546A"/>
    <w:multiLevelType w:val="singleLevel"/>
    <w:tmpl w:val="3C01546A"/>
    <w:lvl w:ilvl="0" w:tentative="0">
      <w:start w:val="1"/>
      <w:numFmt w:val="decimal"/>
      <w:suff w:val="nothing"/>
      <w:lvlText w:val="（%1）"/>
      <w:lvlJc w:val="left"/>
      <w:pPr>
        <w:ind w:left="0" w:firstLine="420"/>
      </w:pPr>
      <w:rPr>
        <w:rFonts w:hint="default"/>
      </w:rPr>
    </w:lvl>
  </w:abstractNum>
  <w:abstractNum w:abstractNumId="5">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iYTc3NWIwMWFjZDBjNDgwZTQ5M2I4OWRiM2VmZWUifQ=="/>
    <w:docVar w:name="KSO_WPS_MARK_KEY" w:val="2556e830-ef25-4d13-bad8-ef1177fe74ee"/>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87860"/>
    <w:rsid w:val="00094AF8"/>
    <w:rsid w:val="000A31BD"/>
    <w:rsid w:val="000A34F7"/>
    <w:rsid w:val="000A65CD"/>
    <w:rsid w:val="000A73D7"/>
    <w:rsid w:val="000B1239"/>
    <w:rsid w:val="000B4B09"/>
    <w:rsid w:val="000B5FFB"/>
    <w:rsid w:val="000C1661"/>
    <w:rsid w:val="000C18B7"/>
    <w:rsid w:val="000C5D06"/>
    <w:rsid w:val="000C6A11"/>
    <w:rsid w:val="000D0B5D"/>
    <w:rsid w:val="000D5537"/>
    <w:rsid w:val="000D75D3"/>
    <w:rsid w:val="000E3ECA"/>
    <w:rsid w:val="000E4A4F"/>
    <w:rsid w:val="000E4D54"/>
    <w:rsid w:val="000F0A84"/>
    <w:rsid w:val="00102BA8"/>
    <w:rsid w:val="001059DC"/>
    <w:rsid w:val="0010738F"/>
    <w:rsid w:val="0011440A"/>
    <w:rsid w:val="00114519"/>
    <w:rsid w:val="001233ED"/>
    <w:rsid w:val="00127946"/>
    <w:rsid w:val="00131E91"/>
    <w:rsid w:val="00132ABA"/>
    <w:rsid w:val="00137644"/>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833D1"/>
    <w:rsid w:val="00191320"/>
    <w:rsid w:val="0019682B"/>
    <w:rsid w:val="001A1FCB"/>
    <w:rsid w:val="001B578A"/>
    <w:rsid w:val="001B74B3"/>
    <w:rsid w:val="001C2086"/>
    <w:rsid w:val="001C3532"/>
    <w:rsid w:val="001C4AC2"/>
    <w:rsid w:val="001C6FAA"/>
    <w:rsid w:val="001D00B3"/>
    <w:rsid w:val="001D2409"/>
    <w:rsid w:val="001D44E5"/>
    <w:rsid w:val="001D5A65"/>
    <w:rsid w:val="001D6B15"/>
    <w:rsid w:val="001E4158"/>
    <w:rsid w:val="001E6227"/>
    <w:rsid w:val="001E63B6"/>
    <w:rsid w:val="001E6DD8"/>
    <w:rsid w:val="001F0290"/>
    <w:rsid w:val="001F6A01"/>
    <w:rsid w:val="00202DB9"/>
    <w:rsid w:val="0021412D"/>
    <w:rsid w:val="00215B7A"/>
    <w:rsid w:val="00223D5B"/>
    <w:rsid w:val="0022528C"/>
    <w:rsid w:val="002258BB"/>
    <w:rsid w:val="00225B7D"/>
    <w:rsid w:val="002260FC"/>
    <w:rsid w:val="002315B7"/>
    <w:rsid w:val="002347FE"/>
    <w:rsid w:val="0024360C"/>
    <w:rsid w:val="002451A7"/>
    <w:rsid w:val="002466DD"/>
    <w:rsid w:val="00247373"/>
    <w:rsid w:val="00260C05"/>
    <w:rsid w:val="00261575"/>
    <w:rsid w:val="00262407"/>
    <w:rsid w:val="00275480"/>
    <w:rsid w:val="00275E0E"/>
    <w:rsid w:val="0028146F"/>
    <w:rsid w:val="002831F6"/>
    <w:rsid w:val="00290CBF"/>
    <w:rsid w:val="0029590E"/>
    <w:rsid w:val="002A3EB3"/>
    <w:rsid w:val="002B1734"/>
    <w:rsid w:val="002B4130"/>
    <w:rsid w:val="002B43CA"/>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66E"/>
    <w:rsid w:val="00325EF0"/>
    <w:rsid w:val="00326230"/>
    <w:rsid w:val="00326290"/>
    <w:rsid w:val="00330DA7"/>
    <w:rsid w:val="00332C2D"/>
    <w:rsid w:val="00335872"/>
    <w:rsid w:val="00336E17"/>
    <w:rsid w:val="00345B0A"/>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4008"/>
    <w:rsid w:val="003B5C9C"/>
    <w:rsid w:val="003C193B"/>
    <w:rsid w:val="003C270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37D8"/>
    <w:rsid w:val="004359C6"/>
    <w:rsid w:val="004360FC"/>
    <w:rsid w:val="004378C7"/>
    <w:rsid w:val="00437B9C"/>
    <w:rsid w:val="00437FC4"/>
    <w:rsid w:val="00441805"/>
    <w:rsid w:val="0045178F"/>
    <w:rsid w:val="004551D1"/>
    <w:rsid w:val="0045753C"/>
    <w:rsid w:val="004577C3"/>
    <w:rsid w:val="0046038A"/>
    <w:rsid w:val="00460F3E"/>
    <w:rsid w:val="00464570"/>
    <w:rsid w:val="004761B2"/>
    <w:rsid w:val="00481AFA"/>
    <w:rsid w:val="0049337D"/>
    <w:rsid w:val="004A64BC"/>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43B7D"/>
    <w:rsid w:val="00556EA5"/>
    <w:rsid w:val="005572B4"/>
    <w:rsid w:val="0056010A"/>
    <w:rsid w:val="00561294"/>
    <w:rsid w:val="00563302"/>
    <w:rsid w:val="00571307"/>
    <w:rsid w:val="005743EA"/>
    <w:rsid w:val="00574B06"/>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5F6CC1"/>
    <w:rsid w:val="005F722A"/>
    <w:rsid w:val="00602D7E"/>
    <w:rsid w:val="00603BD0"/>
    <w:rsid w:val="0060555D"/>
    <w:rsid w:val="00606161"/>
    <w:rsid w:val="006062B3"/>
    <w:rsid w:val="00612EB1"/>
    <w:rsid w:val="0061352C"/>
    <w:rsid w:val="0061514D"/>
    <w:rsid w:val="006165C8"/>
    <w:rsid w:val="006175B4"/>
    <w:rsid w:val="00617AAD"/>
    <w:rsid w:val="00621CDC"/>
    <w:rsid w:val="006229B2"/>
    <w:rsid w:val="00625E3D"/>
    <w:rsid w:val="006269CD"/>
    <w:rsid w:val="00630B61"/>
    <w:rsid w:val="006402A6"/>
    <w:rsid w:val="00644B65"/>
    <w:rsid w:val="00644C4E"/>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55AC"/>
    <w:rsid w:val="006C6349"/>
    <w:rsid w:val="006D151B"/>
    <w:rsid w:val="006D479F"/>
    <w:rsid w:val="006E2E51"/>
    <w:rsid w:val="006F6DB2"/>
    <w:rsid w:val="0070455A"/>
    <w:rsid w:val="00704B3A"/>
    <w:rsid w:val="00710CF8"/>
    <w:rsid w:val="00711E08"/>
    <w:rsid w:val="007138FD"/>
    <w:rsid w:val="00716BB1"/>
    <w:rsid w:val="007172FD"/>
    <w:rsid w:val="007200C8"/>
    <w:rsid w:val="007215F6"/>
    <w:rsid w:val="00721BAA"/>
    <w:rsid w:val="00744C17"/>
    <w:rsid w:val="00745968"/>
    <w:rsid w:val="00747A3E"/>
    <w:rsid w:val="007730C9"/>
    <w:rsid w:val="00775150"/>
    <w:rsid w:val="00776B48"/>
    <w:rsid w:val="0078099D"/>
    <w:rsid w:val="00787DE8"/>
    <w:rsid w:val="007942D8"/>
    <w:rsid w:val="00794983"/>
    <w:rsid w:val="00796ED7"/>
    <w:rsid w:val="007A2325"/>
    <w:rsid w:val="007A7740"/>
    <w:rsid w:val="007B4F1D"/>
    <w:rsid w:val="007C002A"/>
    <w:rsid w:val="007C024B"/>
    <w:rsid w:val="007C21B8"/>
    <w:rsid w:val="007C728A"/>
    <w:rsid w:val="007D408A"/>
    <w:rsid w:val="007D4A5A"/>
    <w:rsid w:val="007D6B20"/>
    <w:rsid w:val="007E0673"/>
    <w:rsid w:val="007E0FE5"/>
    <w:rsid w:val="007E17C8"/>
    <w:rsid w:val="007E32FC"/>
    <w:rsid w:val="007F01A2"/>
    <w:rsid w:val="007F0378"/>
    <w:rsid w:val="007F2ABC"/>
    <w:rsid w:val="007F7FEC"/>
    <w:rsid w:val="00804525"/>
    <w:rsid w:val="00806324"/>
    <w:rsid w:val="0081027D"/>
    <w:rsid w:val="00817B3D"/>
    <w:rsid w:val="00822299"/>
    <w:rsid w:val="00822F1E"/>
    <w:rsid w:val="008270D5"/>
    <w:rsid w:val="008279A7"/>
    <w:rsid w:val="00831286"/>
    <w:rsid w:val="00831B7F"/>
    <w:rsid w:val="0085250F"/>
    <w:rsid w:val="008525D6"/>
    <w:rsid w:val="0085388E"/>
    <w:rsid w:val="00856F5E"/>
    <w:rsid w:val="008604D1"/>
    <w:rsid w:val="008659E9"/>
    <w:rsid w:val="0087095D"/>
    <w:rsid w:val="00871835"/>
    <w:rsid w:val="00871F12"/>
    <w:rsid w:val="00872B51"/>
    <w:rsid w:val="00874B71"/>
    <w:rsid w:val="00875420"/>
    <w:rsid w:val="00876184"/>
    <w:rsid w:val="008769AF"/>
    <w:rsid w:val="00880A50"/>
    <w:rsid w:val="00880DA4"/>
    <w:rsid w:val="00884732"/>
    <w:rsid w:val="0089007C"/>
    <w:rsid w:val="008928AE"/>
    <w:rsid w:val="00893092"/>
    <w:rsid w:val="00894583"/>
    <w:rsid w:val="008A31A1"/>
    <w:rsid w:val="008A4C9B"/>
    <w:rsid w:val="008B08C5"/>
    <w:rsid w:val="008B6384"/>
    <w:rsid w:val="008B6557"/>
    <w:rsid w:val="008B74A7"/>
    <w:rsid w:val="008C02C2"/>
    <w:rsid w:val="008C1CB3"/>
    <w:rsid w:val="008C7F21"/>
    <w:rsid w:val="008D1795"/>
    <w:rsid w:val="008D4357"/>
    <w:rsid w:val="008D565D"/>
    <w:rsid w:val="008D6357"/>
    <w:rsid w:val="008E08E3"/>
    <w:rsid w:val="008E3A4C"/>
    <w:rsid w:val="008E58ED"/>
    <w:rsid w:val="008E5EA1"/>
    <w:rsid w:val="008E6AB7"/>
    <w:rsid w:val="008F13C0"/>
    <w:rsid w:val="008F3413"/>
    <w:rsid w:val="008F38EE"/>
    <w:rsid w:val="009001CB"/>
    <w:rsid w:val="0090026B"/>
    <w:rsid w:val="009004F6"/>
    <w:rsid w:val="009077A0"/>
    <w:rsid w:val="009113DE"/>
    <w:rsid w:val="00913121"/>
    <w:rsid w:val="009171D5"/>
    <w:rsid w:val="00917709"/>
    <w:rsid w:val="009179D6"/>
    <w:rsid w:val="00917C84"/>
    <w:rsid w:val="009220F2"/>
    <w:rsid w:val="009227C1"/>
    <w:rsid w:val="00923EDB"/>
    <w:rsid w:val="00925D9A"/>
    <w:rsid w:val="00926978"/>
    <w:rsid w:val="00932BD9"/>
    <w:rsid w:val="009435B1"/>
    <w:rsid w:val="0094670F"/>
    <w:rsid w:val="009479D0"/>
    <w:rsid w:val="00961BA9"/>
    <w:rsid w:val="00967923"/>
    <w:rsid w:val="009701D2"/>
    <w:rsid w:val="00970774"/>
    <w:rsid w:val="00972FAE"/>
    <w:rsid w:val="009732EB"/>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1B0E"/>
    <w:rsid w:val="009E216D"/>
    <w:rsid w:val="009E6283"/>
    <w:rsid w:val="009E63CA"/>
    <w:rsid w:val="009F34CB"/>
    <w:rsid w:val="009F3DCF"/>
    <w:rsid w:val="009F7460"/>
    <w:rsid w:val="009F7F6B"/>
    <w:rsid w:val="00A03E44"/>
    <w:rsid w:val="00A075A8"/>
    <w:rsid w:val="00A10A7B"/>
    <w:rsid w:val="00A15F6A"/>
    <w:rsid w:val="00A209A9"/>
    <w:rsid w:val="00A2275B"/>
    <w:rsid w:val="00A2321D"/>
    <w:rsid w:val="00A311C2"/>
    <w:rsid w:val="00A32233"/>
    <w:rsid w:val="00A36A24"/>
    <w:rsid w:val="00A376FB"/>
    <w:rsid w:val="00A45306"/>
    <w:rsid w:val="00A45D73"/>
    <w:rsid w:val="00A4624C"/>
    <w:rsid w:val="00A62F8C"/>
    <w:rsid w:val="00A64725"/>
    <w:rsid w:val="00A6666A"/>
    <w:rsid w:val="00A67DDD"/>
    <w:rsid w:val="00A73490"/>
    <w:rsid w:val="00A819B6"/>
    <w:rsid w:val="00A91C8B"/>
    <w:rsid w:val="00A95824"/>
    <w:rsid w:val="00AB2EDC"/>
    <w:rsid w:val="00AB2F06"/>
    <w:rsid w:val="00AB47F4"/>
    <w:rsid w:val="00AC136E"/>
    <w:rsid w:val="00AC1793"/>
    <w:rsid w:val="00AC1F6A"/>
    <w:rsid w:val="00AC413D"/>
    <w:rsid w:val="00AD3A9D"/>
    <w:rsid w:val="00AD79D3"/>
    <w:rsid w:val="00AE5434"/>
    <w:rsid w:val="00AE6DBF"/>
    <w:rsid w:val="00AE75DB"/>
    <w:rsid w:val="00AF242D"/>
    <w:rsid w:val="00B0092D"/>
    <w:rsid w:val="00B01C60"/>
    <w:rsid w:val="00B01D22"/>
    <w:rsid w:val="00B02532"/>
    <w:rsid w:val="00B03A00"/>
    <w:rsid w:val="00B0445D"/>
    <w:rsid w:val="00B0447C"/>
    <w:rsid w:val="00B05C81"/>
    <w:rsid w:val="00B05E53"/>
    <w:rsid w:val="00B072AA"/>
    <w:rsid w:val="00B10650"/>
    <w:rsid w:val="00B10E08"/>
    <w:rsid w:val="00B11436"/>
    <w:rsid w:val="00B12341"/>
    <w:rsid w:val="00B25D19"/>
    <w:rsid w:val="00B359D9"/>
    <w:rsid w:val="00B35BC7"/>
    <w:rsid w:val="00B364E5"/>
    <w:rsid w:val="00B40B8B"/>
    <w:rsid w:val="00B4404D"/>
    <w:rsid w:val="00B50993"/>
    <w:rsid w:val="00B63168"/>
    <w:rsid w:val="00B63E9B"/>
    <w:rsid w:val="00B64963"/>
    <w:rsid w:val="00B70085"/>
    <w:rsid w:val="00B7099F"/>
    <w:rsid w:val="00B71873"/>
    <w:rsid w:val="00B72A5D"/>
    <w:rsid w:val="00B736B7"/>
    <w:rsid w:val="00B73C45"/>
    <w:rsid w:val="00B743F9"/>
    <w:rsid w:val="00B82E01"/>
    <w:rsid w:val="00B84DD7"/>
    <w:rsid w:val="00B91811"/>
    <w:rsid w:val="00B94460"/>
    <w:rsid w:val="00B9561A"/>
    <w:rsid w:val="00BA23AD"/>
    <w:rsid w:val="00BA437F"/>
    <w:rsid w:val="00BA5C29"/>
    <w:rsid w:val="00BB6C9A"/>
    <w:rsid w:val="00BC0594"/>
    <w:rsid w:val="00BC11FC"/>
    <w:rsid w:val="00BC1F54"/>
    <w:rsid w:val="00BC4C9D"/>
    <w:rsid w:val="00BC54FC"/>
    <w:rsid w:val="00BC5B45"/>
    <w:rsid w:val="00BD20FB"/>
    <w:rsid w:val="00BD2118"/>
    <w:rsid w:val="00BD5092"/>
    <w:rsid w:val="00BD5997"/>
    <w:rsid w:val="00BE6F50"/>
    <w:rsid w:val="00BF1BA3"/>
    <w:rsid w:val="00BF588D"/>
    <w:rsid w:val="00C03447"/>
    <w:rsid w:val="00C07EF5"/>
    <w:rsid w:val="00C1084F"/>
    <w:rsid w:val="00C128FE"/>
    <w:rsid w:val="00C13304"/>
    <w:rsid w:val="00C1777A"/>
    <w:rsid w:val="00C212E3"/>
    <w:rsid w:val="00C22FAE"/>
    <w:rsid w:val="00C24C44"/>
    <w:rsid w:val="00C26B0C"/>
    <w:rsid w:val="00C30F18"/>
    <w:rsid w:val="00C331D1"/>
    <w:rsid w:val="00C35958"/>
    <w:rsid w:val="00C372A8"/>
    <w:rsid w:val="00C375FF"/>
    <w:rsid w:val="00C40848"/>
    <w:rsid w:val="00C50246"/>
    <w:rsid w:val="00C50E47"/>
    <w:rsid w:val="00C562AA"/>
    <w:rsid w:val="00C574F4"/>
    <w:rsid w:val="00C747C6"/>
    <w:rsid w:val="00C756C3"/>
    <w:rsid w:val="00C80F66"/>
    <w:rsid w:val="00C84AE8"/>
    <w:rsid w:val="00C85D1B"/>
    <w:rsid w:val="00C96DDA"/>
    <w:rsid w:val="00CA7F1F"/>
    <w:rsid w:val="00CB082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1402"/>
    <w:rsid w:val="00D24FD7"/>
    <w:rsid w:val="00D25647"/>
    <w:rsid w:val="00D34FE4"/>
    <w:rsid w:val="00D377A7"/>
    <w:rsid w:val="00D44C95"/>
    <w:rsid w:val="00D452A7"/>
    <w:rsid w:val="00D4584F"/>
    <w:rsid w:val="00D54725"/>
    <w:rsid w:val="00D559FF"/>
    <w:rsid w:val="00D62B8C"/>
    <w:rsid w:val="00D63276"/>
    <w:rsid w:val="00D66F39"/>
    <w:rsid w:val="00D673D8"/>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1BE9"/>
    <w:rsid w:val="00DC5EF2"/>
    <w:rsid w:val="00DC7EF7"/>
    <w:rsid w:val="00DD6B5E"/>
    <w:rsid w:val="00DD6BD4"/>
    <w:rsid w:val="00DE5E58"/>
    <w:rsid w:val="00DE7B46"/>
    <w:rsid w:val="00E0162C"/>
    <w:rsid w:val="00E07BA9"/>
    <w:rsid w:val="00E11487"/>
    <w:rsid w:val="00E14ACC"/>
    <w:rsid w:val="00E15A8C"/>
    <w:rsid w:val="00E256DA"/>
    <w:rsid w:val="00E4144C"/>
    <w:rsid w:val="00E44F84"/>
    <w:rsid w:val="00E463C6"/>
    <w:rsid w:val="00E53121"/>
    <w:rsid w:val="00E5318E"/>
    <w:rsid w:val="00E53532"/>
    <w:rsid w:val="00E6034D"/>
    <w:rsid w:val="00E626BD"/>
    <w:rsid w:val="00E63EDF"/>
    <w:rsid w:val="00E71967"/>
    <w:rsid w:val="00E754B1"/>
    <w:rsid w:val="00E801B5"/>
    <w:rsid w:val="00E905E8"/>
    <w:rsid w:val="00E93F56"/>
    <w:rsid w:val="00E952D9"/>
    <w:rsid w:val="00E96773"/>
    <w:rsid w:val="00E97CB9"/>
    <w:rsid w:val="00EA3EDC"/>
    <w:rsid w:val="00EA6DAC"/>
    <w:rsid w:val="00EB27E9"/>
    <w:rsid w:val="00EB37C9"/>
    <w:rsid w:val="00EC134E"/>
    <w:rsid w:val="00ED0445"/>
    <w:rsid w:val="00ED3771"/>
    <w:rsid w:val="00ED3C3B"/>
    <w:rsid w:val="00EE48C3"/>
    <w:rsid w:val="00EF199D"/>
    <w:rsid w:val="00EF4E12"/>
    <w:rsid w:val="00EF5326"/>
    <w:rsid w:val="00EF65F3"/>
    <w:rsid w:val="00F01510"/>
    <w:rsid w:val="00F02A6D"/>
    <w:rsid w:val="00F0424C"/>
    <w:rsid w:val="00F10085"/>
    <w:rsid w:val="00F10495"/>
    <w:rsid w:val="00F10DA8"/>
    <w:rsid w:val="00F1168A"/>
    <w:rsid w:val="00F12A10"/>
    <w:rsid w:val="00F231D8"/>
    <w:rsid w:val="00F2391C"/>
    <w:rsid w:val="00F30153"/>
    <w:rsid w:val="00F31E30"/>
    <w:rsid w:val="00F3326F"/>
    <w:rsid w:val="00F34781"/>
    <w:rsid w:val="00F41A5D"/>
    <w:rsid w:val="00F470A2"/>
    <w:rsid w:val="00F51F93"/>
    <w:rsid w:val="00F552E5"/>
    <w:rsid w:val="00F56AA8"/>
    <w:rsid w:val="00F67C91"/>
    <w:rsid w:val="00F723F9"/>
    <w:rsid w:val="00F73E45"/>
    <w:rsid w:val="00F82315"/>
    <w:rsid w:val="00F83D3C"/>
    <w:rsid w:val="00F840D6"/>
    <w:rsid w:val="00F8691C"/>
    <w:rsid w:val="00F87183"/>
    <w:rsid w:val="00F900BE"/>
    <w:rsid w:val="00F97392"/>
    <w:rsid w:val="00F97DF6"/>
    <w:rsid w:val="00FA4EEC"/>
    <w:rsid w:val="00FB335B"/>
    <w:rsid w:val="00FB4EAA"/>
    <w:rsid w:val="00FC5512"/>
    <w:rsid w:val="00FC6366"/>
    <w:rsid w:val="00FD0CD9"/>
    <w:rsid w:val="00FD4970"/>
    <w:rsid w:val="00FD6927"/>
    <w:rsid w:val="00FE02D9"/>
    <w:rsid w:val="00FE14F9"/>
    <w:rsid w:val="00FF1FBB"/>
    <w:rsid w:val="00FF2EFF"/>
    <w:rsid w:val="00FF4843"/>
    <w:rsid w:val="00FF5EEA"/>
    <w:rsid w:val="01313F9D"/>
    <w:rsid w:val="02626970"/>
    <w:rsid w:val="02F31034"/>
    <w:rsid w:val="02FE5AC7"/>
    <w:rsid w:val="03FF75E7"/>
    <w:rsid w:val="058F7720"/>
    <w:rsid w:val="06447858"/>
    <w:rsid w:val="064D4E7D"/>
    <w:rsid w:val="06A75D00"/>
    <w:rsid w:val="08357399"/>
    <w:rsid w:val="08E5226C"/>
    <w:rsid w:val="097035F9"/>
    <w:rsid w:val="09AB6C68"/>
    <w:rsid w:val="0B1B4734"/>
    <w:rsid w:val="0B355281"/>
    <w:rsid w:val="0BAE6337"/>
    <w:rsid w:val="0C2D285A"/>
    <w:rsid w:val="0C4760BB"/>
    <w:rsid w:val="0C670100"/>
    <w:rsid w:val="0CF103CF"/>
    <w:rsid w:val="0F241091"/>
    <w:rsid w:val="0F4B2AA2"/>
    <w:rsid w:val="128C1376"/>
    <w:rsid w:val="130F4A87"/>
    <w:rsid w:val="14373291"/>
    <w:rsid w:val="1700420E"/>
    <w:rsid w:val="172016E4"/>
    <w:rsid w:val="177FC078"/>
    <w:rsid w:val="1A8C2802"/>
    <w:rsid w:val="1B0940FF"/>
    <w:rsid w:val="1B0C4C2E"/>
    <w:rsid w:val="1B471594"/>
    <w:rsid w:val="1B680133"/>
    <w:rsid w:val="1C47468D"/>
    <w:rsid w:val="1CFE7CD4"/>
    <w:rsid w:val="1D3E28AD"/>
    <w:rsid w:val="1E2471AC"/>
    <w:rsid w:val="1EB83BF5"/>
    <w:rsid w:val="1F735BA5"/>
    <w:rsid w:val="1F963CB0"/>
    <w:rsid w:val="1FAB3F19"/>
    <w:rsid w:val="1FD67095"/>
    <w:rsid w:val="20167F3D"/>
    <w:rsid w:val="2045609B"/>
    <w:rsid w:val="207A1985"/>
    <w:rsid w:val="20DA02DF"/>
    <w:rsid w:val="218B5670"/>
    <w:rsid w:val="22B26983"/>
    <w:rsid w:val="230F77BC"/>
    <w:rsid w:val="232B75FE"/>
    <w:rsid w:val="23643FEA"/>
    <w:rsid w:val="23A65DA9"/>
    <w:rsid w:val="24194FC5"/>
    <w:rsid w:val="24954A34"/>
    <w:rsid w:val="24F45147"/>
    <w:rsid w:val="258D6971"/>
    <w:rsid w:val="26844A66"/>
    <w:rsid w:val="28137EC7"/>
    <w:rsid w:val="286C203C"/>
    <w:rsid w:val="286E02B3"/>
    <w:rsid w:val="28CD7B64"/>
    <w:rsid w:val="28DA73F5"/>
    <w:rsid w:val="2B716758"/>
    <w:rsid w:val="2C85114F"/>
    <w:rsid w:val="2CFC2BFE"/>
    <w:rsid w:val="2DB11966"/>
    <w:rsid w:val="2E2079FF"/>
    <w:rsid w:val="2E8A7870"/>
    <w:rsid w:val="2ED03A52"/>
    <w:rsid w:val="2EFA2A76"/>
    <w:rsid w:val="314D028A"/>
    <w:rsid w:val="317F48F3"/>
    <w:rsid w:val="320D5A6C"/>
    <w:rsid w:val="325F5E35"/>
    <w:rsid w:val="326E1C4D"/>
    <w:rsid w:val="33433FFF"/>
    <w:rsid w:val="347D658B"/>
    <w:rsid w:val="35243365"/>
    <w:rsid w:val="355530AA"/>
    <w:rsid w:val="35942F6A"/>
    <w:rsid w:val="360A4586"/>
    <w:rsid w:val="364631D7"/>
    <w:rsid w:val="36745C27"/>
    <w:rsid w:val="368928C2"/>
    <w:rsid w:val="36986C07"/>
    <w:rsid w:val="369F1E3C"/>
    <w:rsid w:val="37135D64"/>
    <w:rsid w:val="37C14731"/>
    <w:rsid w:val="397A6507"/>
    <w:rsid w:val="3AA14ABB"/>
    <w:rsid w:val="3AF023EB"/>
    <w:rsid w:val="3B1F29B6"/>
    <w:rsid w:val="3B8E088C"/>
    <w:rsid w:val="3B9971A7"/>
    <w:rsid w:val="3C3C60E0"/>
    <w:rsid w:val="3F5B255F"/>
    <w:rsid w:val="3F6B7328"/>
    <w:rsid w:val="3F724C4B"/>
    <w:rsid w:val="3FD7BC8E"/>
    <w:rsid w:val="40737C3F"/>
    <w:rsid w:val="40AB3035"/>
    <w:rsid w:val="426810C2"/>
    <w:rsid w:val="42D4626B"/>
    <w:rsid w:val="4348014F"/>
    <w:rsid w:val="43AF6D8A"/>
    <w:rsid w:val="43B50E83"/>
    <w:rsid w:val="44A02DC8"/>
    <w:rsid w:val="44FE1F89"/>
    <w:rsid w:val="455F8E24"/>
    <w:rsid w:val="46082801"/>
    <w:rsid w:val="468B3192"/>
    <w:rsid w:val="46E2244C"/>
    <w:rsid w:val="479A63E1"/>
    <w:rsid w:val="47B30AC8"/>
    <w:rsid w:val="48FF7EB9"/>
    <w:rsid w:val="49885887"/>
    <w:rsid w:val="49BE777C"/>
    <w:rsid w:val="4A013749"/>
    <w:rsid w:val="4AED4E6E"/>
    <w:rsid w:val="4B443BB0"/>
    <w:rsid w:val="4B9009B5"/>
    <w:rsid w:val="4BAE4439"/>
    <w:rsid w:val="4C2C22AA"/>
    <w:rsid w:val="4C3122E4"/>
    <w:rsid w:val="4CB70C78"/>
    <w:rsid w:val="4CB9278A"/>
    <w:rsid w:val="4DA0062B"/>
    <w:rsid w:val="4DA14869"/>
    <w:rsid w:val="4E564584"/>
    <w:rsid w:val="4F0A4599"/>
    <w:rsid w:val="4F8E6EDB"/>
    <w:rsid w:val="4FAD541E"/>
    <w:rsid w:val="4FCD1AFA"/>
    <w:rsid w:val="4FF62210"/>
    <w:rsid w:val="50052F4B"/>
    <w:rsid w:val="50881A40"/>
    <w:rsid w:val="51D61804"/>
    <w:rsid w:val="52F80915"/>
    <w:rsid w:val="537B7494"/>
    <w:rsid w:val="53BB376E"/>
    <w:rsid w:val="54C47921"/>
    <w:rsid w:val="54F71AA5"/>
    <w:rsid w:val="56781348"/>
    <w:rsid w:val="568802DB"/>
    <w:rsid w:val="56B37004"/>
    <w:rsid w:val="56BE4E46"/>
    <w:rsid w:val="56CF0F2B"/>
    <w:rsid w:val="58802C77"/>
    <w:rsid w:val="58F02387"/>
    <w:rsid w:val="59021831"/>
    <w:rsid w:val="59633BAD"/>
    <w:rsid w:val="5A1522A3"/>
    <w:rsid w:val="5BDB06D0"/>
    <w:rsid w:val="5BE12FA3"/>
    <w:rsid w:val="5D8866EC"/>
    <w:rsid w:val="5E4A57C5"/>
    <w:rsid w:val="5E8D7089"/>
    <w:rsid w:val="5EBF421E"/>
    <w:rsid w:val="5FFB4B3F"/>
    <w:rsid w:val="602F47E9"/>
    <w:rsid w:val="60A305BA"/>
    <w:rsid w:val="62B13874"/>
    <w:rsid w:val="630B32EB"/>
    <w:rsid w:val="63672753"/>
    <w:rsid w:val="6403302A"/>
    <w:rsid w:val="64137F7D"/>
    <w:rsid w:val="645779AB"/>
    <w:rsid w:val="655F511C"/>
    <w:rsid w:val="657A21F9"/>
    <w:rsid w:val="65E62E7A"/>
    <w:rsid w:val="660B715E"/>
    <w:rsid w:val="662E6860"/>
    <w:rsid w:val="6660184C"/>
    <w:rsid w:val="66C51BEE"/>
    <w:rsid w:val="67BB5990"/>
    <w:rsid w:val="68126ECA"/>
    <w:rsid w:val="687F7DF0"/>
    <w:rsid w:val="69C67EE9"/>
    <w:rsid w:val="6A7B676F"/>
    <w:rsid w:val="6AAD178D"/>
    <w:rsid w:val="6AE606B8"/>
    <w:rsid w:val="6B1D52C5"/>
    <w:rsid w:val="6CC649E7"/>
    <w:rsid w:val="6D3B2F16"/>
    <w:rsid w:val="6D736F3C"/>
    <w:rsid w:val="6D974CCD"/>
    <w:rsid w:val="6DF606F4"/>
    <w:rsid w:val="6E511DCE"/>
    <w:rsid w:val="6EEC2B30"/>
    <w:rsid w:val="6F5F71DE"/>
    <w:rsid w:val="6F6F261D"/>
    <w:rsid w:val="71234BA8"/>
    <w:rsid w:val="718C46F8"/>
    <w:rsid w:val="71C61EDD"/>
    <w:rsid w:val="728C42D7"/>
    <w:rsid w:val="72A03F09"/>
    <w:rsid w:val="72DC7380"/>
    <w:rsid w:val="72F153E5"/>
    <w:rsid w:val="743D7CF2"/>
    <w:rsid w:val="74E126C3"/>
    <w:rsid w:val="751002ED"/>
    <w:rsid w:val="75992D1E"/>
    <w:rsid w:val="770E0AD4"/>
    <w:rsid w:val="77587FA9"/>
    <w:rsid w:val="78031383"/>
    <w:rsid w:val="78BA5A84"/>
    <w:rsid w:val="79B73D64"/>
    <w:rsid w:val="7A383EC8"/>
    <w:rsid w:val="7B50074C"/>
    <w:rsid w:val="7B6A44CF"/>
    <w:rsid w:val="7BC430D2"/>
    <w:rsid w:val="7D436164"/>
    <w:rsid w:val="7D6457E7"/>
    <w:rsid w:val="7E670523"/>
    <w:rsid w:val="7E7062A0"/>
    <w:rsid w:val="7EB4618D"/>
    <w:rsid w:val="7F4A5555"/>
    <w:rsid w:val="8D7F0CBA"/>
    <w:rsid w:val="8F7F2393"/>
    <w:rsid w:val="CB7FA2E2"/>
    <w:rsid w:val="D9EA819D"/>
    <w:rsid w:val="E5FF225B"/>
    <w:rsid w:val="EFDE788E"/>
    <w:rsid w:val="F67E0942"/>
    <w:rsid w:val="FF4A5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9"/>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1"/>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3"/>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4"/>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7"/>
    <w:qFormat/>
    <w:uiPriority w:val="99"/>
    <w:pPr>
      <w:autoSpaceDE w:val="0"/>
      <w:autoSpaceDN w:val="0"/>
      <w:adjustRightInd w:val="0"/>
      <w:ind w:right="-26"/>
      <w:jc w:val="center"/>
    </w:pPr>
    <w:rPr>
      <w:rFonts w:ascii="宋体" w:eastAsia="宋体"/>
      <w:b/>
      <w:bCs/>
      <w:sz w:val="84"/>
      <w:szCs w:val="84"/>
      <w:lang w:val="zh-CN"/>
    </w:rPr>
  </w:style>
  <w:style w:type="paragraph" w:customStyle="1" w:styleId="9">
    <w:name w:val="模板正文"/>
    <w:basedOn w:val="1"/>
    <w:link w:val="93"/>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2"/>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5"/>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2"/>
    <w:unhideWhenUsed/>
    <w:qFormat/>
    <w:uiPriority w:val="99"/>
    <w:pPr>
      <w:jc w:val="left"/>
    </w:pPr>
    <w:rPr>
      <w:rFonts w:ascii="宋体" w:hAnsi="宋体" w:eastAsia="宋体"/>
    </w:rPr>
  </w:style>
  <w:style w:type="paragraph" w:styleId="18">
    <w:name w:val="Body Text 3"/>
    <w:basedOn w:val="1"/>
    <w:link w:val="155"/>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Indent"/>
    <w:basedOn w:val="1"/>
    <w:next w:val="20"/>
    <w:link w:val="91"/>
    <w:qFormat/>
    <w:uiPriority w:val="0"/>
    <w:pPr>
      <w:ind w:left="567" w:leftChars="270"/>
    </w:pPr>
    <w:rPr>
      <w:rFonts w:ascii="Times New Roman" w:hAnsi="Times New Roman" w:eastAsia="宋体" w:cs="Times New Roman"/>
      <w:szCs w:val="20"/>
    </w:rPr>
  </w:style>
  <w:style w:type="paragraph" w:styleId="20">
    <w:name w:val="Body Text First Indent 2"/>
    <w:basedOn w:val="19"/>
    <w:next w:val="13"/>
    <w:unhideWhenUsed/>
    <w:qFormat/>
    <w:uiPriority w:val="99"/>
    <w:pPr>
      <w:tabs>
        <w:tab w:val="left" w:pos="0"/>
        <w:tab w:val="left" w:pos="540"/>
        <w:tab w:val="left" w:pos="630"/>
        <w:tab w:val="left" w:pos="1440"/>
      </w:tabs>
      <w:spacing w:after="120" w:line="360" w:lineRule="auto"/>
      <w:ind w:left="420" w:leftChars="200" w:firstLine="420" w:firstLineChars="200"/>
    </w:pPr>
    <w:rPr>
      <w:kern w:val="0"/>
      <w:sz w:val="20"/>
    </w:rPr>
  </w:style>
  <w:style w:type="paragraph" w:styleId="21">
    <w:name w:val="toc 3"/>
    <w:basedOn w:val="1"/>
    <w:next w:val="1"/>
    <w:unhideWhenUsed/>
    <w:qFormat/>
    <w:uiPriority w:val="39"/>
    <w:pPr>
      <w:tabs>
        <w:tab w:val="right" w:leader="dot" w:pos="10144"/>
      </w:tabs>
      <w:ind w:left="840" w:leftChars="400"/>
    </w:pPr>
  </w:style>
  <w:style w:type="paragraph" w:styleId="22">
    <w:name w:val="Plain Text"/>
    <w:basedOn w:val="1"/>
    <w:link w:val="99"/>
    <w:qFormat/>
    <w:uiPriority w:val="0"/>
    <w:rPr>
      <w:rFonts w:ascii="宋体" w:hAnsi="Courier New" w:eastAsia="宋体"/>
    </w:rPr>
  </w:style>
  <w:style w:type="paragraph" w:styleId="23">
    <w:name w:val="Date"/>
    <w:basedOn w:val="1"/>
    <w:next w:val="1"/>
    <w:link w:val="107"/>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00"/>
    <w:qFormat/>
    <w:uiPriority w:val="0"/>
    <w:pPr>
      <w:tabs>
        <w:tab w:val="left" w:pos="8640"/>
      </w:tabs>
      <w:ind w:left="1260"/>
    </w:pPr>
    <w:rPr>
      <w:rFonts w:ascii="宋体" w:hAnsi="Times New Roman" w:eastAsia="宋体" w:cs="Times New Roman"/>
      <w:szCs w:val="20"/>
    </w:rPr>
  </w:style>
  <w:style w:type="paragraph" w:styleId="25">
    <w:name w:val="Balloon Text"/>
    <w:basedOn w:val="1"/>
    <w:link w:val="73"/>
    <w:qFormat/>
    <w:uiPriority w:val="0"/>
    <w:rPr>
      <w:rFonts w:ascii="Times New Roman" w:hAnsi="Times New Roman" w:eastAsia="宋体" w:cs="Times New Roman"/>
      <w:sz w:val="18"/>
      <w:szCs w:val="18"/>
    </w:rPr>
  </w:style>
  <w:style w:type="paragraph" w:styleId="26">
    <w:name w:val="footer"/>
    <w:basedOn w:val="1"/>
    <w:link w:val="77"/>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19"/>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unhideWhenUsed/>
    <w:qFormat/>
    <w:uiPriority w:val="39"/>
  </w:style>
  <w:style w:type="paragraph" w:styleId="29">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3"/>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Body Text 2"/>
    <w:basedOn w:val="1"/>
    <w:link w:val="142"/>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2"/>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7"/>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7"/>
    <w:next w:val="17"/>
    <w:link w:val="109"/>
    <w:qFormat/>
    <w:uiPriority w:val="99"/>
    <w:pPr>
      <w:autoSpaceDE w:val="0"/>
      <w:autoSpaceDN w:val="0"/>
      <w:adjustRightInd w:val="0"/>
    </w:pPr>
    <w:rPr>
      <w:rFonts w:hAnsi="Times New Roman" w:cs="Times New Roman"/>
      <w:b/>
      <w:bCs/>
      <w:kern w:val="0"/>
      <w:sz w:val="24"/>
      <w:szCs w:val="24"/>
    </w:rPr>
  </w:style>
  <w:style w:type="paragraph" w:styleId="36">
    <w:name w:val="Body Text First Indent"/>
    <w:basedOn w:val="2"/>
    <w:link w:val="200"/>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8">
    <w:name w:val="Table Grid"/>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FollowedHyperlink"/>
    <w:unhideWhenUsed/>
    <w:qFormat/>
    <w:uiPriority w:val="99"/>
    <w:rPr>
      <w:color w:val="954F72"/>
      <w:u w:val="single"/>
    </w:rPr>
  </w:style>
  <w:style w:type="character" w:styleId="42">
    <w:name w:val="Emphasis"/>
    <w:qFormat/>
    <w:uiPriority w:val="0"/>
    <w:rPr>
      <w:i/>
      <w:iCs/>
    </w:rPr>
  </w:style>
  <w:style w:type="character" w:styleId="43">
    <w:name w:val="Hyperlink"/>
    <w:qFormat/>
    <w:uiPriority w:val="99"/>
    <w:rPr>
      <w:rFonts w:hint="default" w:ascii="Arial" w:hAnsi="Arial" w:cs="Arial"/>
      <w:color w:val="000000"/>
      <w:sz w:val="20"/>
      <w:szCs w:val="20"/>
      <w:u w:val="none"/>
    </w:rPr>
  </w:style>
  <w:style w:type="character" w:styleId="44">
    <w:name w:val="annotation reference"/>
    <w:qFormat/>
    <w:uiPriority w:val="99"/>
    <w:rPr>
      <w:sz w:val="21"/>
      <w:szCs w:val="21"/>
    </w:rPr>
  </w:style>
  <w:style w:type="paragraph" w:customStyle="1" w:styleId="45">
    <w:name w:val="首行缩进"/>
    <w:basedOn w:val="1"/>
    <w:qFormat/>
    <w:uiPriority w:val="0"/>
    <w:pPr>
      <w:ind w:firstLine="480" w:firstLineChars="200"/>
    </w:pPr>
    <w:rPr>
      <w:lang w:val="zh-CN"/>
    </w:rPr>
  </w:style>
  <w:style w:type="character" w:customStyle="1" w:styleId="46">
    <w:name w:val="标题 1 字符"/>
    <w:basedOn w:val="39"/>
    <w:qFormat/>
    <w:uiPriority w:val="0"/>
    <w:rPr>
      <w:b/>
      <w:bCs/>
      <w:kern w:val="44"/>
      <w:sz w:val="44"/>
      <w:szCs w:val="44"/>
    </w:rPr>
  </w:style>
  <w:style w:type="character" w:customStyle="1" w:styleId="47">
    <w:name w:val="标题 2 字符"/>
    <w:basedOn w:val="39"/>
    <w:link w:val="4"/>
    <w:qFormat/>
    <w:uiPriority w:val="0"/>
    <w:rPr>
      <w:rFonts w:ascii="宋体" w:hAnsi="Calibri" w:eastAsia="宋体" w:cs="Times New Roman"/>
      <w:kern w:val="0"/>
      <w:sz w:val="24"/>
      <w:szCs w:val="24"/>
    </w:rPr>
  </w:style>
  <w:style w:type="character" w:customStyle="1" w:styleId="48">
    <w:name w:val="标题 3 字符"/>
    <w:basedOn w:val="39"/>
    <w:qFormat/>
    <w:uiPriority w:val="0"/>
    <w:rPr>
      <w:b/>
      <w:bCs/>
      <w:sz w:val="32"/>
      <w:szCs w:val="32"/>
    </w:rPr>
  </w:style>
  <w:style w:type="character" w:customStyle="1" w:styleId="49">
    <w:name w:val="标题 4 字符"/>
    <w:basedOn w:val="39"/>
    <w:link w:val="6"/>
    <w:qFormat/>
    <w:uiPriority w:val="9"/>
    <w:rPr>
      <w:rFonts w:ascii="Arial" w:hAnsi="Arial" w:eastAsia="黑体" w:cs="Times New Roman"/>
      <w:b/>
      <w:bCs/>
      <w:kern w:val="0"/>
      <w:sz w:val="28"/>
      <w:szCs w:val="28"/>
    </w:rPr>
  </w:style>
  <w:style w:type="character" w:customStyle="1" w:styleId="50">
    <w:name w:val="标题 5 字符"/>
    <w:basedOn w:val="39"/>
    <w:qFormat/>
    <w:uiPriority w:val="9"/>
    <w:rPr>
      <w:b/>
      <w:bCs/>
      <w:sz w:val="28"/>
      <w:szCs w:val="28"/>
    </w:rPr>
  </w:style>
  <w:style w:type="character" w:customStyle="1" w:styleId="51">
    <w:name w:val="标题 6 字符"/>
    <w:basedOn w:val="39"/>
    <w:qFormat/>
    <w:uiPriority w:val="0"/>
    <w:rPr>
      <w:rFonts w:asciiTheme="majorHAnsi" w:hAnsiTheme="majorHAnsi" w:eastAsiaTheme="majorEastAsia" w:cstheme="majorBidi"/>
      <w:b/>
      <w:bCs/>
      <w:sz w:val="24"/>
      <w:szCs w:val="24"/>
    </w:rPr>
  </w:style>
  <w:style w:type="character" w:customStyle="1" w:styleId="52">
    <w:name w:val="标题 7 字符"/>
    <w:basedOn w:val="39"/>
    <w:link w:val="10"/>
    <w:qFormat/>
    <w:uiPriority w:val="9"/>
    <w:rPr>
      <w:rFonts w:ascii="Times New Roman" w:hAnsi="Calibri" w:eastAsia="黑体" w:cs="Times New Roman"/>
      <w:b/>
      <w:bCs/>
      <w:kern w:val="0"/>
      <w:sz w:val="28"/>
      <w:szCs w:val="24"/>
    </w:rPr>
  </w:style>
  <w:style w:type="character" w:customStyle="1" w:styleId="53">
    <w:name w:val="标题 8 字符"/>
    <w:basedOn w:val="39"/>
    <w:link w:val="11"/>
    <w:qFormat/>
    <w:uiPriority w:val="9"/>
    <w:rPr>
      <w:rFonts w:ascii="Times New Roman" w:hAnsi="Calibri" w:eastAsia="黑体" w:cs="Times New Roman"/>
      <w:b/>
      <w:kern w:val="0"/>
      <w:sz w:val="28"/>
      <w:szCs w:val="24"/>
    </w:rPr>
  </w:style>
  <w:style w:type="character" w:customStyle="1" w:styleId="54">
    <w:name w:val="标题 9 字符"/>
    <w:basedOn w:val="39"/>
    <w:link w:val="12"/>
    <w:qFormat/>
    <w:uiPriority w:val="9"/>
    <w:rPr>
      <w:rFonts w:ascii="Times New Roman" w:hAnsi="Calibri" w:eastAsia="黑体" w:cs="Times New Roman"/>
      <w:b/>
      <w:kern w:val="0"/>
      <w:sz w:val="28"/>
      <w:szCs w:val="24"/>
    </w:rPr>
  </w:style>
  <w:style w:type="character" w:customStyle="1" w:styleId="55">
    <w:name w:val="正文文本缩进 字符"/>
    <w:qFormat/>
    <w:uiPriority w:val="0"/>
    <w:rPr>
      <w:rFonts w:ascii="Times New Roman" w:hAnsi="Times New Roman" w:eastAsia="宋体" w:cs="Times New Roman"/>
      <w:szCs w:val="20"/>
    </w:rPr>
  </w:style>
  <w:style w:type="character" w:customStyle="1" w:styleId="56">
    <w:name w:val="普通(网站) Char"/>
    <w:qFormat/>
    <w:locked/>
    <w:uiPriority w:val="0"/>
    <w:rPr>
      <w:rFonts w:ascii="宋体" w:hAnsi="宋体"/>
      <w:sz w:val="15"/>
      <w:szCs w:val="15"/>
    </w:rPr>
  </w:style>
  <w:style w:type="character" w:customStyle="1" w:styleId="57">
    <w:name w:val="标题 字符1"/>
    <w:link w:val="34"/>
    <w:qFormat/>
    <w:uiPriority w:val="10"/>
    <w:rPr>
      <w:rFonts w:ascii="等线 Light" w:hAnsi="等线 Light" w:eastAsia="仿宋"/>
      <w:b/>
      <w:bCs/>
      <w:sz w:val="28"/>
      <w:szCs w:val="32"/>
    </w:rPr>
  </w:style>
  <w:style w:type="character" w:customStyle="1" w:styleId="58">
    <w:name w:val="日期 Char"/>
    <w:semiHidden/>
    <w:qFormat/>
    <w:uiPriority w:val="99"/>
    <w:rPr>
      <w:kern w:val="2"/>
      <w:sz w:val="21"/>
    </w:rPr>
  </w:style>
  <w:style w:type="character" w:customStyle="1" w:styleId="59">
    <w:name w:val="文档结构图 字符1"/>
    <w:semiHidden/>
    <w:qFormat/>
    <w:uiPriority w:val="99"/>
    <w:rPr>
      <w:rFonts w:ascii="Microsoft YaHei UI" w:hAnsi="Calibri" w:eastAsia="Microsoft YaHei UI" w:cs="Times New Roman"/>
      <w:kern w:val="0"/>
      <w:sz w:val="18"/>
      <w:szCs w:val="18"/>
    </w:rPr>
  </w:style>
  <w:style w:type="character" w:customStyle="1" w:styleId="60">
    <w:name w:val="批注文字 Char"/>
    <w:semiHidden/>
    <w:qFormat/>
    <w:uiPriority w:val="99"/>
    <w:rPr>
      <w:kern w:val="2"/>
      <w:sz w:val="21"/>
    </w:rPr>
  </w:style>
  <w:style w:type="character" w:customStyle="1" w:styleId="61">
    <w:name w:val="正文缩进2格 Char"/>
    <w:link w:val="62"/>
    <w:qFormat/>
    <w:uiPriority w:val="0"/>
    <w:rPr>
      <w:rFonts w:ascii="仿宋_GB2312" w:hAnsi="宋体" w:eastAsia="仿宋_GB2312"/>
      <w:sz w:val="31"/>
      <w:szCs w:val="28"/>
    </w:rPr>
  </w:style>
  <w:style w:type="paragraph" w:customStyle="1" w:styleId="62">
    <w:name w:val="正文缩进2格"/>
    <w:basedOn w:val="1"/>
    <w:next w:val="1"/>
    <w:link w:val="61"/>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semiHidden/>
    <w:qFormat/>
    <w:uiPriority w:val="99"/>
    <w:rPr>
      <w:rFonts w:ascii="宋体" w:hAnsi="Calibri" w:eastAsia="宋体" w:cs="Times New Roman"/>
      <w:kern w:val="0"/>
      <w:sz w:val="18"/>
      <w:szCs w:val="18"/>
    </w:rPr>
  </w:style>
  <w:style w:type="character" w:customStyle="1" w:styleId="66">
    <w:name w:val="List Paragraph Char"/>
    <w:link w:val="67"/>
    <w:qFormat/>
    <w:uiPriority w:val="34"/>
    <w:rPr>
      <w:rFonts w:ascii="Calibri" w:hAnsi="Calibri"/>
    </w:rPr>
  </w:style>
  <w:style w:type="paragraph" w:customStyle="1" w:styleId="67">
    <w:name w:val="列出段落1"/>
    <w:basedOn w:val="1"/>
    <w:link w:val="66"/>
    <w:qFormat/>
    <w:uiPriority w:val="34"/>
    <w:pPr>
      <w:ind w:firstLine="420" w:firstLineChars="200"/>
    </w:pPr>
    <w:rPr>
      <w:rFonts w:ascii="Calibri" w:hAnsi="Calibri"/>
    </w:rPr>
  </w:style>
  <w:style w:type="character" w:customStyle="1" w:styleId="68">
    <w:name w:val="标书正文 字符"/>
    <w:link w:val="69"/>
    <w:qFormat/>
    <w:uiPriority w:val="0"/>
    <w:rPr>
      <w:rFonts w:ascii="Calibri" w:hAnsi="Calibri" w:eastAsia="仿宋"/>
      <w:sz w:val="24"/>
      <w:szCs w:val="21"/>
    </w:rPr>
  </w:style>
  <w:style w:type="paragraph" w:customStyle="1" w:styleId="69">
    <w:name w:val="标书正文"/>
    <w:basedOn w:val="1"/>
    <w:link w:val="68"/>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semiHidden/>
    <w:qFormat/>
    <w:uiPriority w:val="99"/>
    <w:rPr>
      <w:rFonts w:ascii="Times New Roman" w:hAnsi="Times New Roman"/>
      <w:kern w:val="2"/>
      <w:sz w:val="24"/>
      <w:szCs w:val="24"/>
    </w:rPr>
  </w:style>
  <w:style w:type="character" w:customStyle="1" w:styleId="71">
    <w:name w:val="页脚 Char"/>
    <w:qFormat/>
    <w:uiPriority w:val="0"/>
    <w:rPr>
      <w:kern w:val="2"/>
      <w:sz w:val="18"/>
      <w:szCs w:val="18"/>
    </w:rPr>
  </w:style>
  <w:style w:type="character" w:customStyle="1" w:styleId="72">
    <w:name w:val="neir1"/>
    <w:qFormat/>
    <w:uiPriority w:val="0"/>
    <w:rPr>
      <w:rFonts w:hint="default" w:ascii="ˎ̥" w:hAnsi="ˎ̥"/>
      <w:color w:val="333333"/>
      <w:sz w:val="21"/>
      <w:szCs w:val="21"/>
      <w:u w:val="none"/>
    </w:rPr>
  </w:style>
  <w:style w:type="character" w:customStyle="1" w:styleId="73">
    <w:name w:val="批注框文本 字符"/>
    <w:link w:val="25"/>
    <w:qFormat/>
    <w:uiPriority w:val="0"/>
    <w:rPr>
      <w:rFonts w:ascii="Times New Roman" w:hAnsi="Times New Roman" w:eastAsia="宋体" w:cs="Times New Roman"/>
      <w:sz w:val="18"/>
      <w:szCs w:val="18"/>
    </w:rPr>
  </w:style>
  <w:style w:type="character" w:customStyle="1" w:styleId="74">
    <w:name w:val="正文文本 3 字符1"/>
    <w:semiHidden/>
    <w:qFormat/>
    <w:uiPriority w:val="99"/>
    <w:rPr>
      <w:rFonts w:ascii="宋体" w:hAnsi="Calibri" w:eastAsia="宋体" w:cs="Times New Roman"/>
      <w:kern w:val="0"/>
      <w:sz w:val="16"/>
      <w:szCs w:val="16"/>
    </w:rPr>
  </w:style>
  <w:style w:type="character" w:customStyle="1" w:styleId="75">
    <w:name w:val="正文文本 字符3"/>
    <w:semiHidden/>
    <w:qFormat/>
    <w:uiPriority w:val="99"/>
    <w:rPr>
      <w:rFonts w:ascii="宋体" w:hAnsi="Calibri" w:eastAsia="宋体" w:cs="Times New Roman"/>
      <w:kern w:val="0"/>
      <w:sz w:val="24"/>
      <w:szCs w:val="24"/>
    </w:rPr>
  </w:style>
  <w:style w:type="character" w:customStyle="1" w:styleId="76">
    <w:name w:val="日期 字符1"/>
    <w:semiHidden/>
    <w:qFormat/>
    <w:uiPriority w:val="99"/>
    <w:rPr>
      <w:rFonts w:ascii="宋体" w:hAnsi="Calibri" w:eastAsia="宋体" w:cs="Times New Roman"/>
      <w:kern w:val="0"/>
      <w:sz w:val="24"/>
      <w:szCs w:val="24"/>
    </w:rPr>
  </w:style>
  <w:style w:type="character" w:customStyle="1" w:styleId="77">
    <w:name w:val="页脚 字符"/>
    <w:link w:val="26"/>
    <w:qFormat/>
    <w:uiPriority w:val="99"/>
    <w:rPr>
      <w:rFonts w:ascii="宋体" w:eastAsia="宋体"/>
      <w:sz w:val="18"/>
      <w:szCs w:val="18"/>
    </w:rPr>
  </w:style>
  <w:style w:type="character" w:customStyle="1" w:styleId="78">
    <w:name w:val="吉奥正文 Char"/>
    <w:link w:val="79"/>
    <w:qFormat/>
    <w:locked/>
    <w:uiPriority w:val="0"/>
    <w:rPr>
      <w:rFonts w:eastAsia="仿宋_GB2312"/>
      <w:sz w:val="28"/>
    </w:rPr>
  </w:style>
  <w:style w:type="paragraph" w:customStyle="1" w:styleId="79">
    <w:name w:val="吉奥正文"/>
    <w:basedOn w:val="1"/>
    <w:link w:val="78"/>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qFormat/>
    <w:uiPriority w:val="99"/>
    <w:rPr>
      <w:rFonts w:ascii="宋体" w:hAnsi="Times New Roman" w:eastAsia="宋体" w:cs="Times New Roman"/>
      <w:kern w:val="0"/>
      <w:sz w:val="18"/>
      <w:szCs w:val="18"/>
    </w:rPr>
  </w:style>
  <w:style w:type="character" w:customStyle="1" w:styleId="81">
    <w:name w:val="标题 字符"/>
    <w:qFormat/>
    <w:uiPriority w:val="10"/>
    <w:rPr>
      <w:rFonts w:ascii="Cambria" w:hAnsi="Cambria" w:eastAsia="宋体" w:cs="Times New Roman"/>
      <w:b/>
      <w:bCs/>
      <w:kern w:val="0"/>
      <w:sz w:val="32"/>
      <w:szCs w:val="32"/>
      <w:lang w:val="en-US" w:eastAsia="zh-CN"/>
    </w:rPr>
  </w:style>
  <w:style w:type="character" w:customStyle="1" w:styleId="82">
    <w:name w:val="题注 字符1"/>
    <w:link w:val="14"/>
    <w:qFormat/>
    <w:uiPriority w:val="0"/>
    <w:rPr>
      <w:rFonts w:ascii="Arial" w:hAnsi="Arial" w:eastAsia="黑体" w:cs="Arial"/>
    </w:rPr>
  </w:style>
  <w:style w:type="character" w:customStyle="1" w:styleId="83">
    <w:name w:val="批注文字 字符2"/>
    <w:qFormat/>
    <w:uiPriority w:val="99"/>
    <w:rPr>
      <w:rFonts w:ascii="宋体" w:hAnsi="Times New Roman" w:eastAsia="宋体" w:cs="Times New Roman"/>
      <w:kern w:val="0"/>
      <w:sz w:val="24"/>
      <w:szCs w:val="24"/>
    </w:rPr>
  </w:style>
  <w:style w:type="character" w:customStyle="1" w:styleId="84">
    <w:name w:val="批注主题 字符1"/>
    <w:semiHidden/>
    <w:qFormat/>
    <w:uiPriority w:val="99"/>
    <w:rPr>
      <w:rFonts w:ascii="宋体" w:hAnsi="Calibri" w:eastAsia="宋体" w:cs="Times New Roman"/>
      <w:b/>
      <w:bCs/>
      <w:kern w:val="0"/>
      <w:sz w:val="24"/>
      <w:szCs w:val="24"/>
    </w:rPr>
  </w:style>
  <w:style w:type="character" w:customStyle="1" w:styleId="85">
    <w:name w:val="HTML 预设格式 字符"/>
    <w:link w:val="32"/>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5"/>
    <w:link w:val="86"/>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semiHidden/>
    <w:qFormat/>
    <w:uiPriority w:val="99"/>
    <w:rPr>
      <w:rFonts w:ascii="Courier New" w:hAnsi="Courier New" w:eastAsia="宋体" w:cs="Courier New"/>
      <w:kern w:val="0"/>
      <w:sz w:val="20"/>
      <w:szCs w:val="20"/>
    </w:rPr>
  </w:style>
  <w:style w:type="character" w:customStyle="1" w:styleId="89">
    <w:name w:val="批注文字 字符1"/>
    <w:qFormat/>
    <w:uiPriority w:val="0"/>
    <w:rPr>
      <w:rFonts w:eastAsia="宋体"/>
      <w:kern w:val="2"/>
      <w:sz w:val="24"/>
      <w:szCs w:val="24"/>
      <w:lang w:val="en-US" w:eastAsia="zh-CN" w:bidi="ar-SA"/>
    </w:rPr>
  </w:style>
  <w:style w:type="character" w:customStyle="1" w:styleId="90">
    <w:name w:val="正文文本缩进 字符2"/>
    <w:semiHidden/>
    <w:qFormat/>
    <w:uiPriority w:val="99"/>
    <w:rPr>
      <w:rFonts w:ascii="宋体" w:hAnsi="Calibri" w:eastAsia="宋体" w:cs="Times New Roman"/>
      <w:kern w:val="0"/>
      <w:sz w:val="24"/>
      <w:szCs w:val="24"/>
    </w:rPr>
  </w:style>
  <w:style w:type="character" w:customStyle="1" w:styleId="91">
    <w:name w:val="正文文本缩进 字符1"/>
    <w:link w:val="19"/>
    <w:qFormat/>
    <w:uiPriority w:val="0"/>
    <w:rPr>
      <w:rFonts w:ascii="Times New Roman" w:hAnsi="Times New Roman" w:eastAsia="宋体" w:cs="Times New Roman"/>
      <w:szCs w:val="20"/>
    </w:rPr>
  </w:style>
  <w:style w:type="character" w:customStyle="1" w:styleId="92">
    <w:name w:val="普通(网站) 字符2"/>
    <w:link w:val="33"/>
    <w:qFormat/>
    <w:locked/>
    <w:uiPriority w:val="0"/>
    <w:rPr>
      <w:rFonts w:ascii="宋体" w:hAnsi="宋体"/>
      <w:sz w:val="15"/>
      <w:szCs w:val="15"/>
    </w:rPr>
  </w:style>
  <w:style w:type="character" w:customStyle="1" w:styleId="93">
    <w:name w:val="模板正文 Char"/>
    <w:link w:val="9"/>
    <w:qFormat/>
    <w:uiPriority w:val="0"/>
    <w:rPr>
      <w:rFonts w:ascii="宋体" w:eastAsia="仿宋"/>
      <w:sz w:val="24"/>
      <w:szCs w:val="21"/>
    </w:rPr>
  </w:style>
  <w:style w:type="character" w:customStyle="1" w:styleId="94">
    <w:name w:val="批注主题 Char"/>
    <w:semiHidden/>
    <w:qFormat/>
    <w:uiPriority w:val="99"/>
    <w:rPr>
      <w:b/>
      <w:bCs/>
      <w:kern w:val="2"/>
      <w:sz w:val="21"/>
    </w:rPr>
  </w:style>
  <w:style w:type="character" w:customStyle="1" w:styleId="95">
    <w:name w:val="正文文本 Char1"/>
    <w:qFormat/>
    <w:uiPriority w:val="0"/>
    <w:rPr>
      <w:rFonts w:ascii="宋体" w:hAnsi="Times New Roman" w:eastAsia="宋体" w:cs="Times New Roman"/>
      <w:kern w:val="0"/>
      <w:sz w:val="24"/>
      <w:szCs w:val="24"/>
    </w:rPr>
  </w:style>
  <w:style w:type="character" w:customStyle="1" w:styleId="96">
    <w:name w:val="正文文本 字符1"/>
    <w:qFormat/>
    <w:uiPriority w:val="99"/>
    <w:rPr>
      <w:rFonts w:ascii="宋体" w:eastAsia="宋体"/>
      <w:b/>
      <w:bCs/>
      <w:sz w:val="84"/>
      <w:szCs w:val="84"/>
      <w:lang w:val="zh-CN"/>
    </w:rPr>
  </w:style>
  <w:style w:type="character" w:customStyle="1" w:styleId="97">
    <w:name w:val="标题 1 Char"/>
    <w:qFormat/>
    <w:uiPriority w:val="9"/>
    <w:rPr>
      <w:rFonts w:ascii="宋体" w:hAnsi="Times New Roman" w:eastAsia="宋体" w:cs="Times New Roman"/>
      <w:kern w:val="0"/>
      <w:sz w:val="24"/>
      <w:szCs w:val="24"/>
    </w:rPr>
  </w:style>
  <w:style w:type="character" w:customStyle="1" w:styleId="98">
    <w:name w:val="正文文本 Char2"/>
    <w:qFormat/>
    <w:uiPriority w:val="99"/>
    <w:rPr>
      <w:rFonts w:ascii="宋体" w:eastAsia="宋体"/>
      <w:b/>
      <w:bCs/>
      <w:sz w:val="84"/>
      <w:szCs w:val="84"/>
      <w:lang w:val="zh-CN"/>
    </w:rPr>
  </w:style>
  <w:style w:type="character" w:customStyle="1" w:styleId="99">
    <w:name w:val="纯文本 字符2"/>
    <w:link w:val="22"/>
    <w:qFormat/>
    <w:uiPriority w:val="0"/>
    <w:rPr>
      <w:rFonts w:ascii="宋体" w:hAnsi="Courier New" w:eastAsia="宋体"/>
    </w:rPr>
  </w:style>
  <w:style w:type="character" w:customStyle="1" w:styleId="100">
    <w:name w:val="正文文本缩进 2 字符"/>
    <w:link w:val="24"/>
    <w:qFormat/>
    <w:uiPriority w:val="0"/>
    <w:rPr>
      <w:rFonts w:ascii="宋体" w:hAnsi="Times New Roman" w:eastAsia="宋体" w:cs="Times New Roman"/>
      <w:szCs w:val="20"/>
    </w:rPr>
  </w:style>
  <w:style w:type="character" w:customStyle="1" w:styleId="101">
    <w:name w:val="HTML Markup"/>
    <w:qFormat/>
    <w:uiPriority w:val="0"/>
    <w:rPr>
      <w:vanish/>
      <w:color w:val="FF0000"/>
    </w:rPr>
  </w:style>
  <w:style w:type="character" w:customStyle="1" w:styleId="102">
    <w:name w:val="页眉 Char1"/>
    <w:qFormat/>
    <w:uiPriority w:val="0"/>
    <w:rPr>
      <w:rFonts w:ascii="宋体" w:hAnsi="Times New Roman" w:eastAsia="宋体" w:cs="Times New Roman"/>
      <w:kern w:val="0"/>
      <w:sz w:val="18"/>
      <w:szCs w:val="18"/>
    </w:rPr>
  </w:style>
  <w:style w:type="character" w:customStyle="1" w:styleId="103">
    <w:name w:val="font11"/>
    <w:qFormat/>
    <w:uiPriority w:val="0"/>
    <w:rPr>
      <w:rFonts w:hint="eastAsia" w:ascii="宋体" w:hAnsi="宋体" w:eastAsia="宋体" w:cs="宋体"/>
      <w:color w:val="FF0000"/>
      <w:sz w:val="22"/>
      <w:szCs w:val="22"/>
      <w:u w:val="none"/>
    </w:rPr>
  </w:style>
  <w:style w:type="character" w:customStyle="1" w:styleId="104">
    <w:name w:val="style61"/>
    <w:qFormat/>
    <w:uiPriority w:val="0"/>
    <w:rPr>
      <w:b/>
      <w:bCs/>
    </w:rPr>
  </w:style>
  <w:style w:type="character" w:customStyle="1" w:styleId="105">
    <w:name w:val="表头文字 Char"/>
    <w:link w:val="106"/>
    <w:qFormat/>
    <w:uiPriority w:val="0"/>
    <w:rPr>
      <w:rFonts w:eastAsia="仿宋_GB2312"/>
      <w:b/>
      <w:sz w:val="28"/>
      <w:szCs w:val="21"/>
    </w:rPr>
  </w:style>
  <w:style w:type="paragraph" w:customStyle="1" w:styleId="106">
    <w:name w:val="表头文字"/>
    <w:basedOn w:val="1"/>
    <w:link w:val="105"/>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字符"/>
    <w:link w:val="23"/>
    <w:qFormat/>
    <w:uiPriority w:val="99"/>
    <w:rPr>
      <w:rFonts w:ascii="宋体" w:hAnsi="Times New Roman" w:eastAsia="宋体" w:cs="Times New Roman"/>
      <w:b/>
      <w:bCs/>
      <w:szCs w:val="21"/>
      <w:lang w:val="zh-CN"/>
    </w:rPr>
  </w:style>
  <w:style w:type="character" w:customStyle="1" w:styleId="108">
    <w:name w:val="纯文本 Char1"/>
    <w:qFormat/>
    <w:uiPriority w:val="0"/>
    <w:rPr>
      <w:rFonts w:ascii="宋体" w:hAnsi="Courier New" w:eastAsia="宋体" w:cs="Courier New"/>
      <w:kern w:val="0"/>
      <w:szCs w:val="21"/>
    </w:rPr>
  </w:style>
  <w:style w:type="character" w:customStyle="1" w:styleId="109">
    <w:name w:val="批注主题 字符"/>
    <w:link w:val="35"/>
    <w:qFormat/>
    <w:uiPriority w:val="99"/>
    <w:rPr>
      <w:rFonts w:ascii="宋体" w:hAnsi="Times New Roman" w:eastAsia="宋体" w:cs="Times New Roman"/>
      <w:b/>
      <w:bCs/>
      <w:kern w:val="0"/>
      <w:sz w:val="24"/>
      <w:szCs w:val="24"/>
    </w:rPr>
  </w:style>
  <w:style w:type="character" w:customStyle="1" w:styleId="110">
    <w:name w:val="纯文本 字符"/>
    <w:qFormat/>
    <w:uiPriority w:val="99"/>
    <w:rPr>
      <w:rFonts w:ascii="宋体" w:hAnsi="Courier New" w:eastAsia="宋体" w:cs="Times New Roman"/>
      <w:szCs w:val="20"/>
      <w:lang w:val="en-US" w:eastAsia="zh-CN"/>
    </w:rPr>
  </w:style>
  <w:style w:type="character" w:customStyle="1" w:styleId="111">
    <w:name w:val="font71"/>
    <w:qFormat/>
    <w:uiPriority w:val="0"/>
    <w:rPr>
      <w:rFonts w:hint="eastAsia" w:ascii="宋体" w:hAnsi="宋体" w:eastAsia="宋体" w:cs="宋体"/>
      <w:color w:val="FF0000"/>
      <w:sz w:val="18"/>
      <w:szCs w:val="18"/>
      <w:u w:val="none"/>
    </w:rPr>
  </w:style>
  <w:style w:type="character" w:customStyle="1" w:styleId="112">
    <w:name w:val="font21"/>
    <w:qFormat/>
    <w:uiPriority w:val="0"/>
    <w:rPr>
      <w:rFonts w:hint="eastAsia" w:ascii="宋体" w:hAnsi="宋体" w:eastAsia="宋体" w:cs="宋体"/>
      <w:b/>
      <w:color w:val="000000"/>
      <w:sz w:val="21"/>
      <w:szCs w:val="21"/>
      <w:u w:val="none"/>
    </w:rPr>
  </w:style>
  <w:style w:type="character" w:customStyle="1" w:styleId="113">
    <w:name w:val="纯文本 字符3"/>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字符"/>
    <w:link w:val="15"/>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字符2"/>
    <w:link w:val="2"/>
    <w:qFormat/>
    <w:uiPriority w:val="99"/>
    <w:rPr>
      <w:rFonts w:ascii="宋体" w:eastAsia="宋体"/>
      <w:b/>
      <w:bCs/>
      <w:sz w:val="84"/>
      <w:szCs w:val="84"/>
      <w:lang w:val="zh-CN"/>
    </w:rPr>
  </w:style>
  <w:style w:type="character" w:customStyle="1" w:styleId="118">
    <w:name w:val="标题 5 Char"/>
    <w:semiHidden/>
    <w:qFormat/>
    <w:uiPriority w:val="9"/>
    <w:rPr>
      <w:b/>
      <w:bCs/>
      <w:kern w:val="2"/>
      <w:sz w:val="28"/>
      <w:szCs w:val="28"/>
    </w:rPr>
  </w:style>
  <w:style w:type="character" w:customStyle="1" w:styleId="119">
    <w:name w:val="页眉 字符"/>
    <w:link w:val="27"/>
    <w:qFormat/>
    <w:uiPriority w:val="99"/>
    <w:rPr>
      <w:rFonts w:ascii="宋体" w:eastAsia="宋体"/>
      <w:sz w:val="18"/>
      <w:szCs w:val="18"/>
    </w:rPr>
  </w:style>
  <w:style w:type="character" w:customStyle="1" w:styleId="120">
    <w:name w:val="表格文字 Char"/>
    <w:link w:val="121"/>
    <w:qFormat/>
    <w:uiPriority w:val="0"/>
    <w:rPr>
      <w:rFonts w:eastAsia="仿宋_GB2312"/>
      <w:sz w:val="28"/>
      <w:szCs w:val="24"/>
    </w:rPr>
  </w:style>
  <w:style w:type="paragraph" w:customStyle="1" w:styleId="121">
    <w:name w:val="表格文字"/>
    <w:basedOn w:val="1"/>
    <w:link w:val="120"/>
    <w:qFormat/>
    <w:uiPriority w:val="0"/>
    <w:rPr>
      <w:rFonts w:eastAsia="仿宋_GB2312"/>
      <w:sz w:val="28"/>
      <w:szCs w:val="24"/>
    </w:rPr>
  </w:style>
  <w:style w:type="character" w:customStyle="1" w:styleId="122">
    <w:name w:val="标题 字符2"/>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字符"/>
    <w:link w:val="128"/>
    <w:qFormat/>
    <w:uiPriority w:val="34"/>
    <w:rPr>
      <w:kern w:val="2"/>
      <w:sz w:val="21"/>
      <w:szCs w:val="22"/>
    </w:rPr>
  </w:style>
  <w:style w:type="paragraph"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semiHidden/>
    <w:qFormat/>
    <w:uiPriority w:val="99"/>
    <w:rPr>
      <w:rFonts w:ascii="宋体" w:hAnsi="Calibri" w:eastAsia="宋体" w:cs="Times New Roman"/>
      <w:kern w:val="0"/>
      <w:sz w:val="18"/>
      <w:szCs w:val="18"/>
    </w:rPr>
  </w:style>
  <w:style w:type="character" w:customStyle="1" w:styleId="131">
    <w:name w:val="标题 5 字符1"/>
    <w:link w:val="7"/>
    <w:qFormat/>
    <w:uiPriority w:val="9"/>
    <w:rPr>
      <w:rFonts w:ascii="宋体" w:hAnsi="Calibri" w:eastAsia="宋体" w:cs="Times New Roman"/>
      <w:b/>
      <w:bCs/>
      <w:kern w:val="0"/>
      <w:sz w:val="28"/>
      <w:szCs w:val="28"/>
    </w:rPr>
  </w:style>
  <w:style w:type="character" w:customStyle="1" w:styleId="132">
    <w:name w:val="keyfeatures1"/>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qFormat/>
    <w:uiPriority w:val="0"/>
    <w:rPr>
      <w:rFonts w:ascii="宋体" w:hAnsi="宋体" w:eastAsia="宋体"/>
      <w:b/>
      <w:kern w:val="2"/>
      <w:sz w:val="21"/>
      <w:szCs w:val="24"/>
      <w:lang w:val="en-US" w:eastAsia="zh-CN" w:bidi="ar-SA"/>
    </w:rPr>
  </w:style>
  <w:style w:type="character" w:customStyle="1" w:styleId="135">
    <w:name w:val="批注文字 字符3"/>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qFormat/>
    <w:uiPriority w:val="0"/>
    <w:rPr>
      <w:rFonts w:ascii="宋体" w:hAnsi="Courier New" w:eastAsia="宋体" w:cs="Times New Roman"/>
      <w:szCs w:val="20"/>
    </w:rPr>
  </w:style>
  <w:style w:type="character" w:customStyle="1" w:styleId="141">
    <w:name w:val="标题 6 字符1"/>
    <w:link w:val="8"/>
    <w:qFormat/>
    <w:uiPriority w:val="9"/>
    <w:rPr>
      <w:rFonts w:ascii="Times New Roman" w:hAnsi="Calibri" w:eastAsia="黑体" w:cs="Times New Roman"/>
      <w:b/>
      <w:bCs/>
      <w:kern w:val="0"/>
      <w:sz w:val="28"/>
      <w:szCs w:val="24"/>
    </w:rPr>
  </w:style>
  <w:style w:type="character" w:customStyle="1" w:styleId="142">
    <w:name w:val="正文文本 2 字符"/>
    <w:link w:val="31"/>
    <w:qFormat/>
    <w:uiPriority w:val="0"/>
    <w:rPr>
      <w:rFonts w:ascii="Arial" w:hAnsi="Arial" w:eastAsia="宋体" w:cs="Times New Roman"/>
      <w:color w:val="000000"/>
      <w:szCs w:val="24"/>
    </w:rPr>
  </w:style>
  <w:style w:type="character" w:customStyle="1" w:styleId="143">
    <w:name w:val="标题 3 字符1"/>
    <w:link w:val="5"/>
    <w:qFormat/>
    <w:uiPriority w:val="0"/>
    <w:rPr>
      <w:rFonts w:ascii="宋体" w:hAnsi="Calibri" w:eastAsia="宋体" w:cs="Times New Roman"/>
      <w:kern w:val="0"/>
      <w:sz w:val="24"/>
      <w:szCs w:val="24"/>
    </w:rPr>
  </w:style>
  <w:style w:type="character" w:customStyle="1" w:styleId="144">
    <w:name w:val="正文文本缩进 2 字符1"/>
    <w:semiHidden/>
    <w:qFormat/>
    <w:uiPriority w:val="99"/>
    <w:rPr>
      <w:rFonts w:ascii="宋体" w:hAnsi="Calibri" w:eastAsia="宋体" w:cs="Times New Roman"/>
      <w:kern w:val="0"/>
      <w:sz w:val="24"/>
      <w:szCs w:val="24"/>
    </w:rPr>
  </w:style>
  <w:style w:type="character" w:customStyle="1" w:styleId="145">
    <w:name w:val="正文文本缩进 3 字符1"/>
    <w:semiHidden/>
    <w:qFormat/>
    <w:uiPriority w:val="99"/>
    <w:rPr>
      <w:rFonts w:ascii="宋体" w:hAnsi="Calibri" w:eastAsia="宋体" w:cs="Times New Roman"/>
      <w:kern w:val="0"/>
      <w:sz w:val="16"/>
      <w:szCs w:val="16"/>
    </w:rPr>
  </w:style>
  <w:style w:type="character" w:customStyle="1" w:styleId="146">
    <w:name w:val="正文文本 2 字符1"/>
    <w:semiHidden/>
    <w:qFormat/>
    <w:uiPriority w:val="99"/>
    <w:rPr>
      <w:rFonts w:ascii="宋体" w:hAnsi="Calibri" w:eastAsia="宋体" w:cs="Times New Roman"/>
      <w:kern w:val="0"/>
      <w:sz w:val="24"/>
      <w:szCs w:val="24"/>
    </w:rPr>
  </w:style>
  <w:style w:type="character" w:customStyle="1" w:styleId="147">
    <w:name w:val="eschoolnr"/>
    <w:qFormat/>
    <w:uiPriority w:val="0"/>
    <w:rPr>
      <w:sz w:val="23"/>
      <w:szCs w:val="23"/>
    </w:rPr>
  </w:style>
  <w:style w:type="character" w:customStyle="1" w:styleId="148">
    <w:name w:val="访问过的超链接1"/>
    <w:qFormat/>
    <w:uiPriority w:val="0"/>
    <w:rPr>
      <w:rFonts w:ascii="Arial" w:hAnsi="Arial" w:cs="Arial"/>
      <w:color w:val="000000"/>
      <w:sz w:val="20"/>
      <w:szCs w:val="20"/>
      <w:u w:val="none"/>
    </w:rPr>
  </w:style>
  <w:style w:type="character" w:customStyle="1" w:styleId="149">
    <w:name w:val="标题 1 字符1"/>
    <w:link w:val="3"/>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semiHidden/>
    <w:qFormat/>
    <w:uiPriority w:val="99"/>
    <w:rPr>
      <w:kern w:val="2"/>
      <w:sz w:val="18"/>
      <w:szCs w:val="18"/>
    </w:rPr>
  </w:style>
  <w:style w:type="character" w:customStyle="1" w:styleId="152">
    <w:name w:val="DAS正文 Char"/>
    <w:qFormat/>
    <w:uiPriority w:val="0"/>
    <w:rPr>
      <w:rFonts w:ascii="Verdana" w:hAnsi="Verdana" w:eastAsia="宋体"/>
      <w:kern w:val="2"/>
      <w:sz w:val="21"/>
      <w:szCs w:val="21"/>
      <w:lang w:val="en-US" w:eastAsia="zh-CN" w:bidi="ar-SA"/>
    </w:rPr>
  </w:style>
  <w:style w:type="character" w:customStyle="1" w:styleId="153">
    <w:name w:val="正文文本缩进 3 字符"/>
    <w:link w:val="30"/>
    <w:qFormat/>
    <w:uiPriority w:val="0"/>
    <w:rPr>
      <w:rFonts w:ascii="宋体" w:hAnsi="Times New Roman" w:eastAsia="宋体" w:cs="Times New Roman"/>
      <w:kern w:val="0"/>
      <w:sz w:val="24"/>
      <w:szCs w:val="24"/>
    </w:rPr>
  </w:style>
  <w:style w:type="character" w:customStyle="1" w:styleId="154">
    <w:name w:val="页眉 Char"/>
    <w:qFormat/>
    <w:uiPriority w:val="99"/>
    <w:rPr>
      <w:kern w:val="2"/>
      <w:sz w:val="18"/>
      <w:szCs w:val="18"/>
    </w:rPr>
  </w:style>
  <w:style w:type="character" w:customStyle="1" w:styleId="155">
    <w:name w:val="正文文本 3 字符"/>
    <w:link w:val="18"/>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qFormat/>
    <w:uiPriority w:val="0"/>
    <w:rPr>
      <w:rFonts w:ascii="宋体"/>
      <w:sz w:val="24"/>
      <w:szCs w:val="24"/>
    </w:rPr>
  </w:style>
  <w:style w:type="paragraph" w:customStyle="1" w:styleId="158">
    <w:name w:val="彩色列表 - 强调文字颜色 11"/>
    <w:basedOn w:val="1"/>
    <w:link w:val="157"/>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9"/>
    <w:semiHidden/>
    <w:qFormat/>
    <w:uiPriority w:val="99"/>
    <w:rPr>
      <w:rFonts w:hAnsi="Courier New" w:cs="Courier New" w:asciiTheme="minorEastAsia"/>
    </w:rPr>
  </w:style>
  <w:style w:type="character" w:customStyle="1" w:styleId="162">
    <w:name w:val="批注文字 字符4"/>
    <w:basedOn w:val="39"/>
    <w:link w:val="17"/>
    <w:qFormat/>
    <w:uiPriority w:val="99"/>
    <w:rPr>
      <w:rFonts w:ascii="宋体" w:hAnsi="宋体" w:cstheme="minorBidi"/>
      <w:kern w:val="2"/>
      <w:sz w:val="21"/>
      <w:szCs w:val="22"/>
    </w:rPr>
  </w:style>
  <w:style w:type="character" w:customStyle="1" w:styleId="163">
    <w:name w:val="批注主题 字符2"/>
    <w:basedOn w:val="162"/>
    <w:semiHidden/>
    <w:qFormat/>
    <w:uiPriority w:val="99"/>
    <w:rPr>
      <w:rFonts w:ascii="宋体" w:hAnsi="宋体" w:cstheme="minorBidi"/>
      <w:b/>
      <w:bCs/>
      <w:kern w:val="2"/>
      <w:sz w:val="21"/>
      <w:szCs w:val="22"/>
    </w:rPr>
  </w:style>
  <w:style w:type="character" w:customStyle="1" w:styleId="164">
    <w:name w:val="标题 字符3"/>
    <w:basedOn w:val="39"/>
    <w:qFormat/>
    <w:uiPriority w:val="10"/>
    <w:rPr>
      <w:rFonts w:asciiTheme="majorHAnsi" w:hAnsiTheme="majorHAnsi" w:eastAsiaTheme="majorEastAsia" w:cstheme="majorBidi"/>
      <w:b/>
      <w:bCs/>
      <w:sz w:val="32"/>
      <w:szCs w:val="32"/>
    </w:rPr>
  </w:style>
  <w:style w:type="character" w:customStyle="1" w:styleId="165">
    <w:name w:val="正文文本缩进 字符3"/>
    <w:basedOn w:val="39"/>
    <w:semiHidden/>
    <w:qFormat/>
    <w:uiPriority w:val="99"/>
  </w:style>
  <w:style w:type="character" w:customStyle="1" w:styleId="166">
    <w:name w:val="正文文本 字符4"/>
    <w:basedOn w:val="39"/>
    <w:semiHidden/>
    <w:qFormat/>
    <w:uiPriority w:val="99"/>
  </w:style>
  <w:style w:type="character" w:customStyle="1" w:styleId="167">
    <w:name w:val="正文文本缩进 3 字符2"/>
    <w:basedOn w:val="39"/>
    <w:semiHidden/>
    <w:qFormat/>
    <w:uiPriority w:val="99"/>
    <w:rPr>
      <w:sz w:val="16"/>
      <w:szCs w:val="16"/>
    </w:rPr>
  </w:style>
  <w:style w:type="character" w:customStyle="1" w:styleId="168">
    <w:name w:val="页眉 字符2"/>
    <w:basedOn w:val="39"/>
    <w:semiHidden/>
    <w:qFormat/>
    <w:uiPriority w:val="99"/>
    <w:rPr>
      <w:sz w:val="18"/>
      <w:szCs w:val="18"/>
    </w:rPr>
  </w:style>
  <w:style w:type="character" w:customStyle="1" w:styleId="169">
    <w:name w:val="批注框文本 字符2"/>
    <w:basedOn w:val="39"/>
    <w:semiHidden/>
    <w:qFormat/>
    <w:uiPriority w:val="99"/>
    <w:rPr>
      <w:sz w:val="18"/>
      <w:szCs w:val="18"/>
    </w:rPr>
  </w:style>
  <w:style w:type="character" w:customStyle="1" w:styleId="170">
    <w:name w:val="HTML 预设格式 字符2"/>
    <w:basedOn w:val="39"/>
    <w:semiHidden/>
    <w:qFormat/>
    <w:uiPriority w:val="99"/>
    <w:rPr>
      <w:rFonts w:ascii="Courier New" w:hAnsi="Courier New" w:cs="Courier New"/>
      <w:sz w:val="20"/>
      <w:szCs w:val="20"/>
    </w:rPr>
  </w:style>
  <w:style w:type="character" w:customStyle="1" w:styleId="171">
    <w:name w:val="页脚 字符2"/>
    <w:basedOn w:val="39"/>
    <w:semiHidden/>
    <w:qFormat/>
    <w:uiPriority w:val="99"/>
    <w:rPr>
      <w:sz w:val="18"/>
      <w:szCs w:val="18"/>
    </w:rPr>
  </w:style>
  <w:style w:type="character" w:customStyle="1" w:styleId="172">
    <w:name w:val="正文文本缩进 2 字符2"/>
    <w:basedOn w:val="39"/>
    <w:semiHidden/>
    <w:qFormat/>
    <w:uiPriority w:val="99"/>
  </w:style>
  <w:style w:type="character" w:customStyle="1" w:styleId="173">
    <w:name w:val="正文文本 3 字符2"/>
    <w:basedOn w:val="39"/>
    <w:semiHidden/>
    <w:qFormat/>
    <w:uiPriority w:val="99"/>
    <w:rPr>
      <w:sz w:val="16"/>
      <w:szCs w:val="16"/>
    </w:rPr>
  </w:style>
  <w:style w:type="character" w:customStyle="1" w:styleId="174">
    <w:name w:val="正文文本 2 字符2"/>
    <w:basedOn w:val="39"/>
    <w:semiHidden/>
    <w:qFormat/>
    <w:uiPriority w:val="99"/>
  </w:style>
  <w:style w:type="paragraph" w:customStyle="1" w:styleId="175">
    <w:name w:val="WPSOffice手动目录 3"/>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9"/>
    <w:semiHidden/>
    <w:qFormat/>
    <w:uiPriority w:val="99"/>
    <w:rPr>
      <w:rFonts w:ascii="Microsoft YaHei UI" w:eastAsia="Microsoft YaHei UI"/>
      <w:sz w:val="18"/>
      <w:szCs w:val="18"/>
    </w:rPr>
  </w:style>
  <w:style w:type="character" w:customStyle="1" w:styleId="178">
    <w:name w:val="日期 字符2"/>
    <w:basedOn w:val="39"/>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semiHidden/>
    <w:qFormat/>
    <w:uiPriority w:val="99"/>
    <w:rPr>
      <w:rFonts w:ascii="宋体" w:hAnsi="Calibri" w:eastAsia="宋体" w:cs="Times New Roman"/>
      <w:sz w:val="24"/>
      <w:szCs w:val="24"/>
      <w:lang w:val="en-US" w:eastAsia="zh-CN" w:bidi="ar-SA"/>
    </w:rPr>
  </w:style>
  <w:style w:type="paragraph" w:customStyle="1" w:styleId="182">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2"/>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字符"/>
    <w:basedOn w:val="117"/>
    <w:link w:val="36"/>
    <w:semiHidden/>
    <w:qFormat/>
    <w:uiPriority w:val="99"/>
    <w:rPr>
      <w:rFonts w:ascii="宋体" w:eastAsia="宋体"/>
      <w:b w:val="0"/>
      <w:bCs w:val="0"/>
      <w:sz w:val="84"/>
      <w:szCs w:val="84"/>
      <w:lang w:val="zh-CN"/>
    </w:rPr>
  </w:style>
  <w:style w:type="paragraph" w:customStyle="1" w:styleId="201">
    <w:name w:val="修订2"/>
    <w:hidden/>
    <w:semiHidden/>
    <w:qFormat/>
    <w:uiPriority w:val="99"/>
    <w:rPr>
      <w:rFonts w:asciiTheme="minorHAnsi" w:hAnsiTheme="minorHAnsi" w:eastAsiaTheme="minorEastAsia" w:cstheme="minorBidi"/>
      <w:kern w:val="2"/>
      <w:sz w:val="21"/>
      <w:szCs w:val="22"/>
      <w:lang w:val="en-US" w:eastAsia="zh-CN" w:bidi="ar-SA"/>
    </w:rPr>
  </w:style>
  <w:style w:type="table" w:customStyle="1" w:styleId="202">
    <w:name w:val="Table Normal"/>
    <w:semiHidden/>
    <w:unhideWhenUsed/>
    <w:qFormat/>
    <w:uiPriority w:val="2"/>
    <w:tblPr>
      <w:tblCellMar>
        <w:top w:w="0" w:type="dxa"/>
        <w:left w:w="0" w:type="dxa"/>
        <w:bottom w:w="0" w:type="dxa"/>
        <w:right w:w="0" w:type="dxa"/>
      </w:tblCellMar>
    </w:tblPr>
  </w:style>
  <w:style w:type="paragraph" w:customStyle="1" w:styleId="203">
    <w:name w:val="null3"/>
    <w:hidden/>
    <w:qFormat/>
    <w:uiPriority w:val="0"/>
    <w:rPr>
      <w:rFonts w:hint="eastAsia" w:asciiTheme="minorHAnsi" w:hAnsiTheme="minorHAnsi" w:eastAsiaTheme="minorEastAsia" w:cstheme="minorBidi"/>
      <w:lang w:val="en-US" w:eastAsia="zh-Hans" w:bidi="ar-SA"/>
    </w:rPr>
  </w:style>
  <w:style w:type="paragraph" w:customStyle="1" w:styleId="204">
    <w:name w:val="样式 宋体 行距: 1.5 倍行距"/>
    <w:basedOn w:val="1"/>
    <w:qFormat/>
    <w:uiPriority w:val="0"/>
    <w:pPr>
      <w:jc w:val="center"/>
    </w:pPr>
    <w:rPr>
      <w:rFonts w:ascii="Times New Roman" w:hAnsi="Times New Roman"/>
      <w:b/>
    </w:rPr>
  </w:style>
  <w:style w:type="paragraph" w:customStyle="1" w:styleId="205">
    <w:name w:val="文档正文"/>
    <w:basedOn w:val="1"/>
    <w:qFormat/>
    <w:uiPriority w:val="0"/>
    <w:pPr>
      <w:spacing w:line="360" w:lineRule="auto"/>
    </w:pPr>
    <w:rPr>
      <w:rFonts w:cs="Arial"/>
      <w:bCs/>
    </w:rPr>
  </w:style>
  <w:style w:type="paragraph" w:customStyle="1" w:styleId="20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143</Pages>
  <Words>87525</Words>
  <Characters>93274</Characters>
  <Lines>738</Lines>
  <Paragraphs>207</Paragraphs>
  <TotalTime>6</TotalTime>
  <ScaleCrop>false</ScaleCrop>
  <LinksUpToDate>false</LinksUpToDate>
  <CharactersWithSpaces>96385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2024-09-24T06:46:00Z</dcterms:created>
  <dc:creator>HS</dc:creator>
  <cp:lastModifiedBy>建成</cp:lastModifiedBy>
  <dcterms:modified xsi:type="dcterms:W3CDTF">2024-09-26T07:23:25Z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29DFB9054BE34889871DE73741087580_13</vt:lpwstr>
  </property>
</Properties>
</file>