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7D606">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167ED2DE">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东莞市水务集团供水有限公司2024-2025年造价咨询服务项目</w:t>
      </w:r>
    </w:p>
    <w:p w14:paraId="3EEC4EE8">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14:paraId="1B942C8F">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14:paraId="7FC99D9F">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14:paraId="78F09F8B">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3C52DEDA">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14:paraId="16A66DEA">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14:paraId="4412D815">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14:paraId="00E6381B">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14:paraId="2F26F122">
      <w:pPr>
        <w:autoSpaceDE w:val="0"/>
        <w:autoSpaceDN w:val="0"/>
        <w:adjustRightInd w:val="0"/>
        <w:spacing w:line="480" w:lineRule="auto"/>
        <w:ind w:left="1842" w:leftChars="877" w:firstLine="19" w:firstLineChars="6"/>
        <w:jc w:val="left"/>
        <w:outlineLvl w:val="0"/>
        <w:rPr>
          <w:rFonts w:hint="eastAsia" w:ascii="宋体" w:hAnsi="宋体" w:eastAsia="宋体" w:cs="宋体"/>
          <w:b/>
          <w:bCs/>
          <w:color w:val="auto"/>
          <w:sz w:val="32"/>
          <w:szCs w:val="32"/>
          <w:highlight w:val="none"/>
          <w:lang w:val="zh-CN"/>
        </w:rPr>
      </w:pPr>
      <w:bookmarkStart w:id="0" w:name="_Toc32039"/>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w:t>
      </w:r>
      <w:bookmarkEnd w:id="0"/>
      <w:r>
        <w:rPr>
          <w:rFonts w:hint="eastAsia" w:ascii="宋体" w:hAnsi="宋体" w:eastAsia="宋体" w:cs="宋体"/>
          <w:b/>
          <w:bCs/>
          <w:color w:val="auto"/>
          <w:sz w:val="32"/>
          <w:szCs w:val="32"/>
          <w:highlight w:val="none"/>
          <w:lang w:val="zh-CN"/>
        </w:rPr>
        <w:t>YDZB24DGQY0144</w:t>
      </w:r>
    </w:p>
    <w:p w14:paraId="3D48D18D">
      <w:pPr>
        <w:autoSpaceDE w:val="0"/>
        <w:autoSpaceDN w:val="0"/>
        <w:adjustRightInd w:val="0"/>
        <w:spacing w:line="480" w:lineRule="auto"/>
        <w:ind w:left="1842" w:leftChars="877" w:firstLine="19" w:firstLineChars="6"/>
        <w:jc w:val="left"/>
        <w:outlineLvl w:val="0"/>
        <w:rPr>
          <w:rFonts w:hint="eastAsia" w:ascii="宋体" w:hAnsi="宋体" w:eastAsia="宋体" w:cs="宋体"/>
          <w:b/>
          <w:bCs/>
          <w:color w:val="auto"/>
          <w:sz w:val="32"/>
          <w:szCs w:val="32"/>
          <w:highlight w:val="none"/>
          <w:lang w:val="zh-CN"/>
        </w:rPr>
      </w:pPr>
      <w:bookmarkStart w:id="1" w:name="_Toc26093"/>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w:t>
      </w:r>
      <w:bookmarkEnd w:id="1"/>
      <w:r>
        <w:rPr>
          <w:rFonts w:hint="eastAsia" w:ascii="宋体" w:hAnsi="宋体" w:eastAsia="宋体" w:cs="宋体"/>
          <w:b/>
          <w:bCs/>
          <w:color w:val="auto"/>
          <w:sz w:val="32"/>
          <w:szCs w:val="32"/>
          <w:highlight w:val="none"/>
          <w:lang w:val="zh-CN"/>
        </w:rPr>
        <w:t>东莞市水务集团供水有限公司</w:t>
      </w:r>
    </w:p>
    <w:p w14:paraId="2E1AF9A0">
      <w:pPr>
        <w:autoSpaceDE w:val="0"/>
        <w:autoSpaceDN w:val="0"/>
        <w:adjustRightInd w:val="0"/>
        <w:spacing w:line="480" w:lineRule="auto"/>
        <w:ind w:left="1842" w:leftChars="877" w:firstLine="19" w:firstLineChars="6"/>
        <w:jc w:val="left"/>
        <w:outlineLvl w:val="0"/>
        <w:rPr>
          <w:rFonts w:hint="eastAsia" w:ascii="宋体" w:hAnsi="宋体" w:eastAsia="宋体" w:cs="宋体"/>
          <w:b/>
          <w:bCs/>
          <w:color w:val="auto"/>
          <w:sz w:val="32"/>
          <w:szCs w:val="32"/>
          <w:highlight w:val="none"/>
          <w:lang w:val="zh-CN"/>
        </w:rPr>
      </w:pPr>
      <w:bookmarkStart w:id="2" w:name="_Toc27727"/>
      <w:r>
        <w:rPr>
          <w:rFonts w:hint="eastAsia" w:ascii="宋体" w:hAnsi="宋体" w:eastAsia="宋体" w:cs="宋体"/>
          <w:b/>
          <w:bCs/>
          <w:color w:val="auto"/>
          <w:sz w:val="32"/>
          <w:szCs w:val="32"/>
          <w:highlight w:val="none"/>
          <w:lang w:val="zh-CN"/>
        </w:rPr>
        <w:t>招标代理机构：广东有德招标采购有限公司</w:t>
      </w:r>
      <w:bookmarkEnd w:id="2"/>
    </w:p>
    <w:p w14:paraId="13E57AD1">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14:paraId="573427E4">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14:paraId="01D6A888">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9</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26</w:t>
      </w:r>
      <w:r>
        <w:rPr>
          <w:rFonts w:hint="eastAsia" w:ascii="宋体" w:hAnsi="宋体" w:eastAsia="宋体" w:cs="宋体"/>
          <w:b/>
          <w:bCs/>
          <w:color w:val="auto"/>
          <w:sz w:val="32"/>
          <w:szCs w:val="32"/>
          <w:highlight w:val="none"/>
          <w:lang w:val="zh-CN"/>
        </w:rPr>
        <w:t>日</w:t>
      </w:r>
    </w:p>
    <w:sdt>
      <w:sdtPr>
        <w:rPr>
          <w:rFonts w:hint="eastAsia" w:ascii="宋体" w:hAnsi="宋体" w:eastAsia="宋体" w:cs="宋体"/>
          <w:b/>
          <w:color w:val="auto"/>
          <w:kern w:val="0"/>
          <w:sz w:val="24"/>
          <w:szCs w:val="24"/>
          <w:highlight w:val="none"/>
          <w:lang w:val="en-US" w:eastAsia="zh-CN"/>
        </w:rPr>
        <w:id w:val="147463827"/>
        <w15:color w:val="DBDBDB"/>
        <w:docPartObj>
          <w:docPartGallery w:val="Table of Contents"/>
          <w:docPartUnique/>
        </w:docPartObj>
      </w:sdtPr>
      <w:sdtEndPr>
        <w:rPr>
          <w:rFonts w:hint="eastAsia" w:ascii="宋体" w:hAnsi="宋体" w:eastAsia="宋体" w:cs="宋体"/>
          <w:b/>
          <w:color w:val="auto"/>
          <w:kern w:val="0"/>
          <w:sz w:val="24"/>
          <w:szCs w:val="24"/>
          <w:highlight w:val="none"/>
          <w:lang w:val="en-US" w:eastAsia="zh-CN"/>
        </w:rPr>
      </w:sdtEndPr>
      <w:sdtContent>
        <w:p w14:paraId="1E427402">
          <w:pPr>
            <w:keepNext w:val="0"/>
            <w:keepLines w:val="0"/>
            <w:pageBreakBefore/>
            <w:widowControl w:val="0"/>
            <w:tabs>
              <w:tab w:val="left" w:pos="9923"/>
              <w:tab w:val="left" w:pos="10206"/>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319C23BE">
          <w:pPr>
            <w:pStyle w:val="27"/>
            <w:tabs>
              <w:tab w:val="right" w:leader="dot" w:pos="1015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p>
        <w:p w14:paraId="68FAC53C">
          <w:pPr>
            <w:pStyle w:val="30"/>
            <w:tabs>
              <w:tab w:val="right" w:leader="dot" w:pos="10154"/>
            </w:tabs>
            <w:spacing w:line="360" w:lineRule="auto"/>
            <w:ind w:left="0" w:leftChars="0"/>
            <w:rPr>
              <w:rFonts w:hint="eastAsia" w:ascii="宋体" w:hAnsi="宋体" w:eastAsia="宋体" w:cs="宋体"/>
              <w:b/>
              <w:bCs/>
              <w:color w:val="auto"/>
              <w:kern w:val="44"/>
              <w:szCs w:val="32"/>
              <w:highlight w:val="none"/>
            </w:rPr>
          </w:pP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HYPERLINK \l _Toc25722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lang w:val="zh-CN"/>
            </w:rPr>
            <w:t>第</w:t>
          </w:r>
          <w:r>
            <w:rPr>
              <w:rFonts w:hint="eastAsia" w:ascii="宋体" w:hAnsi="宋体" w:eastAsia="宋体" w:cs="宋体"/>
              <w:b/>
              <w:bCs/>
              <w:color w:val="auto"/>
              <w:kern w:val="44"/>
              <w:szCs w:val="32"/>
              <w:highlight w:val="none"/>
              <w:lang w:val="en-US" w:eastAsia="zh-CN"/>
            </w:rPr>
            <w:t>一</w:t>
          </w:r>
          <w:r>
            <w:rPr>
              <w:rFonts w:hint="eastAsia" w:ascii="宋体" w:hAnsi="宋体" w:eastAsia="宋体" w:cs="宋体"/>
              <w:b/>
              <w:bCs/>
              <w:color w:val="auto"/>
              <w:kern w:val="44"/>
              <w:szCs w:val="32"/>
              <w:highlight w:val="none"/>
              <w:lang w:val="zh-CN"/>
            </w:rPr>
            <w:t>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en-US" w:eastAsia="zh-CN"/>
            </w:rPr>
            <w:t>招标公告</w:t>
          </w:r>
          <w:r>
            <w:rPr>
              <w:rFonts w:hint="eastAsia" w:ascii="宋体" w:hAnsi="宋体" w:eastAsia="宋体" w:cs="宋体"/>
              <w:b/>
              <w:bCs/>
              <w:color w:val="auto"/>
              <w:kern w:val="44"/>
              <w:szCs w:val="32"/>
              <w:highlight w:val="none"/>
            </w:rPr>
            <w:tab/>
          </w: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PAGEREF _Toc25722 \h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rPr>
            <w:t>4</w:t>
          </w:r>
          <w:r>
            <w:rPr>
              <w:rFonts w:hint="eastAsia" w:ascii="宋体" w:hAnsi="宋体" w:eastAsia="宋体" w:cs="宋体"/>
              <w:b/>
              <w:bCs/>
              <w:color w:val="auto"/>
              <w:kern w:val="44"/>
              <w:szCs w:val="32"/>
              <w:highlight w:val="none"/>
            </w:rPr>
            <w:fldChar w:fldCharType="end"/>
          </w:r>
          <w:r>
            <w:rPr>
              <w:rFonts w:hint="eastAsia" w:ascii="宋体" w:hAnsi="宋体" w:eastAsia="宋体" w:cs="宋体"/>
              <w:b/>
              <w:bCs/>
              <w:color w:val="auto"/>
              <w:kern w:val="44"/>
              <w:szCs w:val="32"/>
              <w:highlight w:val="none"/>
            </w:rPr>
            <w:fldChar w:fldCharType="end"/>
          </w:r>
        </w:p>
        <w:p w14:paraId="6D9EB57D">
          <w:pPr>
            <w:pStyle w:val="30"/>
            <w:tabs>
              <w:tab w:val="right" w:leader="dot" w:pos="10154"/>
            </w:tabs>
            <w:spacing w:line="360" w:lineRule="auto"/>
            <w:ind w:left="0" w:leftChars="0"/>
            <w:rPr>
              <w:rFonts w:hint="eastAsia" w:ascii="宋体" w:hAnsi="宋体" w:eastAsia="宋体" w:cs="宋体"/>
              <w:b/>
              <w:bCs/>
              <w:color w:val="auto"/>
              <w:kern w:val="44"/>
              <w:szCs w:val="32"/>
              <w:highlight w:val="none"/>
            </w:rPr>
          </w:pP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HYPERLINK \l _Toc20614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lang w:val="zh-CN"/>
            </w:rPr>
            <w:t>第二</w:t>
          </w:r>
          <w:r>
            <w:rPr>
              <w:rFonts w:hint="eastAsia" w:ascii="宋体" w:hAnsi="宋体" w:eastAsia="宋体" w:cs="宋体"/>
              <w:b/>
              <w:bCs/>
              <w:color w:val="auto"/>
              <w:highlight w:val="none"/>
              <w:lang w:val="zh-CN"/>
            </w:rPr>
            <w:t>篇</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投标</w:t>
          </w:r>
          <w:r>
            <w:rPr>
              <w:rFonts w:hint="eastAsia" w:ascii="宋体" w:hAnsi="宋体" w:eastAsia="宋体" w:cs="宋体"/>
              <w:b/>
              <w:bCs/>
              <w:color w:val="auto"/>
              <w:kern w:val="44"/>
              <w:szCs w:val="32"/>
              <w:highlight w:val="none"/>
              <w:lang w:val="zh-CN"/>
            </w:rPr>
            <w:t>人须知</w:t>
          </w:r>
          <w:r>
            <w:rPr>
              <w:rFonts w:hint="eastAsia" w:ascii="宋体" w:hAnsi="宋体" w:eastAsia="宋体" w:cs="宋体"/>
              <w:b/>
              <w:bCs/>
              <w:color w:val="auto"/>
              <w:kern w:val="44"/>
              <w:szCs w:val="32"/>
              <w:highlight w:val="none"/>
            </w:rPr>
            <w:tab/>
          </w: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PAGEREF _Toc20614 \h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rPr>
            <w:t>6</w:t>
          </w:r>
          <w:r>
            <w:rPr>
              <w:rFonts w:hint="eastAsia" w:ascii="宋体" w:hAnsi="宋体" w:eastAsia="宋体" w:cs="宋体"/>
              <w:b/>
              <w:bCs/>
              <w:color w:val="auto"/>
              <w:kern w:val="44"/>
              <w:szCs w:val="32"/>
              <w:highlight w:val="none"/>
            </w:rPr>
            <w:fldChar w:fldCharType="end"/>
          </w:r>
          <w:r>
            <w:rPr>
              <w:rFonts w:hint="eastAsia" w:ascii="宋体" w:hAnsi="宋体" w:eastAsia="宋体" w:cs="宋体"/>
              <w:b/>
              <w:bCs/>
              <w:color w:val="auto"/>
              <w:kern w:val="44"/>
              <w:szCs w:val="32"/>
              <w:highlight w:val="none"/>
            </w:rPr>
            <w:fldChar w:fldCharType="end"/>
          </w:r>
        </w:p>
        <w:p w14:paraId="2E7541B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_Toc28505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lang w:val="zh-CN"/>
            </w:rPr>
            <w:t>一、总则</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_Toc28505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1C75D637">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FB0BDA">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A71DE1">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3 合格的</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4577AE">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_Toc9589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C7DB47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kern w:val="2"/>
              <w:sz w:val="21"/>
              <w:szCs w:val="22"/>
              <w:highlight w:val="none"/>
              <w:lang w:val="en-US" w:eastAsia="zh-CN" w:bidi="ar-SA"/>
            </w:rPr>
            <w:fldChar w:fldCharType="begin"/>
          </w:r>
          <w:r>
            <w:rPr>
              <w:rFonts w:hint="eastAsia" w:ascii="宋体" w:hAnsi="宋体" w:eastAsia="宋体" w:cs="宋体"/>
              <w:b/>
              <w:bCs/>
              <w:color w:val="auto"/>
              <w:kern w:val="2"/>
              <w:sz w:val="21"/>
              <w:szCs w:val="22"/>
              <w:highlight w:val="none"/>
              <w:lang w:val="en-US" w:eastAsia="zh-CN" w:bidi="ar-SA"/>
            </w:rPr>
            <w:instrText xml:space="preserve"> HYPERLINK \l _Toc11169 </w:instrText>
          </w:r>
          <w:r>
            <w:rPr>
              <w:rFonts w:hint="eastAsia" w:ascii="宋体" w:hAnsi="宋体" w:eastAsia="宋体" w:cs="宋体"/>
              <w:b/>
              <w:bCs/>
              <w:color w:val="auto"/>
              <w:kern w:val="2"/>
              <w:sz w:val="21"/>
              <w:szCs w:val="22"/>
              <w:highlight w:val="none"/>
              <w:lang w:val="en-US" w:eastAsia="zh-CN" w:bidi="ar-SA"/>
            </w:rPr>
            <w:fldChar w:fldCharType="separate"/>
          </w:r>
          <w:r>
            <w:rPr>
              <w:rFonts w:hint="eastAsia" w:ascii="宋体" w:hAnsi="宋体" w:eastAsia="宋体" w:cs="宋体"/>
              <w:b/>
              <w:bCs/>
              <w:color w:val="auto"/>
              <w:kern w:val="2"/>
              <w:sz w:val="21"/>
              <w:szCs w:val="22"/>
              <w:highlight w:val="none"/>
              <w:lang w:val="zh-CN" w:eastAsia="zh-CN" w:bidi="ar-SA"/>
            </w:rPr>
            <w:t>二、招标文件</w:t>
          </w:r>
          <w:r>
            <w:rPr>
              <w:rFonts w:hint="eastAsia" w:ascii="宋体" w:hAnsi="宋体" w:eastAsia="宋体" w:cs="宋体"/>
              <w:b/>
              <w:bCs/>
              <w:color w:val="auto"/>
              <w:kern w:val="2"/>
              <w:sz w:val="21"/>
              <w:szCs w:val="22"/>
              <w:highlight w:val="none"/>
              <w:lang w:val="en-US" w:eastAsia="zh-CN" w:bidi="ar-SA"/>
            </w:rPr>
            <w:tab/>
          </w:r>
          <w:r>
            <w:rPr>
              <w:rFonts w:hint="eastAsia" w:ascii="宋体" w:hAnsi="宋体" w:eastAsia="宋体" w:cs="宋体"/>
              <w:b/>
              <w:bCs/>
              <w:color w:val="auto"/>
              <w:kern w:val="2"/>
              <w:sz w:val="21"/>
              <w:szCs w:val="22"/>
              <w:highlight w:val="none"/>
              <w:lang w:val="en-US" w:eastAsia="zh-CN" w:bidi="ar-SA"/>
            </w:rPr>
            <w:fldChar w:fldCharType="begin"/>
          </w:r>
          <w:r>
            <w:rPr>
              <w:rFonts w:hint="eastAsia" w:ascii="宋体" w:hAnsi="宋体" w:eastAsia="宋体" w:cs="宋体"/>
              <w:b/>
              <w:bCs/>
              <w:color w:val="auto"/>
              <w:kern w:val="2"/>
              <w:sz w:val="21"/>
              <w:szCs w:val="22"/>
              <w:highlight w:val="none"/>
              <w:lang w:val="en-US" w:eastAsia="zh-CN" w:bidi="ar-SA"/>
            </w:rPr>
            <w:instrText xml:space="preserve"> PAGEREF _Toc11169 \h </w:instrText>
          </w:r>
          <w:r>
            <w:rPr>
              <w:rFonts w:hint="eastAsia" w:ascii="宋体" w:hAnsi="宋体" w:eastAsia="宋体" w:cs="宋体"/>
              <w:b/>
              <w:bCs/>
              <w:color w:val="auto"/>
              <w:kern w:val="2"/>
              <w:sz w:val="21"/>
              <w:szCs w:val="22"/>
              <w:highlight w:val="none"/>
              <w:lang w:val="en-US" w:eastAsia="zh-CN" w:bidi="ar-SA"/>
            </w:rPr>
            <w:fldChar w:fldCharType="separate"/>
          </w:r>
          <w:r>
            <w:rPr>
              <w:rFonts w:hint="eastAsia" w:ascii="宋体" w:hAnsi="宋体" w:eastAsia="宋体" w:cs="宋体"/>
              <w:b/>
              <w:bCs/>
              <w:color w:val="auto"/>
              <w:kern w:val="2"/>
              <w:sz w:val="21"/>
              <w:szCs w:val="22"/>
              <w:highlight w:val="none"/>
              <w:lang w:val="en-US" w:eastAsia="zh-CN" w:bidi="ar-SA"/>
            </w:rPr>
            <w:t>7</w:t>
          </w:r>
          <w:r>
            <w:rPr>
              <w:rFonts w:hint="eastAsia" w:ascii="宋体" w:hAnsi="宋体" w:eastAsia="宋体" w:cs="宋体"/>
              <w:b/>
              <w:bCs/>
              <w:color w:val="auto"/>
              <w:kern w:val="2"/>
              <w:sz w:val="21"/>
              <w:szCs w:val="22"/>
              <w:highlight w:val="none"/>
              <w:lang w:val="en-US" w:eastAsia="zh-CN" w:bidi="ar-SA"/>
            </w:rPr>
            <w:fldChar w:fldCharType="end"/>
          </w:r>
          <w:r>
            <w:rPr>
              <w:rFonts w:hint="eastAsia" w:ascii="宋体" w:hAnsi="宋体" w:eastAsia="宋体" w:cs="宋体"/>
              <w:b/>
              <w:bCs/>
              <w:color w:val="auto"/>
              <w:kern w:val="2"/>
              <w:sz w:val="21"/>
              <w:szCs w:val="22"/>
              <w:highlight w:val="none"/>
              <w:lang w:val="en-US" w:eastAsia="zh-CN" w:bidi="ar-SA"/>
            </w:rPr>
            <w:fldChar w:fldCharType="end"/>
          </w:r>
        </w:p>
        <w:p w14:paraId="4BA0E2FE">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95F1C52">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3A9465">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99875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kern w:val="2"/>
              <w:sz w:val="21"/>
              <w:szCs w:val="22"/>
              <w:highlight w:val="none"/>
              <w:lang w:val="zh-CN" w:eastAsia="zh-CN" w:bidi="ar-SA"/>
            </w:rPr>
            <w:fldChar w:fldCharType="begin"/>
          </w:r>
          <w:r>
            <w:rPr>
              <w:rFonts w:hint="eastAsia" w:ascii="宋体" w:hAnsi="宋体" w:eastAsia="宋体" w:cs="宋体"/>
              <w:b/>
              <w:bCs/>
              <w:color w:val="auto"/>
              <w:kern w:val="2"/>
              <w:sz w:val="21"/>
              <w:szCs w:val="22"/>
              <w:highlight w:val="none"/>
              <w:lang w:val="zh-CN" w:eastAsia="zh-CN" w:bidi="ar-SA"/>
            </w:rPr>
            <w:instrText xml:space="preserve"> HYPERLINK \l _Toc18759 </w:instrText>
          </w:r>
          <w:r>
            <w:rPr>
              <w:rFonts w:hint="eastAsia" w:ascii="宋体" w:hAnsi="宋体" w:eastAsia="宋体" w:cs="宋体"/>
              <w:b/>
              <w:bCs/>
              <w:color w:val="auto"/>
              <w:kern w:val="2"/>
              <w:sz w:val="21"/>
              <w:szCs w:val="22"/>
              <w:highlight w:val="none"/>
              <w:lang w:val="zh-CN" w:eastAsia="zh-CN" w:bidi="ar-SA"/>
            </w:rPr>
            <w:fldChar w:fldCharType="separate"/>
          </w:r>
          <w:r>
            <w:rPr>
              <w:rFonts w:hint="eastAsia" w:ascii="宋体" w:hAnsi="宋体" w:eastAsia="宋体" w:cs="宋体"/>
              <w:b/>
              <w:bCs/>
              <w:color w:val="auto"/>
              <w:kern w:val="2"/>
              <w:sz w:val="21"/>
              <w:szCs w:val="22"/>
              <w:highlight w:val="none"/>
              <w:lang w:val="zh-CN" w:eastAsia="zh-CN" w:bidi="ar-SA"/>
            </w:rPr>
            <w:t>三、投标文件的编制</w:t>
          </w:r>
          <w:r>
            <w:rPr>
              <w:rFonts w:hint="eastAsia" w:ascii="宋体" w:hAnsi="宋体" w:eastAsia="宋体" w:cs="宋体"/>
              <w:b/>
              <w:bCs/>
              <w:color w:val="auto"/>
              <w:kern w:val="2"/>
              <w:sz w:val="21"/>
              <w:szCs w:val="22"/>
              <w:highlight w:val="none"/>
              <w:lang w:val="zh-CN" w:eastAsia="zh-CN" w:bidi="ar-SA"/>
            </w:rPr>
            <w:tab/>
          </w:r>
          <w:r>
            <w:rPr>
              <w:rFonts w:hint="eastAsia" w:ascii="宋体" w:hAnsi="宋体" w:eastAsia="宋体" w:cs="宋体"/>
              <w:b/>
              <w:bCs/>
              <w:color w:val="auto"/>
              <w:kern w:val="2"/>
              <w:sz w:val="21"/>
              <w:szCs w:val="22"/>
              <w:highlight w:val="none"/>
              <w:lang w:val="zh-CN" w:eastAsia="zh-CN" w:bidi="ar-SA"/>
            </w:rPr>
            <w:fldChar w:fldCharType="begin"/>
          </w:r>
          <w:r>
            <w:rPr>
              <w:rFonts w:hint="eastAsia" w:ascii="宋体" w:hAnsi="宋体" w:eastAsia="宋体" w:cs="宋体"/>
              <w:b/>
              <w:bCs/>
              <w:color w:val="auto"/>
              <w:kern w:val="2"/>
              <w:sz w:val="21"/>
              <w:szCs w:val="22"/>
              <w:highlight w:val="none"/>
              <w:lang w:val="zh-CN" w:eastAsia="zh-CN" w:bidi="ar-SA"/>
            </w:rPr>
            <w:instrText xml:space="preserve"> PAGEREF _Toc18759 \h </w:instrText>
          </w:r>
          <w:r>
            <w:rPr>
              <w:rFonts w:hint="eastAsia" w:ascii="宋体" w:hAnsi="宋体" w:eastAsia="宋体" w:cs="宋体"/>
              <w:b/>
              <w:bCs/>
              <w:color w:val="auto"/>
              <w:kern w:val="2"/>
              <w:sz w:val="21"/>
              <w:szCs w:val="22"/>
              <w:highlight w:val="none"/>
              <w:lang w:val="zh-CN" w:eastAsia="zh-CN" w:bidi="ar-SA"/>
            </w:rPr>
            <w:fldChar w:fldCharType="separate"/>
          </w:r>
          <w:r>
            <w:rPr>
              <w:rFonts w:hint="eastAsia" w:ascii="宋体" w:hAnsi="宋体" w:eastAsia="宋体" w:cs="宋体"/>
              <w:b/>
              <w:bCs/>
              <w:color w:val="auto"/>
              <w:kern w:val="2"/>
              <w:sz w:val="21"/>
              <w:szCs w:val="22"/>
              <w:highlight w:val="none"/>
              <w:lang w:val="zh-CN" w:eastAsia="zh-CN" w:bidi="ar-SA"/>
            </w:rPr>
            <w:t>9</w:t>
          </w:r>
          <w:r>
            <w:rPr>
              <w:rFonts w:hint="eastAsia" w:ascii="宋体" w:hAnsi="宋体" w:eastAsia="宋体" w:cs="宋体"/>
              <w:b/>
              <w:bCs/>
              <w:color w:val="auto"/>
              <w:kern w:val="2"/>
              <w:sz w:val="21"/>
              <w:szCs w:val="22"/>
              <w:highlight w:val="none"/>
              <w:lang w:val="zh-CN" w:eastAsia="zh-CN" w:bidi="ar-SA"/>
            </w:rPr>
            <w:fldChar w:fldCharType="end"/>
          </w:r>
          <w:r>
            <w:rPr>
              <w:rFonts w:hint="eastAsia" w:ascii="宋体" w:hAnsi="宋体" w:eastAsia="宋体" w:cs="宋体"/>
              <w:b/>
              <w:bCs/>
              <w:color w:val="auto"/>
              <w:kern w:val="2"/>
              <w:sz w:val="21"/>
              <w:szCs w:val="22"/>
              <w:highlight w:val="none"/>
              <w:lang w:val="zh-CN" w:eastAsia="zh-CN" w:bidi="ar-SA"/>
            </w:rPr>
            <w:fldChar w:fldCharType="end"/>
          </w:r>
        </w:p>
        <w:p w14:paraId="41C47918">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_Toc1399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FEC3D6">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_Toc4749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9 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_Toc4749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DCD2D5">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_Toc7493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9D76A5">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871308">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6E41605">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_Toc18161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3E75505">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C9DF08">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E6DD39">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_Toc10671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36554CE">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_Toc22562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A2BDA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2"/>
              <w:highlight w:val="none"/>
              <w:lang w:val="zh-CN" w:eastAsia="zh-CN" w:bidi="ar-SA"/>
            </w:rPr>
          </w:pPr>
          <w:r>
            <w:rPr>
              <w:rFonts w:hint="eastAsia" w:ascii="宋体" w:hAnsi="宋体" w:eastAsia="宋体" w:cs="宋体"/>
              <w:b/>
              <w:bCs/>
              <w:color w:val="auto"/>
              <w:kern w:val="2"/>
              <w:sz w:val="21"/>
              <w:szCs w:val="22"/>
              <w:highlight w:val="none"/>
              <w:lang w:val="zh-CN" w:eastAsia="zh-CN" w:bidi="ar-SA"/>
            </w:rPr>
            <w:fldChar w:fldCharType="begin"/>
          </w:r>
          <w:r>
            <w:rPr>
              <w:rFonts w:hint="eastAsia" w:ascii="宋体" w:hAnsi="宋体" w:eastAsia="宋体" w:cs="宋体"/>
              <w:b/>
              <w:bCs/>
              <w:color w:val="auto"/>
              <w:kern w:val="2"/>
              <w:sz w:val="21"/>
              <w:szCs w:val="22"/>
              <w:highlight w:val="none"/>
              <w:lang w:val="zh-CN" w:eastAsia="zh-CN" w:bidi="ar-SA"/>
            </w:rPr>
            <w:instrText xml:space="preserve"> HYPERLINK \l _Toc28175 </w:instrText>
          </w:r>
          <w:r>
            <w:rPr>
              <w:rFonts w:hint="eastAsia" w:ascii="宋体" w:hAnsi="宋体" w:eastAsia="宋体" w:cs="宋体"/>
              <w:b/>
              <w:bCs/>
              <w:color w:val="auto"/>
              <w:kern w:val="2"/>
              <w:sz w:val="21"/>
              <w:szCs w:val="22"/>
              <w:highlight w:val="none"/>
              <w:lang w:val="zh-CN" w:eastAsia="zh-CN" w:bidi="ar-SA"/>
            </w:rPr>
            <w:fldChar w:fldCharType="separate"/>
          </w:r>
          <w:r>
            <w:rPr>
              <w:rFonts w:hint="eastAsia" w:ascii="宋体" w:hAnsi="宋体" w:eastAsia="宋体" w:cs="宋体"/>
              <w:b/>
              <w:bCs/>
              <w:color w:val="auto"/>
              <w:kern w:val="2"/>
              <w:sz w:val="21"/>
              <w:szCs w:val="22"/>
              <w:highlight w:val="none"/>
              <w:lang w:val="zh-CN" w:eastAsia="zh-CN" w:bidi="ar-SA"/>
            </w:rPr>
            <w:t>四、投标文件的递交</w:t>
          </w:r>
          <w:r>
            <w:rPr>
              <w:rFonts w:hint="eastAsia" w:ascii="宋体" w:hAnsi="宋体" w:eastAsia="宋体" w:cs="宋体"/>
              <w:b/>
              <w:bCs/>
              <w:color w:val="auto"/>
              <w:kern w:val="2"/>
              <w:sz w:val="21"/>
              <w:szCs w:val="22"/>
              <w:highlight w:val="none"/>
              <w:lang w:val="zh-CN" w:eastAsia="zh-CN" w:bidi="ar-SA"/>
            </w:rPr>
            <w:tab/>
          </w:r>
          <w:r>
            <w:rPr>
              <w:rFonts w:hint="eastAsia" w:ascii="宋体" w:hAnsi="宋体" w:eastAsia="宋体" w:cs="宋体"/>
              <w:b/>
              <w:bCs/>
              <w:color w:val="auto"/>
              <w:kern w:val="2"/>
              <w:sz w:val="21"/>
              <w:szCs w:val="22"/>
              <w:highlight w:val="none"/>
              <w:lang w:val="zh-CN" w:eastAsia="zh-CN" w:bidi="ar-SA"/>
            </w:rPr>
            <w:fldChar w:fldCharType="begin"/>
          </w:r>
          <w:r>
            <w:rPr>
              <w:rFonts w:hint="eastAsia" w:ascii="宋体" w:hAnsi="宋体" w:eastAsia="宋体" w:cs="宋体"/>
              <w:b/>
              <w:bCs/>
              <w:color w:val="auto"/>
              <w:kern w:val="2"/>
              <w:sz w:val="21"/>
              <w:szCs w:val="22"/>
              <w:highlight w:val="none"/>
              <w:lang w:val="zh-CN" w:eastAsia="zh-CN" w:bidi="ar-SA"/>
            </w:rPr>
            <w:instrText xml:space="preserve"> PAGEREF _Toc28175 \h </w:instrText>
          </w:r>
          <w:r>
            <w:rPr>
              <w:rFonts w:hint="eastAsia" w:ascii="宋体" w:hAnsi="宋体" w:eastAsia="宋体" w:cs="宋体"/>
              <w:b/>
              <w:bCs/>
              <w:color w:val="auto"/>
              <w:kern w:val="2"/>
              <w:sz w:val="21"/>
              <w:szCs w:val="22"/>
              <w:highlight w:val="none"/>
              <w:lang w:val="zh-CN" w:eastAsia="zh-CN" w:bidi="ar-SA"/>
            </w:rPr>
            <w:fldChar w:fldCharType="separate"/>
          </w:r>
          <w:r>
            <w:rPr>
              <w:rFonts w:hint="eastAsia" w:ascii="宋体" w:hAnsi="宋体" w:eastAsia="宋体" w:cs="宋体"/>
              <w:b/>
              <w:bCs/>
              <w:color w:val="auto"/>
              <w:kern w:val="2"/>
              <w:sz w:val="21"/>
              <w:szCs w:val="22"/>
              <w:highlight w:val="none"/>
              <w:lang w:val="zh-CN" w:eastAsia="zh-CN" w:bidi="ar-SA"/>
            </w:rPr>
            <w:t>13</w:t>
          </w:r>
          <w:r>
            <w:rPr>
              <w:rFonts w:hint="eastAsia" w:ascii="宋体" w:hAnsi="宋体" w:eastAsia="宋体" w:cs="宋体"/>
              <w:b/>
              <w:bCs/>
              <w:color w:val="auto"/>
              <w:kern w:val="2"/>
              <w:sz w:val="21"/>
              <w:szCs w:val="22"/>
              <w:highlight w:val="none"/>
              <w:lang w:val="zh-CN" w:eastAsia="zh-CN" w:bidi="ar-SA"/>
            </w:rPr>
            <w:fldChar w:fldCharType="end"/>
          </w:r>
          <w:r>
            <w:rPr>
              <w:rFonts w:hint="eastAsia" w:ascii="宋体" w:hAnsi="宋体" w:eastAsia="宋体" w:cs="宋体"/>
              <w:b/>
              <w:bCs/>
              <w:color w:val="auto"/>
              <w:kern w:val="2"/>
              <w:sz w:val="21"/>
              <w:szCs w:val="22"/>
              <w:highlight w:val="none"/>
              <w:lang w:val="zh-CN" w:eastAsia="zh-CN" w:bidi="ar-SA"/>
            </w:rPr>
            <w:fldChar w:fldCharType="end"/>
          </w:r>
        </w:p>
        <w:p w14:paraId="577EDEAA">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0301B65">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359B11">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_Toc8325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_Toc8325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CB2B233">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2796F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2"/>
              <w:highlight w:val="none"/>
              <w:lang w:val="zh-CN" w:eastAsia="zh-CN" w:bidi="ar-SA"/>
            </w:rPr>
          </w:pPr>
          <w:r>
            <w:rPr>
              <w:rFonts w:hint="eastAsia" w:ascii="宋体" w:hAnsi="宋体" w:eastAsia="宋体" w:cs="宋体"/>
              <w:b/>
              <w:bCs/>
              <w:color w:val="auto"/>
              <w:kern w:val="2"/>
              <w:sz w:val="21"/>
              <w:szCs w:val="22"/>
              <w:highlight w:val="none"/>
              <w:lang w:val="zh-CN" w:eastAsia="zh-CN" w:bidi="ar-SA"/>
            </w:rPr>
            <w:fldChar w:fldCharType="begin"/>
          </w:r>
          <w:r>
            <w:rPr>
              <w:rFonts w:hint="eastAsia" w:ascii="宋体" w:hAnsi="宋体" w:eastAsia="宋体" w:cs="宋体"/>
              <w:b/>
              <w:bCs/>
              <w:color w:val="auto"/>
              <w:kern w:val="2"/>
              <w:sz w:val="21"/>
              <w:szCs w:val="22"/>
              <w:highlight w:val="none"/>
              <w:lang w:val="zh-CN" w:eastAsia="zh-CN" w:bidi="ar-SA"/>
            </w:rPr>
            <w:instrText xml:space="preserve"> HYPERLINK \l _Toc14394 </w:instrText>
          </w:r>
          <w:r>
            <w:rPr>
              <w:rFonts w:hint="eastAsia" w:ascii="宋体" w:hAnsi="宋体" w:eastAsia="宋体" w:cs="宋体"/>
              <w:b/>
              <w:bCs/>
              <w:color w:val="auto"/>
              <w:kern w:val="2"/>
              <w:sz w:val="21"/>
              <w:szCs w:val="22"/>
              <w:highlight w:val="none"/>
              <w:lang w:val="zh-CN" w:eastAsia="zh-CN" w:bidi="ar-SA"/>
            </w:rPr>
            <w:fldChar w:fldCharType="separate"/>
          </w:r>
          <w:r>
            <w:rPr>
              <w:rFonts w:hint="eastAsia" w:ascii="宋体" w:hAnsi="宋体" w:eastAsia="宋体" w:cs="宋体"/>
              <w:b/>
              <w:bCs/>
              <w:color w:val="auto"/>
              <w:kern w:val="2"/>
              <w:sz w:val="21"/>
              <w:szCs w:val="22"/>
              <w:highlight w:val="none"/>
              <w:lang w:val="zh-CN" w:eastAsia="zh-CN" w:bidi="ar-SA"/>
            </w:rPr>
            <w:t>五、开标与评标</w:t>
          </w:r>
          <w:r>
            <w:rPr>
              <w:rFonts w:hint="eastAsia" w:ascii="宋体" w:hAnsi="宋体" w:eastAsia="宋体" w:cs="宋体"/>
              <w:b/>
              <w:bCs/>
              <w:color w:val="auto"/>
              <w:kern w:val="2"/>
              <w:sz w:val="21"/>
              <w:szCs w:val="22"/>
              <w:highlight w:val="none"/>
              <w:lang w:val="zh-CN" w:eastAsia="zh-CN" w:bidi="ar-SA"/>
            </w:rPr>
            <w:tab/>
          </w:r>
          <w:r>
            <w:rPr>
              <w:rFonts w:hint="eastAsia" w:ascii="宋体" w:hAnsi="宋体" w:eastAsia="宋体" w:cs="宋体"/>
              <w:b/>
              <w:bCs/>
              <w:color w:val="auto"/>
              <w:kern w:val="2"/>
              <w:sz w:val="21"/>
              <w:szCs w:val="22"/>
              <w:highlight w:val="none"/>
              <w:lang w:val="zh-CN" w:eastAsia="zh-CN" w:bidi="ar-SA"/>
            </w:rPr>
            <w:fldChar w:fldCharType="begin"/>
          </w:r>
          <w:r>
            <w:rPr>
              <w:rFonts w:hint="eastAsia" w:ascii="宋体" w:hAnsi="宋体" w:eastAsia="宋体" w:cs="宋体"/>
              <w:b/>
              <w:bCs/>
              <w:color w:val="auto"/>
              <w:kern w:val="2"/>
              <w:sz w:val="21"/>
              <w:szCs w:val="22"/>
              <w:highlight w:val="none"/>
              <w:lang w:val="zh-CN" w:eastAsia="zh-CN" w:bidi="ar-SA"/>
            </w:rPr>
            <w:instrText xml:space="preserve"> PAGEREF _Toc14394 \h </w:instrText>
          </w:r>
          <w:r>
            <w:rPr>
              <w:rFonts w:hint="eastAsia" w:ascii="宋体" w:hAnsi="宋体" w:eastAsia="宋体" w:cs="宋体"/>
              <w:b/>
              <w:bCs/>
              <w:color w:val="auto"/>
              <w:kern w:val="2"/>
              <w:sz w:val="21"/>
              <w:szCs w:val="22"/>
              <w:highlight w:val="none"/>
              <w:lang w:val="zh-CN" w:eastAsia="zh-CN" w:bidi="ar-SA"/>
            </w:rPr>
            <w:fldChar w:fldCharType="separate"/>
          </w:r>
          <w:r>
            <w:rPr>
              <w:rFonts w:hint="eastAsia" w:ascii="宋体" w:hAnsi="宋体" w:eastAsia="宋体" w:cs="宋体"/>
              <w:b/>
              <w:bCs/>
              <w:color w:val="auto"/>
              <w:kern w:val="2"/>
              <w:sz w:val="21"/>
              <w:szCs w:val="22"/>
              <w:highlight w:val="none"/>
              <w:lang w:val="zh-CN" w:eastAsia="zh-CN" w:bidi="ar-SA"/>
            </w:rPr>
            <w:t>14</w:t>
          </w:r>
          <w:r>
            <w:rPr>
              <w:rFonts w:hint="eastAsia" w:ascii="宋体" w:hAnsi="宋体" w:eastAsia="宋体" w:cs="宋体"/>
              <w:b/>
              <w:bCs/>
              <w:color w:val="auto"/>
              <w:kern w:val="2"/>
              <w:sz w:val="21"/>
              <w:szCs w:val="22"/>
              <w:highlight w:val="none"/>
              <w:lang w:val="zh-CN" w:eastAsia="zh-CN" w:bidi="ar-SA"/>
            </w:rPr>
            <w:fldChar w:fldCharType="end"/>
          </w:r>
          <w:r>
            <w:rPr>
              <w:rFonts w:hint="eastAsia" w:ascii="宋体" w:hAnsi="宋体" w:eastAsia="宋体" w:cs="宋体"/>
              <w:b/>
              <w:bCs/>
              <w:color w:val="auto"/>
              <w:kern w:val="2"/>
              <w:sz w:val="21"/>
              <w:szCs w:val="22"/>
              <w:highlight w:val="none"/>
              <w:lang w:val="zh-CN" w:eastAsia="zh-CN" w:bidi="ar-SA"/>
            </w:rPr>
            <w:fldChar w:fldCharType="end"/>
          </w:r>
        </w:p>
        <w:p w14:paraId="6843C43F">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_Toc16402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_Toc16402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9A5AAD">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 xml:space="preserve">23 </w:t>
          </w:r>
          <w:r>
            <w:rPr>
              <w:rFonts w:hint="eastAsia" w:ascii="宋体" w:hAnsi="宋体" w:eastAsia="宋体" w:cs="宋体"/>
              <w:color w:val="auto"/>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3D122F0">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_Toc22291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605025">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_Toc14143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B303018">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BE330DE">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44FBD87">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_Toc25696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C4579E2">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w:t>
          </w:r>
          <w:r>
            <w:rPr>
              <w:rFonts w:hint="eastAsia" w:ascii="宋体" w:hAnsi="宋体" w:eastAsia="宋体" w:cs="宋体"/>
              <w:color w:val="auto"/>
              <w:highlight w:val="none"/>
            </w:rPr>
            <w:t xml:space="preserve">9 </w:t>
          </w:r>
          <w:r>
            <w:rPr>
              <w:rFonts w:hint="eastAsia" w:ascii="宋体" w:hAnsi="宋体" w:eastAsia="宋体" w:cs="宋体"/>
              <w:color w:val="auto"/>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C22A40">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5B52296">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1E0CD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kern w:val="2"/>
              <w:sz w:val="21"/>
              <w:szCs w:val="22"/>
              <w:highlight w:val="none"/>
              <w:lang w:val="zh-CN" w:eastAsia="zh-CN" w:bidi="ar-SA"/>
            </w:rPr>
            <w:fldChar w:fldCharType="begin"/>
          </w:r>
          <w:r>
            <w:rPr>
              <w:rFonts w:hint="eastAsia" w:ascii="宋体" w:hAnsi="宋体" w:eastAsia="宋体" w:cs="宋体"/>
              <w:b/>
              <w:bCs/>
              <w:color w:val="auto"/>
              <w:kern w:val="2"/>
              <w:sz w:val="21"/>
              <w:szCs w:val="22"/>
              <w:highlight w:val="none"/>
              <w:lang w:val="zh-CN" w:eastAsia="zh-CN" w:bidi="ar-SA"/>
            </w:rPr>
            <w:instrText xml:space="preserve"> HYPERLINK \l _Toc6889 </w:instrText>
          </w:r>
          <w:r>
            <w:rPr>
              <w:rFonts w:hint="eastAsia" w:ascii="宋体" w:hAnsi="宋体" w:eastAsia="宋体" w:cs="宋体"/>
              <w:b/>
              <w:bCs/>
              <w:color w:val="auto"/>
              <w:kern w:val="2"/>
              <w:sz w:val="21"/>
              <w:szCs w:val="22"/>
              <w:highlight w:val="none"/>
              <w:lang w:val="zh-CN" w:eastAsia="zh-CN" w:bidi="ar-SA"/>
            </w:rPr>
            <w:fldChar w:fldCharType="separate"/>
          </w:r>
          <w:r>
            <w:rPr>
              <w:rFonts w:hint="eastAsia" w:ascii="宋体" w:hAnsi="宋体" w:eastAsia="宋体" w:cs="宋体"/>
              <w:b/>
              <w:bCs/>
              <w:color w:val="auto"/>
              <w:kern w:val="2"/>
              <w:sz w:val="21"/>
              <w:szCs w:val="22"/>
              <w:highlight w:val="none"/>
              <w:lang w:val="zh-CN" w:eastAsia="zh-CN" w:bidi="ar-SA"/>
            </w:rPr>
            <w:t>六、授予合同</w:t>
          </w:r>
          <w:r>
            <w:rPr>
              <w:rFonts w:hint="eastAsia" w:ascii="宋体" w:hAnsi="宋体" w:eastAsia="宋体" w:cs="宋体"/>
              <w:b/>
              <w:bCs/>
              <w:color w:val="auto"/>
              <w:kern w:val="2"/>
              <w:sz w:val="21"/>
              <w:szCs w:val="22"/>
              <w:highlight w:val="none"/>
              <w:lang w:val="zh-CN" w:eastAsia="zh-CN" w:bidi="ar-SA"/>
            </w:rPr>
            <w:tab/>
          </w:r>
          <w:r>
            <w:rPr>
              <w:rFonts w:hint="eastAsia" w:ascii="宋体" w:hAnsi="宋体" w:eastAsia="宋体" w:cs="宋体"/>
              <w:b/>
              <w:bCs/>
              <w:color w:val="auto"/>
              <w:kern w:val="2"/>
              <w:sz w:val="21"/>
              <w:szCs w:val="22"/>
              <w:highlight w:val="none"/>
              <w:lang w:val="zh-CN" w:eastAsia="zh-CN" w:bidi="ar-SA"/>
            </w:rPr>
            <w:fldChar w:fldCharType="begin"/>
          </w:r>
          <w:r>
            <w:rPr>
              <w:rFonts w:hint="eastAsia" w:ascii="宋体" w:hAnsi="宋体" w:eastAsia="宋体" w:cs="宋体"/>
              <w:b/>
              <w:bCs/>
              <w:color w:val="auto"/>
              <w:kern w:val="2"/>
              <w:sz w:val="21"/>
              <w:szCs w:val="22"/>
              <w:highlight w:val="none"/>
              <w:lang w:val="zh-CN" w:eastAsia="zh-CN" w:bidi="ar-SA"/>
            </w:rPr>
            <w:instrText xml:space="preserve"> PAGEREF _Toc6889 \h </w:instrText>
          </w:r>
          <w:r>
            <w:rPr>
              <w:rFonts w:hint="eastAsia" w:ascii="宋体" w:hAnsi="宋体" w:eastAsia="宋体" w:cs="宋体"/>
              <w:b/>
              <w:bCs/>
              <w:color w:val="auto"/>
              <w:kern w:val="2"/>
              <w:sz w:val="21"/>
              <w:szCs w:val="22"/>
              <w:highlight w:val="none"/>
              <w:lang w:val="zh-CN" w:eastAsia="zh-CN" w:bidi="ar-SA"/>
            </w:rPr>
            <w:fldChar w:fldCharType="separate"/>
          </w:r>
          <w:r>
            <w:rPr>
              <w:rFonts w:hint="eastAsia" w:ascii="宋体" w:hAnsi="宋体" w:eastAsia="宋体" w:cs="宋体"/>
              <w:b/>
              <w:bCs/>
              <w:color w:val="auto"/>
              <w:kern w:val="2"/>
              <w:sz w:val="21"/>
              <w:szCs w:val="22"/>
              <w:highlight w:val="none"/>
              <w:lang w:val="zh-CN" w:eastAsia="zh-CN" w:bidi="ar-SA"/>
            </w:rPr>
            <w:t>17</w:t>
          </w:r>
          <w:r>
            <w:rPr>
              <w:rFonts w:hint="eastAsia" w:ascii="宋体" w:hAnsi="宋体" w:eastAsia="宋体" w:cs="宋体"/>
              <w:b/>
              <w:bCs/>
              <w:color w:val="auto"/>
              <w:kern w:val="2"/>
              <w:sz w:val="21"/>
              <w:szCs w:val="22"/>
              <w:highlight w:val="none"/>
              <w:lang w:val="zh-CN" w:eastAsia="zh-CN" w:bidi="ar-SA"/>
            </w:rPr>
            <w:fldChar w:fldCharType="end"/>
          </w:r>
          <w:r>
            <w:rPr>
              <w:rFonts w:hint="eastAsia" w:ascii="宋体" w:hAnsi="宋体" w:eastAsia="宋体" w:cs="宋体"/>
              <w:b/>
              <w:bCs/>
              <w:color w:val="auto"/>
              <w:kern w:val="2"/>
              <w:sz w:val="21"/>
              <w:szCs w:val="22"/>
              <w:highlight w:val="none"/>
              <w:lang w:val="zh-CN" w:eastAsia="zh-CN" w:bidi="ar-SA"/>
            </w:rPr>
            <w:fldChar w:fldCharType="end"/>
          </w:r>
        </w:p>
        <w:p w14:paraId="36CA5B43">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_Toc16622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E00FE9">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6BBA18">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_Toc17256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_Toc17256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06A0D1">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_Toc5370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35 </w:t>
          </w:r>
          <w:r>
            <w:rPr>
              <w:rFonts w:hint="eastAsia" w:ascii="宋体" w:hAnsi="宋体" w:eastAsia="宋体" w:cs="宋体"/>
              <w:color w:val="auto"/>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EF79798">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FB088C0">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_Toc29140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E05425">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_Toc30645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64B686B">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_Toc26484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404C7A">
          <w:pPr>
            <w:pStyle w:val="27"/>
            <w:tabs>
              <w:tab w:val="right" w:leader="dot" w:pos="10154"/>
            </w:tabs>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_Toc6895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D398A8A">
          <w:pPr>
            <w:pStyle w:val="30"/>
            <w:tabs>
              <w:tab w:val="right" w:leader="dot" w:pos="10154"/>
            </w:tabs>
            <w:spacing w:line="360" w:lineRule="auto"/>
            <w:ind w:left="0" w:leftChars="0"/>
            <w:rPr>
              <w:rFonts w:hint="eastAsia" w:ascii="宋体" w:hAnsi="宋体" w:eastAsia="宋体" w:cs="宋体"/>
              <w:b/>
              <w:bCs/>
              <w:color w:val="auto"/>
              <w:kern w:val="44"/>
              <w:szCs w:val="32"/>
              <w:highlight w:val="none"/>
            </w:rPr>
          </w:pP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HYPERLINK \l _Toc27275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lang w:val="zh-CN"/>
            </w:rPr>
            <w:t>第三篇 用户需求书</w:t>
          </w:r>
          <w:r>
            <w:rPr>
              <w:rFonts w:hint="eastAsia" w:ascii="宋体" w:hAnsi="宋体" w:eastAsia="宋体" w:cs="宋体"/>
              <w:b/>
              <w:bCs/>
              <w:color w:val="auto"/>
              <w:kern w:val="44"/>
              <w:szCs w:val="32"/>
              <w:highlight w:val="none"/>
            </w:rPr>
            <w:tab/>
          </w: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PAGEREF _Toc27275 \h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rPr>
            <w:t>21</w:t>
          </w:r>
          <w:r>
            <w:rPr>
              <w:rFonts w:hint="eastAsia" w:ascii="宋体" w:hAnsi="宋体" w:eastAsia="宋体" w:cs="宋体"/>
              <w:b/>
              <w:bCs/>
              <w:color w:val="auto"/>
              <w:kern w:val="44"/>
              <w:szCs w:val="32"/>
              <w:highlight w:val="none"/>
            </w:rPr>
            <w:fldChar w:fldCharType="end"/>
          </w:r>
          <w:r>
            <w:rPr>
              <w:rFonts w:hint="eastAsia" w:ascii="宋体" w:hAnsi="宋体" w:eastAsia="宋体" w:cs="宋体"/>
              <w:b/>
              <w:bCs/>
              <w:color w:val="auto"/>
              <w:kern w:val="44"/>
              <w:szCs w:val="32"/>
              <w:highlight w:val="none"/>
            </w:rPr>
            <w:fldChar w:fldCharType="end"/>
          </w:r>
        </w:p>
        <w:p w14:paraId="732ABD66">
          <w:pPr>
            <w:pStyle w:val="30"/>
            <w:tabs>
              <w:tab w:val="right" w:leader="dot" w:pos="10154"/>
            </w:tabs>
            <w:spacing w:line="360" w:lineRule="auto"/>
            <w:ind w:left="0" w:leftChars="0"/>
            <w:rPr>
              <w:rFonts w:hint="eastAsia" w:ascii="宋体" w:hAnsi="宋体" w:eastAsia="宋体" w:cs="宋体"/>
              <w:b/>
              <w:bCs/>
              <w:color w:val="auto"/>
              <w:kern w:val="44"/>
              <w:szCs w:val="32"/>
              <w:highlight w:val="none"/>
            </w:rPr>
          </w:pP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HYPERLINK \l _Toc20825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lang w:val="zh-CN"/>
            </w:rPr>
            <w:t>第四篇 合同条款格式</w:t>
          </w:r>
          <w:r>
            <w:rPr>
              <w:rFonts w:hint="eastAsia" w:ascii="宋体" w:hAnsi="宋体" w:eastAsia="宋体" w:cs="宋体"/>
              <w:b/>
              <w:bCs/>
              <w:color w:val="auto"/>
              <w:kern w:val="44"/>
              <w:szCs w:val="32"/>
              <w:highlight w:val="none"/>
            </w:rPr>
            <w:tab/>
          </w: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PAGEREF _Toc20825 \h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rPr>
            <w:t>28</w:t>
          </w:r>
          <w:r>
            <w:rPr>
              <w:rFonts w:hint="eastAsia" w:ascii="宋体" w:hAnsi="宋体" w:eastAsia="宋体" w:cs="宋体"/>
              <w:b/>
              <w:bCs/>
              <w:color w:val="auto"/>
              <w:kern w:val="44"/>
              <w:szCs w:val="32"/>
              <w:highlight w:val="none"/>
            </w:rPr>
            <w:fldChar w:fldCharType="end"/>
          </w:r>
          <w:r>
            <w:rPr>
              <w:rFonts w:hint="eastAsia" w:ascii="宋体" w:hAnsi="宋体" w:eastAsia="宋体" w:cs="宋体"/>
              <w:b/>
              <w:bCs/>
              <w:color w:val="auto"/>
              <w:kern w:val="44"/>
              <w:szCs w:val="32"/>
              <w:highlight w:val="none"/>
            </w:rPr>
            <w:fldChar w:fldCharType="end"/>
          </w:r>
        </w:p>
        <w:p w14:paraId="45A1DA9B">
          <w:pPr>
            <w:pStyle w:val="30"/>
            <w:tabs>
              <w:tab w:val="right" w:leader="dot" w:pos="10154"/>
            </w:tabs>
            <w:spacing w:line="360" w:lineRule="auto"/>
            <w:ind w:left="0" w:leftChars="0"/>
            <w:rPr>
              <w:rFonts w:hint="eastAsia" w:ascii="宋体" w:hAnsi="宋体" w:eastAsia="宋体" w:cs="宋体"/>
              <w:b/>
              <w:bCs/>
              <w:color w:val="auto"/>
              <w:kern w:val="44"/>
              <w:szCs w:val="32"/>
              <w:highlight w:val="none"/>
            </w:rPr>
          </w:pP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HYPERLINK \l _Toc11526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lang w:val="zh-CN"/>
            </w:rPr>
            <w:t>第五篇 相关保函格式</w:t>
          </w:r>
          <w:r>
            <w:rPr>
              <w:rFonts w:hint="eastAsia" w:ascii="宋体" w:hAnsi="宋体" w:eastAsia="宋体" w:cs="宋体"/>
              <w:b/>
              <w:bCs/>
              <w:color w:val="auto"/>
              <w:kern w:val="44"/>
              <w:szCs w:val="32"/>
              <w:highlight w:val="none"/>
            </w:rPr>
            <w:tab/>
          </w: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PAGEREF _Toc11526 \h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rPr>
            <w:t>46</w:t>
          </w:r>
          <w:r>
            <w:rPr>
              <w:rFonts w:hint="eastAsia" w:ascii="宋体" w:hAnsi="宋体" w:eastAsia="宋体" w:cs="宋体"/>
              <w:b/>
              <w:bCs/>
              <w:color w:val="auto"/>
              <w:kern w:val="44"/>
              <w:szCs w:val="32"/>
              <w:highlight w:val="none"/>
            </w:rPr>
            <w:fldChar w:fldCharType="end"/>
          </w:r>
          <w:r>
            <w:rPr>
              <w:rFonts w:hint="eastAsia" w:ascii="宋体" w:hAnsi="宋体" w:eastAsia="宋体" w:cs="宋体"/>
              <w:b/>
              <w:bCs/>
              <w:color w:val="auto"/>
              <w:kern w:val="44"/>
              <w:szCs w:val="32"/>
              <w:highlight w:val="none"/>
            </w:rPr>
            <w:fldChar w:fldCharType="end"/>
          </w:r>
        </w:p>
        <w:p w14:paraId="13BC25D0">
          <w:pPr>
            <w:pStyle w:val="30"/>
            <w:tabs>
              <w:tab w:val="right" w:leader="dot" w:pos="10154"/>
            </w:tabs>
            <w:spacing w:line="360" w:lineRule="auto"/>
            <w:ind w:left="0" w:leftChars="0"/>
            <w:rPr>
              <w:rFonts w:hint="eastAsia" w:ascii="宋体" w:hAnsi="宋体" w:eastAsia="宋体" w:cs="宋体"/>
              <w:color w:val="auto"/>
              <w:highlight w:val="none"/>
            </w:rPr>
          </w:pP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HYPERLINK \l _Toc18018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lang w:val="zh-CN"/>
            </w:rPr>
            <w:t>第六篇 投标文件格式</w:t>
          </w:r>
          <w:r>
            <w:rPr>
              <w:rFonts w:hint="eastAsia" w:ascii="宋体" w:hAnsi="宋体" w:eastAsia="宋体" w:cs="宋体"/>
              <w:b/>
              <w:bCs/>
              <w:color w:val="auto"/>
              <w:kern w:val="44"/>
              <w:szCs w:val="32"/>
              <w:highlight w:val="none"/>
            </w:rPr>
            <w:tab/>
          </w:r>
          <w:r>
            <w:rPr>
              <w:rFonts w:hint="eastAsia" w:ascii="宋体" w:hAnsi="宋体" w:eastAsia="宋体" w:cs="宋体"/>
              <w:b/>
              <w:bCs/>
              <w:color w:val="auto"/>
              <w:kern w:val="44"/>
              <w:szCs w:val="32"/>
              <w:highlight w:val="none"/>
            </w:rPr>
            <w:fldChar w:fldCharType="begin"/>
          </w:r>
          <w:r>
            <w:rPr>
              <w:rFonts w:hint="eastAsia" w:ascii="宋体" w:hAnsi="宋体" w:eastAsia="宋体" w:cs="宋体"/>
              <w:b/>
              <w:bCs/>
              <w:color w:val="auto"/>
              <w:kern w:val="44"/>
              <w:szCs w:val="32"/>
              <w:highlight w:val="none"/>
            </w:rPr>
            <w:instrText xml:space="preserve"> PAGEREF _Toc18018 \h </w:instrText>
          </w:r>
          <w:r>
            <w:rPr>
              <w:rFonts w:hint="eastAsia" w:ascii="宋体" w:hAnsi="宋体" w:eastAsia="宋体" w:cs="宋体"/>
              <w:b/>
              <w:bCs/>
              <w:color w:val="auto"/>
              <w:kern w:val="44"/>
              <w:szCs w:val="32"/>
              <w:highlight w:val="none"/>
            </w:rPr>
            <w:fldChar w:fldCharType="separate"/>
          </w:r>
          <w:r>
            <w:rPr>
              <w:rFonts w:hint="eastAsia" w:ascii="宋体" w:hAnsi="宋体" w:eastAsia="宋体" w:cs="宋体"/>
              <w:b/>
              <w:bCs/>
              <w:color w:val="auto"/>
              <w:kern w:val="44"/>
              <w:szCs w:val="32"/>
              <w:highlight w:val="none"/>
            </w:rPr>
            <w:t>49</w:t>
          </w:r>
          <w:r>
            <w:rPr>
              <w:rFonts w:hint="eastAsia" w:ascii="宋体" w:hAnsi="宋体" w:eastAsia="宋体" w:cs="宋体"/>
              <w:b/>
              <w:bCs/>
              <w:color w:val="auto"/>
              <w:kern w:val="44"/>
              <w:szCs w:val="32"/>
              <w:highlight w:val="none"/>
            </w:rPr>
            <w:fldChar w:fldCharType="end"/>
          </w:r>
          <w:r>
            <w:rPr>
              <w:rFonts w:hint="eastAsia" w:ascii="宋体" w:hAnsi="宋体" w:eastAsia="宋体" w:cs="宋体"/>
              <w:b/>
              <w:bCs/>
              <w:color w:val="auto"/>
              <w:kern w:val="44"/>
              <w:szCs w:val="32"/>
              <w:highlight w:val="none"/>
            </w:rPr>
            <w:fldChar w:fldCharType="end"/>
          </w:r>
        </w:p>
        <w:p w14:paraId="1A60186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_Toc10909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附件一：评标工作大纲</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_Toc10909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89</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041FA4C3">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692BB6E6">
      <w:pPr>
        <w:pageBreakBefore/>
        <w:tabs>
          <w:tab w:val="left" w:pos="1080"/>
        </w:tabs>
        <w:autoSpaceDE w:val="0"/>
        <w:autoSpaceDN w:val="0"/>
        <w:adjustRightInd w:val="0"/>
        <w:spacing w:line="360" w:lineRule="auto"/>
        <w:ind w:left="-167" w:leftChars="-100" w:hanging="43"/>
        <w:jc w:val="center"/>
        <w:outlineLvl w:val="1"/>
        <w:rPr>
          <w:rFonts w:hint="eastAsia" w:ascii="宋体" w:hAnsi="宋体" w:eastAsia="宋体" w:cs="宋体"/>
          <w:b/>
          <w:bCs/>
          <w:color w:val="auto"/>
          <w:kern w:val="44"/>
          <w:sz w:val="32"/>
          <w:szCs w:val="32"/>
          <w:highlight w:val="none"/>
          <w:lang w:val="en-US" w:eastAsia="zh-CN"/>
        </w:rPr>
      </w:pPr>
      <w:bookmarkStart w:id="3" w:name="_Toc25722"/>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3"/>
    </w:p>
    <w:p w14:paraId="03996948">
      <w:pPr>
        <w:rPr>
          <w:rFonts w:hint="eastAsia" w:ascii="宋体" w:hAnsi="宋体" w:eastAsia="宋体" w:cs="宋体"/>
          <w:color w:val="auto"/>
          <w:highlight w:val="none"/>
        </w:rPr>
      </w:pPr>
    </w:p>
    <w:p w14:paraId="19FF751C">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广东有德招标采购有限公司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szCs w:val="21"/>
          <w:highlight w:val="none"/>
          <w:lang w:val="zh-CN"/>
        </w:rPr>
        <w:t>（以下简称“招标人”）的委托，对</w:t>
      </w:r>
      <w:bookmarkStart w:id="4" w:name="_Hlk41903390"/>
      <w:r>
        <w:rPr>
          <w:rFonts w:hint="eastAsia" w:ascii="宋体" w:hAnsi="宋体" w:eastAsia="宋体" w:cs="宋体"/>
          <w:color w:val="auto"/>
          <w:kern w:val="0"/>
          <w:szCs w:val="21"/>
          <w:highlight w:val="none"/>
          <w:lang w:eastAsia="zh-CN"/>
        </w:rPr>
        <w:t>东莞市水务集团供水有限公司2024-2025年造价咨询服务项目</w:t>
      </w:r>
      <w:r>
        <w:rPr>
          <w:rFonts w:hint="eastAsia" w:ascii="宋体" w:hAnsi="宋体" w:eastAsia="宋体" w:cs="宋体"/>
          <w:color w:val="auto"/>
          <w:szCs w:val="21"/>
          <w:highlight w:val="none"/>
          <w:lang w:val="zh-CN"/>
        </w:rPr>
        <w:t>(招标编号：YDZB24DGQY0144)</w:t>
      </w:r>
      <w:bookmarkEnd w:id="4"/>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55626A0F">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61825DB3">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w:t>
      </w:r>
      <w:r>
        <w:rPr>
          <w:rFonts w:hint="eastAsia" w:ascii="宋体" w:hAnsi="宋体" w:eastAsia="宋体" w:cs="宋体"/>
          <w:color w:val="auto"/>
          <w:szCs w:val="21"/>
          <w:highlight w:val="none"/>
          <w:lang w:val="zh-CN" w:eastAsia="en-US"/>
        </w:rPr>
        <w:t>东莞市</w:t>
      </w:r>
      <w:r>
        <w:rPr>
          <w:rFonts w:hint="eastAsia" w:ascii="宋体" w:hAnsi="宋体" w:eastAsia="宋体" w:cs="宋体"/>
          <w:color w:val="auto"/>
          <w:szCs w:val="21"/>
          <w:highlight w:val="none"/>
          <w:lang w:val="zh-CN" w:eastAsia="zh-CN"/>
        </w:rPr>
        <w:t>水务集团供水有限公司</w:t>
      </w:r>
      <w:r>
        <w:rPr>
          <w:rFonts w:hint="eastAsia" w:ascii="宋体" w:hAnsi="宋体" w:eastAsia="宋体" w:cs="宋体"/>
          <w:color w:val="auto"/>
          <w:szCs w:val="21"/>
          <w:highlight w:val="none"/>
          <w:lang w:val="zh-CN" w:eastAsia="en-US"/>
        </w:rPr>
        <w:t>根据工作需要，现通过公开招标</w:t>
      </w:r>
      <w:r>
        <w:rPr>
          <w:rFonts w:hint="eastAsia" w:ascii="宋体" w:hAnsi="宋体" w:eastAsia="宋体" w:cs="宋体"/>
          <w:color w:val="auto"/>
          <w:szCs w:val="21"/>
          <w:highlight w:val="none"/>
          <w:lang w:val="zh-CN" w:eastAsia="zh-CN"/>
        </w:rPr>
        <w:t>采购1</w:t>
      </w:r>
      <w:r>
        <w:rPr>
          <w:rFonts w:hint="eastAsia" w:ascii="宋体" w:hAnsi="宋体" w:eastAsia="宋体" w:cs="宋体"/>
          <w:color w:val="auto"/>
          <w:szCs w:val="21"/>
          <w:highlight w:val="none"/>
          <w:lang w:val="zh-CN" w:eastAsia="en-US"/>
        </w:rPr>
        <w:t>家造价咨询单位</w:t>
      </w:r>
      <w:r>
        <w:rPr>
          <w:rFonts w:hint="eastAsia" w:ascii="宋体" w:hAnsi="宋体" w:eastAsia="宋体" w:cs="宋体"/>
          <w:color w:val="auto"/>
          <w:szCs w:val="21"/>
          <w:highlight w:val="none"/>
          <w:lang w:val="zh-CN" w:eastAsia="zh-CN"/>
        </w:rPr>
        <w:t>开展</w:t>
      </w:r>
      <w:r>
        <w:rPr>
          <w:rFonts w:hint="eastAsia" w:ascii="宋体" w:hAnsi="宋体" w:eastAsia="宋体" w:cs="宋体"/>
          <w:color w:val="auto"/>
          <w:szCs w:val="21"/>
          <w:highlight w:val="none"/>
          <w:lang w:val="zh-CN" w:eastAsia="en-US"/>
        </w:rPr>
        <w:t>造价</w:t>
      </w:r>
      <w:r>
        <w:rPr>
          <w:rFonts w:hint="eastAsia" w:ascii="宋体" w:hAnsi="宋体" w:eastAsia="宋体" w:cs="宋体"/>
          <w:color w:val="auto"/>
          <w:szCs w:val="21"/>
          <w:highlight w:val="none"/>
          <w:lang w:val="zh-CN" w:eastAsia="zh-CN"/>
        </w:rPr>
        <w:t>相关</w:t>
      </w:r>
      <w:r>
        <w:rPr>
          <w:rFonts w:hint="eastAsia" w:ascii="宋体" w:hAnsi="宋体" w:eastAsia="宋体" w:cs="宋体"/>
          <w:color w:val="auto"/>
          <w:szCs w:val="21"/>
          <w:highlight w:val="none"/>
          <w:lang w:val="zh-CN" w:eastAsia="en-US"/>
        </w:rPr>
        <w:t>咨询业务，涉及的项目主要包括</w:t>
      </w:r>
      <w:r>
        <w:rPr>
          <w:rFonts w:hint="eastAsia" w:ascii="宋体" w:hAnsi="宋体" w:eastAsia="宋体" w:cs="宋体"/>
          <w:color w:val="auto"/>
          <w:szCs w:val="21"/>
          <w:highlight w:val="none"/>
          <w:lang w:val="zh-CN" w:eastAsia="zh-CN"/>
        </w:rPr>
        <w:t>供水</w:t>
      </w:r>
      <w:r>
        <w:rPr>
          <w:rFonts w:hint="eastAsia" w:ascii="宋体" w:hAnsi="宋体" w:eastAsia="宋体" w:cs="宋体"/>
          <w:color w:val="auto"/>
          <w:szCs w:val="21"/>
          <w:highlight w:val="none"/>
          <w:lang w:val="zh-CN" w:eastAsia="en-US"/>
        </w:rPr>
        <w:t>管道新建及改造、厂区修缮等。</w:t>
      </w:r>
      <w:r>
        <w:rPr>
          <w:rFonts w:hint="eastAsia" w:ascii="宋体" w:hAnsi="宋体" w:eastAsia="宋体" w:cs="宋体"/>
          <w:color w:val="auto"/>
          <w:szCs w:val="21"/>
          <w:highlight w:val="none"/>
          <w:lang w:val="zh-CN"/>
        </w:rPr>
        <w:t>（具体内容详见：第三篇用户需求书）</w:t>
      </w:r>
    </w:p>
    <w:p w14:paraId="102F3BC7">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14:paraId="239C2A3A">
      <w:pPr>
        <w:numPr>
          <w:ilvl w:val="0"/>
          <w:numId w:val="1"/>
        </w:numPr>
        <w:autoSpaceDE w:val="0"/>
        <w:autoSpaceDN w:val="0"/>
        <w:adjustRightInd w:val="0"/>
        <w:snapToGrid w:val="0"/>
        <w:spacing w:line="360" w:lineRule="auto"/>
        <w:ind w:right="-34"/>
        <w:jc w:val="left"/>
        <w:outlineLvl w:val="0"/>
        <w:rPr>
          <w:rFonts w:hint="eastAsia" w:ascii="宋体" w:hAnsi="宋体" w:eastAsia="宋体" w:cs="宋体"/>
          <w:b/>
          <w:color w:val="auto"/>
          <w:szCs w:val="21"/>
          <w:highlight w:val="none"/>
          <w:lang w:val="zh-CN"/>
        </w:rPr>
      </w:pPr>
      <w:bookmarkStart w:id="5" w:name="_Toc12723"/>
      <w:r>
        <w:rPr>
          <w:rFonts w:hint="eastAsia" w:ascii="宋体" w:hAnsi="宋体" w:eastAsia="宋体" w:cs="宋体"/>
          <w:b/>
          <w:color w:val="auto"/>
          <w:szCs w:val="21"/>
          <w:highlight w:val="none"/>
          <w:lang w:val="zh-CN"/>
        </w:rPr>
        <w:t>合格投标人资格要求：</w:t>
      </w:r>
      <w:bookmarkEnd w:id="5"/>
    </w:p>
    <w:p w14:paraId="479D0BA5">
      <w:pPr>
        <w:pStyle w:val="159"/>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0C2CF234">
      <w:pPr>
        <w:pStyle w:val="159"/>
        <w:spacing w:line="360" w:lineRule="auto"/>
        <w:ind w:left="422" w:right="-29" w:rightChars="-14" w:hanging="422" w:hangingChars="200"/>
        <w:jc w:val="both"/>
        <w:rPr>
          <w:rFonts w:hint="eastAsia" w:ascii="宋体" w:hAnsi="宋体" w:eastAsia="宋体" w:cs="宋体"/>
          <w:b/>
          <w:color w:val="auto"/>
          <w:sz w:val="21"/>
          <w:szCs w:val="21"/>
          <w:highlight w:val="none"/>
          <w:lang w:val="en-US" w:eastAsia="zh-CN"/>
        </w:rPr>
      </w:pPr>
      <w:bookmarkStart w:id="6" w:name="_Toc25819"/>
      <w:r>
        <w:rPr>
          <w:rFonts w:hint="eastAsia" w:ascii="宋体" w:hAnsi="宋体" w:eastAsia="宋体" w:cs="宋体"/>
          <w:b/>
          <w:color w:val="auto"/>
          <w:sz w:val="21"/>
          <w:szCs w:val="21"/>
          <w:highlight w:val="none"/>
          <w:lang w:val="zh-CN"/>
        </w:rPr>
        <w:t xml:space="preserve">2.2 </w:t>
      </w:r>
      <w:r>
        <w:rPr>
          <w:rFonts w:hint="eastAsia" w:ascii="宋体" w:hAnsi="宋体" w:eastAsia="宋体" w:cs="宋体"/>
          <w:b/>
          <w:bCs/>
          <w:color w:val="auto"/>
          <w:sz w:val="21"/>
          <w:szCs w:val="21"/>
          <w:highlight w:val="none"/>
          <w:lang w:val="zh-CN"/>
        </w:rPr>
        <w:t>投标人</w:t>
      </w:r>
      <w:r>
        <w:rPr>
          <w:rFonts w:hint="eastAsia" w:ascii="宋体" w:hAnsi="宋体" w:eastAsia="宋体" w:cs="宋体"/>
          <w:b/>
          <w:bCs/>
          <w:color w:val="auto"/>
          <w:sz w:val="21"/>
          <w:szCs w:val="21"/>
          <w:highlight w:val="none"/>
          <w:lang w:val="zh-CN" w:eastAsia="zh-CN"/>
        </w:rPr>
        <w:t>2021</w:t>
      </w:r>
      <w:r>
        <w:rPr>
          <w:rFonts w:hint="eastAsia" w:ascii="宋体" w:hAnsi="宋体" w:eastAsia="宋体" w:cs="宋体"/>
          <w:b/>
          <w:bCs/>
          <w:color w:val="auto"/>
          <w:sz w:val="21"/>
          <w:szCs w:val="21"/>
          <w:highlight w:val="none"/>
          <w:lang w:val="zh-CN"/>
        </w:rPr>
        <w:t>年</w:t>
      </w: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zh-CN"/>
        </w:rPr>
        <w:t>月</w:t>
      </w: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zh-CN"/>
        </w:rPr>
        <w:t>日以来具有一份造价咨询概算编审业绩和一份造价咨询预算(或招标控制价)编审业绩和一份造价咨询结算编审业绩（或同一合同内同时包括造价咨询概、预(或招标控制价)、结算编审业绩）（合同签订日期为</w:t>
      </w:r>
      <w:r>
        <w:rPr>
          <w:rFonts w:hint="eastAsia" w:ascii="宋体" w:hAnsi="宋体" w:eastAsia="宋体" w:cs="宋体"/>
          <w:b/>
          <w:bCs/>
          <w:color w:val="auto"/>
          <w:sz w:val="21"/>
          <w:szCs w:val="21"/>
          <w:highlight w:val="none"/>
          <w:lang w:val="zh-CN" w:eastAsia="zh-CN"/>
        </w:rPr>
        <w:t>2021</w:t>
      </w:r>
      <w:r>
        <w:rPr>
          <w:rFonts w:hint="eastAsia" w:ascii="宋体" w:hAnsi="宋体" w:eastAsia="宋体" w:cs="宋体"/>
          <w:b/>
          <w:bCs/>
          <w:color w:val="auto"/>
          <w:sz w:val="21"/>
          <w:szCs w:val="21"/>
          <w:highlight w:val="none"/>
          <w:lang w:val="zh-CN"/>
        </w:rPr>
        <w:t>年</w:t>
      </w: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zh-CN"/>
        </w:rPr>
        <w:t>月</w:t>
      </w: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zh-CN"/>
        </w:rPr>
        <w:t>日或以后）；</w:t>
      </w:r>
    </w:p>
    <w:p w14:paraId="1FFF9157">
      <w:pPr>
        <w:pStyle w:val="159"/>
        <w:spacing w:line="360" w:lineRule="auto"/>
        <w:ind w:right="-29" w:rightChars="-14" w:firstLine="0" w:firstLineChars="0"/>
        <w:jc w:val="both"/>
        <w:outlineLvl w:val="1"/>
        <w:rPr>
          <w:rFonts w:hint="eastAsia" w:ascii="宋体" w:hAnsi="宋体" w:eastAsia="宋体" w:cs="宋体"/>
          <w:b/>
          <w:color w:val="auto"/>
          <w:sz w:val="21"/>
          <w:szCs w:val="21"/>
          <w:highlight w:val="none"/>
          <w:lang w:val="zh-CN"/>
        </w:rPr>
      </w:pPr>
      <w:bookmarkStart w:id="7" w:name="_Toc25035"/>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本项目不接受联合体投标。</w:t>
      </w:r>
      <w:bookmarkEnd w:id="6"/>
      <w:bookmarkEnd w:id="7"/>
    </w:p>
    <w:p w14:paraId="674A3514">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6A06742E">
      <w:pPr>
        <w:pStyle w:val="177"/>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获取招标文</w:t>
      </w:r>
      <w:r>
        <w:rPr>
          <w:rFonts w:hint="eastAsia" w:ascii="宋体" w:hAnsi="宋体" w:eastAsia="宋体" w:cs="宋体"/>
          <w:color w:val="auto"/>
          <w:sz w:val="21"/>
          <w:szCs w:val="21"/>
          <w:highlight w:val="none"/>
        </w:rPr>
        <w:t>件</w:t>
      </w:r>
      <w:r>
        <w:rPr>
          <w:rFonts w:hint="eastAsia" w:ascii="宋体" w:hAnsi="宋体" w:eastAsia="宋体" w:cs="宋体"/>
          <w:color w:val="auto"/>
          <w:szCs w:val="21"/>
          <w:highlight w:val="none"/>
          <w:lang w:val="zh-CN"/>
        </w:rPr>
        <w:t>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r>
        <w:rPr>
          <w:rFonts w:hint="eastAsia" w:ascii="宋体" w:hAnsi="宋体" w:eastAsia="宋体" w:cs="宋体"/>
          <w:color w:val="auto"/>
          <w:sz w:val="21"/>
          <w:szCs w:val="21"/>
          <w:highlight w:val="none"/>
          <w:lang w:eastAsia="zh-CN"/>
        </w:rPr>
        <w:t>。</w:t>
      </w:r>
    </w:p>
    <w:p w14:paraId="7721A44D">
      <w:pPr>
        <w:autoSpaceDE w:val="0"/>
        <w:autoSpaceDN w:val="0"/>
        <w:adjustRightInd w:val="0"/>
        <w:spacing w:line="360" w:lineRule="auto"/>
        <w:ind w:left="630" w:leftChars="100" w:right="-29" w:rightChars="-14" w:hanging="420" w:hangingChars="200"/>
        <w:rPr>
          <w:rFonts w:hint="eastAsia" w:ascii="宋体" w:hAnsi="宋体" w:eastAsia="宋体" w:cs="宋体"/>
          <w:color w:val="auto"/>
          <w:szCs w:val="21"/>
          <w:highlight w:val="none"/>
          <w:lang w:val="zh-CN"/>
        </w:rPr>
      </w:pPr>
    </w:p>
    <w:p w14:paraId="6B14A5C9">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40F27EE6">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14:paraId="4806A110">
      <w:pPr>
        <w:numPr>
          <w:ilvl w:val="0"/>
          <w:numId w:val="1"/>
        </w:numPr>
        <w:autoSpaceDE w:val="0"/>
        <w:autoSpaceDN w:val="0"/>
        <w:adjustRightInd w:val="0"/>
        <w:snapToGrid w:val="0"/>
        <w:spacing w:line="360" w:lineRule="auto"/>
        <w:ind w:right="-34"/>
        <w:jc w:val="left"/>
        <w:outlineLvl w:val="0"/>
        <w:rPr>
          <w:rFonts w:hint="eastAsia" w:ascii="宋体" w:hAnsi="宋体" w:eastAsia="宋体" w:cs="宋体"/>
          <w:color w:val="auto"/>
          <w:szCs w:val="21"/>
          <w:highlight w:val="none"/>
          <w:lang w:val="zh-CN"/>
        </w:rPr>
      </w:pPr>
      <w:bookmarkStart w:id="8" w:name="_Toc8040"/>
      <w:r>
        <w:rPr>
          <w:rFonts w:hint="eastAsia" w:ascii="宋体" w:hAnsi="宋体" w:eastAsia="宋体" w:cs="宋体"/>
          <w:color w:val="auto"/>
          <w:szCs w:val="21"/>
          <w:highlight w:val="none"/>
          <w:lang w:val="zh-CN"/>
        </w:rPr>
        <w:t>投标、开标时间及地点：</w:t>
      </w:r>
      <w:bookmarkEnd w:id="8"/>
    </w:p>
    <w:p w14:paraId="119CD0AE">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10</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17</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13</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en-US" w:eastAsia="zh-CN"/>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kern w:val="0"/>
          <w:szCs w:val="21"/>
          <w:highlight w:val="none"/>
        </w:rPr>
        <w:t>；</w:t>
      </w:r>
      <w:bookmarkStart w:id="840" w:name="_GoBack"/>
      <w:bookmarkEnd w:id="840"/>
    </w:p>
    <w:p w14:paraId="3D6B8EBE">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10</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17</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kern w:val="0"/>
          <w:szCs w:val="21"/>
          <w:highlight w:val="none"/>
        </w:rPr>
        <w:t>；</w:t>
      </w:r>
    </w:p>
    <w:p w14:paraId="6A20BC52">
      <w:pPr>
        <w:autoSpaceDE w:val="0"/>
        <w:autoSpaceDN w:val="0"/>
        <w:adjustRightInd w:val="0"/>
        <w:spacing w:line="360" w:lineRule="auto"/>
        <w:ind w:right="-29" w:rightChars="-14"/>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w:t>
      </w:r>
      <w:r>
        <w:rPr>
          <w:rFonts w:hint="eastAsia" w:ascii="宋体" w:hAnsi="宋体" w:eastAsia="宋体" w:cs="宋体"/>
          <w:color w:val="auto"/>
          <w:kern w:val="0"/>
          <w:szCs w:val="21"/>
          <w:highlight w:val="none"/>
          <w:u w:val="single"/>
        </w:rPr>
        <w:t>东莞市东城街道新源路海德琥珀台6栋1703</w:t>
      </w:r>
      <w:r>
        <w:rPr>
          <w:rFonts w:hint="eastAsia" w:ascii="宋体" w:hAnsi="宋体" w:eastAsia="宋体" w:cs="宋体"/>
          <w:color w:val="auto"/>
          <w:kern w:val="0"/>
          <w:szCs w:val="21"/>
          <w:highlight w:val="none"/>
          <w:u w:val="single"/>
          <w:lang w:val="en-US" w:eastAsia="zh-CN"/>
        </w:rPr>
        <w:t>室</w:t>
      </w:r>
      <w:r>
        <w:rPr>
          <w:rFonts w:hint="eastAsia" w:ascii="宋体" w:hAnsi="宋体" w:eastAsia="宋体" w:cs="宋体"/>
          <w:color w:val="auto"/>
          <w:kern w:val="0"/>
          <w:szCs w:val="21"/>
          <w:highlight w:val="none"/>
        </w:rPr>
        <w:t>。</w:t>
      </w:r>
    </w:p>
    <w:p w14:paraId="40F2D276">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14:paraId="10175F81">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7F9A2E9F">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14:paraId="00D47A1C">
      <w:pPr>
        <w:numPr>
          <w:ilvl w:val="0"/>
          <w:numId w:val="1"/>
        </w:numPr>
        <w:autoSpaceDE w:val="0"/>
        <w:autoSpaceDN w:val="0"/>
        <w:adjustRightInd w:val="0"/>
        <w:snapToGrid w:val="0"/>
        <w:spacing w:line="360" w:lineRule="auto"/>
        <w:ind w:right="-34"/>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t>
      </w:r>
      <w:r>
        <w:rPr>
          <w:rFonts w:hint="eastAsia" w:ascii="宋体" w:hAnsi="宋体" w:eastAsia="宋体" w:cs="宋体"/>
          <w:color w:val="auto"/>
          <w:szCs w:val="21"/>
          <w:highlight w:val="none"/>
          <w:lang w:val="zh-CN"/>
        </w:rPr>
        <w:t>www.youde.net</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val="zh-CN"/>
        </w:rPr>
        <w:t>。</w:t>
      </w:r>
    </w:p>
    <w:p w14:paraId="1D65F80E">
      <w:pPr>
        <w:numPr>
          <w:ilvl w:val="0"/>
          <w:numId w:val="0"/>
        </w:numPr>
        <w:autoSpaceDE w:val="0"/>
        <w:autoSpaceDN w:val="0"/>
        <w:adjustRightInd w:val="0"/>
        <w:snapToGrid w:val="0"/>
        <w:spacing w:line="360" w:lineRule="auto"/>
        <w:ind w:leftChars="0" w:right="-34" w:rightChars="0"/>
        <w:jc w:val="left"/>
        <w:rPr>
          <w:rFonts w:hint="eastAsia" w:ascii="宋体" w:hAnsi="宋体" w:eastAsia="宋体" w:cs="宋体"/>
          <w:bCs/>
          <w:color w:val="auto"/>
          <w:szCs w:val="21"/>
          <w:highlight w:val="none"/>
        </w:rPr>
      </w:pPr>
    </w:p>
    <w:p w14:paraId="7460EA34">
      <w:pPr>
        <w:numPr>
          <w:ilvl w:val="0"/>
          <w:numId w:val="1"/>
        </w:numPr>
        <w:autoSpaceDE w:val="0"/>
        <w:autoSpaceDN w:val="0"/>
        <w:adjustRightInd w:val="0"/>
        <w:snapToGrid w:val="0"/>
        <w:spacing w:line="360" w:lineRule="auto"/>
        <w:ind w:right="-34"/>
        <w:jc w:val="left"/>
        <w:outlineLvl w:val="0"/>
        <w:rPr>
          <w:rFonts w:hint="eastAsia" w:ascii="宋体" w:hAnsi="宋体" w:eastAsia="宋体" w:cs="宋体"/>
          <w:color w:val="auto"/>
          <w:szCs w:val="21"/>
          <w:highlight w:val="none"/>
        </w:rPr>
      </w:pPr>
      <w:bookmarkStart w:id="9" w:name="_Toc32081"/>
      <w:r>
        <w:rPr>
          <w:rFonts w:hint="eastAsia" w:ascii="宋体" w:hAnsi="宋体" w:eastAsia="宋体" w:cs="宋体"/>
          <w:bCs/>
          <w:color w:val="auto"/>
          <w:szCs w:val="21"/>
          <w:highlight w:val="none"/>
          <w:lang w:val="zh-CN"/>
        </w:rPr>
        <w:t>招标人联系方式</w:t>
      </w:r>
      <w:bookmarkEnd w:id="9"/>
    </w:p>
    <w:p w14:paraId="4C743FE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lang w:eastAsia="zh-CN"/>
        </w:rPr>
        <w:t>东莞市水务集团供水有限公司</w:t>
      </w:r>
    </w:p>
    <w:p w14:paraId="5A786C4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址：东莞市莞城区莞龙路141号</w:t>
      </w:r>
    </w:p>
    <w:p w14:paraId="5CCEBFC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联系人：谢沛东</w:t>
      </w:r>
    </w:p>
    <w:p w14:paraId="33E9EFA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话：0769-22689080</w:t>
      </w:r>
    </w:p>
    <w:p w14:paraId="7B4657B9">
      <w:pPr>
        <w:autoSpaceDE w:val="0"/>
        <w:autoSpaceDN w:val="0"/>
        <w:adjustRightInd w:val="0"/>
        <w:spacing w:line="360" w:lineRule="auto"/>
        <w:ind w:right="-29" w:rightChars="-14" w:firstLine="420"/>
        <w:rPr>
          <w:rFonts w:hint="eastAsia" w:ascii="宋体" w:hAnsi="宋体" w:eastAsia="宋体" w:cs="宋体"/>
          <w:color w:val="auto"/>
          <w:kern w:val="0"/>
          <w:szCs w:val="21"/>
          <w:highlight w:val="none"/>
        </w:rPr>
      </w:pPr>
    </w:p>
    <w:p w14:paraId="309FE78C">
      <w:pPr>
        <w:numPr>
          <w:ilvl w:val="0"/>
          <w:numId w:val="1"/>
        </w:numPr>
        <w:autoSpaceDE w:val="0"/>
        <w:autoSpaceDN w:val="0"/>
        <w:adjustRightInd w:val="0"/>
        <w:snapToGrid w:val="0"/>
        <w:spacing w:line="360" w:lineRule="auto"/>
        <w:ind w:right="-34"/>
        <w:jc w:val="left"/>
        <w:outlineLvl w:val="0"/>
        <w:rPr>
          <w:rFonts w:hint="eastAsia" w:ascii="宋体" w:hAnsi="宋体" w:eastAsia="宋体" w:cs="宋体"/>
          <w:color w:val="auto"/>
          <w:szCs w:val="21"/>
          <w:highlight w:val="none"/>
        </w:rPr>
      </w:pPr>
      <w:bookmarkStart w:id="10" w:name="_Toc24070"/>
      <w:r>
        <w:rPr>
          <w:rFonts w:hint="eastAsia" w:ascii="宋体" w:hAnsi="宋体" w:eastAsia="宋体" w:cs="宋体"/>
          <w:color w:val="auto"/>
          <w:szCs w:val="21"/>
          <w:highlight w:val="none"/>
        </w:rPr>
        <w:t>招标代理机构联系方式</w:t>
      </w:r>
      <w:bookmarkEnd w:id="10"/>
    </w:p>
    <w:p w14:paraId="147A719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1" w:name="_Toc31764_WPSOffice_Level1"/>
      <w:bookmarkStart w:id="12" w:name="_Toc486167661"/>
      <w:bookmarkStart w:id="13" w:name="_Toc450662847"/>
      <w:r>
        <w:rPr>
          <w:rFonts w:hint="eastAsia" w:ascii="宋体" w:hAnsi="宋体" w:eastAsia="宋体" w:cs="宋体"/>
          <w:color w:val="auto"/>
          <w:kern w:val="0"/>
          <w:szCs w:val="21"/>
          <w:highlight w:val="none"/>
        </w:rPr>
        <w:t>招标代理机构：广东有德招标采购有限公司</w:t>
      </w:r>
    </w:p>
    <w:p w14:paraId="0B61D7D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址：东莞市东城街道新源路海德琥珀台6栋1703室</w:t>
      </w:r>
    </w:p>
    <w:p w14:paraId="1755A8B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521FE46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rPr>
        <w:t>0769-23362836</w:t>
      </w:r>
      <w:r>
        <w:rPr>
          <w:rFonts w:hint="eastAsia" w:ascii="宋体" w:hAnsi="宋体" w:eastAsia="宋体" w:cs="宋体"/>
          <w:color w:val="auto"/>
          <w:szCs w:val="21"/>
          <w:highlight w:val="none"/>
          <w:lang w:val="en-US" w:eastAsia="zh-CN"/>
        </w:rPr>
        <w:t>-8019</w:t>
      </w:r>
    </w:p>
    <w:p w14:paraId="00CAE7F4">
      <w:pPr>
        <w:pageBreakBefore/>
        <w:tabs>
          <w:tab w:val="left" w:pos="1080"/>
        </w:tabs>
        <w:autoSpaceDE w:val="0"/>
        <w:autoSpaceDN w:val="0"/>
        <w:adjustRightInd w:val="0"/>
        <w:spacing w:line="360" w:lineRule="auto"/>
        <w:ind w:left="-167" w:leftChars="-100" w:hanging="43"/>
        <w:jc w:val="center"/>
        <w:outlineLvl w:val="1"/>
        <w:rPr>
          <w:rFonts w:hint="eastAsia" w:ascii="宋体" w:hAnsi="宋体" w:eastAsia="宋体" w:cs="宋体"/>
          <w:b/>
          <w:bCs/>
          <w:color w:val="auto"/>
          <w:kern w:val="44"/>
          <w:sz w:val="32"/>
          <w:szCs w:val="32"/>
          <w:highlight w:val="none"/>
        </w:rPr>
      </w:pPr>
      <w:bookmarkStart w:id="14" w:name="_Toc142508311"/>
      <w:bookmarkStart w:id="15" w:name="_Toc20614"/>
      <w:bookmarkStart w:id="16" w:name="_Toc31498"/>
      <w:bookmarkStart w:id="17" w:name="_Toc15111"/>
      <w:bookmarkStart w:id="18" w:name="_Toc18212"/>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1"/>
      <w:bookmarkEnd w:id="12"/>
      <w:bookmarkEnd w:id="13"/>
      <w:bookmarkEnd w:id="14"/>
      <w:bookmarkEnd w:id="15"/>
      <w:bookmarkEnd w:id="16"/>
      <w:bookmarkEnd w:id="17"/>
      <w:bookmarkEnd w:id="18"/>
    </w:p>
    <w:p w14:paraId="378A3E7B">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19" w:name="_Toc142508312"/>
      <w:bookmarkStart w:id="20" w:name="_Toc450662848"/>
      <w:bookmarkStart w:id="21" w:name="_Toc486167662"/>
      <w:bookmarkStart w:id="22" w:name="_Toc11520"/>
      <w:bookmarkStart w:id="23" w:name="_Toc15366_WPSOffice_Level2"/>
      <w:bookmarkStart w:id="24" w:name="_Toc24479"/>
      <w:bookmarkStart w:id="25" w:name="_Toc140596871"/>
      <w:bookmarkStart w:id="26" w:name="_Toc9555"/>
      <w:bookmarkStart w:id="27" w:name="_Toc28505"/>
      <w:r>
        <w:rPr>
          <w:rFonts w:hint="eastAsia" w:ascii="宋体" w:hAnsi="宋体" w:eastAsia="宋体" w:cs="宋体"/>
          <w:b/>
          <w:bCs/>
          <w:color w:val="auto"/>
          <w:kern w:val="44"/>
          <w:szCs w:val="21"/>
          <w:highlight w:val="none"/>
          <w:lang w:val="zh-CN"/>
        </w:rPr>
        <w:t>一、总则</w:t>
      </w:r>
      <w:bookmarkEnd w:id="19"/>
      <w:bookmarkEnd w:id="20"/>
      <w:bookmarkEnd w:id="21"/>
      <w:bookmarkEnd w:id="22"/>
      <w:bookmarkEnd w:id="23"/>
      <w:bookmarkEnd w:id="24"/>
      <w:bookmarkEnd w:id="25"/>
      <w:bookmarkEnd w:id="26"/>
      <w:bookmarkEnd w:id="27"/>
    </w:p>
    <w:p w14:paraId="44492016">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8" w:name="_Toc486167663"/>
      <w:bookmarkStart w:id="29" w:name="_Toc23333"/>
      <w:bookmarkStart w:id="30" w:name="_Toc9608"/>
      <w:bookmarkStart w:id="31" w:name="_Toc16303"/>
      <w:bookmarkStart w:id="32" w:name="_Toc450662849"/>
      <w:bookmarkStart w:id="33" w:name="_Toc142508313"/>
      <w:bookmarkStart w:id="34" w:name="_Toc21710_WPSOffice_Level3"/>
      <w:bookmarkStart w:id="35" w:name="_Toc21339"/>
      <w:r>
        <w:rPr>
          <w:rFonts w:hint="eastAsia" w:ascii="宋体" w:hAnsi="宋体" w:eastAsia="宋体" w:cs="宋体"/>
          <w:color w:val="auto"/>
          <w:szCs w:val="21"/>
          <w:highlight w:val="none"/>
          <w:lang w:val="zh-CN"/>
        </w:rPr>
        <w:t>1 资金来源：企业自筹资金。</w:t>
      </w:r>
      <w:bookmarkEnd w:id="28"/>
      <w:bookmarkEnd w:id="29"/>
      <w:bookmarkEnd w:id="30"/>
      <w:bookmarkEnd w:id="31"/>
      <w:bookmarkEnd w:id="32"/>
      <w:bookmarkEnd w:id="33"/>
      <w:bookmarkEnd w:id="34"/>
      <w:bookmarkEnd w:id="35"/>
    </w:p>
    <w:p w14:paraId="55D254EA">
      <w:pPr>
        <w:autoSpaceDE w:val="0"/>
        <w:autoSpaceDN w:val="0"/>
        <w:adjustRightInd w:val="0"/>
        <w:jc w:val="left"/>
        <w:rPr>
          <w:rFonts w:hint="eastAsia" w:ascii="宋体" w:hAnsi="宋体" w:eastAsia="宋体" w:cs="宋体"/>
          <w:color w:val="auto"/>
          <w:kern w:val="0"/>
          <w:sz w:val="24"/>
          <w:szCs w:val="24"/>
          <w:highlight w:val="none"/>
        </w:rPr>
      </w:pPr>
    </w:p>
    <w:p w14:paraId="4ECFB183">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36" w:name="_Toc32244"/>
      <w:bookmarkStart w:id="37" w:name="_Toc18557"/>
      <w:bookmarkStart w:id="38" w:name="_Toc15256"/>
      <w:bookmarkStart w:id="39" w:name="_Toc450662850"/>
      <w:bookmarkStart w:id="40" w:name="_Toc486167664"/>
      <w:bookmarkStart w:id="41" w:name="_Toc28698"/>
      <w:bookmarkStart w:id="42" w:name="_Toc80_WPSOffice_Level3"/>
      <w:bookmarkStart w:id="43" w:name="_Toc142508314"/>
      <w:r>
        <w:rPr>
          <w:rFonts w:hint="eastAsia" w:ascii="宋体" w:hAnsi="宋体" w:eastAsia="宋体" w:cs="宋体"/>
          <w:b/>
          <w:color w:val="auto"/>
          <w:szCs w:val="21"/>
          <w:highlight w:val="none"/>
          <w:lang w:val="zh-CN"/>
        </w:rPr>
        <w:t>2 合格的投标人</w:t>
      </w:r>
      <w:bookmarkEnd w:id="36"/>
      <w:bookmarkEnd w:id="37"/>
      <w:bookmarkEnd w:id="38"/>
      <w:bookmarkEnd w:id="39"/>
      <w:bookmarkEnd w:id="40"/>
      <w:bookmarkEnd w:id="41"/>
      <w:bookmarkEnd w:id="42"/>
      <w:bookmarkEnd w:id="43"/>
    </w:p>
    <w:p w14:paraId="59374701">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w:t>
      </w:r>
      <w:r>
        <w:rPr>
          <w:rFonts w:hint="eastAsia" w:ascii="宋体" w:hAnsi="宋体" w:eastAsia="宋体" w:cs="宋体"/>
          <w:b/>
          <w:color w:val="auto"/>
          <w:kern w:val="0"/>
          <w:szCs w:val="21"/>
          <w:highlight w:val="none"/>
          <w:lang w:val="zh-CN"/>
        </w:rPr>
        <w:t>.2款至</w:t>
      </w:r>
      <w:r>
        <w:rPr>
          <w:rFonts w:hint="eastAsia" w:ascii="宋体" w:hAnsi="宋体" w:eastAsia="宋体" w:cs="宋体"/>
          <w:b/>
          <w:color w:val="auto"/>
          <w:kern w:val="0"/>
          <w:szCs w:val="21"/>
          <w:highlight w:val="none"/>
          <w:lang w:val="en-US" w:eastAsia="zh-CN"/>
        </w:rPr>
        <w:t>2.5</w:t>
      </w:r>
      <w:r>
        <w:rPr>
          <w:rFonts w:hint="eastAsia" w:ascii="宋体" w:hAnsi="宋体" w:eastAsia="宋体" w:cs="宋体"/>
          <w:b/>
          <w:color w:val="auto"/>
          <w:kern w:val="0"/>
          <w:szCs w:val="21"/>
          <w:highlight w:val="none"/>
          <w:lang w:val="zh-CN"/>
        </w:rPr>
        <w:t>款的</w:t>
      </w:r>
      <w:r>
        <w:rPr>
          <w:rFonts w:hint="eastAsia" w:ascii="宋体" w:hAnsi="宋体" w:eastAsia="宋体" w:cs="宋体"/>
          <w:b/>
          <w:color w:val="auto"/>
          <w:szCs w:val="21"/>
          <w:highlight w:val="none"/>
          <w:lang w:val="zh-CN"/>
        </w:rPr>
        <w:t>通用要求。</w:t>
      </w:r>
    </w:p>
    <w:p w14:paraId="2AC2E082">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04F91363">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1BEB2850">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 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45D36FE">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DF38EBC">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14:paraId="08C693F1">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en-US" w:eastAsia="zh-CN"/>
        </w:rPr>
      </w:pPr>
      <w:bookmarkStart w:id="44" w:name="_Toc142508315"/>
      <w:bookmarkStart w:id="45" w:name="_Toc23847_WPSOffice_Level3"/>
      <w:bookmarkStart w:id="46" w:name="_Toc19774"/>
      <w:bookmarkStart w:id="47" w:name="_Toc16100"/>
      <w:bookmarkStart w:id="48" w:name="_Toc11689"/>
      <w:bookmarkStart w:id="49" w:name="_Toc1287"/>
      <w:bookmarkStart w:id="50" w:name="_Toc486167665"/>
      <w:bookmarkStart w:id="51" w:name="_Toc450662851"/>
      <w:r>
        <w:rPr>
          <w:rFonts w:hint="eastAsia" w:ascii="宋体" w:hAnsi="宋体" w:eastAsia="宋体" w:cs="宋体"/>
          <w:b/>
          <w:color w:val="auto"/>
          <w:szCs w:val="21"/>
          <w:highlight w:val="none"/>
          <w:lang w:val="zh-CN"/>
        </w:rPr>
        <w:t>3 合格的</w:t>
      </w:r>
      <w:bookmarkEnd w:id="44"/>
      <w:bookmarkEnd w:id="45"/>
      <w:r>
        <w:rPr>
          <w:rFonts w:hint="eastAsia" w:ascii="宋体" w:hAnsi="宋体" w:eastAsia="宋体" w:cs="宋体"/>
          <w:b/>
          <w:color w:val="auto"/>
          <w:szCs w:val="21"/>
          <w:highlight w:val="none"/>
          <w:lang w:val="en-US" w:eastAsia="zh-CN"/>
        </w:rPr>
        <w:t>服务</w:t>
      </w:r>
      <w:bookmarkEnd w:id="46"/>
      <w:bookmarkEnd w:id="47"/>
      <w:bookmarkEnd w:id="48"/>
      <w:bookmarkEnd w:id="49"/>
    </w:p>
    <w:p w14:paraId="66E9BC35">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14:paraId="0C2408BF">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2" w:name="_Toc1977663"/>
      <w:bookmarkStart w:id="53" w:name="_Toc533708063"/>
      <w:r>
        <w:rPr>
          <w:rFonts w:hint="eastAsia" w:ascii="宋体" w:hAnsi="宋体" w:eastAsia="宋体" w:cs="宋体"/>
          <w:color w:val="auto"/>
          <w:szCs w:val="21"/>
          <w:highlight w:val="none"/>
          <w:lang w:val="zh-CN"/>
        </w:rPr>
        <w:t xml:space="preserve">3.2  </w:t>
      </w:r>
      <w:bookmarkEnd w:id="52"/>
      <w:bookmarkEnd w:id="53"/>
      <w:bookmarkStart w:id="54" w:name="_Toc533708065"/>
      <w:bookmarkStart w:id="55" w:name="_Toc19776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54"/>
      <w:bookmarkEnd w:id="55"/>
    </w:p>
    <w:p w14:paraId="12EF8B4C">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6" w:name="_Toc1977666"/>
      <w:bookmarkStart w:id="57"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6"/>
      <w:bookmarkEnd w:id="57"/>
      <w:bookmarkStart w:id="58" w:name="_Toc533708067"/>
      <w:bookmarkStart w:id="59" w:name="_Toc19776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8"/>
      <w:bookmarkEnd w:id="59"/>
    </w:p>
    <w:p w14:paraId="29F40A6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60" w:name="_Toc1977668"/>
      <w:bookmarkStart w:id="61"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0"/>
      <w:bookmarkEnd w:id="61"/>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5671B765">
      <w:pPr>
        <w:autoSpaceDE w:val="0"/>
        <w:autoSpaceDN w:val="0"/>
        <w:adjustRightInd w:val="0"/>
        <w:spacing w:line="360" w:lineRule="auto"/>
        <w:jc w:val="left"/>
        <w:rPr>
          <w:rFonts w:hint="eastAsia" w:ascii="宋体" w:hAnsi="宋体" w:eastAsia="宋体" w:cs="宋体"/>
          <w:color w:val="auto"/>
          <w:szCs w:val="21"/>
          <w:highlight w:val="none"/>
          <w:lang w:val="zh-CN"/>
        </w:rPr>
      </w:pPr>
    </w:p>
    <w:p w14:paraId="1D36CF81">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62" w:name="_Toc11533"/>
      <w:bookmarkStart w:id="63" w:name="_Toc3404"/>
      <w:bookmarkStart w:id="64" w:name="_Toc9753"/>
      <w:bookmarkStart w:id="65" w:name="_Toc142508316"/>
      <w:bookmarkStart w:id="66" w:name="_Toc9658_WPSOffice_Level3"/>
      <w:bookmarkStart w:id="67" w:name="_Toc9589"/>
      <w:r>
        <w:rPr>
          <w:rFonts w:hint="eastAsia" w:ascii="宋体" w:hAnsi="宋体" w:eastAsia="宋体" w:cs="宋体"/>
          <w:color w:val="auto"/>
          <w:szCs w:val="21"/>
          <w:highlight w:val="none"/>
          <w:lang w:val="zh-CN"/>
        </w:rPr>
        <w:t>4 其它说明</w:t>
      </w:r>
      <w:bookmarkEnd w:id="62"/>
      <w:bookmarkEnd w:id="63"/>
      <w:bookmarkEnd w:id="64"/>
      <w:bookmarkEnd w:id="65"/>
      <w:bookmarkEnd w:id="66"/>
      <w:bookmarkEnd w:id="67"/>
    </w:p>
    <w:p w14:paraId="0D10C9EA">
      <w:pPr>
        <w:autoSpaceDE w:val="0"/>
        <w:autoSpaceDN w:val="0"/>
        <w:adjustRightInd w:val="0"/>
        <w:spacing w:line="360" w:lineRule="auto"/>
        <w:ind w:left="315" w:leftChars="-100" w:hanging="525" w:hangingChars="250"/>
        <w:outlineLvl w:val="1"/>
        <w:rPr>
          <w:rFonts w:hint="eastAsia" w:ascii="宋体" w:hAnsi="宋体" w:eastAsia="宋体" w:cs="宋体"/>
          <w:color w:val="auto"/>
          <w:szCs w:val="21"/>
          <w:highlight w:val="none"/>
          <w:lang w:val="zh-CN"/>
        </w:rPr>
      </w:pPr>
      <w:bookmarkStart w:id="68" w:name="_Toc1130"/>
      <w:bookmarkStart w:id="69" w:name="_Toc1977670"/>
      <w:bookmarkStart w:id="70" w:name="_Toc533708070"/>
      <w:r>
        <w:rPr>
          <w:rFonts w:hint="eastAsia" w:ascii="宋体" w:hAnsi="宋体" w:eastAsia="宋体" w:cs="宋体"/>
          <w:color w:val="auto"/>
          <w:szCs w:val="21"/>
          <w:highlight w:val="none"/>
          <w:lang w:val="zh-CN"/>
        </w:rPr>
        <w:t>4.1  投标费用</w:t>
      </w:r>
      <w:bookmarkEnd w:id="68"/>
      <w:bookmarkEnd w:id="69"/>
      <w:bookmarkEnd w:id="70"/>
    </w:p>
    <w:p w14:paraId="696060C3">
      <w:pPr>
        <w:autoSpaceDE w:val="0"/>
        <w:autoSpaceDN w:val="0"/>
        <w:adjustRightInd w:val="0"/>
        <w:spacing w:line="360" w:lineRule="auto"/>
        <w:ind w:left="210" w:leftChars="100" w:firstLine="420" w:firstLineChars="200"/>
        <w:rPr>
          <w:rFonts w:hint="eastAsia" w:ascii="宋体" w:hAnsi="宋体" w:eastAsia="宋体" w:cs="宋体"/>
          <w:color w:val="auto"/>
          <w:szCs w:val="21"/>
          <w:highlight w:val="none"/>
          <w:lang w:val="zh-CN"/>
        </w:rPr>
      </w:pPr>
      <w:bookmarkStart w:id="71" w:name="_Toc533708072"/>
      <w:bookmarkStart w:id="72"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71"/>
      <w:bookmarkEnd w:id="72"/>
    </w:p>
    <w:p w14:paraId="2B654F5B">
      <w:pPr>
        <w:autoSpaceDE w:val="0"/>
        <w:autoSpaceDN w:val="0"/>
        <w:adjustRightInd w:val="0"/>
        <w:spacing w:line="360" w:lineRule="auto"/>
        <w:ind w:left="315" w:leftChars="-100" w:hanging="525" w:hangingChars="250"/>
        <w:outlineLvl w:val="1"/>
        <w:rPr>
          <w:rFonts w:hint="eastAsia" w:ascii="宋体" w:hAnsi="宋体" w:eastAsia="宋体" w:cs="宋体"/>
          <w:color w:val="auto"/>
          <w:szCs w:val="21"/>
          <w:highlight w:val="none"/>
          <w:lang w:val="zh-CN"/>
        </w:rPr>
      </w:pPr>
      <w:bookmarkStart w:id="73" w:name="_Toc533708073"/>
      <w:bookmarkStart w:id="74" w:name="_Toc17278"/>
      <w:bookmarkStart w:id="75" w:name="_Toc1977673"/>
      <w:r>
        <w:rPr>
          <w:rFonts w:hint="eastAsia" w:ascii="宋体" w:hAnsi="宋体" w:eastAsia="宋体" w:cs="宋体"/>
          <w:color w:val="auto"/>
          <w:szCs w:val="21"/>
          <w:highlight w:val="none"/>
          <w:lang w:val="zh-CN"/>
        </w:rPr>
        <w:t>4.2  踏勘现场</w:t>
      </w:r>
      <w:bookmarkEnd w:id="73"/>
      <w:bookmarkEnd w:id="74"/>
      <w:bookmarkEnd w:id="75"/>
    </w:p>
    <w:p w14:paraId="59809F13">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bookmarkStart w:id="76" w:name="_Toc1977676"/>
      <w:bookmarkStart w:id="77" w:name="_Toc533708076"/>
      <w:r>
        <w:rPr>
          <w:rFonts w:hint="eastAsia" w:ascii="宋体" w:hAnsi="宋体" w:eastAsia="宋体" w:cs="宋体"/>
          <w:color w:val="auto"/>
          <w:kern w:val="0"/>
          <w:szCs w:val="21"/>
          <w:highlight w:val="none"/>
        </w:rPr>
        <w:t>（1）本项目不组织集中踏勘现场和答疑，投标人应自行到实地踏勘考察。</w:t>
      </w:r>
    </w:p>
    <w:p w14:paraId="1D28CDAA">
      <w:pPr>
        <w:autoSpaceDE w:val="0"/>
        <w:autoSpaceDN w:val="0"/>
        <w:adjustRightInd w:val="0"/>
        <w:spacing w:line="360" w:lineRule="auto"/>
        <w:ind w:left="300" w:leftChars="-59" w:hanging="424" w:hangingChars="202"/>
        <w:jc w:val="left"/>
        <w:outlineLvl w:val="2"/>
        <w:rPr>
          <w:rFonts w:hint="eastAsia" w:ascii="宋体" w:hAnsi="宋体" w:eastAsia="宋体" w:cs="宋体"/>
          <w:color w:val="auto"/>
          <w:kern w:val="0"/>
          <w:szCs w:val="21"/>
          <w:highlight w:val="none"/>
        </w:rPr>
      </w:pPr>
      <w:bookmarkStart w:id="78" w:name="_Toc23644"/>
      <w:r>
        <w:rPr>
          <w:rFonts w:hint="eastAsia" w:ascii="宋体" w:hAnsi="宋体" w:eastAsia="宋体" w:cs="宋体"/>
          <w:color w:val="auto"/>
          <w:kern w:val="0"/>
          <w:szCs w:val="21"/>
          <w:highlight w:val="none"/>
        </w:rPr>
        <w:t>（2）潜在投标人应承担踏勘现场自身所发生的费用。</w:t>
      </w:r>
      <w:bookmarkEnd w:id="78"/>
    </w:p>
    <w:p w14:paraId="15BEC845">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1B9FB665">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83CAEDF">
      <w:pPr>
        <w:autoSpaceDE w:val="0"/>
        <w:autoSpaceDN w:val="0"/>
        <w:adjustRightInd w:val="0"/>
        <w:spacing w:line="360" w:lineRule="auto"/>
        <w:ind w:left="315" w:leftChars="-100" w:hanging="525" w:hangingChars="250"/>
        <w:outlineLvl w:val="1"/>
        <w:rPr>
          <w:rFonts w:hint="eastAsia" w:ascii="宋体" w:hAnsi="宋体" w:eastAsia="宋体" w:cs="宋体"/>
          <w:color w:val="auto"/>
          <w:szCs w:val="21"/>
          <w:highlight w:val="none"/>
          <w:lang w:val="zh-CN"/>
        </w:rPr>
      </w:pPr>
      <w:bookmarkStart w:id="79" w:name="_Toc4514"/>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0"/>
      <w:bookmarkEnd w:id="51"/>
      <w:bookmarkEnd w:id="76"/>
      <w:bookmarkEnd w:id="77"/>
      <w:bookmarkEnd w:id="79"/>
    </w:p>
    <w:p w14:paraId="3143453A">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50F78B31">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4748D1E5">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0A70C67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64F2661E">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570B84D8">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4048F5A0">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14:paraId="4B08DABD">
      <w:pPr>
        <w:keepNext/>
        <w:keepLines/>
        <w:autoSpaceDE w:val="0"/>
        <w:autoSpaceDN w:val="0"/>
        <w:adjustRightInd w:val="0"/>
        <w:spacing w:line="360" w:lineRule="auto"/>
        <w:jc w:val="left"/>
        <w:outlineLvl w:val="2"/>
        <w:rPr>
          <w:rFonts w:hint="eastAsia" w:ascii="宋体" w:hAnsi="宋体" w:eastAsia="宋体" w:cs="宋体"/>
          <w:b/>
          <w:bCs/>
          <w:color w:val="auto"/>
          <w:kern w:val="44"/>
          <w:szCs w:val="21"/>
          <w:highlight w:val="none"/>
          <w:lang w:val="zh-CN"/>
        </w:rPr>
      </w:pPr>
      <w:bookmarkStart w:id="80" w:name="_Toc142508317"/>
      <w:bookmarkStart w:id="81" w:name="_Toc1565"/>
      <w:bookmarkStart w:id="82" w:name="_Toc23213"/>
      <w:bookmarkStart w:id="83" w:name="_Toc450662853"/>
      <w:bookmarkStart w:id="84" w:name="_Toc486167667"/>
      <w:bookmarkStart w:id="85" w:name="_Toc30507_WPSOffice_Level2"/>
      <w:bookmarkStart w:id="86" w:name="_Toc11169"/>
      <w:bookmarkStart w:id="87" w:name="_Toc140596876"/>
      <w:bookmarkStart w:id="88" w:name="_Toc5395"/>
      <w:r>
        <w:rPr>
          <w:rFonts w:hint="eastAsia" w:ascii="宋体" w:hAnsi="宋体" w:eastAsia="宋体" w:cs="宋体"/>
          <w:b/>
          <w:bCs/>
          <w:color w:val="auto"/>
          <w:kern w:val="44"/>
          <w:szCs w:val="21"/>
          <w:highlight w:val="none"/>
          <w:lang w:val="zh-CN"/>
        </w:rPr>
        <w:t>二、招标文件</w:t>
      </w:r>
      <w:bookmarkEnd w:id="80"/>
      <w:bookmarkEnd w:id="81"/>
      <w:bookmarkEnd w:id="82"/>
      <w:bookmarkEnd w:id="83"/>
      <w:bookmarkEnd w:id="84"/>
      <w:bookmarkEnd w:id="85"/>
      <w:bookmarkEnd w:id="86"/>
      <w:bookmarkEnd w:id="87"/>
      <w:bookmarkEnd w:id="88"/>
    </w:p>
    <w:p w14:paraId="53A13D6A">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89" w:name="_Toc450662854"/>
      <w:bookmarkStart w:id="90" w:name="_Toc28893"/>
      <w:bookmarkStart w:id="91" w:name="_Toc17376"/>
      <w:bookmarkStart w:id="92" w:name="_Toc3978"/>
      <w:bookmarkStart w:id="93" w:name="_Toc26635_WPSOffice_Level3"/>
      <w:bookmarkStart w:id="94" w:name="_Toc486167668"/>
      <w:bookmarkStart w:id="95" w:name="_Toc142508318"/>
      <w:bookmarkStart w:id="96" w:name="_Toc2406"/>
      <w:r>
        <w:rPr>
          <w:rFonts w:hint="eastAsia" w:ascii="宋体" w:hAnsi="宋体" w:eastAsia="宋体" w:cs="宋体"/>
          <w:color w:val="auto"/>
          <w:szCs w:val="21"/>
          <w:highlight w:val="none"/>
          <w:lang w:val="zh-CN"/>
        </w:rPr>
        <w:t>5 招标文件的构成</w:t>
      </w:r>
      <w:bookmarkEnd w:id="89"/>
      <w:bookmarkEnd w:id="90"/>
      <w:bookmarkEnd w:id="91"/>
      <w:bookmarkEnd w:id="92"/>
      <w:bookmarkEnd w:id="93"/>
      <w:bookmarkEnd w:id="94"/>
      <w:bookmarkEnd w:id="95"/>
      <w:bookmarkEnd w:id="96"/>
    </w:p>
    <w:p w14:paraId="3A778C11">
      <w:pPr>
        <w:tabs>
          <w:tab w:val="left" w:pos="567"/>
        </w:tabs>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bookmarkStart w:id="97" w:name="_Toc19805"/>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bookmarkEnd w:id="97"/>
    </w:p>
    <w:p w14:paraId="4D22473E">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781545AA">
      <w:pPr>
        <w:tabs>
          <w:tab w:val="left" w:pos="1890"/>
        </w:tabs>
        <w:autoSpaceDE w:val="0"/>
        <w:autoSpaceDN w:val="0"/>
        <w:adjustRightInd w:val="0"/>
        <w:spacing w:line="360" w:lineRule="auto"/>
        <w:ind w:firstLine="424" w:firstLineChars="202"/>
        <w:outlineLvl w:val="2"/>
        <w:rPr>
          <w:rFonts w:hint="eastAsia" w:ascii="宋体" w:hAnsi="宋体" w:eastAsia="宋体" w:cs="宋体"/>
          <w:color w:val="auto"/>
          <w:szCs w:val="21"/>
          <w:highlight w:val="none"/>
          <w:lang w:val="zh-CN"/>
        </w:rPr>
      </w:pPr>
      <w:bookmarkStart w:id="98" w:name="_Toc27496"/>
      <w:r>
        <w:rPr>
          <w:rFonts w:hint="eastAsia" w:ascii="宋体" w:hAnsi="宋体" w:eastAsia="宋体" w:cs="宋体"/>
          <w:color w:val="auto"/>
          <w:szCs w:val="21"/>
          <w:highlight w:val="none"/>
          <w:lang w:val="zh-CN"/>
        </w:rPr>
        <w:t>第二篇 投标人须知</w:t>
      </w:r>
      <w:bookmarkEnd w:id="98"/>
    </w:p>
    <w:p w14:paraId="679E34B0">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20DA0009">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2BE85090">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723C1AD3">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16DFC170">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7F77BE2C">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4B991A37">
      <w:pPr>
        <w:autoSpaceDE w:val="0"/>
        <w:autoSpaceDN w:val="0"/>
        <w:adjustRightInd w:val="0"/>
        <w:spacing w:line="360" w:lineRule="auto"/>
        <w:ind w:left="356" w:leftChars="-99" w:hanging="564" w:hangingChars="269"/>
        <w:outlineLvl w:val="1"/>
        <w:rPr>
          <w:rFonts w:hint="eastAsia" w:ascii="宋体" w:hAnsi="宋体" w:eastAsia="宋体" w:cs="宋体"/>
          <w:b/>
          <w:bCs/>
          <w:color w:val="auto"/>
          <w:szCs w:val="21"/>
          <w:highlight w:val="none"/>
          <w:u w:val="single"/>
        </w:rPr>
      </w:pPr>
      <w:bookmarkStart w:id="99" w:name="_Toc3638"/>
      <w:r>
        <w:rPr>
          <w:rFonts w:hint="eastAsia" w:ascii="宋体" w:hAnsi="宋体" w:eastAsia="宋体" w:cs="宋体"/>
          <w:color w:val="auto"/>
          <w:szCs w:val="21"/>
          <w:highlight w:val="none"/>
          <w:lang w:val="zh-CN"/>
        </w:rPr>
        <w:t>5.3  本招标文件使用的词语有如下定义：</w:t>
      </w:r>
      <w:bookmarkEnd w:id="99"/>
    </w:p>
    <w:p w14:paraId="0D707F8A">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6764352A">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w:t>
      </w:r>
      <w:r>
        <w:rPr>
          <w:rFonts w:hint="eastAsia" w:ascii="宋体" w:hAnsi="宋体" w:eastAsia="宋体" w:cs="宋体"/>
          <w:color w:val="auto"/>
          <w:kern w:val="0"/>
          <w:szCs w:val="21"/>
          <w:highlight w:val="none"/>
          <w:lang w:eastAsia="zh-CN"/>
        </w:rPr>
        <w:t>广东有德招标采购有限公司</w:t>
      </w:r>
      <w:r>
        <w:rPr>
          <w:rFonts w:hint="eastAsia" w:ascii="宋体" w:hAnsi="宋体" w:eastAsia="宋体" w:cs="宋体"/>
          <w:color w:val="auto"/>
          <w:kern w:val="0"/>
          <w:szCs w:val="21"/>
          <w:highlight w:val="none"/>
        </w:rPr>
        <w:t>；</w:t>
      </w:r>
    </w:p>
    <w:p w14:paraId="5D72D98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w:t>
      </w:r>
      <w:r>
        <w:rPr>
          <w:rFonts w:hint="eastAsia" w:ascii="宋体" w:hAnsi="宋体" w:eastAsia="宋体" w:cs="宋体"/>
          <w:color w:val="auto"/>
          <w:kern w:val="0"/>
          <w:szCs w:val="21"/>
          <w:highlight w:val="none"/>
          <w:lang w:eastAsia="zh-CN"/>
        </w:rPr>
        <w:t>东莞市水务集团供水有限公司2024-2025年造价咨询服务项目</w:t>
      </w:r>
      <w:r>
        <w:rPr>
          <w:rFonts w:hint="eastAsia" w:ascii="宋体" w:hAnsi="宋体" w:eastAsia="宋体" w:cs="宋体"/>
          <w:color w:val="auto"/>
          <w:kern w:val="0"/>
          <w:szCs w:val="21"/>
          <w:highlight w:val="none"/>
        </w:rPr>
        <w:t>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2D0882B0">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573CD8A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051B527D">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1D7728D2">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00AD8C9B">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（8）“招标文件”指由招标代理机构发出的本招标文件，包括全部章节和附件；</w:t>
      </w:r>
    </w:p>
    <w:p w14:paraId="3810158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6610AC48">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2C3DDB3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31F81000">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5220E92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74AAAE40">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3E719991">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14:paraId="32AFC83E">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00" w:name="_Toc142508319"/>
      <w:bookmarkStart w:id="101" w:name="_Toc1433"/>
      <w:bookmarkStart w:id="102" w:name="_Toc450662855"/>
      <w:bookmarkStart w:id="103" w:name="_Toc29125_WPSOffice_Level3"/>
      <w:bookmarkStart w:id="104" w:name="_Toc27053"/>
      <w:bookmarkStart w:id="105" w:name="_Toc11346"/>
      <w:bookmarkStart w:id="106" w:name="_Toc3727"/>
      <w:bookmarkStart w:id="107" w:name="_Toc486167669"/>
      <w:r>
        <w:rPr>
          <w:rFonts w:hint="eastAsia" w:ascii="宋体" w:hAnsi="宋体" w:eastAsia="宋体" w:cs="宋体"/>
          <w:color w:val="auto"/>
          <w:szCs w:val="21"/>
          <w:highlight w:val="none"/>
          <w:lang w:val="zh-CN"/>
        </w:rPr>
        <w:t>6 招标文件的异议</w:t>
      </w:r>
      <w:bookmarkEnd w:id="100"/>
      <w:bookmarkEnd w:id="101"/>
      <w:bookmarkEnd w:id="102"/>
      <w:bookmarkEnd w:id="103"/>
      <w:bookmarkEnd w:id="104"/>
      <w:bookmarkEnd w:id="105"/>
      <w:bookmarkEnd w:id="106"/>
      <w:bookmarkEnd w:id="107"/>
    </w:p>
    <w:p w14:paraId="601794E8">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58D2D399">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14:paraId="5629F81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08" w:name="_Toc17145"/>
      <w:bookmarkStart w:id="109" w:name="_Toc29864"/>
      <w:bookmarkStart w:id="110" w:name="_Toc486167670"/>
      <w:bookmarkStart w:id="111" w:name="_Toc450662856"/>
      <w:bookmarkStart w:id="112" w:name="_Toc7055"/>
      <w:bookmarkStart w:id="113" w:name="_Toc39"/>
      <w:bookmarkStart w:id="114" w:name="_Toc142508320"/>
      <w:bookmarkStart w:id="115" w:name="_Toc23483_WPSOffice_Level3"/>
      <w:r>
        <w:rPr>
          <w:rFonts w:hint="eastAsia" w:ascii="宋体" w:hAnsi="宋体" w:eastAsia="宋体" w:cs="宋体"/>
          <w:color w:val="auto"/>
          <w:szCs w:val="21"/>
          <w:highlight w:val="none"/>
          <w:lang w:val="zh-CN"/>
        </w:rPr>
        <w:t>7 招标文件的澄清及修改</w:t>
      </w:r>
      <w:bookmarkEnd w:id="108"/>
      <w:bookmarkEnd w:id="109"/>
      <w:bookmarkEnd w:id="110"/>
      <w:bookmarkEnd w:id="111"/>
      <w:bookmarkEnd w:id="112"/>
      <w:bookmarkEnd w:id="113"/>
      <w:bookmarkEnd w:id="114"/>
      <w:bookmarkEnd w:id="115"/>
    </w:p>
    <w:p w14:paraId="7EA34E8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1CDBAA3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5D0F786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3"/>
          <w:rFonts w:hint="eastAsia" w:ascii="宋体" w:hAnsi="宋体" w:eastAsia="宋体" w:cs="宋体"/>
          <w:color w:val="auto"/>
          <w:sz w:val="21"/>
          <w:szCs w:val="21"/>
          <w:highlight w:val="none"/>
        </w:rPr>
        <w:t>www.dgswjt.cn）</w:t>
      </w:r>
      <w:r>
        <w:rPr>
          <w:rStyle w:val="43"/>
          <w:rFonts w:hint="eastAsia" w:ascii="宋体" w:hAnsi="宋体" w:eastAsia="宋体" w:cs="宋体"/>
          <w:color w:val="auto"/>
          <w:sz w:val="21"/>
          <w:szCs w:val="21"/>
          <w:highlight w:val="none"/>
          <w:lang w:val="zh-CN"/>
        </w:rPr>
        <w:t>、</w:t>
      </w:r>
      <w:r>
        <w:rPr>
          <w:rStyle w:val="43"/>
          <w:rFonts w:hint="eastAsia" w:ascii="宋体" w:hAnsi="宋体" w:eastAsia="宋体" w:cs="宋体"/>
          <w:bCs/>
          <w:color w:val="auto"/>
          <w:kern w:val="0"/>
          <w:sz w:val="21"/>
          <w:szCs w:val="21"/>
          <w:highlight w:val="none"/>
        </w:rPr>
        <w:t>招标代理</w:t>
      </w:r>
      <w:r>
        <w:rPr>
          <w:rStyle w:val="43"/>
          <w:rFonts w:hint="eastAsia" w:ascii="宋体" w:hAnsi="宋体" w:eastAsia="宋体" w:cs="宋体"/>
          <w:bCs/>
          <w:color w:val="auto"/>
          <w:kern w:val="0"/>
          <w:sz w:val="21"/>
          <w:szCs w:val="21"/>
          <w:highlight w:val="none"/>
          <w:lang w:val="en-US" w:eastAsia="zh-CN"/>
        </w:rPr>
        <w:t>机构</w:t>
      </w:r>
      <w:r>
        <w:rPr>
          <w:rStyle w:val="43"/>
          <w:rFonts w:hint="eastAsia" w:ascii="宋体" w:hAnsi="宋体" w:eastAsia="宋体" w:cs="宋体"/>
          <w:bCs/>
          <w:color w:val="auto"/>
          <w:kern w:val="0"/>
          <w:sz w:val="21"/>
          <w:szCs w:val="21"/>
          <w:highlight w:val="none"/>
        </w:rPr>
        <w:t>网站（</w:t>
      </w:r>
      <w:r>
        <w:rPr>
          <w:rStyle w:val="43"/>
          <w:rFonts w:hint="eastAsia" w:ascii="宋体" w:hAnsi="宋体" w:eastAsia="宋体" w:cs="宋体"/>
          <w:bCs/>
          <w:color w:val="auto"/>
          <w:kern w:val="0"/>
          <w:sz w:val="21"/>
          <w:szCs w:val="21"/>
          <w:highlight w:val="none"/>
          <w:u w:val="none"/>
        </w:rPr>
        <w:t>www.youde.net</w:t>
      </w:r>
      <w:r>
        <w:rPr>
          <w:rStyle w:val="43"/>
          <w:rFonts w:hint="eastAsia" w:ascii="宋体" w:hAnsi="宋体" w:eastAsia="宋体" w:cs="宋体"/>
          <w:bCs/>
          <w:color w:val="auto"/>
          <w:kern w:val="0"/>
          <w:sz w:val="21"/>
          <w:szCs w:val="21"/>
          <w:highlight w:val="none"/>
        </w:rPr>
        <w:t>）</w:t>
      </w:r>
      <w:r>
        <w:rPr>
          <w:rStyle w:val="43"/>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1DC39312">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5EBCBAC9">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116" w:name="_Toc8711"/>
      <w:bookmarkStart w:id="117" w:name="_Toc18759"/>
      <w:bookmarkStart w:id="118" w:name="_Toc486167671"/>
      <w:bookmarkStart w:id="119" w:name="_Toc27196"/>
      <w:bookmarkStart w:id="120" w:name="_Toc450662857"/>
      <w:bookmarkStart w:id="121" w:name="_Toc142508321"/>
      <w:bookmarkStart w:id="122" w:name="_Toc29659_WPSOffice_Level2"/>
      <w:bookmarkStart w:id="123" w:name="_Toc140596880"/>
      <w:bookmarkStart w:id="124" w:name="_Toc23342"/>
      <w:r>
        <w:rPr>
          <w:rFonts w:hint="eastAsia" w:ascii="宋体" w:hAnsi="宋体" w:eastAsia="宋体" w:cs="宋体"/>
          <w:b/>
          <w:bCs/>
          <w:color w:val="auto"/>
          <w:kern w:val="44"/>
          <w:szCs w:val="21"/>
          <w:highlight w:val="none"/>
          <w:lang w:val="zh-CN"/>
        </w:rPr>
        <w:t>三、投标文件的编制</w:t>
      </w:r>
      <w:bookmarkEnd w:id="116"/>
      <w:bookmarkEnd w:id="117"/>
      <w:bookmarkEnd w:id="118"/>
      <w:bookmarkEnd w:id="119"/>
      <w:bookmarkEnd w:id="120"/>
      <w:bookmarkEnd w:id="121"/>
      <w:bookmarkEnd w:id="122"/>
      <w:bookmarkEnd w:id="123"/>
      <w:bookmarkEnd w:id="124"/>
    </w:p>
    <w:p w14:paraId="4B2C2425">
      <w:pPr>
        <w:tabs>
          <w:tab w:val="left" w:pos="67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25" w:name="_Toc1399"/>
      <w:bookmarkStart w:id="126" w:name="_Toc486167672"/>
      <w:bookmarkStart w:id="127" w:name="_Toc3827"/>
      <w:bookmarkStart w:id="128" w:name="_Toc450662858"/>
      <w:bookmarkStart w:id="129" w:name="_Toc10015_WPSOffice_Level3"/>
      <w:bookmarkStart w:id="130" w:name="_Toc31162"/>
      <w:bookmarkStart w:id="131" w:name="_Toc142508322"/>
      <w:bookmarkStart w:id="132" w:name="_Toc6244"/>
      <w:r>
        <w:rPr>
          <w:rFonts w:hint="eastAsia" w:ascii="宋体" w:hAnsi="宋体" w:eastAsia="宋体" w:cs="宋体"/>
          <w:color w:val="auto"/>
          <w:szCs w:val="21"/>
          <w:highlight w:val="none"/>
          <w:lang w:val="zh-CN"/>
        </w:rPr>
        <w:t>8 投标使用的文字及度量衡单位</w:t>
      </w:r>
      <w:bookmarkEnd w:id="125"/>
      <w:bookmarkEnd w:id="126"/>
      <w:bookmarkEnd w:id="127"/>
      <w:bookmarkEnd w:id="128"/>
      <w:bookmarkEnd w:id="129"/>
      <w:bookmarkEnd w:id="130"/>
      <w:bookmarkEnd w:id="131"/>
      <w:bookmarkEnd w:id="132"/>
    </w:p>
    <w:p w14:paraId="76629F0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42AEEA39">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4D6BC552">
      <w:pPr>
        <w:autoSpaceDE w:val="0"/>
        <w:autoSpaceDN w:val="0"/>
        <w:adjustRightInd w:val="0"/>
        <w:spacing w:line="360" w:lineRule="auto"/>
        <w:rPr>
          <w:rFonts w:hint="eastAsia" w:ascii="宋体" w:hAnsi="宋体" w:eastAsia="宋体" w:cs="宋体"/>
          <w:color w:val="auto"/>
          <w:szCs w:val="21"/>
          <w:highlight w:val="none"/>
          <w:lang w:val="zh-CN"/>
        </w:rPr>
      </w:pPr>
    </w:p>
    <w:p w14:paraId="40699F62">
      <w:pPr>
        <w:tabs>
          <w:tab w:val="left" w:pos="540"/>
        </w:tabs>
        <w:autoSpaceDE w:val="0"/>
        <w:autoSpaceDN w:val="0"/>
        <w:adjustRightInd w:val="0"/>
        <w:spacing w:line="360" w:lineRule="auto"/>
        <w:ind w:left="357" w:leftChars="-100" w:hanging="567"/>
        <w:jc w:val="left"/>
        <w:outlineLvl w:val="0"/>
        <w:rPr>
          <w:rFonts w:hint="eastAsia" w:ascii="宋体" w:hAnsi="宋体" w:eastAsia="宋体" w:cs="宋体"/>
          <w:color w:val="auto"/>
          <w:sz w:val="24"/>
          <w:szCs w:val="24"/>
          <w:highlight w:val="none"/>
          <w:lang w:val="zh-CN"/>
        </w:rPr>
      </w:pPr>
      <w:bookmarkStart w:id="133" w:name="_Toc486167673"/>
      <w:bookmarkStart w:id="134" w:name="_Toc450662859"/>
      <w:bookmarkStart w:id="135" w:name="_Toc14943"/>
      <w:bookmarkStart w:id="136" w:name="_Toc4749"/>
      <w:bookmarkStart w:id="137" w:name="_Toc24916_WPSOffice_Level3"/>
      <w:bookmarkStart w:id="138" w:name="_Toc26462"/>
      <w:bookmarkStart w:id="139" w:name="_Toc142508323"/>
      <w:bookmarkStart w:id="140" w:name="_Toc7348"/>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33"/>
      <w:bookmarkEnd w:id="134"/>
      <w:bookmarkEnd w:id="135"/>
      <w:bookmarkEnd w:id="136"/>
      <w:bookmarkEnd w:id="137"/>
      <w:bookmarkEnd w:id="138"/>
      <w:bookmarkEnd w:id="139"/>
      <w:bookmarkEnd w:id="140"/>
    </w:p>
    <w:p w14:paraId="448CFC78">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2FC1F8D1">
      <w:pPr>
        <w:autoSpaceDE w:val="0"/>
        <w:autoSpaceDN w:val="0"/>
        <w:adjustRightInd w:val="0"/>
        <w:spacing w:line="360" w:lineRule="auto"/>
        <w:ind w:left="422" w:leftChars="-100" w:hanging="632" w:hangingChars="300"/>
        <w:outlineLvl w:val="1"/>
        <w:rPr>
          <w:rFonts w:hint="eastAsia" w:ascii="宋体" w:hAnsi="宋体" w:eastAsia="宋体" w:cs="宋体"/>
          <w:b/>
          <w:color w:val="auto"/>
          <w:kern w:val="0"/>
          <w:szCs w:val="21"/>
          <w:highlight w:val="none"/>
        </w:rPr>
      </w:pPr>
      <w:bookmarkStart w:id="141" w:name="_Toc12616"/>
      <w:r>
        <w:rPr>
          <w:rFonts w:hint="eastAsia" w:ascii="宋体" w:hAnsi="宋体" w:eastAsia="宋体" w:cs="宋体"/>
          <w:b/>
          <w:color w:val="auto"/>
          <w:kern w:val="0"/>
          <w:szCs w:val="24"/>
          <w:highlight w:val="none"/>
        </w:rPr>
        <w:t>9.1.1 商务文件：</w:t>
      </w:r>
      <w:bookmarkEnd w:id="141"/>
    </w:p>
    <w:p w14:paraId="20B2B8C0">
      <w:pPr>
        <w:autoSpaceDE w:val="0"/>
        <w:autoSpaceDN w:val="0"/>
        <w:adjustRightIn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4EA0699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03DAF9FA">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49C3324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6C223F5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085EF3C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0B7580A4">
      <w:pPr>
        <w:autoSpaceDE w:val="0"/>
        <w:autoSpaceDN w:val="0"/>
        <w:adjustRightInd w:val="0"/>
        <w:spacing w:line="360" w:lineRule="auto"/>
        <w:ind w:left="283" w:hanging="283" w:hangingChars="135"/>
        <w:outlineLvl w:val="2"/>
        <w:rPr>
          <w:rFonts w:hint="eastAsia" w:ascii="宋体" w:hAnsi="宋体" w:eastAsia="宋体" w:cs="宋体"/>
          <w:color w:val="auto"/>
          <w:szCs w:val="21"/>
          <w:highlight w:val="none"/>
          <w:lang w:val="zh-CN"/>
        </w:rPr>
      </w:pPr>
      <w:bookmarkStart w:id="142" w:name="_Toc8782"/>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bookmarkEnd w:id="142"/>
    </w:p>
    <w:p w14:paraId="48087A83">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p>
    <w:p w14:paraId="638AB2F9">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7117D7A9">
      <w:pPr>
        <w:tabs>
          <w:tab w:val="left" w:pos="1276"/>
        </w:tabs>
        <w:spacing w:line="360" w:lineRule="auto"/>
        <w:ind w:left="283" w:hanging="283" w:hangingChars="135"/>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资格业绩【投标</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lang w:val="zh-CN" w:eastAsia="zh-CN"/>
        </w:rPr>
        <w:t>2021年1月1日以来具有</w:t>
      </w:r>
      <w:r>
        <w:rPr>
          <w:rFonts w:hint="eastAsia" w:ascii="宋体" w:hAnsi="宋体" w:eastAsia="宋体" w:cs="宋体"/>
          <w:b/>
          <w:bCs/>
          <w:color w:val="auto"/>
          <w:sz w:val="21"/>
          <w:szCs w:val="21"/>
          <w:highlight w:val="none"/>
          <w:lang w:val="zh-CN"/>
        </w:rPr>
        <w:t>一份造价咨询概算编审业绩和一份造价咨询预算(或招标控制价)编审业绩和一份造价咨询结算编审业绩（或同一合同内同时包括造价咨询概、预(或招标控制价)、结算编审业绩）（合同签订日期为</w:t>
      </w:r>
      <w:r>
        <w:rPr>
          <w:rFonts w:hint="eastAsia" w:ascii="宋体" w:hAnsi="宋体" w:eastAsia="宋体" w:cs="宋体"/>
          <w:b/>
          <w:bCs/>
          <w:color w:val="auto"/>
          <w:sz w:val="21"/>
          <w:szCs w:val="21"/>
          <w:highlight w:val="none"/>
          <w:lang w:val="zh-CN" w:eastAsia="zh-CN"/>
        </w:rPr>
        <w:t>2021</w:t>
      </w:r>
      <w:r>
        <w:rPr>
          <w:rFonts w:hint="eastAsia" w:ascii="宋体" w:hAnsi="宋体" w:eastAsia="宋体" w:cs="宋体"/>
          <w:b/>
          <w:bCs/>
          <w:color w:val="auto"/>
          <w:sz w:val="21"/>
          <w:szCs w:val="21"/>
          <w:highlight w:val="none"/>
          <w:lang w:val="zh-CN"/>
        </w:rPr>
        <w:t>年</w:t>
      </w: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zh-CN"/>
        </w:rPr>
        <w:t>月</w:t>
      </w: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zh-CN"/>
        </w:rPr>
        <w:t>日或以后）</w:t>
      </w:r>
      <w:r>
        <w:rPr>
          <w:rFonts w:hint="eastAsia" w:ascii="宋体" w:hAnsi="宋体" w:eastAsia="宋体" w:cs="宋体"/>
          <w:b/>
          <w:bCs/>
          <w:color w:val="auto"/>
          <w:szCs w:val="21"/>
          <w:highlight w:val="none"/>
        </w:rPr>
        <w:t>，资格业绩证明材料提交要求详见招标文件第六篇投标文件格式</w:t>
      </w:r>
      <w:r>
        <w:rPr>
          <w:rFonts w:hint="eastAsia" w:ascii="宋体" w:hAnsi="宋体" w:eastAsia="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.4</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0C71AEC4">
      <w:pPr>
        <w:autoSpaceDE w:val="0"/>
        <w:autoSpaceDN w:val="0"/>
        <w:adjustRightInd w:val="0"/>
        <w:spacing w:line="360" w:lineRule="auto"/>
        <w:ind w:left="913" w:hanging="913" w:hangingChars="435"/>
        <w:outlineLvl w:val="2"/>
        <w:rPr>
          <w:rFonts w:hint="eastAsia" w:ascii="宋体" w:hAnsi="宋体" w:eastAsia="宋体" w:cs="宋体"/>
          <w:color w:val="auto"/>
          <w:szCs w:val="21"/>
          <w:highlight w:val="none"/>
          <w:lang w:val="zh-CN"/>
        </w:rPr>
      </w:pPr>
      <w:bookmarkStart w:id="143" w:name="_Toc18955"/>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43"/>
    </w:p>
    <w:p w14:paraId="07E37F7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53A97220">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044F4BDC">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6F85045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3DB9C5A5">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01C6A33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）承诺书；</w:t>
      </w:r>
    </w:p>
    <w:p w14:paraId="2E0A0E15">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3A69A819">
      <w:pPr>
        <w:autoSpaceDE w:val="0"/>
        <w:autoSpaceDN w:val="0"/>
        <w:adjustRightInd w:val="0"/>
        <w:spacing w:line="360" w:lineRule="auto"/>
        <w:ind w:left="422" w:leftChars="-100" w:hanging="632" w:hangingChars="300"/>
        <w:outlineLvl w:val="1"/>
        <w:rPr>
          <w:rFonts w:hint="eastAsia" w:ascii="宋体" w:hAnsi="宋体" w:eastAsia="宋体" w:cs="宋体"/>
          <w:b/>
          <w:color w:val="auto"/>
          <w:kern w:val="0"/>
          <w:szCs w:val="24"/>
          <w:highlight w:val="none"/>
        </w:rPr>
      </w:pPr>
      <w:bookmarkStart w:id="144" w:name="_Toc31512"/>
      <w:r>
        <w:rPr>
          <w:rFonts w:hint="eastAsia" w:ascii="宋体" w:hAnsi="宋体" w:eastAsia="宋体" w:cs="宋体"/>
          <w:b/>
          <w:color w:val="auto"/>
          <w:kern w:val="0"/>
          <w:szCs w:val="24"/>
          <w:highlight w:val="none"/>
        </w:rPr>
        <w:t>9.1.2 技术文件：</w:t>
      </w:r>
      <w:bookmarkEnd w:id="144"/>
    </w:p>
    <w:p w14:paraId="1B946523">
      <w:pPr>
        <w:autoSpaceDE w:val="0"/>
        <w:autoSpaceDN w:val="0"/>
        <w:adjustRightInd w:val="0"/>
        <w:spacing w:line="360" w:lineRule="auto"/>
        <w:ind w:right="-23" w:rightChars="-11"/>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19632184">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zh-CN"/>
        </w:rPr>
        <w:t>用户需求偏离表</w:t>
      </w:r>
      <w:r>
        <w:rPr>
          <w:rFonts w:hint="eastAsia" w:ascii="宋体" w:hAnsi="宋体" w:eastAsia="宋体" w:cs="宋体"/>
          <w:color w:val="auto"/>
          <w:kern w:val="0"/>
          <w:szCs w:val="21"/>
          <w:highlight w:val="none"/>
        </w:rPr>
        <w:t>（即13.1用户需求偏离表格式）</w:t>
      </w:r>
      <w:r>
        <w:rPr>
          <w:rFonts w:hint="eastAsia" w:ascii="宋体" w:hAnsi="宋体" w:eastAsia="宋体" w:cs="宋体"/>
          <w:color w:val="auto"/>
          <w:kern w:val="0"/>
          <w:szCs w:val="21"/>
          <w:highlight w:val="none"/>
          <w:lang w:eastAsia="zh-CN"/>
        </w:rPr>
        <w:t>；</w:t>
      </w:r>
    </w:p>
    <w:p w14:paraId="3AD8785F">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工作流程</w:t>
      </w:r>
      <w:r>
        <w:rPr>
          <w:rFonts w:hint="eastAsia" w:ascii="宋体" w:hAnsi="宋体" w:eastAsia="宋体" w:cs="宋体"/>
          <w:bCs w:val="0"/>
          <w:color w:val="auto"/>
          <w:kern w:val="0"/>
          <w:sz w:val="21"/>
          <w:szCs w:val="21"/>
          <w:highlight w:val="none"/>
          <w:lang w:val="en-US" w:eastAsia="zh-CN"/>
        </w:rPr>
        <w:t>及政策了解</w:t>
      </w:r>
      <w:r>
        <w:rPr>
          <w:rFonts w:hint="eastAsia" w:ascii="宋体" w:hAnsi="宋体" w:eastAsia="宋体" w:cs="宋体"/>
          <w:color w:val="auto"/>
          <w:kern w:val="0"/>
          <w:szCs w:val="21"/>
          <w:highlight w:val="none"/>
        </w:rPr>
        <w:t>；</w:t>
      </w:r>
    </w:p>
    <w:p w14:paraId="53DAA76D">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bCs w:val="0"/>
          <w:color w:val="auto"/>
          <w:kern w:val="0"/>
          <w:sz w:val="21"/>
          <w:szCs w:val="21"/>
          <w:highlight w:val="none"/>
        </w:rPr>
        <w:t>进度保障</w:t>
      </w:r>
      <w:r>
        <w:rPr>
          <w:rFonts w:hint="eastAsia" w:ascii="宋体" w:hAnsi="宋体" w:eastAsia="宋体" w:cs="宋体"/>
          <w:color w:val="auto"/>
          <w:kern w:val="0"/>
          <w:szCs w:val="21"/>
          <w:highlight w:val="none"/>
        </w:rPr>
        <w:t>；</w:t>
      </w:r>
    </w:p>
    <w:p w14:paraId="64C4E2D1">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bCs w:val="0"/>
          <w:color w:val="auto"/>
          <w:kern w:val="0"/>
          <w:sz w:val="21"/>
          <w:szCs w:val="21"/>
          <w:highlight w:val="none"/>
          <w:lang w:val="en-US" w:eastAsia="zh-CN"/>
        </w:rPr>
        <w:t>质量保证措施</w:t>
      </w:r>
      <w:r>
        <w:rPr>
          <w:rFonts w:hint="eastAsia" w:ascii="宋体" w:hAnsi="宋体" w:eastAsia="宋体" w:cs="宋体"/>
          <w:color w:val="auto"/>
          <w:kern w:val="0"/>
          <w:szCs w:val="21"/>
          <w:highlight w:val="none"/>
        </w:rPr>
        <w:t>；</w:t>
      </w:r>
    </w:p>
    <w:p w14:paraId="0708A8C3">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bCs w:val="0"/>
          <w:color w:val="auto"/>
          <w:kern w:val="0"/>
          <w:sz w:val="21"/>
          <w:szCs w:val="21"/>
          <w:highlight w:val="none"/>
        </w:rPr>
        <w:t>质量跟踪及信息反馈机制</w:t>
      </w:r>
      <w:r>
        <w:rPr>
          <w:rFonts w:hint="eastAsia" w:ascii="宋体" w:hAnsi="宋体" w:eastAsia="宋体" w:cs="宋体"/>
          <w:color w:val="auto"/>
          <w:kern w:val="0"/>
          <w:szCs w:val="21"/>
          <w:highlight w:val="none"/>
        </w:rPr>
        <w:t>；</w:t>
      </w:r>
    </w:p>
    <w:p w14:paraId="34FBC3F9">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lang w:val="en-US" w:eastAsia="zh-CN"/>
        </w:rPr>
        <w:t>投入本项目服务人员情况</w:t>
      </w:r>
      <w:r>
        <w:rPr>
          <w:rFonts w:hint="eastAsia" w:ascii="宋体" w:hAnsi="宋体" w:eastAsia="宋体" w:cs="宋体"/>
          <w:color w:val="auto"/>
          <w:kern w:val="0"/>
          <w:szCs w:val="21"/>
          <w:highlight w:val="none"/>
          <w:lang w:val="zh-CN"/>
        </w:rPr>
        <w:t>（即1</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zh-CN"/>
        </w:rPr>
        <w:t>投入项目人员情况表格式）</w:t>
      </w:r>
      <w:r>
        <w:rPr>
          <w:rFonts w:hint="eastAsia" w:ascii="宋体" w:hAnsi="宋体" w:eastAsia="宋体" w:cs="宋体"/>
          <w:color w:val="auto"/>
          <w:kern w:val="0"/>
          <w:szCs w:val="21"/>
          <w:highlight w:val="none"/>
        </w:rPr>
        <w:t>；</w:t>
      </w:r>
    </w:p>
    <w:p w14:paraId="1E1D054A">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 w:val="21"/>
          <w:szCs w:val="21"/>
          <w:highlight w:val="none"/>
        </w:rPr>
        <w:t>服务便利性</w:t>
      </w:r>
      <w:r>
        <w:rPr>
          <w:rFonts w:hint="eastAsia" w:ascii="宋体" w:hAnsi="宋体" w:eastAsia="宋体" w:cs="宋体"/>
          <w:color w:val="auto"/>
          <w:kern w:val="0"/>
          <w:sz w:val="21"/>
          <w:szCs w:val="21"/>
          <w:highlight w:val="none"/>
          <w:lang w:eastAsia="zh-CN"/>
        </w:rPr>
        <w:t>；</w:t>
      </w:r>
    </w:p>
    <w:p w14:paraId="0A41ABAC">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0FC57378">
      <w:pPr>
        <w:autoSpaceDE w:val="0"/>
        <w:autoSpaceDN w:val="0"/>
        <w:adjustRightInd w:val="0"/>
        <w:spacing w:line="360" w:lineRule="auto"/>
        <w:ind w:left="422" w:leftChars="-100" w:hanging="632" w:hangingChars="300"/>
        <w:outlineLvl w:val="1"/>
        <w:rPr>
          <w:rFonts w:hint="eastAsia" w:ascii="宋体" w:hAnsi="宋体" w:eastAsia="宋体" w:cs="宋体"/>
          <w:color w:val="auto"/>
          <w:kern w:val="0"/>
          <w:szCs w:val="21"/>
          <w:highlight w:val="none"/>
          <w:lang w:val="zh-CN"/>
        </w:rPr>
      </w:pPr>
      <w:bookmarkStart w:id="145" w:name="_Toc25876"/>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bookmarkEnd w:id="145"/>
    </w:p>
    <w:p w14:paraId="625A06DA">
      <w:pPr>
        <w:autoSpaceDE w:val="0"/>
        <w:autoSpaceDN w:val="0"/>
        <w:adjustRightInd w:val="0"/>
        <w:spacing w:line="360" w:lineRule="auto"/>
        <w:ind w:left="35" w:leftChars="-118" w:hanging="283" w:hangingChars="135"/>
        <w:outlineLvl w:val="2"/>
        <w:rPr>
          <w:rFonts w:hint="eastAsia" w:ascii="宋体" w:hAnsi="宋体" w:eastAsia="宋体" w:cs="宋体"/>
          <w:color w:val="auto"/>
          <w:kern w:val="0"/>
          <w:szCs w:val="21"/>
          <w:highlight w:val="none"/>
        </w:rPr>
      </w:pPr>
      <w:bookmarkStart w:id="146" w:name="_Toc3561"/>
      <w:r>
        <w:rPr>
          <w:rFonts w:hint="eastAsia" w:ascii="宋体" w:hAnsi="宋体" w:eastAsia="宋体" w:cs="宋体"/>
          <w:color w:val="auto"/>
          <w:kern w:val="0"/>
          <w:szCs w:val="21"/>
          <w:highlight w:val="none"/>
        </w:rPr>
        <w:t>（1）签字、盖章后的投标文件扫描版PDF格式电子文件。</w:t>
      </w:r>
      <w:bookmarkEnd w:id="146"/>
    </w:p>
    <w:p w14:paraId="2A9E2B6C">
      <w:pPr>
        <w:autoSpaceDE w:val="0"/>
        <w:autoSpaceDN w:val="0"/>
        <w:adjustRightInd w:val="0"/>
        <w:spacing w:line="360" w:lineRule="auto"/>
        <w:ind w:left="422" w:leftChars="-100" w:hanging="632" w:hangingChars="300"/>
        <w:outlineLvl w:val="1"/>
        <w:rPr>
          <w:rFonts w:hint="eastAsia" w:ascii="宋体" w:hAnsi="宋体" w:eastAsia="宋体" w:cs="宋体"/>
          <w:b/>
          <w:bCs/>
          <w:color w:val="auto"/>
          <w:szCs w:val="21"/>
          <w:highlight w:val="none"/>
          <w:lang w:val="zh-CN"/>
        </w:rPr>
      </w:pPr>
      <w:bookmarkStart w:id="147" w:name="_Toc1147"/>
      <w:r>
        <w:rPr>
          <w:rFonts w:hint="eastAsia" w:ascii="宋体" w:hAnsi="宋体" w:eastAsia="宋体" w:cs="宋体"/>
          <w:b/>
          <w:bCs/>
          <w:color w:val="auto"/>
          <w:szCs w:val="21"/>
          <w:highlight w:val="none"/>
          <w:lang w:val="zh-CN"/>
        </w:rPr>
        <w:t>9.1.4 唱标信封（单独密封）</w:t>
      </w:r>
      <w:bookmarkEnd w:id="147"/>
    </w:p>
    <w:p w14:paraId="5A42AE69">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58B53AAB">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68D233FC">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1B67C6E">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554B1FF6">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14:paraId="7059D91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48" w:name="_Toc450662860"/>
      <w:bookmarkStart w:id="149" w:name="_Toc142508324"/>
      <w:bookmarkStart w:id="150" w:name="_Toc7493"/>
      <w:bookmarkStart w:id="151" w:name="_Toc8675_WPSOffice_Level3"/>
      <w:bookmarkStart w:id="152" w:name="_Toc31771"/>
      <w:bookmarkStart w:id="153" w:name="_Toc486167674"/>
      <w:bookmarkStart w:id="154" w:name="_Toc13214"/>
      <w:bookmarkStart w:id="155" w:name="_Toc11170"/>
      <w:r>
        <w:rPr>
          <w:rFonts w:hint="eastAsia" w:ascii="宋体" w:hAnsi="宋体" w:eastAsia="宋体" w:cs="宋体"/>
          <w:color w:val="auto"/>
          <w:szCs w:val="21"/>
          <w:highlight w:val="none"/>
          <w:lang w:val="zh-CN"/>
        </w:rPr>
        <w:t>10 投标函</w:t>
      </w:r>
      <w:bookmarkEnd w:id="148"/>
      <w:bookmarkEnd w:id="149"/>
      <w:bookmarkEnd w:id="150"/>
      <w:bookmarkEnd w:id="151"/>
      <w:bookmarkEnd w:id="152"/>
      <w:bookmarkEnd w:id="153"/>
      <w:bookmarkEnd w:id="154"/>
      <w:bookmarkEnd w:id="155"/>
    </w:p>
    <w:p w14:paraId="0F4ACCF0">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16A5BF05">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14:paraId="4DDF3E5E">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56" w:name="_Toc486167675"/>
      <w:bookmarkStart w:id="157" w:name="_Toc4385_WPSOffice_Level3"/>
      <w:bookmarkStart w:id="158" w:name="_Toc24311"/>
      <w:bookmarkStart w:id="159" w:name="_Toc450662861"/>
      <w:bookmarkStart w:id="160" w:name="_Toc11864"/>
      <w:bookmarkStart w:id="161" w:name="_Toc15427"/>
      <w:bookmarkStart w:id="162" w:name="_Toc142508325"/>
      <w:bookmarkStart w:id="163" w:name="_Toc20186"/>
      <w:r>
        <w:rPr>
          <w:rFonts w:hint="eastAsia" w:ascii="宋体" w:hAnsi="宋体" w:eastAsia="宋体" w:cs="宋体"/>
          <w:color w:val="auto"/>
          <w:szCs w:val="21"/>
          <w:highlight w:val="none"/>
          <w:lang w:val="zh-CN"/>
        </w:rPr>
        <w:t>11 投标报价</w:t>
      </w:r>
      <w:bookmarkEnd w:id="156"/>
      <w:bookmarkEnd w:id="157"/>
      <w:bookmarkEnd w:id="158"/>
      <w:bookmarkEnd w:id="159"/>
      <w:bookmarkEnd w:id="160"/>
      <w:bookmarkEnd w:id="161"/>
      <w:bookmarkEnd w:id="162"/>
      <w:bookmarkEnd w:id="163"/>
    </w:p>
    <w:p w14:paraId="79F6462C">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本项目的投标报价采用填报投标折扣系数的方式，任何有选择的或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13F376E2">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13FB26D3">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0BA2EB74">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41E1F5CC">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kern w:val="0"/>
          <w:szCs w:val="21"/>
          <w:highlight w:val="none"/>
          <w:lang w:eastAsia="zh-CN"/>
        </w:rPr>
        <w:t>人员人工费(工资及加班工资、福利、社保、住房公积金、节日补贴、高温津贴、劳保、服装和膳食、意外伤害保险、加班费、住宿补贴、市内交通补贴、培训、经济补偿等)、驻场服务所需的差旅费、食宿费、交通费、通讯费、配合费、办理履约担保所需等费用</w:t>
      </w:r>
      <w:r>
        <w:rPr>
          <w:rFonts w:hint="eastAsia" w:ascii="宋体" w:hAnsi="宋体" w:eastAsia="宋体" w:cs="宋体"/>
          <w:color w:val="auto"/>
          <w:szCs w:val="21"/>
          <w:highlight w:val="none"/>
          <w:lang w:val="zh-CN"/>
        </w:rPr>
        <w:t>；</w:t>
      </w:r>
    </w:p>
    <w:p w14:paraId="7BC986EA">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（2）合理利润、投标人销项税额以外的税费等；</w:t>
      </w:r>
    </w:p>
    <w:p w14:paraId="400D487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（3）法律法规、行业公认、完成合同实施过程中由投标人承担的其他直接及间接费用。</w:t>
      </w:r>
    </w:p>
    <w:p w14:paraId="77782DD1">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71F04736">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1DD3F744">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服务所需的费用，投标人都应计入投标报价总价。</w:t>
      </w:r>
    </w:p>
    <w:p w14:paraId="4FD3A55A">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w:t>
      </w:r>
      <w:bookmarkStart w:id="164" w:name="_Hlk63152986"/>
      <w:r>
        <w:rPr>
          <w:rFonts w:hint="eastAsia" w:ascii="宋体" w:hAnsi="宋体" w:eastAsia="宋体" w:cs="宋体"/>
          <w:b/>
          <w:color w:val="auto"/>
          <w:szCs w:val="21"/>
          <w:highlight w:val="none"/>
          <w:u w:val="single"/>
          <w:lang w:val="zh-CN"/>
        </w:rPr>
        <w:t>投标人的折扣系数报价不得超过</w:t>
      </w:r>
      <w:r>
        <w:rPr>
          <w:rFonts w:hint="eastAsia" w:ascii="宋体" w:hAnsi="宋体" w:eastAsia="宋体" w:cs="宋体"/>
          <w:b/>
          <w:color w:val="auto"/>
          <w:szCs w:val="21"/>
          <w:highlight w:val="none"/>
          <w:u w:val="single"/>
          <w:lang w:val="en-US" w:eastAsia="zh-CN"/>
        </w:rPr>
        <w:t>0.80</w:t>
      </w:r>
      <w:r>
        <w:rPr>
          <w:rFonts w:hint="eastAsia" w:ascii="宋体" w:hAnsi="宋体" w:eastAsia="宋体" w:cs="宋体"/>
          <w:b/>
          <w:color w:val="auto"/>
          <w:szCs w:val="21"/>
          <w:highlight w:val="none"/>
          <w:u w:val="single"/>
          <w:lang w:val="zh-CN"/>
        </w:rPr>
        <w:t>（保留小数点后两位），且不能为0.00或负数，投标人未按招标文件要求进行折扣系数报价的，</w:t>
      </w:r>
      <w:r>
        <w:rPr>
          <w:rFonts w:hint="eastAsia" w:ascii="宋体" w:hAnsi="宋体" w:eastAsia="宋体" w:cs="宋体"/>
          <w:b/>
          <w:color w:val="auto"/>
          <w:szCs w:val="21"/>
          <w:highlight w:val="none"/>
          <w:u w:val="single"/>
          <w:lang w:val="en-US" w:eastAsia="zh-CN"/>
        </w:rPr>
        <w:t>该投标人的投标文件</w:t>
      </w:r>
      <w:r>
        <w:rPr>
          <w:rFonts w:hint="eastAsia" w:ascii="宋体" w:hAnsi="宋体" w:eastAsia="宋体" w:cs="宋体"/>
          <w:b/>
          <w:color w:val="auto"/>
          <w:szCs w:val="21"/>
          <w:highlight w:val="none"/>
          <w:u w:val="single"/>
          <w:lang w:val="zh-CN"/>
        </w:rPr>
        <w:t>被视为无效投标。本项目暂定服务采购数量对应的不含税暂定采购金额为867,924.53元（大写：人民币</w:t>
      </w:r>
      <w:r>
        <w:rPr>
          <w:rFonts w:hint="eastAsia" w:ascii="宋体" w:hAnsi="宋体" w:eastAsia="宋体" w:cs="宋体"/>
          <w:b/>
          <w:color w:val="auto"/>
          <w:szCs w:val="21"/>
          <w:highlight w:val="none"/>
          <w:u w:val="single"/>
          <w:lang w:val="en-US" w:eastAsia="zh-CN"/>
        </w:rPr>
        <w:t>捌拾陆万柒仟玖佰贰拾肆元伍角叁分</w:t>
      </w:r>
      <w:r>
        <w:rPr>
          <w:rFonts w:hint="eastAsia" w:ascii="宋体" w:hAnsi="宋体" w:eastAsia="宋体" w:cs="宋体"/>
          <w:b/>
          <w:color w:val="auto"/>
          <w:szCs w:val="21"/>
          <w:highlight w:val="none"/>
          <w:u w:val="single"/>
          <w:lang w:val="zh-CN"/>
        </w:rPr>
        <w:t>）</w:t>
      </w:r>
      <w:bookmarkEnd w:id="164"/>
      <w:r>
        <w:rPr>
          <w:rFonts w:hint="eastAsia" w:ascii="宋体" w:hAnsi="宋体" w:eastAsia="宋体" w:cs="宋体"/>
          <w:b/>
          <w:color w:val="auto"/>
          <w:szCs w:val="21"/>
          <w:highlight w:val="none"/>
          <w:u w:val="single"/>
          <w:lang w:val="zh-CN"/>
        </w:rPr>
        <w:t>。</w:t>
      </w:r>
    </w:p>
    <w:p w14:paraId="6F9F7316">
      <w:pPr>
        <w:autoSpaceDE w:val="0"/>
        <w:autoSpaceDN w:val="0"/>
        <w:adjustRightInd w:val="0"/>
        <w:spacing w:line="360" w:lineRule="auto"/>
        <w:ind w:left="357" w:leftChars="-100" w:hanging="567"/>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7CB2E9E4">
      <w:pPr>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165" w:name="_Toc486167676"/>
      <w:bookmarkStart w:id="166" w:name="_Toc142508326"/>
      <w:bookmarkStart w:id="167" w:name="_Toc450662862"/>
      <w:bookmarkStart w:id="168" w:name="_Toc20312"/>
      <w:bookmarkStart w:id="169" w:name="_Toc8937"/>
      <w:bookmarkStart w:id="170" w:name="_Toc30042_WPSOffice_Level3"/>
      <w:bookmarkStart w:id="171" w:name="_Toc3469"/>
      <w:bookmarkStart w:id="172" w:name="_Toc13819"/>
      <w:r>
        <w:rPr>
          <w:rFonts w:hint="eastAsia" w:ascii="宋体" w:hAnsi="宋体" w:eastAsia="宋体" w:cs="宋体"/>
          <w:b/>
          <w:color w:val="auto"/>
          <w:szCs w:val="21"/>
          <w:highlight w:val="none"/>
          <w:lang w:val="zh-CN"/>
        </w:rPr>
        <w:t>12 投标报价货币</w:t>
      </w:r>
      <w:bookmarkEnd w:id="165"/>
      <w:bookmarkEnd w:id="166"/>
      <w:bookmarkEnd w:id="167"/>
      <w:bookmarkEnd w:id="168"/>
      <w:bookmarkEnd w:id="169"/>
      <w:bookmarkEnd w:id="170"/>
      <w:bookmarkEnd w:id="171"/>
      <w:bookmarkEnd w:id="172"/>
    </w:p>
    <w:p w14:paraId="122616B1">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58D8DBF7">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14:paraId="22E2F791">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73" w:name="_Toc18161"/>
      <w:bookmarkStart w:id="174" w:name="_Toc9411_WPSOffice_Level3"/>
      <w:bookmarkStart w:id="175" w:name="_Toc450662863"/>
      <w:bookmarkStart w:id="176" w:name="_Toc1091"/>
      <w:bookmarkStart w:id="177" w:name="_Toc142508327"/>
      <w:bookmarkStart w:id="178" w:name="_Toc3961"/>
      <w:bookmarkStart w:id="179" w:name="_Toc20031"/>
      <w:bookmarkStart w:id="180" w:name="_Toc486167677"/>
      <w:r>
        <w:rPr>
          <w:rFonts w:hint="eastAsia" w:ascii="宋体" w:hAnsi="宋体" w:eastAsia="宋体" w:cs="宋体"/>
          <w:color w:val="auto"/>
          <w:szCs w:val="21"/>
          <w:highlight w:val="none"/>
          <w:lang w:val="zh-CN"/>
        </w:rPr>
        <w:t>13 证明投标人的合格性和资格的声明文件</w:t>
      </w:r>
      <w:bookmarkEnd w:id="173"/>
      <w:bookmarkEnd w:id="174"/>
      <w:bookmarkEnd w:id="175"/>
      <w:bookmarkEnd w:id="176"/>
      <w:bookmarkEnd w:id="177"/>
      <w:bookmarkEnd w:id="178"/>
      <w:bookmarkEnd w:id="179"/>
      <w:bookmarkEnd w:id="180"/>
    </w:p>
    <w:p w14:paraId="0A4264C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53133CFD">
      <w:pPr>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vertAlign w:val="superscript"/>
          <w:lang w:val="zh-CN"/>
        </w:rPr>
      </w:pPr>
      <w:bookmarkStart w:id="181" w:name="_Toc21285"/>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81"/>
    </w:p>
    <w:p w14:paraId="0357A95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57F76D5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3558963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08034575">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34800DC9">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14:paraId="5E8F7BF3">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82" w:name="_Toc27771_WPSOffice_Level3"/>
      <w:bookmarkStart w:id="183" w:name="_Toc29754"/>
      <w:bookmarkStart w:id="184" w:name="_Toc16467"/>
      <w:bookmarkStart w:id="185" w:name="_Toc142508328"/>
      <w:bookmarkStart w:id="186" w:name="_Toc3381"/>
      <w:bookmarkStart w:id="187" w:name="_Toc486167678"/>
      <w:bookmarkStart w:id="188" w:name="_Toc450662864"/>
      <w:bookmarkStart w:id="189" w:name="_Toc8615"/>
      <w:r>
        <w:rPr>
          <w:rFonts w:hint="eastAsia" w:ascii="宋体" w:hAnsi="宋体" w:eastAsia="宋体" w:cs="宋体"/>
          <w:color w:val="auto"/>
          <w:szCs w:val="21"/>
          <w:highlight w:val="none"/>
          <w:lang w:val="zh-CN"/>
        </w:rPr>
        <w:t>14 证明服务的合格性并符合招标文件规定的声明文件</w:t>
      </w:r>
      <w:bookmarkEnd w:id="182"/>
      <w:bookmarkEnd w:id="183"/>
      <w:bookmarkEnd w:id="184"/>
      <w:bookmarkEnd w:id="185"/>
      <w:bookmarkEnd w:id="186"/>
      <w:bookmarkEnd w:id="187"/>
      <w:bookmarkEnd w:id="188"/>
      <w:bookmarkEnd w:id="189"/>
    </w:p>
    <w:p w14:paraId="0834E810">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4E47DB3C">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5074AFB8">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35A14D9C">
      <w:pPr>
        <w:autoSpaceDE w:val="0"/>
        <w:autoSpaceDN w:val="0"/>
        <w:adjustRightInd w:val="0"/>
        <w:spacing w:line="360" w:lineRule="auto"/>
        <w:rPr>
          <w:rFonts w:hint="eastAsia" w:ascii="宋体" w:hAnsi="宋体" w:eastAsia="宋体" w:cs="宋体"/>
          <w:color w:val="auto"/>
          <w:kern w:val="0"/>
          <w:sz w:val="24"/>
          <w:szCs w:val="24"/>
          <w:highlight w:val="none"/>
        </w:rPr>
      </w:pPr>
    </w:p>
    <w:p w14:paraId="10B86E67">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90" w:name="_Toc486167679"/>
      <w:bookmarkStart w:id="191" w:name="_Toc142508329"/>
      <w:bookmarkStart w:id="192" w:name="_Toc8644"/>
      <w:bookmarkStart w:id="193" w:name="_Toc12076"/>
      <w:bookmarkStart w:id="194" w:name="_Toc16828"/>
      <w:bookmarkStart w:id="195" w:name="_Toc30555"/>
      <w:bookmarkStart w:id="196" w:name="_Toc5356_WPSOffice_Level3"/>
      <w:r>
        <w:rPr>
          <w:rFonts w:hint="eastAsia" w:ascii="宋体" w:hAnsi="宋体" w:eastAsia="宋体" w:cs="宋体"/>
          <w:color w:val="auto"/>
          <w:szCs w:val="21"/>
          <w:highlight w:val="none"/>
          <w:lang w:val="zh-CN"/>
        </w:rPr>
        <w:t>15 投标保证金</w:t>
      </w:r>
      <w:bookmarkEnd w:id="190"/>
      <w:bookmarkEnd w:id="191"/>
      <w:bookmarkEnd w:id="192"/>
      <w:bookmarkEnd w:id="193"/>
      <w:bookmarkEnd w:id="194"/>
      <w:bookmarkEnd w:id="195"/>
      <w:bookmarkEnd w:id="196"/>
    </w:p>
    <w:p w14:paraId="22695BD6">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17,000.00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壹万柒仟元整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48EF1389">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2D30959">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Cs/>
          <w:color w:val="auto"/>
          <w:kern w:val="0"/>
          <w:szCs w:val="21"/>
          <w:highlight w:val="none"/>
          <w:lang w:val="zh-CN"/>
        </w:rPr>
      </w:pPr>
      <w:bookmarkStart w:id="197" w:name="_Toc21567"/>
      <w:r>
        <w:rPr>
          <w:rFonts w:hint="eastAsia" w:ascii="宋体" w:hAnsi="宋体" w:eastAsia="宋体" w:cs="宋体"/>
          <w:bCs/>
          <w:color w:val="auto"/>
          <w:kern w:val="0"/>
          <w:szCs w:val="21"/>
          <w:highlight w:val="none"/>
          <w:lang w:val="zh-CN"/>
        </w:rPr>
        <w:t>15.3 提交保证金时应符合下列规定：</w:t>
      </w:r>
      <w:bookmarkEnd w:id="197"/>
    </w:p>
    <w:p w14:paraId="4FD9A666">
      <w:pPr>
        <w:spacing w:line="360" w:lineRule="auto"/>
        <w:ind w:firstLine="777" w:firstLineChars="3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66FF7405">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开户名称：东莞市水务集团供水有限公司</w:t>
      </w:r>
    </w:p>
    <w:p w14:paraId="5ADC94E8">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val="zh-CN"/>
        </w:rPr>
        <w:t>开户银行：工商银行东莞城区支行</w:t>
      </w:r>
    </w:p>
    <w:p w14:paraId="6B623493">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highlight w:val="none"/>
        </w:rPr>
        <w:t>2010020119000060928</w:t>
      </w:r>
    </w:p>
    <w:p w14:paraId="316F8D09">
      <w:pPr>
        <w:spacing w:line="360" w:lineRule="auto"/>
        <w:ind w:left="210" w:leftChars="100" w:firstLine="211" w:firstLineChars="1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C348BBA">
      <w:pPr>
        <w:autoSpaceDE w:val="0"/>
        <w:autoSpaceDN w:val="0"/>
        <w:adjustRightInd w:val="0"/>
        <w:spacing w:line="360" w:lineRule="auto"/>
        <w:ind w:left="357" w:leftChars="-100" w:hanging="567" w:hangingChars="270"/>
        <w:jc w:val="left"/>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0AFFA45B">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的投标人的投标保证金，最迟应在本项目的书面合同签订后5日内，按照其投标保证金支付凭证上注明的收款人名称和账号予以退还，除非投标保证金有效期已延长。</w:t>
      </w:r>
    </w:p>
    <w:p w14:paraId="45DAACBA">
      <w:pPr>
        <w:spacing w:line="360" w:lineRule="auto"/>
        <w:ind w:left="357" w:leftChars="-100" w:hanging="567" w:hangingChars="27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0098FCCE">
      <w:pPr>
        <w:autoSpaceDE w:val="0"/>
        <w:autoSpaceDN w:val="0"/>
        <w:adjustRightInd w:val="0"/>
        <w:spacing w:line="360" w:lineRule="auto"/>
        <w:ind w:left="357" w:leftChars="-100" w:hanging="567"/>
        <w:outlineLvl w:val="2"/>
        <w:rPr>
          <w:rFonts w:hint="eastAsia" w:ascii="宋体" w:hAnsi="宋体" w:eastAsia="宋体" w:cs="宋体"/>
          <w:color w:val="auto"/>
          <w:szCs w:val="21"/>
          <w:highlight w:val="none"/>
          <w:lang w:val="zh-CN"/>
        </w:rPr>
      </w:pPr>
      <w:bookmarkStart w:id="198" w:name="_Toc4561"/>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bookmarkEnd w:id="198"/>
    </w:p>
    <w:p w14:paraId="6969F731">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17BE1C06">
      <w:pPr>
        <w:spacing w:line="360" w:lineRule="auto"/>
        <w:ind w:left="315" w:leftChars="-100" w:hanging="525" w:hangingChars="250"/>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4F7788E0">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5FC2564C">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385497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52FA6BC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1AD81000">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04B1BF5B">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0AC190BD">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14:paraId="723F828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99" w:name="_Toc10671"/>
      <w:bookmarkStart w:id="200" w:name="_Toc450662865"/>
      <w:bookmarkStart w:id="201" w:name="_Toc1458"/>
      <w:bookmarkStart w:id="202" w:name="_Toc22649_WPSOffice_Level3"/>
      <w:bookmarkStart w:id="203" w:name="_Toc486167680"/>
      <w:bookmarkStart w:id="204" w:name="_Toc142508330"/>
      <w:bookmarkStart w:id="205" w:name="_Toc29607"/>
      <w:bookmarkStart w:id="206" w:name="_Toc23267"/>
      <w:r>
        <w:rPr>
          <w:rFonts w:hint="eastAsia" w:ascii="宋体" w:hAnsi="宋体" w:eastAsia="宋体" w:cs="宋体"/>
          <w:color w:val="auto"/>
          <w:szCs w:val="21"/>
          <w:highlight w:val="none"/>
          <w:lang w:val="zh-CN"/>
        </w:rPr>
        <w:t>16 投标有效期</w:t>
      </w:r>
      <w:bookmarkEnd w:id="199"/>
      <w:bookmarkEnd w:id="200"/>
      <w:bookmarkEnd w:id="201"/>
      <w:bookmarkEnd w:id="202"/>
      <w:bookmarkEnd w:id="203"/>
      <w:bookmarkEnd w:id="204"/>
      <w:bookmarkEnd w:id="205"/>
      <w:bookmarkEnd w:id="206"/>
    </w:p>
    <w:p w14:paraId="1854E2B5">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72EB6A5">
      <w:pPr>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bookmarkStart w:id="207" w:name="_Toc11141"/>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207"/>
    </w:p>
    <w:p w14:paraId="7A4716D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577275E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7516989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08" w:name="_Toc15544"/>
      <w:bookmarkStart w:id="209" w:name="_Toc20422"/>
      <w:bookmarkStart w:id="210" w:name="_Toc142508331"/>
      <w:bookmarkStart w:id="211" w:name="_Toc932"/>
      <w:bookmarkStart w:id="212" w:name="_Toc450662866"/>
      <w:bookmarkStart w:id="213" w:name="_Toc486167681"/>
      <w:bookmarkStart w:id="214" w:name="_Toc25637_WPSOffice_Level3"/>
      <w:bookmarkStart w:id="215" w:name="_Toc22562"/>
      <w:r>
        <w:rPr>
          <w:rFonts w:hint="eastAsia" w:ascii="宋体" w:hAnsi="宋体" w:eastAsia="宋体" w:cs="宋体"/>
          <w:color w:val="auto"/>
          <w:szCs w:val="21"/>
          <w:highlight w:val="none"/>
          <w:lang w:val="zh-CN"/>
        </w:rPr>
        <w:t>17 投标文件的式样和签署</w:t>
      </w:r>
      <w:bookmarkEnd w:id="208"/>
      <w:bookmarkEnd w:id="209"/>
      <w:bookmarkEnd w:id="210"/>
      <w:bookmarkEnd w:id="211"/>
      <w:bookmarkEnd w:id="212"/>
      <w:bookmarkEnd w:id="213"/>
      <w:bookmarkEnd w:id="214"/>
      <w:bookmarkEnd w:id="215"/>
    </w:p>
    <w:p w14:paraId="5973FF67">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076F644E">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color w:val="auto"/>
          <w:szCs w:val="21"/>
          <w:highlight w:val="none"/>
          <w:lang w:val="zh-CN"/>
        </w:rPr>
        <w:t>法定代表人授权书</w:t>
      </w:r>
      <w:r>
        <w:rPr>
          <w:rFonts w:hint="eastAsia" w:ascii="宋体" w:hAnsi="宋体" w:eastAsia="宋体" w:cs="宋体"/>
          <w:bCs/>
          <w:color w:val="auto"/>
          <w:szCs w:val="21"/>
          <w:highlight w:val="none"/>
          <w:lang w:val="zh-CN"/>
        </w:rPr>
        <w:t>”以书面形式附在投标文件中。</w:t>
      </w:r>
      <w:r>
        <w:rPr>
          <w:rFonts w:hint="eastAsia" w:ascii="宋体" w:hAnsi="宋体" w:eastAsia="宋体" w:cs="宋体"/>
          <w:color w:val="auto"/>
          <w:szCs w:val="21"/>
          <w:highlight w:val="none"/>
          <w:lang w:val="zh-CN"/>
        </w:rPr>
        <w:t>副本文件可由正本文件复印而成。</w:t>
      </w:r>
    </w:p>
    <w:p w14:paraId="61E4927B">
      <w:pPr>
        <w:autoSpaceDE w:val="0"/>
        <w:autoSpaceDN w:val="0"/>
        <w:adjustRightInd w:val="0"/>
        <w:spacing w:line="360" w:lineRule="auto"/>
        <w:ind w:left="357" w:leftChars="-100" w:hanging="567"/>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1C049E75">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2793B068">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29625374">
      <w:pPr>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bookmarkStart w:id="216" w:name="_Toc20641"/>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216"/>
    </w:p>
    <w:p w14:paraId="3E19BE5B">
      <w:pPr>
        <w:autoSpaceDE w:val="0"/>
        <w:autoSpaceDN w:val="0"/>
        <w:adjustRightInd w:val="0"/>
        <w:jc w:val="left"/>
        <w:rPr>
          <w:rFonts w:hint="eastAsia" w:ascii="宋体" w:hAnsi="宋体" w:eastAsia="宋体" w:cs="宋体"/>
          <w:color w:val="auto"/>
          <w:kern w:val="0"/>
          <w:sz w:val="24"/>
          <w:szCs w:val="24"/>
          <w:highlight w:val="none"/>
        </w:rPr>
      </w:pPr>
      <w:bookmarkStart w:id="217" w:name="_Toc450662867"/>
    </w:p>
    <w:p w14:paraId="4E6B0773">
      <w:pPr>
        <w:keepNext/>
        <w:keepLines/>
        <w:tabs>
          <w:tab w:val="left" w:pos="509"/>
        </w:tabs>
        <w:autoSpaceDE w:val="0"/>
        <w:autoSpaceDN w:val="0"/>
        <w:adjustRightInd w:val="0"/>
        <w:spacing w:line="360" w:lineRule="auto"/>
        <w:jc w:val="left"/>
        <w:outlineLvl w:val="2"/>
        <w:rPr>
          <w:rFonts w:hint="eastAsia" w:ascii="宋体" w:hAnsi="宋体" w:eastAsia="宋体" w:cs="宋体"/>
          <w:color w:val="auto"/>
          <w:kern w:val="0"/>
          <w:sz w:val="24"/>
          <w:szCs w:val="24"/>
          <w:highlight w:val="none"/>
        </w:rPr>
      </w:pPr>
      <w:bookmarkStart w:id="218" w:name="_Toc28175"/>
      <w:bookmarkStart w:id="219" w:name="_Toc16145"/>
      <w:bookmarkStart w:id="220" w:name="_Toc26605"/>
      <w:bookmarkStart w:id="221" w:name="_Toc17199"/>
      <w:bookmarkStart w:id="222" w:name="_Toc140596891"/>
      <w:bookmarkStart w:id="223" w:name="_Toc142508332"/>
      <w:bookmarkStart w:id="224" w:name="_Toc22356_WPSOffice_Level2"/>
      <w:bookmarkStart w:id="225" w:name="_Toc486167682"/>
      <w:r>
        <w:rPr>
          <w:rFonts w:hint="eastAsia" w:ascii="宋体" w:hAnsi="宋体" w:eastAsia="宋体" w:cs="宋体"/>
          <w:b/>
          <w:bCs/>
          <w:color w:val="auto"/>
          <w:kern w:val="44"/>
          <w:szCs w:val="21"/>
          <w:highlight w:val="none"/>
          <w:lang w:val="zh-CN"/>
        </w:rPr>
        <w:t>四、投标文件的递交</w:t>
      </w:r>
      <w:bookmarkEnd w:id="217"/>
      <w:bookmarkEnd w:id="218"/>
      <w:bookmarkEnd w:id="219"/>
      <w:bookmarkEnd w:id="220"/>
      <w:bookmarkEnd w:id="221"/>
      <w:bookmarkEnd w:id="222"/>
      <w:bookmarkEnd w:id="223"/>
      <w:bookmarkEnd w:id="224"/>
      <w:bookmarkEnd w:id="225"/>
    </w:p>
    <w:p w14:paraId="3ACD2BF1">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26" w:name="_Toc12192_WPSOffice_Level3"/>
      <w:bookmarkStart w:id="227" w:name="_Toc486167683"/>
      <w:bookmarkStart w:id="228" w:name="_Toc450662868"/>
      <w:bookmarkStart w:id="229" w:name="_Toc142508333"/>
      <w:bookmarkStart w:id="230" w:name="_Toc29038"/>
      <w:bookmarkStart w:id="231" w:name="_Toc31551"/>
      <w:bookmarkStart w:id="232" w:name="_Toc29885"/>
      <w:bookmarkStart w:id="233" w:name="_Toc15162"/>
      <w:r>
        <w:rPr>
          <w:rFonts w:hint="eastAsia" w:ascii="宋体" w:hAnsi="宋体" w:eastAsia="宋体" w:cs="宋体"/>
          <w:color w:val="auto"/>
          <w:szCs w:val="21"/>
          <w:highlight w:val="none"/>
          <w:lang w:val="zh-CN"/>
        </w:rPr>
        <w:t>18 投标文件的密封和标记</w:t>
      </w:r>
      <w:bookmarkEnd w:id="226"/>
      <w:bookmarkEnd w:id="227"/>
      <w:bookmarkEnd w:id="228"/>
      <w:bookmarkEnd w:id="229"/>
      <w:bookmarkEnd w:id="230"/>
      <w:bookmarkEnd w:id="231"/>
      <w:bookmarkEnd w:id="232"/>
      <w:bookmarkEnd w:id="233"/>
    </w:p>
    <w:p w14:paraId="666A063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66EDD0C4">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0422E96F">
      <w:pPr>
        <w:autoSpaceDE w:val="0"/>
        <w:autoSpaceDN w:val="0"/>
        <w:adjustRightInd w:val="0"/>
        <w:spacing w:line="360" w:lineRule="auto"/>
        <w:ind w:left="357" w:leftChars="-100" w:right="15" w:rightChars="7" w:hanging="567"/>
        <w:outlineLvl w:val="1"/>
        <w:rPr>
          <w:rFonts w:hint="eastAsia" w:ascii="宋体" w:hAnsi="宋体" w:eastAsia="宋体" w:cs="宋体"/>
          <w:color w:val="auto"/>
          <w:szCs w:val="21"/>
          <w:highlight w:val="none"/>
          <w:lang w:val="zh-CN"/>
        </w:rPr>
      </w:pPr>
      <w:bookmarkStart w:id="234" w:name="_Toc29896"/>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234"/>
    </w:p>
    <w:p w14:paraId="1C1FAC46">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75A80679">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08090233">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5575584A">
      <w:pPr>
        <w:tabs>
          <w:tab w:val="left" w:pos="567"/>
        </w:tabs>
        <w:autoSpaceDE w:val="0"/>
        <w:autoSpaceDN w:val="0"/>
        <w:adjustRightInd w:val="0"/>
        <w:spacing w:line="360" w:lineRule="auto"/>
        <w:ind w:left="357" w:leftChars="-100" w:right="15" w:rightChars="7"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14F7A402">
      <w:pPr>
        <w:autoSpaceDE w:val="0"/>
        <w:autoSpaceDN w:val="0"/>
        <w:adjustRightInd w:val="0"/>
        <w:spacing w:line="360" w:lineRule="auto"/>
        <w:ind w:left="355" w:leftChars="-101" w:right="15" w:rightChars="7"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1CA13ED1">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auto"/>
          <w:szCs w:val="21"/>
          <w:highlight w:val="none"/>
          <w:lang w:val="zh-CN"/>
        </w:rPr>
      </w:pPr>
    </w:p>
    <w:p w14:paraId="3DD1686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35" w:name="_Toc486167684"/>
      <w:bookmarkStart w:id="236" w:name="_Toc450662869"/>
      <w:bookmarkStart w:id="237" w:name="_Toc4979"/>
      <w:bookmarkStart w:id="238" w:name="_Toc28830"/>
      <w:bookmarkStart w:id="239" w:name="_Toc23369"/>
      <w:bookmarkStart w:id="240" w:name="_Toc142508334"/>
      <w:bookmarkStart w:id="241" w:name="_Toc29665_WPSOffice_Level3"/>
      <w:bookmarkStart w:id="242" w:name="_Toc12582"/>
      <w:r>
        <w:rPr>
          <w:rFonts w:hint="eastAsia" w:ascii="宋体" w:hAnsi="宋体" w:eastAsia="宋体" w:cs="宋体"/>
          <w:color w:val="auto"/>
          <w:szCs w:val="21"/>
          <w:highlight w:val="none"/>
          <w:lang w:val="zh-CN"/>
        </w:rPr>
        <w:t>19 递交投标文件的截止日期</w:t>
      </w:r>
      <w:bookmarkEnd w:id="235"/>
      <w:bookmarkEnd w:id="236"/>
      <w:bookmarkEnd w:id="237"/>
      <w:bookmarkEnd w:id="238"/>
      <w:bookmarkEnd w:id="239"/>
      <w:bookmarkEnd w:id="240"/>
      <w:bookmarkEnd w:id="241"/>
      <w:bookmarkEnd w:id="242"/>
    </w:p>
    <w:p w14:paraId="1B074257">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7E432C2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1E4B693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26EF1671">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kern w:val="0"/>
          <w:sz w:val="24"/>
          <w:szCs w:val="24"/>
          <w:highlight w:val="none"/>
        </w:rPr>
      </w:pPr>
      <w:bookmarkStart w:id="243" w:name="_Toc22431_WPSOffice_Level3"/>
      <w:bookmarkStart w:id="244" w:name="_Toc8325"/>
      <w:bookmarkStart w:id="245" w:name="_Toc486167685"/>
      <w:bookmarkStart w:id="246" w:name="_Toc142508335"/>
      <w:bookmarkStart w:id="247" w:name="_Toc21327"/>
      <w:bookmarkStart w:id="248" w:name="_Toc20835"/>
      <w:bookmarkStart w:id="249" w:name="_Toc450662870"/>
      <w:bookmarkStart w:id="250" w:name="_Toc30287"/>
      <w:r>
        <w:rPr>
          <w:rFonts w:hint="eastAsia" w:ascii="宋体" w:hAnsi="宋体" w:eastAsia="宋体" w:cs="宋体"/>
          <w:color w:val="auto"/>
          <w:szCs w:val="21"/>
          <w:highlight w:val="none"/>
          <w:lang w:val="zh-CN"/>
        </w:rPr>
        <w:t>20 迟交的投标文件</w:t>
      </w:r>
      <w:bookmarkEnd w:id="243"/>
      <w:bookmarkEnd w:id="244"/>
      <w:bookmarkEnd w:id="245"/>
      <w:bookmarkEnd w:id="246"/>
      <w:bookmarkEnd w:id="247"/>
      <w:bookmarkEnd w:id="248"/>
      <w:bookmarkEnd w:id="249"/>
      <w:bookmarkEnd w:id="250"/>
    </w:p>
    <w:p w14:paraId="0CBD9FE3">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00E20239">
      <w:pPr>
        <w:autoSpaceDE w:val="0"/>
        <w:autoSpaceDN w:val="0"/>
        <w:adjustRightInd w:val="0"/>
        <w:jc w:val="left"/>
        <w:rPr>
          <w:rFonts w:hint="eastAsia" w:ascii="宋体" w:hAnsi="宋体" w:eastAsia="宋体" w:cs="宋体"/>
          <w:color w:val="auto"/>
          <w:kern w:val="0"/>
          <w:sz w:val="24"/>
          <w:szCs w:val="24"/>
          <w:highlight w:val="none"/>
        </w:rPr>
      </w:pPr>
    </w:p>
    <w:p w14:paraId="3CC3C74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51" w:name="_Toc450662871"/>
      <w:bookmarkStart w:id="252" w:name="_Toc142508336"/>
      <w:bookmarkStart w:id="253" w:name="_Toc4883_WPSOffice_Level3"/>
      <w:bookmarkStart w:id="254" w:name="_Toc24876"/>
      <w:bookmarkStart w:id="255" w:name="_Toc4038"/>
      <w:bookmarkStart w:id="256" w:name="_Toc27851"/>
      <w:bookmarkStart w:id="257" w:name="_Toc486167686"/>
      <w:bookmarkStart w:id="258" w:name="_Toc3814"/>
      <w:r>
        <w:rPr>
          <w:rFonts w:hint="eastAsia" w:ascii="宋体" w:hAnsi="宋体" w:eastAsia="宋体" w:cs="宋体"/>
          <w:color w:val="auto"/>
          <w:szCs w:val="21"/>
          <w:highlight w:val="none"/>
          <w:lang w:val="zh-CN"/>
        </w:rPr>
        <w:t>21 投标文件的修改和撤回</w:t>
      </w:r>
      <w:bookmarkEnd w:id="251"/>
      <w:bookmarkEnd w:id="252"/>
      <w:bookmarkEnd w:id="253"/>
      <w:bookmarkEnd w:id="254"/>
      <w:bookmarkEnd w:id="255"/>
      <w:bookmarkEnd w:id="256"/>
      <w:bookmarkEnd w:id="257"/>
      <w:bookmarkEnd w:id="258"/>
    </w:p>
    <w:p w14:paraId="477562B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3CD2292">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2D79C15E">
      <w:pPr>
        <w:autoSpaceDE w:val="0"/>
        <w:autoSpaceDN w:val="0"/>
        <w:adjustRightInd w:val="0"/>
        <w:spacing w:line="360" w:lineRule="auto"/>
        <w:ind w:left="357" w:leftChars="-100" w:right="15" w:rightChars="7" w:hanging="567"/>
        <w:outlineLvl w:val="1"/>
        <w:rPr>
          <w:rFonts w:hint="eastAsia" w:ascii="宋体" w:hAnsi="宋体" w:eastAsia="宋体" w:cs="宋体"/>
          <w:color w:val="auto"/>
          <w:szCs w:val="21"/>
          <w:highlight w:val="none"/>
          <w:lang w:val="zh-CN"/>
        </w:rPr>
      </w:pPr>
      <w:bookmarkStart w:id="259" w:name="_Toc18833"/>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bookmarkEnd w:id="259"/>
    </w:p>
    <w:p w14:paraId="0635341E">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5CD7B294">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16779BFB">
      <w:pPr>
        <w:keepNext/>
        <w:keepLines/>
        <w:tabs>
          <w:tab w:val="left" w:pos="509"/>
        </w:tabs>
        <w:autoSpaceDE w:val="0"/>
        <w:autoSpaceDN w:val="0"/>
        <w:adjustRightInd w:val="0"/>
        <w:spacing w:line="360" w:lineRule="auto"/>
        <w:jc w:val="left"/>
        <w:outlineLvl w:val="2"/>
        <w:rPr>
          <w:rFonts w:hint="eastAsia" w:ascii="宋体" w:hAnsi="宋体" w:eastAsia="宋体" w:cs="宋体"/>
          <w:b/>
          <w:bCs/>
          <w:color w:val="auto"/>
          <w:kern w:val="44"/>
          <w:szCs w:val="21"/>
          <w:highlight w:val="none"/>
          <w:lang w:val="zh-CN"/>
        </w:rPr>
      </w:pPr>
      <w:bookmarkStart w:id="260" w:name="_Toc14394"/>
      <w:bookmarkStart w:id="261" w:name="_Toc486167687"/>
      <w:bookmarkStart w:id="262" w:name="_Toc1049_WPSOffice_Level2"/>
      <w:bookmarkStart w:id="263" w:name="_Toc142508337"/>
      <w:bookmarkStart w:id="264" w:name="_Toc20923"/>
      <w:bookmarkStart w:id="265" w:name="_Toc28824"/>
      <w:bookmarkStart w:id="266" w:name="_Toc140596896"/>
      <w:bookmarkStart w:id="267" w:name="_Toc450662872"/>
      <w:bookmarkStart w:id="268" w:name="_Toc30428"/>
      <w:r>
        <w:rPr>
          <w:rFonts w:hint="eastAsia" w:ascii="宋体" w:hAnsi="宋体" w:eastAsia="宋体" w:cs="宋体"/>
          <w:b/>
          <w:bCs/>
          <w:color w:val="auto"/>
          <w:kern w:val="44"/>
          <w:szCs w:val="21"/>
          <w:highlight w:val="none"/>
          <w:lang w:val="zh-CN"/>
        </w:rPr>
        <w:t>五、开标与评标</w:t>
      </w:r>
      <w:bookmarkEnd w:id="260"/>
      <w:bookmarkEnd w:id="261"/>
      <w:bookmarkEnd w:id="262"/>
      <w:bookmarkEnd w:id="263"/>
      <w:bookmarkEnd w:id="264"/>
      <w:bookmarkEnd w:id="265"/>
      <w:bookmarkEnd w:id="266"/>
      <w:bookmarkEnd w:id="267"/>
      <w:bookmarkEnd w:id="268"/>
    </w:p>
    <w:p w14:paraId="651ACA3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69" w:name="_Toc450662873"/>
      <w:bookmarkStart w:id="270" w:name="_Toc11256"/>
      <w:bookmarkStart w:id="271" w:name="_Toc486167688"/>
      <w:bookmarkStart w:id="272" w:name="_Toc8728"/>
      <w:bookmarkStart w:id="273" w:name="_Toc32206"/>
      <w:bookmarkStart w:id="274" w:name="_Toc144_WPSOffice_Level3"/>
      <w:bookmarkStart w:id="275" w:name="_Toc142508338"/>
      <w:bookmarkStart w:id="276" w:name="_Toc16402"/>
      <w:r>
        <w:rPr>
          <w:rFonts w:hint="eastAsia" w:ascii="宋体" w:hAnsi="宋体" w:eastAsia="宋体" w:cs="宋体"/>
          <w:color w:val="auto"/>
          <w:szCs w:val="21"/>
          <w:highlight w:val="none"/>
          <w:lang w:val="zh-CN"/>
        </w:rPr>
        <w:t>22 开标</w:t>
      </w:r>
      <w:bookmarkEnd w:id="269"/>
      <w:bookmarkEnd w:id="270"/>
      <w:bookmarkEnd w:id="271"/>
      <w:bookmarkEnd w:id="272"/>
      <w:bookmarkEnd w:id="273"/>
      <w:bookmarkEnd w:id="274"/>
      <w:bookmarkEnd w:id="275"/>
      <w:bookmarkEnd w:id="276"/>
    </w:p>
    <w:p w14:paraId="2C7F0FA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39CE521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13731B1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10A3E0D">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投标文件的投标报价以数字表示的报价系数与文字表示的报价系数不一致时，以文字表示的报价系数为准。对不同文字文本投标文件的解释发生异议的，以中文文本为准。</w:t>
      </w:r>
    </w:p>
    <w:p w14:paraId="1A5A8EF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4589301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9A3D6C9">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14:paraId="699F450A">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77" w:name="_Toc30013"/>
      <w:bookmarkStart w:id="278" w:name="_Toc12165_WPSOffice_Level3"/>
      <w:bookmarkStart w:id="279" w:name="_Toc142508339"/>
      <w:bookmarkStart w:id="280" w:name="_Toc23059"/>
      <w:bookmarkStart w:id="281" w:name="_Toc450662874"/>
      <w:bookmarkStart w:id="282" w:name="_Toc32534"/>
      <w:bookmarkStart w:id="283" w:name="_Toc486167689"/>
      <w:bookmarkStart w:id="284" w:name="_Toc23491"/>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77"/>
      <w:bookmarkEnd w:id="278"/>
      <w:bookmarkEnd w:id="279"/>
      <w:bookmarkEnd w:id="280"/>
      <w:bookmarkEnd w:id="281"/>
      <w:bookmarkEnd w:id="282"/>
      <w:bookmarkEnd w:id="283"/>
      <w:bookmarkEnd w:id="284"/>
    </w:p>
    <w:p w14:paraId="5E2150F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097DB4A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769E824D">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7655D3CF">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85" w:name="_Toc18693"/>
      <w:bookmarkStart w:id="286" w:name="_Toc486167690"/>
      <w:bookmarkStart w:id="287" w:name="_Toc450662875"/>
      <w:bookmarkStart w:id="288" w:name="_Toc15565_WPSOffice_Level3"/>
      <w:bookmarkStart w:id="289" w:name="_Toc16920"/>
      <w:bookmarkStart w:id="290" w:name="_Toc800"/>
      <w:bookmarkStart w:id="291" w:name="_Toc142508340"/>
      <w:bookmarkStart w:id="292" w:name="_Toc22291"/>
      <w:r>
        <w:rPr>
          <w:rFonts w:hint="eastAsia" w:ascii="宋体" w:hAnsi="宋体" w:eastAsia="宋体" w:cs="宋体"/>
          <w:color w:val="auto"/>
          <w:szCs w:val="21"/>
          <w:highlight w:val="none"/>
          <w:lang w:val="zh-CN"/>
        </w:rPr>
        <w:t>24 评标委员会</w:t>
      </w:r>
      <w:bookmarkEnd w:id="285"/>
      <w:bookmarkEnd w:id="286"/>
      <w:bookmarkEnd w:id="287"/>
      <w:bookmarkEnd w:id="288"/>
      <w:bookmarkEnd w:id="289"/>
      <w:bookmarkEnd w:id="290"/>
      <w:bookmarkEnd w:id="291"/>
      <w:bookmarkEnd w:id="292"/>
    </w:p>
    <w:p w14:paraId="0938B232">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66E1A7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53CA1748">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1DECE3E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293" w:name="_Toc142508341"/>
      <w:bookmarkStart w:id="294" w:name="_Toc8908"/>
      <w:bookmarkStart w:id="295" w:name="_Toc12715"/>
      <w:bookmarkStart w:id="296" w:name="_Toc450662876"/>
      <w:bookmarkStart w:id="297" w:name="_Toc14143"/>
      <w:bookmarkStart w:id="298" w:name="_Toc486167691"/>
      <w:bookmarkStart w:id="299" w:name="_Toc18668"/>
      <w:bookmarkStart w:id="300" w:name="_Toc28910_WPSOffice_Level3"/>
      <w:r>
        <w:rPr>
          <w:rFonts w:hint="eastAsia" w:ascii="宋体" w:hAnsi="宋体" w:eastAsia="宋体" w:cs="宋体"/>
          <w:b/>
          <w:color w:val="auto"/>
          <w:szCs w:val="21"/>
          <w:highlight w:val="none"/>
          <w:lang w:val="zh-CN"/>
        </w:rPr>
        <w:t>25 投标文件的初审</w:t>
      </w:r>
      <w:bookmarkEnd w:id="293"/>
      <w:bookmarkEnd w:id="294"/>
      <w:bookmarkEnd w:id="295"/>
      <w:bookmarkEnd w:id="296"/>
      <w:bookmarkEnd w:id="297"/>
      <w:bookmarkEnd w:id="298"/>
      <w:bookmarkEnd w:id="299"/>
      <w:bookmarkEnd w:id="300"/>
    </w:p>
    <w:p w14:paraId="573EAC67">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57AFFA75">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021D058D">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14:paraId="0E78568E">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01" w:name="_Toc486167692"/>
      <w:bookmarkStart w:id="302" w:name="_Toc4837"/>
      <w:bookmarkStart w:id="303" w:name="_Toc10405"/>
      <w:bookmarkStart w:id="304" w:name="_Toc450662877"/>
      <w:bookmarkStart w:id="305" w:name="_Toc338_WPSOffice_Level3"/>
      <w:bookmarkStart w:id="306" w:name="_Toc30225"/>
      <w:bookmarkStart w:id="307" w:name="_Toc142508342"/>
      <w:bookmarkStart w:id="308" w:name="_Toc19456"/>
      <w:r>
        <w:rPr>
          <w:rFonts w:hint="eastAsia" w:ascii="宋体" w:hAnsi="宋体" w:eastAsia="宋体" w:cs="宋体"/>
          <w:color w:val="auto"/>
          <w:szCs w:val="21"/>
          <w:highlight w:val="none"/>
          <w:lang w:val="zh-CN"/>
        </w:rPr>
        <w:t>26 投标文件的澄清</w:t>
      </w:r>
      <w:bookmarkEnd w:id="301"/>
      <w:bookmarkEnd w:id="302"/>
      <w:bookmarkEnd w:id="303"/>
      <w:bookmarkEnd w:id="304"/>
      <w:bookmarkEnd w:id="305"/>
      <w:bookmarkEnd w:id="306"/>
      <w:bookmarkEnd w:id="307"/>
      <w:bookmarkEnd w:id="308"/>
    </w:p>
    <w:p w14:paraId="3DC605D2">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0B0C4DB">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30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193FD956">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309"/>
    <w:p w14:paraId="52F5D96D">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10" w:name="_Toc30174"/>
      <w:bookmarkStart w:id="311" w:name="_Toc6970"/>
      <w:bookmarkStart w:id="312" w:name="_Toc18368_WPSOffice_Level3"/>
      <w:bookmarkStart w:id="313" w:name="_Toc522047355"/>
      <w:bookmarkStart w:id="314" w:name="_Toc10967"/>
      <w:bookmarkStart w:id="315" w:name="_Toc142508343"/>
      <w:bookmarkStart w:id="316" w:name="_Toc521918096"/>
      <w:bookmarkStart w:id="317" w:name="_Toc22065"/>
      <w:r>
        <w:rPr>
          <w:rFonts w:hint="eastAsia" w:ascii="宋体" w:hAnsi="宋体" w:eastAsia="宋体" w:cs="宋体"/>
          <w:color w:val="auto"/>
          <w:szCs w:val="21"/>
          <w:highlight w:val="none"/>
          <w:lang w:val="zh-CN"/>
        </w:rPr>
        <w:t>27 对投标文件的比较和评价</w:t>
      </w:r>
      <w:bookmarkEnd w:id="310"/>
      <w:bookmarkEnd w:id="311"/>
      <w:bookmarkEnd w:id="312"/>
      <w:bookmarkEnd w:id="313"/>
      <w:bookmarkEnd w:id="314"/>
      <w:bookmarkEnd w:id="315"/>
      <w:bookmarkEnd w:id="316"/>
      <w:bookmarkEnd w:id="317"/>
    </w:p>
    <w:p w14:paraId="40B0B62F">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18C0BB84">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63EB037F">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217B96E1">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3DB7A62A">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2AEF753B">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0F766F1B">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318" w:name="_Toc521918097"/>
      <w:bookmarkStart w:id="319" w:name="_Toc522047356"/>
    </w:p>
    <w:p w14:paraId="353F5724">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20" w:name="_Toc142508344"/>
      <w:bookmarkStart w:id="321" w:name="_Toc21460_WPSOffice_Level3"/>
      <w:bookmarkStart w:id="322" w:name="_Toc25696"/>
      <w:bookmarkStart w:id="323" w:name="_Toc16829"/>
      <w:bookmarkStart w:id="324" w:name="_Toc27026"/>
      <w:bookmarkStart w:id="325" w:name="_Toc14804"/>
      <w:r>
        <w:rPr>
          <w:rFonts w:hint="eastAsia" w:ascii="宋体" w:hAnsi="宋体" w:eastAsia="宋体" w:cs="宋体"/>
          <w:color w:val="auto"/>
          <w:szCs w:val="21"/>
          <w:highlight w:val="none"/>
          <w:lang w:val="zh-CN"/>
        </w:rPr>
        <w:t>28 评标原则及方法</w:t>
      </w:r>
      <w:bookmarkEnd w:id="318"/>
      <w:bookmarkEnd w:id="319"/>
      <w:bookmarkEnd w:id="320"/>
      <w:bookmarkEnd w:id="321"/>
      <w:bookmarkEnd w:id="322"/>
      <w:bookmarkEnd w:id="323"/>
      <w:bookmarkEnd w:id="324"/>
      <w:bookmarkEnd w:id="325"/>
    </w:p>
    <w:p w14:paraId="698FC3DD">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534A0963">
      <w:pPr>
        <w:tabs>
          <w:tab w:val="left" w:pos="360"/>
        </w:tabs>
        <w:autoSpaceDE w:val="0"/>
        <w:autoSpaceDN w:val="0"/>
        <w:adjustRightInd w:val="0"/>
        <w:spacing w:line="360" w:lineRule="auto"/>
        <w:ind w:left="330" w:leftChars="-100" w:right="44" w:rightChars="21" w:hanging="540"/>
        <w:outlineLvl w:val="1"/>
        <w:rPr>
          <w:rFonts w:hint="eastAsia" w:ascii="宋体" w:hAnsi="宋体" w:eastAsia="宋体" w:cs="宋体"/>
          <w:color w:val="auto"/>
          <w:szCs w:val="21"/>
          <w:highlight w:val="none"/>
          <w:lang w:val="zh-CN"/>
        </w:rPr>
      </w:pPr>
      <w:bookmarkStart w:id="326" w:name="_Toc9990"/>
      <w:r>
        <w:rPr>
          <w:rFonts w:hint="eastAsia" w:ascii="宋体" w:hAnsi="宋体" w:eastAsia="宋体" w:cs="宋体"/>
          <w:color w:val="auto"/>
          <w:szCs w:val="21"/>
          <w:highlight w:val="none"/>
          <w:lang w:val="zh-CN"/>
        </w:rPr>
        <w:t>28.2 评标严格按照招标文件的要求和条件进行。</w:t>
      </w:r>
      <w:bookmarkEnd w:id="326"/>
    </w:p>
    <w:p w14:paraId="682B1BED">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4E54DB22">
      <w:pPr>
        <w:spacing w:line="360" w:lineRule="auto"/>
        <w:ind w:left="220" w:leftChars="-93" w:hanging="415" w:hangingChars="198"/>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6D6362BD">
      <w:pPr>
        <w:autoSpaceDE w:val="0"/>
        <w:autoSpaceDN w:val="0"/>
        <w:adjustRightInd w:val="0"/>
        <w:spacing w:line="360" w:lineRule="auto"/>
        <w:ind w:left="441" w:leftChars="-60" w:hanging="567" w:hangingChars="270"/>
        <w:rPr>
          <w:rFonts w:hint="eastAsia" w:ascii="宋体" w:hAnsi="宋体" w:eastAsia="宋体" w:cs="宋体"/>
          <w:color w:val="auto"/>
          <w:szCs w:val="21"/>
          <w:highlight w:val="none"/>
          <w:lang w:val="zh-CN"/>
        </w:rPr>
      </w:pPr>
    </w:p>
    <w:p w14:paraId="7F77D64C">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27" w:name="_Toc17029"/>
      <w:bookmarkStart w:id="328" w:name="_Toc4819"/>
      <w:bookmarkStart w:id="329" w:name="_Toc465358969"/>
      <w:bookmarkStart w:id="330" w:name="_Toc29588"/>
      <w:bookmarkStart w:id="331" w:name="_Toc466882017"/>
      <w:bookmarkStart w:id="332" w:name="_Toc142508345"/>
      <w:bookmarkStart w:id="333" w:name="_Toc486167694"/>
      <w:bookmarkStart w:id="334" w:name="_Toc32498_WPSOffice_Level3"/>
      <w:bookmarkStart w:id="335" w:name="_Toc1161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327"/>
      <w:bookmarkEnd w:id="328"/>
      <w:bookmarkEnd w:id="329"/>
      <w:bookmarkEnd w:id="330"/>
      <w:bookmarkEnd w:id="331"/>
      <w:bookmarkEnd w:id="332"/>
      <w:bookmarkEnd w:id="333"/>
      <w:bookmarkEnd w:id="334"/>
      <w:bookmarkEnd w:id="335"/>
    </w:p>
    <w:p w14:paraId="58EE1DEA">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7D1FD656">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14:paraId="115A2BFE">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7E9A13CF">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31313318">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DF4203D">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650EE23">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354E34D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2653D68D">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1A4F15B5">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136DD06">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6360FE2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52290498">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58BE812F">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086F28F3">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14:paraId="14626D2C">
      <w:pPr>
        <w:tabs>
          <w:tab w:val="left" w:pos="567"/>
        </w:tabs>
        <w:autoSpaceDE w:val="0"/>
        <w:autoSpaceDN w:val="0"/>
        <w:adjustRightInd w:val="0"/>
        <w:spacing w:line="360" w:lineRule="auto"/>
        <w:ind w:left="288" w:leftChars="-100" w:hanging="498" w:hangingChars="236"/>
        <w:outlineLvl w:val="0"/>
        <w:rPr>
          <w:rFonts w:hint="eastAsia" w:ascii="宋体" w:hAnsi="宋体" w:eastAsia="宋体" w:cs="宋体"/>
          <w:b/>
          <w:color w:val="auto"/>
          <w:szCs w:val="21"/>
          <w:highlight w:val="none"/>
          <w:lang w:val="zh-CN"/>
        </w:rPr>
      </w:pPr>
      <w:bookmarkStart w:id="336" w:name="_Toc466882018"/>
      <w:bookmarkStart w:id="337" w:name="_Toc142508346"/>
      <w:bookmarkStart w:id="338" w:name="_Toc486167695"/>
      <w:bookmarkStart w:id="339" w:name="_Toc23528"/>
      <w:bookmarkStart w:id="340" w:name="_Toc2077"/>
      <w:bookmarkStart w:id="341" w:name="_Toc26354"/>
      <w:bookmarkStart w:id="342" w:name="_Toc465358970"/>
      <w:bookmarkStart w:id="343" w:name="_Toc1848_WPSOffice_Level3"/>
      <w:bookmarkStart w:id="344" w:name="_Toc3154"/>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36"/>
      <w:bookmarkEnd w:id="337"/>
      <w:bookmarkEnd w:id="338"/>
      <w:bookmarkEnd w:id="339"/>
      <w:bookmarkEnd w:id="340"/>
      <w:bookmarkEnd w:id="341"/>
      <w:bookmarkEnd w:id="342"/>
      <w:bookmarkEnd w:id="343"/>
      <w:bookmarkEnd w:id="344"/>
    </w:p>
    <w:p w14:paraId="579457E2">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6632C3A">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6893B48">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5BB9217E">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345" w:name="_Toc465358971"/>
      <w:bookmarkStart w:id="346" w:name="_Toc466882019"/>
    </w:p>
    <w:p w14:paraId="7C0178C1">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Cs w:val="21"/>
          <w:highlight w:val="none"/>
          <w:lang w:val="zh-CN"/>
        </w:rPr>
      </w:pPr>
      <w:bookmarkStart w:id="347" w:name="_Toc15815"/>
      <w:bookmarkStart w:id="348" w:name="_Toc23672"/>
      <w:bookmarkStart w:id="349" w:name="_Toc142508347"/>
      <w:bookmarkStart w:id="350" w:name="_Toc18827"/>
      <w:bookmarkStart w:id="351" w:name="_Toc486167696"/>
      <w:bookmarkStart w:id="352" w:name="_Toc8654"/>
      <w:bookmarkStart w:id="353"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45"/>
      <w:bookmarkEnd w:id="346"/>
      <w:bookmarkEnd w:id="347"/>
      <w:bookmarkEnd w:id="348"/>
      <w:bookmarkEnd w:id="349"/>
      <w:bookmarkEnd w:id="350"/>
      <w:bookmarkEnd w:id="351"/>
      <w:bookmarkEnd w:id="352"/>
      <w:bookmarkEnd w:id="353"/>
    </w:p>
    <w:p w14:paraId="0E84386D">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F0615AC">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354" w:name="_Toc450662880"/>
    </w:p>
    <w:p w14:paraId="1E306BAE">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355" w:name="_Toc11941"/>
      <w:bookmarkStart w:id="356" w:name="_Toc142508348"/>
      <w:bookmarkStart w:id="357" w:name="_Toc486167697"/>
      <w:bookmarkStart w:id="358" w:name="_Toc27936"/>
      <w:bookmarkStart w:id="359" w:name="_Toc16789"/>
      <w:bookmarkStart w:id="360" w:name="_Toc6889"/>
      <w:bookmarkStart w:id="361" w:name="_Toc140596907"/>
      <w:bookmarkStart w:id="362" w:name="_Toc16848_WPSOffice_Level2"/>
      <w:r>
        <w:rPr>
          <w:rFonts w:hint="eastAsia" w:ascii="宋体" w:hAnsi="宋体" w:eastAsia="宋体" w:cs="宋体"/>
          <w:b/>
          <w:bCs/>
          <w:color w:val="auto"/>
          <w:kern w:val="44"/>
          <w:szCs w:val="21"/>
          <w:highlight w:val="none"/>
          <w:lang w:val="zh-CN"/>
        </w:rPr>
        <w:t>六、授予合同</w:t>
      </w:r>
      <w:bookmarkEnd w:id="354"/>
      <w:bookmarkEnd w:id="355"/>
      <w:bookmarkEnd w:id="356"/>
      <w:bookmarkEnd w:id="357"/>
      <w:bookmarkEnd w:id="358"/>
      <w:bookmarkEnd w:id="359"/>
      <w:bookmarkEnd w:id="360"/>
      <w:bookmarkEnd w:id="361"/>
      <w:bookmarkEnd w:id="362"/>
    </w:p>
    <w:p w14:paraId="5273784A">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63" w:name="_Toc142508349"/>
      <w:bookmarkStart w:id="364" w:name="_Toc31713"/>
      <w:bookmarkStart w:id="365" w:name="_Toc16622"/>
      <w:bookmarkStart w:id="366" w:name="_Toc29383"/>
      <w:bookmarkStart w:id="367" w:name="_Toc486167698"/>
      <w:bookmarkStart w:id="368" w:name="_Toc6401_WPSOffice_Level3"/>
      <w:bookmarkStart w:id="369" w:name="_Toc9067"/>
      <w:bookmarkStart w:id="370" w:name="_Toc450662881"/>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63"/>
      <w:bookmarkEnd w:id="364"/>
      <w:bookmarkEnd w:id="365"/>
      <w:bookmarkEnd w:id="366"/>
      <w:bookmarkEnd w:id="367"/>
      <w:bookmarkEnd w:id="368"/>
      <w:bookmarkEnd w:id="369"/>
      <w:bookmarkEnd w:id="370"/>
    </w:p>
    <w:p w14:paraId="5924A5E1">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145A2EF8">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25E9707E">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2D214636">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71" w:name="_Toc450662885"/>
    </w:p>
    <w:p w14:paraId="286E7EA9">
      <w:pPr>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72" w:name="_Toc18984"/>
      <w:bookmarkStart w:id="373" w:name="_Toc142508350"/>
      <w:bookmarkStart w:id="374" w:name="_Toc6726_WPSOffice_Level3"/>
      <w:bookmarkStart w:id="375" w:name="_Toc1456"/>
      <w:bookmarkStart w:id="376" w:name="_Toc8196"/>
      <w:bookmarkStart w:id="377" w:name="_Toc486167699"/>
      <w:bookmarkStart w:id="378" w:name="_Toc14377"/>
      <w:r>
        <w:rPr>
          <w:rFonts w:hint="eastAsia" w:ascii="宋体" w:hAnsi="宋体" w:eastAsia="宋体" w:cs="宋体"/>
          <w:color w:val="auto"/>
          <w:szCs w:val="21"/>
          <w:highlight w:val="none"/>
          <w:lang w:val="zh-CN"/>
        </w:rPr>
        <w:t>33 中标通知</w:t>
      </w:r>
      <w:bookmarkEnd w:id="371"/>
      <w:bookmarkEnd w:id="372"/>
      <w:bookmarkEnd w:id="373"/>
      <w:bookmarkEnd w:id="374"/>
      <w:bookmarkEnd w:id="375"/>
      <w:bookmarkEnd w:id="376"/>
      <w:bookmarkEnd w:id="377"/>
      <w:bookmarkEnd w:id="378"/>
    </w:p>
    <w:p w14:paraId="11410C2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79"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099E42C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25F8B8E3">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7A4E30F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80" w:name="_Toc1331"/>
      <w:bookmarkStart w:id="381" w:name="_Toc19127"/>
      <w:bookmarkStart w:id="382" w:name="_Toc486167700"/>
      <w:bookmarkStart w:id="383" w:name="_Toc9694_WPSOffice_Level3"/>
      <w:bookmarkStart w:id="384" w:name="_Toc28020"/>
      <w:bookmarkStart w:id="385" w:name="_Toc17256"/>
      <w:bookmarkStart w:id="386" w:name="_Toc142508351"/>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79"/>
      <w:bookmarkEnd w:id="380"/>
      <w:bookmarkEnd w:id="381"/>
      <w:bookmarkEnd w:id="382"/>
      <w:bookmarkEnd w:id="383"/>
      <w:bookmarkEnd w:id="384"/>
      <w:bookmarkEnd w:id="385"/>
      <w:bookmarkEnd w:id="386"/>
    </w:p>
    <w:p w14:paraId="0CEB7785">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22EED774">
      <w:pPr>
        <w:tabs>
          <w:tab w:val="left" w:pos="540"/>
        </w:tabs>
        <w:autoSpaceDE w:val="0"/>
        <w:autoSpaceDN w:val="0"/>
        <w:adjustRightInd w:val="0"/>
        <w:spacing w:line="360" w:lineRule="auto"/>
        <w:ind w:left="330" w:leftChars="-100" w:right="15" w:rightChars="7" w:hanging="54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以数字表示的报价系数与文字表示的报价系数不一致时，以文字表示的报价系数为准。经双方确认后，作为合同文件的组成部分。</w:t>
      </w:r>
    </w:p>
    <w:p w14:paraId="1EE7B422">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7BBC6C79">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87" w:name="_Toc10513_WPSOffice_Level3"/>
      <w:bookmarkStart w:id="388" w:name="_Toc486167701"/>
      <w:bookmarkStart w:id="389" w:name="_Toc5370"/>
      <w:bookmarkStart w:id="390" w:name="_Toc3830"/>
      <w:bookmarkStart w:id="391" w:name="_Toc142508352"/>
      <w:bookmarkStart w:id="392" w:name="_Toc450662887"/>
      <w:bookmarkStart w:id="393" w:name="_Toc8181"/>
      <w:bookmarkStart w:id="394" w:name="_Toc5304"/>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87"/>
      <w:bookmarkEnd w:id="388"/>
      <w:bookmarkEnd w:id="389"/>
      <w:bookmarkEnd w:id="390"/>
      <w:bookmarkEnd w:id="391"/>
      <w:bookmarkEnd w:id="392"/>
      <w:bookmarkEnd w:id="393"/>
      <w:bookmarkEnd w:id="394"/>
    </w:p>
    <w:p w14:paraId="19261D66">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bookmarkStart w:id="395" w:name="_Toc466882025"/>
      <w:bookmarkStart w:id="396"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w:t>
      </w:r>
      <w:r>
        <w:rPr>
          <w:rFonts w:hint="eastAsia" w:ascii="宋体" w:hAnsi="宋体" w:eastAsia="宋体" w:cs="宋体"/>
          <w:b/>
          <w:bCs/>
          <w:color w:val="auto"/>
          <w:szCs w:val="21"/>
          <w:highlight w:val="none"/>
          <w:u w:val="single"/>
          <w:lang w:val="en-US" w:eastAsia="zh-CN"/>
        </w:rPr>
        <w:t>人民币46,000.00元</w:t>
      </w:r>
      <w:r>
        <w:rPr>
          <w:rFonts w:hint="eastAsia" w:ascii="宋体" w:hAnsi="宋体" w:eastAsia="宋体" w:cs="宋体"/>
          <w:b/>
          <w:bCs/>
          <w:color w:val="auto"/>
          <w:szCs w:val="21"/>
          <w:highlight w:val="none"/>
          <w:u w:val="single"/>
          <w:lang w:val="zh-CN"/>
        </w:rPr>
        <w:t>，采用不可撤销银行履约保函形式的金额为</w:t>
      </w:r>
      <w:r>
        <w:rPr>
          <w:rFonts w:hint="eastAsia" w:ascii="宋体" w:hAnsi="宋体" w:eastAsia="宋体" w:cs="宋体"/>
          <w:b/>
          <w:bCs/>
          <w:color w:val="auto"/>
          <w:szCs w:val="21"/>
          <w:highlight w:val="none"/>
          <w:u w:val="single"/>
          <w:lang w:val="en-US" w:eastAsia="zh-CN"/>
        </w:rPr>
        <w:t>人民币736,000.00元</w:t>
      </w:r>
      <w:r>
        <w:rPr>
          <w:rFonts w:hint="eastAsia" w:ascii="宋体" w:hAnsi="宋体" w:eastAsia="宋体" w:cs="宋体"/>
          <w:b/>
          <w:bCs/>
          <w:color w:val="auto"/>
          <w:szCs w:val="21"/>
          <w:highlight w:val="none"/>
          <w:u w:val="single"/>
          <w:lang w:val="zh-CN"/>
        </w:rPr>
        <w:t>，采用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w:t>
      </w:r>
      <w:r>
        <w:rPr>
          <w:rFonts w:hint="eastAsia" w:ascii="宋体" w:hAnsi="宋体" w:eastAsia="宋体" w:cs="宋体"/>
          <w:b/>
          <w:bCs/>
          <w:color w:val="auto"/>
          <w:szCs w:val="21"/>
          <w:highlight w:val="none"/>
          <w:u w:val="single"/>
          <w:lang w:val="en-US" w:eastAsia="zh-CN"/>
        </w:rPr>
        <w:t>人民币736,000.00元</w:t>
      </w:r>
      <w:r>
        <w:rPr>
          <w:rFonts w:hint="eastAsia" w:ascii="宋体" w:hAnsi="宋体" w:eastAsia="宋体" w:cs="宋体"/>
          <w:b/>
          <w:bCs/>
          <w:color w:val="auto"/>
          <w:szCs w:val="21"/>
          <w:highlight w:val="none"/>
          <w:u w:val="single"/>
          <w:lang w:val="zh-CN"/>
        </w:rPr>
        <w:t>，采用担保公司履约担保书形式的金额为</w:t>
      </w:r>
      <w:r>
        <w:rPr>
          <w:rFonts w:hint="eastAsia" w:ascii="宋体" w:hAnsi="宋体" w:eastAsia="宋体" w:cs="宋体"/>
          <w:b/>
          <w:bCs/>
          <w:color w:val="auto"/>
          <w:szCs w:val="21"/>
          <w:highlight w:val="none"/>
          <w:u w:val="single"/>
          <w:lang w:val="en-US" w:eastAsia="zh-CN"/>
        </w:rPr>
        <w:t>人民币92,000.00元</w:t>
      </w:r>
      <w:r>
        <w:rPr>
          <w:rFonts w:hint="eastAsia" w:ascii="宋体" w:hAnsi="宋体" w:eastAsia="宋体" w:cs="宋体"/>
          <w:b/>
          <w:bCs/>
          <w:color w:val="auto"/>
          <w:szCs w:val="21"/>
          <w:highlight w:val="none"/>
          <w:u w:val="single"/>
          <w:lang w:val="zh-CN"/>
        </w:rPr>
        <w:t>。</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14:paraId="53F59B0A">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14:paraId="4963B1A5">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14:paraId="7445231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14:paraId="323366F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14:paraId="1F49F766">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14:paraId="4EEE090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14:paraId="66BEC79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14:paraId="2EDA6D64">
      <w:pPr>
        <w:tabs>
          <w:tab w:val="left" w:pos="360"/>
          <w:tab w:val="left" w:pos="4725"/>
        </w:tabs>
        <w:autoSpaceDE w:val="0"/>
        <w:autoSpaceDN w:val="0"/>
        <w:adjustRightInd w:val="0"/>
        <w:spacing w:line="360" w:lineRule="auto"/>
        <w:ind w:left="315" w:leftChars="-100" w:hanging="525" w:hangingChars="250"/>
        <w:jc w:val="left"/>
        <w:outlineLvl w:val="1"/>
        <w:rPr>
          <w:rFonts w:hint="eastAsia" w:ascii="宋体" w:hAnsi="宋体" w:eastAsia="宋体" w:cs="宋体"/>
          <w:color w:val="auto"/>
          <w:kern w:val="0"/>
          <w:szCs w:val="21"/>
          <w:highlight w:val="none"/>
        </w:rPr>
      </w:pPr>
      <w:bookmarkStart w:id="397" w:name="_Toc13311"/>
      <w:r>
        <w:rPr>
          <w:rFonts w:hint="eastAsia" w:ascii="宋体" w:hAnsi="宋体" w:eastAsia="宋体" w:cs="宋体"/>
          <w:color w:val="auto"/>
          <w:kern w:val="0"/>
          <w:szCs w:val="21"/>
          <w:highlight w:val="none"/>
        </w:rPr>
        <w:t>35.3  履约担保应符合如下规定：</w:t>
      </w:r>
      <w:bookmarkEnd w:id="397"/>
    </w:p>
    <w:p w14:paraId="7BACCFE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14:paraId="1AD0DF1B">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履约担保书），须事先经招标人的书面同意。</w:t>
      </w:r>
    </w:p>
    <w:p w14:paraId="3CE014A5">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284E94BF">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到期后中标人未按招标人要求重新提供的，招标人有权要求中标人以履约担保金额为限承担违约金，违约金可直接从未付采购合同费用中扣除。</w:t>
      </w:r>
    </w:p>
    <w:p w14:paraId="110C04C8">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15C823B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（6）不可撤销银行履约保函（或履约保证保险或担保公司履约担保书）应从合同签订之日起至合同期限届满并且中标人完成本合同及本合同下所有补充协议的全部服务义务后二十八（28）日内保持有效</w:t>
      </w:r>
      <w:r>
        <w:rPr>
          <w:rFonts w:hint="eastAsia" w:ascii="宋体" w:hAnsi="宋体" w:eastAsia="宋体" w:cs="宋体"/>
          <w:color w:val="auto"/>
          <w:kern w:val="0"/>
          <w:szCs w:val="21"/>
          <w:highlight w:val="none"/>
          <w:lang w:eastAsia="zh-CN"/>
        </w:rPr>
        <w:t>。</w:t>
      </w:r>
    </w:p>
    <w:p w14:paraId="6858BE66">
      <w:pPr>
        <w:tabs>
          <w:tab w:val="left" w:pos="360"/>
          <w:tab w:val="left" w:pos="4725"/>
        </w:tabs>
        <w:autoSpaceDE w:val="0"/>
        <w:autoSpaceDN w:val="0"/>
        <w:adjustRightInd w:val="0"/>
        <w:spacing w:line="360" w:lineRule="auto"/>
        <w:ind w:left="315" w:leftChars="-100" w:hanging="525" w:hangingChars="250"/>
        <w:jc w:val="left"/>
        <w:outlineLvl w:val="1"/>
        <w:rPr>
          <w:rFonts w:hint="eastAsia" w:ascii="宋体" w:hAnsi="宋体" w:eastAsia="宋体" w:cs="宋体"/>
          <w:color w:val="auto"/>
          <w:kern w:val="0"/>
          <w:szCs w:val="21"/>
          <w:highlight w:val="none"/>
        </w:rPr>
      </w:pPr>
      <w:bookmarkStart w:id="398" w:name="_Toc16367"/>
      <w:r>
        <w:rPr>
          <w:rFonts w:hint="eastAsia" w:ascii="宋体" w:hAnsi="宋体" w:eastAsia="宋体" w:cs="宋体"/>
          <w:color w:val="auto"/>
          <w:kern w:val="0"/>
          <w:szCs w:val="21"/>
          <w:highlight w:val="none"/>
        </w:rPr>
        <w:t>35.4  履约保证金应用本合同货币。</w:t>
      </w:r>
      <w:bookmarkEnd w:id="398"/>
    </w:p>
    <w:p w14:paraId="79566E9C">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0B207712">
      <w:pPr>
        <w:tabs>
          <w:tab w:val="left" w:pos="360"/>
          <w:tab w:val="left" w:pos="4725"/>
        </w:tabs>
        <w:autoSpaceDE w:val="0"/>
        <w:autoSpaceDN w:val="0"/>
        <w:adjustRightInd w:val="0"/>
        <w:spacing w:line="360" w:lineRule="auto"/>
        <w:ind w:firstLine="632" w:firstLineChars="300"/>
        <w:jc w:val="left"/>
        <w:outlineLvl w:val="0"/>
        <w:rPr>
          <w:rFonts w:hint="eastAsia" w:ascii="宋体" w:hAnsi="宋体" w:eastAsia="宋体" w:cs="宋体"/>
          <w:b/>
          <w:color w:val="auto"/>
          <w:kern w:val="0"/>
          <w:szCs w:val="21"/>
          <w:highlight w:val="none"/>
        </w:rPr>
      </w:pPr>
      <w:bookmarkStart w:id="399" w:name="_Toc13460"/>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bookmarkEnd w:id="399"/>
    </w:p>
    <w:p w14:paraId="24E2BF25">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开户名称：东莞市水务集团供水有限公司</w:t>
      </w:r>
    </w:p>
    <w:p w14:paraId="4D598601">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银行账号：4400 1778 8080 5999 9998</w:t>
      </w:r>
    </w:p>
    <w:p w14:paraId="5623D9B8">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开户银行：建行东莞分行营业部</w:t>
      </w:r>
    </w:p>
    <w:p w14:paraId="1BFDDD22">
      <w:pPr>
        <w:autoSpaceDE w:val="0"/>
        <w:autoSpaceDN w:val="0"/>
        <w:adjustRightInd w:val="0"/>
        <w:spacing w:line="360" w:lineRule="auto"/>
        <w:ind w:left="420" w:leftChars="-100" w:hanging="630" w:hanging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08B85A2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宋体"/>
          <w:color w:val="auto"/>
          <w:kern w:val="0"/>
          <w:szCs w:val="21"/>
          <w:highlight w:val="none"/>
          <w:lang w:val="en-US" w:eastAsia="zh-CN"/>
        </w:rPr>
        <w:t>结算完毕</w:t>
      </w:r>
      <w:r>
        <w:rPr>
          <w:rFonts w:hint="eastAsia" w:ascii="宋体" w:hAnsi="宋体" w:eastAsia="宋体" w:cs="宋体"/>
          <w:color w:val="auto"/>
          <w:kern w:val="0"/>
          <w:szCs w:val="21"/>
          <w:highlight w:val="none"/>
        </w:rPr>
        <w:t>后，经招标人确认，中标人可向招标人提交退回履约担保的申请。招标人审核无异议后，办理履约担保退还手续，退回时一律以银行转账的形式无息退回到中标人的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5566258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67817092">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400" w:name="_Toc486167702"/>
      <w:bookmarkStart w:id="401" w:name="_Toc10548"/>
      <w:bookmarkStart w:id="402" w:name="_Toc21238"/>
      <w:bookmarkStart w:id="403" w:name="_Toc27162"/>
      <w:bookmarkStart w:id="404" w:name="_Toc142508353"/>
      <w:bookmarkStart w:id="405" w:name="_Toc9976"/>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95"/>
      <w:bookmarkEnd w:id="396"/>
      <w:bookmarkEnd w:id="400"/>
      <w:bookmarkEnd w:id="401"/>
      <w:bookmarkEnd w:id="402"/>
      <w:bookmarkEnd w:id="403"/>
      <w:bookmarkEnd w:id="404"/>
      <w:bookmarkEnd w:id="405"/>
    </w:p>
    <w:p w14:paraId="18D9CD15">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14:paraId="06E8CD86">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06" w:name="_Toc450662888"/>
    </w:p>
    <w:p w14:paraId="4DE7A152">
      <w:pPr>
        <w:tabs>
          <w:tab w:val="left" w:pos="46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407" w:name="_Toc28921_WPSOffice_Level3"/>
      <w:bookmarkStart w:id="408" w:name="_Toc26429"/>
      <w:bookmarkStart w:id="409" w:name="_Toc29140"/>
      <w:bookmarkStart w:id="410" w:name="_Toc486167703"/>
      <w:bookmarkStart w:id="411" w:name="_Toc2401"/>
      <w:bookmarkStart w:id="412" w:name="_Toc142508354"/>
      <w:bookmarkStart w:id="413" w:name="_Toc23218"/>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406"/>
      <w:bookmarkEnd w:id="407"/>
      <w:bookmarkEnd w:id="408"/>
      <w:bookmarkEnd w:id="409"/>
      <w:bookmarkEnd w:id="410"/>
      <w:bookmarkEnd w:id="411"/>
      <w:bookmarkEnd w:id="412"/>
      <w:bookmarkEnd w:id="413"/>
    </w:p>
    <w:p w14:paraId="50CF21F8">
      <w:pPr>
        <w:autoSpaceDE w:val="0"/>
        <w:autoSpaceDN w:val="0"/>
        <w:adjustRightInd w:val="0"/>
        <w:spacing w:line="360" w:lineRule="auto"/>
        <w:ind w:left="357" w:leftChars="-100" w:hanging="567" w:hangingChars="270"/>
        <w:jc w:val="left"/>
        <w:outlineLvl w:val="1"/>
        <w:rPr>
          <w:rFonts w:hint="eastAsia" w:ascii="宋体" w:hAnsi="宋体" w:eastAsia="宋体" w:cs="宋体"/>
          <w:color w:val="auto"/>
          <w:kern w:val="0"/>
          <w:szCs w:val="21"/>
          <w:highlight w:val="none"/>
        </w:rPr>
      </w:pPr>
      <w:bookmarkStart w:id="414" w:name="_Toc6752"/>
      <w:r>
        <w:rPr>
          <w:rFonts w:hint="eastAsia" w:ascii="宋体" w:hAnsi="宋体" w:eastAsia="宋体" w:cs="宋体"/>
          <w:color w:val="auto"/>
          <w:szCs w:val="21"/>
          <w:highlight w:val="none"/>
          <w:lang w:val="zh-CN"/>
        </w:rPr>
        <w:t>37.1 本项目中标服务费由招标人向招标代理机构支付。</w:t>
      </w:r>
      <w:bookmarkEnd w:id="414"/>
    </w:p>
    <w:p w14:paraId="47CAF1DC">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15" w:name="_Toc450662889"/>
    </w:p>
    <w:p w14:paraId="40229483">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416" w:name="_Toc6764_WPSOffice_Level3"/>
      <w:bookmarkStart w:id="417" w:name="_Toc21757"/>
      <w:bookmarkStart w:id="418" w:name="_Toc142508355"/>
      <w:bookmarkStart w:id="419" w:name="_Toc21985"/>
      <w:bookmarkStart w:id="420" w:name="_Toc486167704"/>
      <w:bookmarkStart w:id="421" w:name="_Toc30645"/>
      <w:bookmarkStart w:id="422" w:name="_Toc6796"/>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15"/>
      <w:bookmarkEnd w:id="416"/>
      <w:bookmarkEnd w:id="417"/>
      <w:bookmarkEnd w:id="418"/>
      <w:bookmarkEnd w:id="419"/>
      <w:bookmarkEnd w:id="420"/>
      <w:bookmarkEnd w:id="421"/>
      <w:bookmarkEnd w:id="422"/>
    </w:p>
    <w:p w14:paraId="6DA7FA4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23" w:name="_Toc31106_WPSOffice_Level3"/>
      <w:bookmarkStart w:id="424" w:name="_Toc486167705"/>
      <w:r>
        <w:rPr>
          <w:rFonts w:hint="eastAsia" w:ascii="宋体" w:hAnsi="宋体" w:eastAsia="宋体" w:cs="宋体"/>
          <w:color w:val="auto"/>
          <w:szCs w:val="21"/>
          <w:highlight w:val="none"/>
          <w:lang w:val="zh-CN"/>
        </w:rPr>
        <w:t>该项目获得中标的中标人在执行合同过程中，向招标人（或招标人的权属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公司）出具的发票类型为增值税</w:t>
      </w:r>
      <w:r>
        <w:rPr>
          <w:rFonts w:hint="eastAsia" w:ascii="宋体" w:hAnsi="宋体" w:eastAsia="宋体" w:cs="宋体"/>
          <w:color w:val="auto"/>
          <w:szCs w:val="21"/>
          <w:highlight w:val="none"/>
          <w:lang w:val="zh-CN" w:eastAsia="zh-CN"/>
        </w:rPr>
        <w:t>普通</w:t>
      </w:r>
      <w:r>
        <w:rPr>
          <w:rFonts w:hint="eastAsia" w:ascii="宋体" w:hAnsi="宋体" w:eastAsia="宋体" w:cs="宋体"/>
          <w:color w:val="auto"/>
          <w:szCs w:val="21"/>
          <w:highlight w:val="none"/>
          <w:lang w:val="zh-CN"/>
        </w:rPr>
        <w:t>发票。</w:t>
      </w:r>
    </w:p>
    <w:p w14:paraId="720F3496">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6BFE655C">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rPr>
      </w:pPr>
      <w:bookmarkStart w:id="425" w:name="_Toc26484"/>
      <w:bookmarkStart w:id="426" w:name="_Toc27075"/>
      <w:bookmarkStart w:id="427" w:name="_Toc142508356"/>
      <w:bookmarkStart w:id="428" w:name="_Toc8619"/>
      <w:bookmarkStart w:id="429" w:name="_Toc24547"/>
      <w:r>
        <w:rPr>
          <w:rFonts w:hint="eastAsia" w:ascii="宋体" w:hAnsi="宋体" w:eastAsia="宋体" w:cs="宋体"/>
          <w:b/>
          <w:color w:val="auto"/>
          <w:szCs w:val="21"/>
          <w:highlight w:val="none"/>
        </w:rPr>
        <w:t>39 招标相关补充约定</w:t>
      </w:r>
      <w:bookmarkEnd w:id="425"/>
      <w:bookmarkEnd w:id="426"/>
      <w:bookmarkEnd w:id="427"/>
      <w:bookmarkEnd w:id="428"/>
      <w:bookmarkEnd w:id="429"/>
    </w:p>
    <w:p w14:paraId="389D0D52">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14:paraId="4FD0DCB7">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41B52B20">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rPr>
      </w:pPr>
      <w:bookmarkStart w:id="430" w:name="_Toc29758"/>
      <w:bookmarkStart w:id="431" w:name="_Toc6895"/>
      <w:bookmarkStart w:id="432" w:name="_Toc26594"/>
      <w:bookmarkStart w:id="433" w:name="_Toc5205"/>
      <w:bookmarkStart w:id="434" w:name="_Toc142508357"/>
      <w:r>
        <w:rPr>
          <w:rFonts w:hint="eastAsia" w:ascii="宋体" w:hAnsi="宋体" w:eastAsia="宋体" w:cs="宋体"/>
          <w:color w:val="auto"/>
          <w:szCs w:val="21"/>
          <w:highlight w:val="none"/>
        </w:rPr>
        <w:t>40 本次招标活动的最终解释权归招标代理机构及招标人所有。</w:t>
      </w:r>
      <w:bookmarkEnd w:id="423"/>
      <w:bookmarkEnd w:id="424"/>
      <w:bookmarkEnd w:id="430"/>
      <w:bookmarkEnd w:id="431"/>
      <w:bookmarkEnd w:id="432"/>
      <w:bookmarkEnd w:id="433"/>
      <w:bookmarkEnd w:id="434"/>
    </w:p>
    <w:p w14:paraId="57460CF0">
      <w:pPr>
        <w:pageBreakBefore/>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435" w:name="_Toc27275"/>
      <w:bookmarkStart w:id="436" w:name="_Toc486167706"/>
      <w:bookmarkStart w:id="437" w:name="_Toc21446"/>
      <w:bookmarkStart w:id="438" w:name="_Toc450662891"/>
      <w:bookmarkStart w:id="439" w:name="_Toc4386"/>
      <w:bookmarkStart w:id="440" w:name="_Toc14879"/>
      <w:bookmarkStart w:id="441" w:name="_Toc142508358"/>
      <w:bookmarkStart w:id="442" w:name="_Toc27939_WPSOffice_Level1"/>
      <w:r>
        <w:rPr>
          <w:rFonts w:hint="eastAsia" w:ascii="宋体" w:hAnsi="宋体" w:eastAsia="宋体" w:cs="宋体"/>
          <w:b/>
          <w:bCs/>
          <w:color w:val="auto"/>
          <w:kern w:val="44"/>
          <w:sz w:val="32"/>
          <w:szCs w:val="32"/>
          <w:highlight w:val="none"/>
          <w:lang w:val="zh-CN"/>
        </w:rPr>
        <w:t>第三篇 用户需求书</w:t>
      </w:r>
      <w:bookmarkEnd w:id="435"/>
      <w:bookmarkEnd w:id="436"/>
      <w:bookmarkEnd w:id="437"/>
      <w:bookmarkEnd w:id="438"/>
      <w:bookmarkEnd w:id="439"/>
      <w:bookmarkEnd w:id="440"/>
      <w:bookmarkEnd w:id="441"/>
      <w:bookmarkEnd w:id="442"/>
    </w:p>
    <w:p w14:paraId="27BCE9BD">
      <w:pPr>
        <w:keepNext w:val="0"/>
        <w:keepLines w:val="0"/>
        <w:pageBreakBefore w:val="0"/>
        <w:widowControl/>
        <w:kinsoku/>
        <w:wordWrap/>
        <w:overflowPunct/>
        <w:topLinePunct/>
        <w:autoSpaceDE/>
        <w:autoSpaceDN/>
        <w:bidi w:val="0"/>
        <w:adjustRightInd w:val="0"/>
        <w:snapToGrid w:val="0"/>
        <w:spacing w:line="360" w:lineRule="auto"/>
        <w:ind w:left="432"/>
        <w:jc w:val="left"/>
        <w:textAlignment w:val="baseline"/>
        <w:outlineLvl w:val="1"/>
        <w:rPr>
          <w:rFonts w:hint="eastAsia" w:ascii="宋体" w:hAnsi="宋体" w:eastAsia="宋体" w:cs="宋体"/>
          <w:snapToGrid w:val="0"/>
          <w:color w:val="auto"/>
          <w:spacing w:val="0"/>
          <w:kern w:val="0"/>
          <w:sz w:val="21"/>
          <w:szCs w:val="21"/>
          <w:highlight w:val="none"/>
          <w:lang w:val="en-US" w:eastAsia="en-US" w:bidi="ar-SA"/>
        </w:rPr>
      </w:pPr>
      <w:bookmarkStart w:id="443" w:name="_Toc9987"/>
      <w:r>
        <w:rPr>
          <w:rFonts w:hint="eastAsia" w:ascii="宋体" w:hAnsi="宋体" w:eastAsia="宋体" w:cs="宋体"/>
          <w:b/>
          <w:bCs/>
          <w:snapToGrid w:val="0"/>
          <w:color w:val="auto"/>
          <w:spacing w:val="0"/>
          <w:kern w:val="0"/>
          <w:sz w:val="21"/>
          <w:szCs w:val="21"/>
          <w:highlight w:val="none"/>
          <w:lang w:val="en-US" w:eastAsia="en-US" w:bidi="ar-SA"/>
        </w:rPr>
        <w:t>一、项目概况</w:t>
      </w:r>
      <w:bookmarkEnd w:id="443"/>
    </w:p>
    <w:p w14:paraId="62C55750">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en-US" w:bidi="ar-SA"/>
        </w:rPr>
        <w:t>东莞市</w:t>
      </w:r>
      <w:r>
        <w:rPr>
          <w:rFonts w:hint="eastAsia" w:ascii="宋体" w:hAnsi="宋体" w:eastAsia="宋体" w:cs="宋体"/>
          <w:snapToGrid w:val="0"/>
          <w:color w:val="auto"/>
          <w:spacing w:val="0"/>
          <w:kern w:val="0"/>
          <w:sz w:val="21"/>
          <w:szCs w:val="21"/>
          <w:highlight w:val="none"/>
          <w:lang w:val="en-US" w:eastAsia="zh-CN" w:bidi="ar-SA"/>
        </w:rPr>
        <w:t>水务集团供水有限公司</w:t>
      </w:r>
      <w:r>
        <w:rPr>
          <w:rFonts w:hint="eastAsia" w:ascii="宋体" w:hAnsi="宋体" w:eastAsia="宋体" w:cs="宋体"/>
          <w:snapToGrid w:val="0"/>
          <w:color w:val="auto"/>
          <w:spacing w:val="0"/>
          <w:kern w:val="0"/>
          <w:sz w:val="21"/>
          <w:szCs w:val="21"/>
          <w:highlight w:val="none"/>
          <w:lang w:val="en-US" w:eastAsia="en-US" w:bidi="ar-SA"/>
        </w:rPr>
        <w:t>根据工作需要，现通过公开招标</w:t>
      </w:r>
      <w:r>
        <w:rPr>
          <w:rFonts w:hint="eastAsia" w:ascii="宋体" w:hAnsi="宋体" w:eastAsia="宋体" w:cs="宋体"/>
          <w:snapToGrid w:val="0"/>
          <w:color w:val="auto"/>
          <w:spacing w:val="0"/>
          <w:kern w:val="0"/>
          <w:sz w:val="21"/>
          <w:szCs w:val="21"/>
          <w:highlight w:val="none"/>
          <w:lang w:val="en-US" w:eastAsia="zh-CN" w:bidi="ar-SA"/>
        </w:rPr>
        <w:t>采购1</w:t>
      </w:r>
      <w:r>
        <w:rPr>
          <w:rFonts w:hint="eastAsia" w:ascii="宋体" w:hAnsi="宋体" w:eastAsia="宋体" w:cs="宋体"/>
          <w:snapToGrid w:val="0"/>
          <w:color w:val="auto"/>
          <w:spacing w:val="0"/>
          <w:kern w:val="0"/>
          <w:sz w:val="21"/>
          <w:szCs w:val="21"/>
          <w:highlight w:val="none"/>
          <w:lang w:val="en-US" w:eastAsia="en-US" w:bidi="ar-SA"/>
        </w:rPr>
        <w:t>家造价咨询单位</w:t>
      </w:r>
      <w:r>
        <w:rPr>
          <w:rFonts w:hint="eastAsia" w:ascii="宋体" w:hAnsi="宋体" w:eastAsia="宋体" w:cs="宋体"/>
          <w:snapToGrid w:val="0"/>
          <w:color w:val="auto"/>
          <w:spacing w:val="0"/>
          <w:kern w:val="0"/>
          <w:sz w:val="21"/>
          <w:szCs w:val="21"/>
          <w:highlight w:val="none"/>
          <w:lang w:val="en-US" w:eastAsia="zh-CN" w:bidi="ar-SA"/>
        </w:rPr>
        <w:t>开展</w:t>
      </w:r>
      <w:r>
        <w:rPr>
          <w:rFonts w:hint="eastAsia" w:ascii="宋体" w:hAnsi="宋体" w:eastAsia="宋体" w:cs="宋体"/>
          <w:snapToGrid w:val="0"/>
          <w:color w:val="auto"/>
          <w:spacing w:val="0"/>
          <w:kern w:val="0"/>
          <w:sz w:val="21"/>
          <w:szCs w:val="21"/>
          <w:highlight w:val="none"/>
          <w:lang w:val="en-US" w:eastAsia="en-US" w:bidi="ar-SA"/>
        </w:rPr>
        <w:t>造价</w:t>
      </w:r>
      <w:r>
        <w:rPr>
          <w:rFonts w:hint="eastAsia" w:ascii="宋体" w:hAnsi="宋体" w:eastAsia="宋体" w:cs="宋体"/>
          <w:snapToGrid w:val="0"/>
          <w:color w:val="auto"/>
          <w:spacing w:val="0"/>
          <w:kern w:val="0"/>
          <w:sz w:val="21"/>
          <w:szCs w:val="21"/>
          <w:highlight w:val="none"/>
          <w:lang w:val="en-US" w:eastAsia="zh-CN" w:bidi="ar-SA"/>
        </w:rPr>
        <w:t>相关</w:t>
      </w:r>
      <w:r>
        <w:rPr>
          <w:rFonts w:hint="eastAsia" w:ascii="宋体" w:hAnsi="宋体" w:eastAsia="宋体" w:cs="宋体"/>
          <w:snapToGrid w:val="0"/>
          <w:color w:val="auto"/>
          <w:spacing w:val="0"/>
          <w:kern w:val="0"/>
          <w:sz w:val="21"/>
          <w:szCs w:val="21"/>
          <w:highlight w:val="none"/>
          <w:lang w:val="en-US" w:eastAsia="en-US" w:bidi="ar-SA"/>
        </w:rPr>
        <w:t>咨询业务，涉及的项目主要包括东莞市水务集团供水有限公司在东莞市内开展的</w:t>
      </w:r>
      <w:r>
        <w:rPr>
          <w:rFonts w:hint="eastAsia" w:ascii="宋体" w:hAnsi="宋体" w:eastAsia="宋体" w:cs="宋体"/>
          <w:snapToGrid w:val="0"/>
          <w:color w:val="auto"/>
          <w:spacing w:val="0"/>
          <w:kern w:val="0"/>
          <w:sz w:val="21"/>
          <w:szCs w:val="21"/>
          <w:highlight w:val="none"/>
          <w:lang w:val="en-US" w:eastAsia="zh-CN" w:bidi="ar-SA"/>
        </w:rPr>
        <w:t>供水</w:t>
      </w:r>
      <w:r>
        <w:rPr>
          <w:rFonts w:hint="eastAsia" w:ascii="宋体" w:hAnsi="宋体" w:eastAsia="宋体" w:cs="宋体"/>
          <w:snapToGrid w:val="0"/>
          <w:color w:val="auto"/>
          <w:spacing w:val="0"/>
          <w:kern w:val="0"/>
          <w:sz w:val="21"/>
          <w:szCs w:val="21"/>
          <w:highlight w:val="none"/>
          <w:lang w:val="en-US" w:eastAsia="en-US" w:bidi="ar-SA"/>
        </w:rPr>
        <w:t>管道新建及改造、厂区修缮等</w:t>
      </w:r>
      <w:r>
        <w:rPr>
          <w:rFonts w:hint="eastAsia" w:ascii="宋体" w:hAnsi="宋体" w:eastAsia="宋体" w:cs="宋体"/>
          <w:snapToGrid w:val="0"/>
          <w:color w:val="auto"/>
          <w:spacing w:val="0"/>
          <w:kern w:val="0"/>
          <w:sz w:val="21"/>
          <w:szCs w:val="21"/>
          <w:highlight w:val="none"/>
          <w:lang w:val="en-US" w:eastAsia="zh-CN" w:bidi="ar-SA"/>
        </w:rPr>
        <w:t>项目</w:t>
      </w:r>
      <w:r>
        <w:rPr>
          <w:rFonts w:hint="eastAsia" w:ascii="宋体" w:hAnsi="宋体" w:eastAsia="宋体" w:cs="宋体"/>
          <w:snapToGrid w:val="0"/>
          <w:color w:val="auto"/>
          <w:spacing w:val="0"/>
          <w:kern w:val="0"/>
          <w:sz w:val="21"/>
          <w:szCs w:val="21"/>
          <w:highlight w:val="none"/>
          <w:lang w:val="en-US" w:eastAsia="en-US" w:bidi="ar-SA"/>
        </w:rPr>
        <w:t>。</w:t>
      </w:r>
    </w:p>
    <w:p w14:paraId="28CF50D7">
      <w:pPr>
        <w:keepNext w:val="0"/>
        <w:keepLines w:val="0"/>
        <w:pageBreakBefore w:val="0"/>
        <w:widowControl/>
        <w:kinsoku/>
        <w:wordWrap/>
        <w:overflowPunct/>
        <w:topLinePunct/>
        <w:autoSpaceDE/>
        <w:autoSpaceDN/>
        <w:bidi w:val="0"/>
        <w:adjustRightInd w:val="0"/>
        <w:snapToGrid w:val="0"/>
        <w:spacing w:line="360" w:lineRule="auto"/>
        <w:ind w:left="432"/>
        <w:jc w:val="left"/>
        <w:textAlignment w:val="baseline"/>
        <w:outlineLvl w:val="1"/>
        <w:rPr>
          <w:rFonts w:hint="eastAsia" w:ascii="宋体" w:hAnsi="宋体" w:eastAsia="宋体" w:cs="宋体"/>
          <w:snapToGrid w:val="0"/>
          <w:color w:val="auto"/>
          <w:spacing w:val="0"/>
          <w:kern w:val="0"/>
          <w:sz w:val="21"/>
          <w:szCs w:val="21"/>
          <w:highlight w:val="none"/>
          <w:lang w:val="en-US" w:eastAsia="en-US" w:bidi="ar-SA"/>
        </w:rPr>
      </w:pPr>
      <w:bookmarkStart w:id="444" w:name="_Toc28891"/>
      <w:r>
        <w:rPr>
          <w:rFonts w:hint="eastAsia" w:ascii="宋体" w:hAnsi="宋体" w:eastAsia="宋体" w:cs="宋体"/>
          <w:b/>
          <w:bCs/>
          <w:snapToGrid w:val="0"/>
          <w:color w:val="auto"/>
          <w:spacing w:val="0"/>
          <w:kern w:val="0"/>
          <w:sz w:val="21"/>
          <w:szCs w:val="21"/>
          <w:highlight w:val="none"/>
          <w:lang w:val="en-US" w:eastAsia="zh-CN" w:bidi="ar-SA"/>
        </w:rPr>
        <w:t>二</w:t>
      </w:r>
      <w:r>
        <w:rPr>
          <w:rFonts w:hint="eastAsia" w:ascii="宋体" w:hAnsi="宋体" w:eastAsia="宋体" w:cs="宋体"/>
          <w:b/>
          <w:bCs/>
          <w:snapToGrid w:val="0"/>
          <w:color w:val="auto"/>
          <w:spacing w:val="0"/>
          <w:kern w:val="0"/>
          <w:sz w:val="21"/>
          <w:szCs w:val="21"/>
          <w:highlight w:val="none"/>
          <w:lang w:val="en-US" w:eastAsia="en-US" w:bidi="ar-SA"/>
        </w:rPr>
        <w:t>、服务期限及服务内容</w:t>
      </w:r>
      <w:bookmarkEnd w:id="444"/>
    </w:p>
    <w:p w14:paraId="1ADEE77C">
      <w:pPr>
        <w:keepNext w:val="0"/>
        <w:keepLines w:val="0"/>
        <w:pageBreakBefore w:val="0"/>
        <w:widowControl/>
        <w:kinsoku/>
        <w:wordWrap/>
        <w:overflowPunct/>
        <w:topLinePunct/>
        <w:autoSpaceDE/>
        <w:autoSpaceDN/>
        <w:bidi w:val="0"/>
        <w:adjustRightInd w:val="0"/>
        <w:snapToGrid w:val="0"/>
        <w:spacing w:line="360" w:lineRule="auto"/>
        <w:ind w:left="42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2</w:t>
      </w:r>
      <w:r>
        <w:rPr>
          <w:rFonts w:hint="eastAsia" w:ascii="宋体" w:hAnsi="宋体" w:eastAsia="宋体" w:cs="宋体"/>
          <w:snapToGrid w:val="0"/>
          <w:color w:val="auto"/>
          <w:spacing w:val="0"/>
          <w:kern w:val="0"/>
          <w:sz w:val="21"/>
          <w:szCs w:val="21"/>
          <w:highlight w:val="none"/>
          <w:lang w:val="en-US" w:eastAsia="en-US" w:bidi="ar-SA"/>
        </w:rPr>
        <w:t>.1</w:t>
      </w:r>
      <w:r>
        <w:rPr>
          <w:rFonts w:hint="eastAsia" w:ascii="宋体" w:hAnsi="宋体" w:eastAsia="宋体" w:cs="宋体"/>
          <w:snapToGrid w:val="0"/>
          <w:color w:val="auto"/>
          <w:spacing w:val="0"/>
          <w:kern w:val="0"/>
          <w:sz w:val="21"/>
          <w:szCs w:val="21"/>
          <w:highlight w:val="none"/>
          <w:lang w:val="en-US" w:eastAsia="zh-CN" w:bidi="ar-SA"/>
        </w:rPr>
        <w:t xml:space="preserve"> </w:t>
      </w:r>
      <w:r>
        <w:rPr>
          <w:rFonts w:hint="eastAsia" w:ascii="宋体" w:hAnsi="宋体" w:eastAsia="宋体" w:cs="宋体"/>
          <w:snapToGrid w:val="0"/>
          <w:color w:val="auto"/>
          <w:spacing w:val="0"/>
          <w:kern w:val="0"/>
          <w:sz w:val="21"/>
          <w:szCs w:val="21"/>
          <w:highlight w:val="none"/>
          <w:lang w:val="en-US" w:eastAsia="en-US" w:bidi="ar-SA"/>
        </w:rPr>
        <w:t>本项目服务期至2025年12月31日。</w:t>
      </w:r>
    </w:p>
    <w:p w14:paraId="40208C48">
      <w:pPr>
        <w:keepNext w:val="0"/>
        <w:keepLines w:val="0"/>
        <w:pageBreakBefore w:val="0"/>
        <w:widowControl/>
        <w:kinsoku/>
        <w:wordWrap/>
        <w:overflowPunct/>
        <w:topLinePunct/>
        <w:autoSpaceDE/>
        <w:autoSpaceDN/>
        <w:bidi w:val="0"/>
        <w:adjustRightInd w:val="0"/>
        <w:snapToGrid w:val="0"/>
        <w:spacing w:line="360" w:lineRule="auto"/>
        <w:ind w:left="429"/>
        <w:jc w:val="left"/>
        <w:textAlignment w:val="baseline"/>
        <w:rPr>
          <w:rFonts w:hint="default"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2.2 项目服务地点：</w:t>
      </w:r>
      <w:r>
        <w:rPr>
          <w:rFonts w:hint="eastAsia" w:ascii="宋体" w:hAnsi="宋体" w:eastAsia="宋体" w:cs="宋体"/>
          <w:snapToGrid w:val="0"/>
          <w:color w:val="auto"/>
          <w:spacing w:val="0"/>
          <w:kern w:val="0"/>
          <w:sz w:val="21"/>
          <w:szCs w:val="21"/>
          <w:highlight w:val="none"/>
          <w:lang w:val="en-US" w:eastAsia="en-US" w:bidi="ar-SA"/>
        </w:rPr>
        <w:t>东莞市</w:t>
      </w:r>
      <w:r>
        <w:rPr>
          <w:rFonts w:hint="eastAsia" w:ascii="宋体" w:hAnsi="宋体" w:eastAsia="宋体" w:cs="宋体"/>
          <w:snapToGrid w:val="0"/>
          <w:color w:val="auto"/>
          <w:spacing w:val="0"/>
          <w:kern w:val="0"/>
          <w:sz w:val="21"/>
          <w:szCs w:val="21"/>
          <w:highlight w:val="none"/>
          <w:lang w:val="en-US" w:eastAsia="zh-CN" w:bidi="ar-SA"/>
        </w:rPr>
        <w:t>范围内。</w:t>
      </w:r>
    </w:p>
    <w:p w14:paraId="6EA9395A">
      <w:pPr>
        <w:keepNext w:val="0"/>
        <w:keepLines w:val="0"/>
        <w:pageBreakBefore w:val="0"/>
        <w:widowControl/>
        <w:kinsoku/>
        <w:wordWrap/>
        <w:overflowPunct/>
        <w:topLinePunct/>
        <w:autoSpaceDE/>
        <w:autoSpaceDN/>
        <w:bidi w:val="0"/>
        <w:adjustRightInd w:val="0"/>
        <w:snapToGrid w:val="0"/>
        <w:spacing w:line="360" w:lineRule="auto"/>
        <w:ind w:left="42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2</w:t>
      </w:r>
      <w:r>
        <w:rPr>
          <w:rFonts w:hint="eastAsia" w:ascii="宋体" w:hAnsi="宋体" w:eastAsia="宋体" w:cs="宋体"/>
          <w:snapToGrid w:val="0"/>
          <w:color w:val="auto"/>
          <w:spacing w:val="0"/>
          <w:kern w:val="0"/>
          <w:sz w:val="21"/>
          <w:szCs w:val="21"/>
          <w:highlight w:val="none"/>
          <w:lang w:val="en-US" w:eastAsia="en-US" w:bidi="ar-SA"/>
        </w:rPr>
        <w:t>.</w:t>
      </w:r>
      <w:r>
        <w:rPr>
          <w:rFonts w:hint="eastAsia" w:ascii="宋体" w:hAnsi="宋体" w:eastAsia="宋体" w:cs="宋体"/>
          <w:snapToGrid w:val="0"/>
          <w:color w:val="auto"/>
          <w:spacing w:val="0"/>
          <w:kern w:val="0"/>
          <w:sz w:val="21"/>
          <w:szCs w:val="21"/>
          <w:highlight w:val="none"/>
          <w:lang w:val="en-US" w:eastAsia="zh-CN" w:bidi="ar-SA"/>
        </w:rPr>
        <w:t xml:space="preserve">3 </w:t>
      </w:r>
      <w:r>
        <w:rPr>
          <w:rFonts w:hint="eastAsia" w:ascii="宋体" w:hAnsi="宋体" w:eastAsia="宋体" w:cs="宋体"/>
          <w:snapToGrid w:val="0"/>
          <w:color w:val="auto"/>
          <w:spacing w:val="0"/>
          <w:kern w:val="0"/>
          <w:sz w:val="21"/>
          <w:szCs w:val="21"/>
          <w:highlight w:val="none"/>
          <w:lang w:val="en-US" w:eastAsia="en-US" w:bidi="ar-SA"/>
        </w:rPr>
        <w:t>本项目由中标人负责为招标人提供造价咨询服务，具体如下：</w:t>
      </w:r>
    </w:p>
    <w:p w14:paraId="1BD9CFE4">
      <w:pPr>
        <w:keepNext w:val="0"/>
        <w:keepLines w:val="0"/>
        <w:pageBreakBefore w:val="0"/>
        <w:widowControl/>
        <w:kinsoku/>
        <w:wordWrap/>
        <w:overflowPunct/>
        <w:topLinePunct/>
        <w:autoSpaceDE/>
        <w:autoSpaceDN/>
        <w:bidi w:val="0"/>
        <w:adjustRightInd w:val="0"/>
        <w:snapToGrid w:val="0"/>
        <w:spacing w:line="360" w:lineRule="auto"/>
        <w:ind w:right="417" w:firstLine="55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（1）</w:t>
      </w:r>
      <w:r>
        <w:rPr>
          <w:rFonts w:hint="eastAsia" w:ascii="宋体" w:hAnsi="宋体" w:eastAsia="宋体" w:cs="宋体"/>
          <w:snapToGrid w:val="0"/>
          <w:color w:val="auto"/>
          <w:spacing w:val="0"/>
          <w:kern w:val="0"/>
          <w:sz w:val="21"/>
          <w:szCs w:val="21"/>
          <w:highlight w:val="none"/>
          <w:lang w:val="en-US" w:eastAsia="en-US" w:bidi="ar-SA"/>
        </w:rPr>
        <w:t>根据国家、省、市有关工程造价相关法律法规，科学、客观、公正开展造价咨询服务工作；按招标人要求按时按质提供成果资料，并对其真实性、准确性、完整性、合法性、合理性负责；</w:t>
      </w:r>
    </w:p>
    <w:p w14:paraId="5206C3FE">
      <w:pPr>
        <w:keepNext w:val="0"/>
        <w:keepLines w:val="0"/>
        <w:pageBreakBefore w:val="0"/>
        <w:widowControl/>
        <w:kinsoku/>
        <w:wordWrap/>
        <w:overflowPunct/>
        <w:topLinePunct/>
        <w:autoSpaceDE/>
        <w:autoSpaceDN/>
        <w:bidi w:val="0"/>
        <w:adjustRightInd w:val="0"/>
        <w:snapToGrid w:val="0"/>
        <w:spacing w:line="360" w:lineRule="auto"/>
        <w:ind w:right="408" w:firstLine="55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（2）</w:t>
      </w:r>
      <w:r>
        <w:rPr>
          <w:rFonts w:hint="eastAsia" w:ascii="宋体" w:hAnsi="宋体" w:eastAsia="宋体" w:cs="宋体"/>
          <w:snapToGrid w:val="0"/>
          <w:color w:val="auto"/>
          <w:spacing w:val="0"/>
          <w:kern w:val="0"/>
          <w:sz w:val="21"/>
          <w:szCs w:val="21"/>
          <w:highlight w:val="none"/>
          <w:lang w:val="en-US" w:eastAsia="en-US" w:bidi="ar-SA"/>
        </w:rPr>
        <w:t>根据</w:t>
      </w:r>
      <w:r>
        <w:rPr>
          <w:rFonts w:hint="eastAsia" w:ascii="宋体" w:hAnsi="宋体" w:eastAsia="宋体" w:cs="宋体"/>
          <w:snapToGrid w:val="0"/>
          <w:color w:val="auto"/>
          <w:spacing w:val="0"/>
          <w:kern w:val="0"/>
          <w:sz w:val="21"/>
          <w:szCs w:val="21"/>
          <w:highlight w:val="none"/>
          <w:lang w:val="en-US" w:eastAsia="zh-CN" w:bidi="ar-SA"/>
        </w:rPr>
        <w:t>招标</w:t>
      </w:r>
      <w:r>
        <w:rPr>
          <w:rFonts w:hint="eastAsia" w:ascii="宋体" w:hAnsi="宋体" w:eastAsia="宋体" w:cs="宋体"/>
          <w:snapToGrid w:val="0"/>
          <w:color w:val="auto"/>
          <w:spacing w:val="0"/>
          <w:kern w:val="0"/>
          <w:sz w:val="21"/>
          <w:szCs w:val="21"/>
          <w:highlight w:val="none"/>
          <w:lang w:val="en-US" w:eastAsia="en-US" w:bidi="ar-SA"/>
        </w:rPr>
        <w:t>人要求和提供的资料完成估算、概算编制或审核，施工图预算编制或审核</w:t>
      </w:r>
      <w:r>
        <w:rPr>
          <w:rFonts w:hint="eastAsia" w:ascii="宋体" w:hAnsi="宋体" w:eastAsia="宋体" w:cs="宋体"/>
          <w:snapToGrid w:val="0"/>
          <w:color w:val="auto"/>
          <w:spacing w:val="0"/>
          <w:kern w:val="0"/>
          <w:sz w:val="21"/>
          <w:szCs w:val="21"/>
          <w:highlight w:val="none"/>
          <w:lang w:val="en-US" w:eastAsia="zh-CN" w:bidi="ar-SA"/>
        </w:rPr>
        <w:t>，招标控制价编制，</w:t>
      </w:r>
      <w:r>
        <w:rPr>
          <w:rFonts w:hint="eastAsia" w:ascii="宋体" w:hAnsi="宋体" w:eastAsia="宋体" w:cs="宋体"/>
          <w:snapToGrid w:val="0"/>
          <w:color w:val="auto"/>
          <w:spacing w:val="0"/>
          <w:kern w:val="0"/>
          <w:sz w:val="21"/>
          <w:szCs w:val="21"/>
          <w:highlight w:val="none"/>
          <w:lang w:val="en-US" w:eastAsia="en-US" w:bidi="ar-SA"/>
        </w:rPr>
        <w:t>变更预算编制或审核</w:t>
      </w:r>
      <w:r>
        <w:rPr>
          <w:rFonts w:hint="eastAsia" w:ascii="宋体" w:hAnsi="宋体" w:eastAsia="宋体" w:cs="宋体"/>
          <w:snapToGrid w:val="0"/>
          <w:color w:val="auto"/>
          <w:spacing w:val="0"/>
          <w:kern w:val="0"/>
          <w:sz w:val="21"/>
          <w:szCs w:val="21"/>
          <w:highlight w:val="none"/>
          <w:lang w:val="en-US" w:eastAsia="zh-CN" w:bidi="ar-SA"/>
        </w:rPr>
        <w:t>，工程结算</w:t>
      </w:r>
      <w:r>
        <w:rPr>
          <w:rFonts w:hint="eastAsia" w:ascii="宋体" w:hAnsi="宋体" w:eastAsia="宋体" w:cs="宋体"/>
          <w:snapToGrid w:val="0"/>
          <w:color w:val="auto"/>
          <w:spacing w:val="0"/>
          <w:kern w:val="0"/>
          <w:sz w:val="21"/>
          <w:szCs w:val="21"/>
          <w:highlight w:val="none"/>
          <w:lang w:val="en-US" w:eastAsia="en-US" w:bidi="ar-SA"/>
        </w:rPr>
        <w:t>编制或审核</w:t>
      </w:r>
      <w:r>
        <w:rPr>
          <w:rFonts w:hint="eastAsia" w:ascii="宋体" w:hAnsi="宋体" w:eastAsia="宋体" w:cs="宋体"/>
          <w:snapToGrid w:val="0"/>
          <w:color w:val="auto"/>
          <w:spacing w:val="0"/>
          <w:kern w:val="0"/>
          <w:sz w:val="21"/>
          <w:szCs w:val="21"/>
          <w:highlight w:val="none"/>
          <w:lang w:val="en-US" w:eastAsia="zh-CN" w:bidi="ar-SA"/>
        </w:rPr>
        <w:t>，</w:t>
      </w:r>
      <w:r>
        <w:rPr>
          <w:rFonts w:hint="eastAsia" w:ascii="宋体" w:hAnsi="宋体" w:eastAsia="宋体" w:cs="宋体"/>
          <w:snapToGrid w:val="0"/>
          <w:color w:val="auto"/>
          <w:spacing w:val="0"/>
          <w:kern w:val="0"/>
          <w:sz w:val="21"/>
          <w:szCs w:val="21"/>
          <w:highlight w:val="none"/>
          <w:lang w:val="en-US" w:eastAsia="en-US" w:bidi="ar-SA"/>
        </w:rPr>
        <w:t>施工阶段全过程造价</w:t>
      </w:r>
      <w:r>
        <w:rPr>
          <w:rFonts w:hint="eastAsia" w:ascii="宋体" w:hAnsi="宋体" w:eastAsia="宋体" w:cs="宋体"/>
          <w:snapToGrid w:val="0"/>
          <w:color w:val="auto"/>
          <w:spacing w:val="0"/>
          <w:kern w:val="0"/>
          <w:sz w:val="21"/>
          <w:szCs w:val="21"/>
          <w:highlight w:val="none"/>
          <w:lang w:val="en-US" w:eastAsia="zh-CN" w:bidi="ar-SA"/>
        </w:rPr>
        <w:t>控制</w:t>
      </w:r>
      <w:r>
        <w:rPr>
          <w:rFonts w:hint="eastAsia" w:ascii="宋体" w:hAnsi="宋体" w:eastAsia="宋体" w:cs="宋体"/>
          <w:snapToGrid w:val="0"/>
          <w:color w:val="auto"/>
          <w:spacing w:val="0"/>
          <w:kern w:val="0"/>
          <w:sz w:val="21"/>
          <w:szCs w:val="21"/>
          <w:highlight w:val="none"/>
          <w:lang w:val="en-US" w:eastAsia="en-US" w:bidi="ar-SA"/>
        </w:rPr>
        <w:t>，以及非工程类的货物采购、服务类项目的预算编审</w:t>
      </w:r>
      <w:r>
        <w:rPr>
          <w:rFonts w:hint="eastAsia" w:ascii="宋体" w:hAnsi="宋体" w:eastAsia="宋体" w:cs="宋体"/>
          <w:snapToGrid w:val="0"/>
          <w:color w:val="auto"/>
          <w:spacing w:val="0"/>
          <w:kern w:val="0"/>
          <w:sz w:val="21"/>
          <w:szCs w:val="21"/>
          <w:highlight w:val="none"/>
          <w:lang w:val="en-US" w:eastAsia="zh-CN" w:bidi="ar-SA"/>
        </w:rPr>
        <w:t>、合同结算</w:t>
      </w:r>
      <w:r>
        <w:rPr>
          <w:rFonts w:hint="eastAsia" w:ascii="宋体" w:hAnsi="宋体" w:eastAsia="宋体" w:cs="宋体"/>
          <w:snapToGrid w:val="0"/>
          <w:color w:val="auto"/>
          <w:spacing w:val="0"/>
          <w:kern w:val="0"/>
          <w:sz w:val="21"/>
          <w:szCs w:val="21"/>
          <w:highlight w:val="none"/>
          <w:lang w:val="en-US" w:eastAsia="en-US" w:bidi="ar-SA"/>
        </w:rPr>
        <w:t>等造价咨询业务，并出具成果文件；</w:t>
      </w:r>
    </w:p>
    <w:p w14:paraId="3F8CA96E">
      <w:pPr>
        <w:keepNext w:val="0"/>
        <w:keepLines w:val="0"/>
        <w:pageBreakBefore w:val="0"/>
        <w:widowControl/>
        <w:kinsoku/>
        <w:wordWrap/>
        <w:overflowPunct/>
        <w:topLinePunct/>
        <w:autoSpaceDE/>
        <w:autoSpaceDN/>
        <w:bidi w:val="0"/>
        <w:adjustRightInd w:val="0"/>
        <w:snapToGrid w:val="0"/>
        <w:spacing w:line="360" w:lineRule="auto"/>
        <w:ind w:left="559"/>
        <w:jc w:val="left"/>
        <w:textAlignment w:val="baseline"/>
        <w:outlineLvl w:val="2"/>
        <w:rPr>
          <w:rFonts w:hint="eastAsia" w:ascii="宋体" w:hAnsi="宋体" w:eastAsia="宋体" w:cs="宋体"/>
          <w:snapToGrid w:val="0"/>
          <w:color w:val="auto"/>
          <w:spacing w:val="0"/>
          <w:kern w:val="0"/>
          <w:sz w:val="21"/>
          <w:szCs w:val="21"/>
          <w:highlight w:val="none"/>
          <w:lang w:val="en-US" w:eastAsia="en-US" w:bidi="ar-SA"/>
        </w:rPr>
      </w:pPr>
      <w:bookmarkStart w:id="445" w:name="_Toc32008"/>
      <w:r>
        <w:rPr>
          <w:rFonts w:hint="eastAsia" w:ascii="宋体" w:hAnsi="宋体" w:eastAsia="宋体" w:cs="宋体"/>
          <w:snapToGrid w:val="0"/>
          <w:color w:val="auto"/>
          <w:spacing w:val="0"/>
          <w:kern w:val="0"/>
          <w:sz w:val="21"/>
          <w:szCs w:val="21"/>
          <w:highlight w:val="none"/>
          <w:lang w:val="en-US" w:eastAsia="zh-CN" w:bidi="ar-SA"/>
        </w:rPr>
        <w:t>（3）</w:t>
      </w:r>
      <w:r>
        <w:rPr>
          <w:rFonts w:hint="eastAsia" w:ascii="宋体" w:hAnsi="宋体" w:eastAsia="宋体" w:cs="宋体"/>
          <w:snapToGrid w:val="0"/>
          <w:color w:val="auto"/>
          <w:spacing w:val="0"/>
          <w:kern w:val="0"/>
          <w:sz w:val="21"/>
          <w:szCs w:val="21"/>
          <w:highlight w:val="none"/>
          <w:lang w:val="en-US" w:eastAsia="en-US" w:bidi="ar-SA"/>
        </w:rPr>
        <w:t>对工作内容保密。</w:t>
      </w:r>
      <w:bookmarkEnd w:id="445"/>
    </w:p>
    <w:p w14:paraId="269AB8F4">
      <w:pPr>
        <w:keepNext w:val="0"/>
        <w:keepLines w:val="0"/>
        <w:pageBreakBefore w:val="0"/>
        <w:widowControl/>
        <w:kinsoku/>
        <w:wordWrap/>
        <w:overflowPunct/>
        <w:topLinePunct/>
        <w:autoSpaceDE/>
        <w:autoSpaceDN/>
        <w:bidi w:val="0"/>
        <w:adjustRightInd w:val="0"/>
        <w:snapToGrid w:val="0"/>
        <w:spacing w:line="360" w:lineRule="auto"/>
        <w:ind w:left="42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2</w:t>
      </w:r>
      <w:r>
        <w:rPr>
          <w:rFonts w:hint="eastAsia" w:ascii="宋体" w:hAnsi="宋体" w:eastAsia="宋体" w:cs="宋体"/>
          <w:snapToGrid w:val="0"/>
          <w:color w:val="auto"/>
          <w:spacing w:val="0"/>
          <w:kern w:val="0"/>
          <w:sz w:val="21"/>
          <w:szCs w:val="21"/>
          <w:highlight w:val="none"/>
          <w:lang w:val="en-US" w:eastAsia="en-US" w:bidi="ar-SA"/>
        </w:rPr>
        <w:t>.</w:t>
      </w:r>
      <w:r>
        <w:rPr>
          <w:rFonts w:hint="eastAsia" w:ascii="宋体" w:hAnsi="宋体" w:eastAsia="宋体" w:cs="宋体"/>
          <w:snapToGrid w:val="0"/>
          <w:color w:val="auto"/>
          <w:spacing w:val="0"/>
          <w:kern w:val="0"/>
          <w:sz w:val="21"/>
          <w:szCs w:val="21"/>
          <w:highlight w:val="none"/>
          <w:lang w:val="en-US" w:eastAsia="zh-CN" w:bidi="ar-SA"/>
        </w:rPr>
        <w:t xml:space="preserve">4 </w:t>
      </w:r>
      <w:r>
        <w:rPr>
          <w:rFonts w:hint="eastAsia" w:ascii="宋体" w:hAnsi="宋体" w:eastAsia="宋体" w:cs="宋体"/>
          <w:snapToGrid w:val="0"/>
          <w:color w:val="auto"/>
          <w:spacing w:val="0"/>
          <w:kern w:val="0"/>
          <w:sz w:val="21"/>
          <w:szCs w:val="21"/>
          <w:highlight w:val="none"/>
          <w:lang w:val="en-US" w:eastAsia="en-US" w:bidi="ar-SA"/>
        </w:rPr>
        <w:t>中标人应本着诚实信用的原则，高效率的提供本用户需求书规定的各项服务。</w:t>
      </w:r>
    </w:p>
    <w:p w14:paraId="0E768753">
      <w:pPr>
        <w:keepNext w:val="0"/>
        <w:keepLines w:val="0"/>
        <w:pageBreakBefore w:val="0"/>
        <w:widowControl/>
        <w:kinsoku/>
        <w:wordWrap/>
        <w:overflowPunct/>
        <w:topLinePunct/>
        <w:autoSpaceDE/>
        <w:autoSpaceDN/>
        <w:bidi w:val="0"/>
        <w:adjustRightInd w:val="0"/>
        <w:snapToGrid w:val="0"/>
        <w:spacing w:line="360" w:lineRule="auto"/>
        <w:ind w:left="432"/>
        <w:jc w:val="left"/>
        <w:textAlignment w:val="baseline"/>
        <w:outlineLvl w:val="1"/>
        <w:rPr>
          <w:rFonts w:hint="eastAsia" w:ascii="宋体" w:hAnsi="宋体" w:eastAsia="宋体" w:cs="宋体"/>
          <w:snapToGrid w:val="0"/>
          <w:color w:val="auto"/>
          <w:spacing w:val="0"/>
          <w:kern w:val="0"/>
          <w:sz w:val="21"/>
          <w:szCs w:val="21"/>
          <w:highlight w:val="none"/>
          <w:lang w:val="en-US" w:eastAsia="en-US" w:bidi="ar-SA"/>
        </w:rPr>
      </w:pPr>
      <w:bookmarkStart w:id="446" w:name="_Toc5042"/>
      <w:r>
        <w:rPr>
          <w:rFonts w:hint="eastAsia" w:ascii="宋体" w:hAnsi="宋体" w:eastAsia="宋体" w:cs="宋体"/>
          <w:b/>
          <w:bCs/>
          <w:snapToGrid w:val="0"/>
          <w:color w:val="auto"/>
          <w:spacing w:val="0"/>
          <w:kern w:val="0"/>
          <w:sz w:val="21"/>
          <w:szCs w:val="21"/>
          <w:highlight w:val="none"/>
          <w:lang w:val="en-US" w:eastAsia="zh-CN" w:bidi="ar-SA"/>
        </w:rPr>
        <w:t>三</w:t>
      </w:r>
      <w:r>
        <w:rPr>
          <w:rFonts w:hint="eastAsia" w:ascii="宋体" w:hAnsi="宋体" w:eastAsia="宋体" w:cs="宋体"/>
          <w:b/>
          <w:bCs/>
          <w:snapToGrid w:val="0"/>
          <w:color w:val="auto"/>
          <w:spacing w:val="0"/>
          <w:kern w:val="0"/>
          <w:sz w:val="21"/>
          <w:szCs w:val="21"/>
          <w:highlight w:val="none"/>
          <w:lang w:val="en-US" w:eastAsia="en-US" w:bidi="ar-SA"/>
        </w:rPr>
        <w:t>、服务费的计算及支付方式</w:t>
      </w:r>
      <w:bookmarkEnd w:id="446"/>
    </w:p>
    <w:p w14:paraId="50B5A727">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3</w:t>
      </w:r>
      <w:r>
        <w:rPr>
          <w:rFonts w:hint="eastAsia" w:ascii="宋体" w:hAnsi="宋体" w:eastAsia="宋体" w:cs="宋体"/>
          <w:snapToGrid w:val="0"/>
          <w:color w:val="auto"/>
          <w:spacing w:val="0"/>
          <w:kern w:val="0"/>
          <w:sz w:val="21"/>
          <w:szCs w:val="21"/>
          <w:highlight w:val="none"/>
          <w:lang w:val="en-US" w:eastAsia="en-US" w:bidi="ar-SA"/>
        </w:rPr>
        <w:t>.1投标人无需就本项目进行具体报价，仅须按照投标文件规定</w:t>
      </w:r>
      <w:r>
        <w:rPr>
          <w:rFonts w:hint="eastAsia" w:ascii="宋体" w:hAnsi="宋体" w:eastAsia="宋体" w:cs="宋体"/>
          <w:snapToGrid w:val="0"/>
          <w:color w:val="auto"/>
          <w:spacing w:val="0"/>
          <w:kern w:val="0"/>
          <w:sz w:val="21"/>
          <w:szCs w:val="21"/>
          <w:highlight w:val="none"/>
          <w:lang w:val="en-US" w:eastAsia="zh-CN" w:bidi="ar-SA"/>
        </w:rPr>
        <w:t>的</w:t>
      </w:r>
      <w:r>
        <w:rPr>
          <w:rFonts w:hint="eastAsia" w:ascii="宋体" w:hAnsi="宋体" w:eastAsia="宋体" w:cs="宋体"/>
          <w:snapToGrid w:val="0"/>
          <w:color w:val="auto"/>
          <w:spacing w:val="0"/>
          <w:kern w:val="0"/>
          <w:sz w:val="21"/>
          <w:szCs w:val="21"/>
          <w:highlight w:val="none"/>
          <w:lang w:val="en-US" w:eastAsia="en-US" w:bidi="ar-SA"/>
        </w:rPr>
        <w:t>格式要求进行填报造价咨询服务费折扣</w:t>
      </w:r>
      <w:r>
        <w:rPr>
          <w:rFonts w:hint="eastAsia" w:ascii="宋体" w:hAnsi="宋体" w:eastAsia="宋体" w:cs="宋体"/>
          <w:snapToGrid w:val="0"/>
          <w:color w:val="auto"/>
          <w:spacing w:val="0"/>
          <w:kern w:val="0"/>
          <w:sz w:val="21"/>
          <w:szCs w:val="21"/>
          <w:highlight w:val="none"/>
          <w:lang w:val="en-US" w:eastAsia="zh-CN" w:bidi="ar-SA"/>
        </w:rPr>
        <w:t>系数</w:t>
      </w:r>
      <w:r>
        <w:rPr>
          <w:rFonts w:hint="eastAsia" w:ascii="宋体" w:hAnsi="宋体" w:eastAsia="宋体" w:cs="宋体"/>
          <w:snapToGrid w:val="0"/>
          <w:color w:val="auto"/>
          <w:spacing w:val="0"/>
          <w:kern w:val="0"/>
          <w:sz w:val="21"/>
          <w:szCs w:val="21"/>
          <w:highlight w:val="none"/>
          <w:lang w:val="en-US" w:eastAsia="en-US" w:bidi="ar-SA"/>
        </w:rPr>
        <w:t>，</w:t>
      </w:r>
      <w:r>
        <w:rPr>
          <w:rFonts w:hint="eastAsia" w:ascii="宋体" w:hAnsi="宋体" w:eastAsia="宋体" w:cs="宋体"/>
          <w:snapToGrid w:val="0"/>
          <w:color w:val="auto"/>
          <w:spacing w:val="0"/>
          <w:kern w:val="0"/>
          <w:sz w:val="21"/>
          <w:szCs w:val="21"/>
          <w:highlight w:val="none"/>
          <w:lang w:val="en-US" w:eastAsia="zh-CN" w:bidi="ar-SA"/>
        </w:rPr>
        <w:t>本项目服务折扣系数不大于0.8。本项目不含税暂定采购金额为867,924.53元，暂定采购金额不作为招标人最终合同金额的保证。以招标人实际委托的单项咨询服务据实结算。中标人不得因招标人实际服务金额的减少或增加而要求提供任何形式的补偿或赔偿或者要求招标人按暂定采购金额采购相应单项咨询服务。</w:t>
      </w:r>
      <w:r>
        <w:rPr>
          <w:rFonts w:hint="eastAsia" w:ascii="宋体" w:hAnsi="宋体" w:eastAsia="宋体" w:cs="宋体"/>
          <w:snapToGrid w:val="0"/>
          <w:color w:val="auto"/>
          <w:spacing w:val="0"/>
          <w:kern w:val="0"/>
          <w:sz w:val="21"/>
          <w:szCs w:val="21"/>
          <w:highlight w:val="none"/>
          <w:lang w:val="en-US" w:eastAsia="en-US" w:bidi="ar-SA"/>
        </w:rPr>
        <w:t>单项造价咨询服务费参照《广东省物价局关于调整我省建设工程造价咨询服务收费的复函(粤价函(2011)742号)》</w:t>
      </w:r>
      <w:r>
        <w:rPr>
          <w:rFonts w:hint="eastAsia" w:ascii="宋体" w:hAnsi="宋体" w:eastAsia="宋体" w:cs="宋体"/>
          <w:snapToGrid w:val="0"/>
          <w:color w:val="auto"/>
          <w:spacing w:val="0"/>
          <w:kern w:val="0"/>
          <w:sz w:val="21"/>
          <w:szCs w:val="21"/>
          <w:highlight w:val="none"/>
          <w:lang w:val="en-US" w:eastAsia="zh-CN" w:bidi="ar-SA"/>
        </w:rPr>
        <w:t>中收费项目对应的收费</w:t>
      </w:r>
      <w:r>
        <w:rPr>
          <w:rFonts w:hint="eastAsia" w:ascii="宋体" w:hAnsi="宋体" w:eastAsia="宋体" w:cs="宋体"/>
          <w:snapToGrid w:val="0"/>
          <w:color w:val="auto"/>
          <w:spacing w:val="0"/>
          <w:kern w:val="0"/>
          <w:sz w:val="21"/>
          <w:szCs w:val="21"/>
          <w:highlight w:val="none"/>
          <w:lang w:val="en-US" w:eastAsia="en-US" w:bidi="ar-SA"/>
        </w:rPr>
        <w:t>标准</w:t>
      </w:r>
      <w:r>
        <w:rPr>
          <w:rFonts w:hint="eastAsia" w:ascii="宋体" w:hAnsi="宋体" w:eastAsia="宋体" w:cs="宋体"/>
          <w:snapToGrid w:val="0"/>
          <w:color w:val="auto"/>
          <w:spacing w:val="0"/>
          <w:kern w:val="0"/>
          <w:sz w:val="21"/>
          <w:szCs w:val="21"/>
          <w:highlight w:val="none"/>
          <w:lang w:val="en-US" w:eastAsia="zh-CN" w:bidi="ar-SA"/>
        </w:rPr>
        <w:t>，再乘以服务折扣系数，</w:t>
      </w:r>
      <w:r>
        <w:rPr>
          <w:rFonts w:hint="eastAsia" w:ascii="宋体" w:hAnsi="宋体" w:eastAsia="宋体" w:cs="宋体"/>
          <w:b/>
          <w:bCs/>
          <w:snapToGrid w:val="0"/>
          <w:color w:val="auto"/>
          <w:spacing w:val="0"/>
          <w:kern w:val="0"/>
          <w:sz w:val="21"/>
          <w:szCs w:val="21"/>
          <w:highlight w:val="none"/>
          <w:lang w:val="en-US" w:eastAsia="zh-CN" w:bidi="ar-SA"/>
        </w:rPr>
        <w:t>单项造价咨询服务不设最低收费</w:t>
      </w:r>
      <w:r>
        <w:rPr>
          <w:rFonts w:hint="eastAsia" w:ascii="宋体" w:hAnsi="宋体" w:eastAsia="宋体" w:cs="宋体"/>
          <w:snapToGrid w:val="0"/>
          <w:color w:val="auto"/>
          <w:spacing w:val="0"/>
          <w:kern w:val="0"/>
          <w:sz w:val="21"/>
          <w:szCs w:val="21"/>
          <w:highlight w:val="none"/>
          <w:lang w:val="en-US" w:eastAsia="zh-CN" w:bidi="ar-SA"/>
        </w:rPr>
        <w:t>。</w:t>
      </w:r>
      <w:r>
        <w:rPr>
          <w:rFonts w:hint="eastAsia" w:ascii="宋体" w:hAnsi="宋体" w:eastAsia="宋体" w:cs="宋体"/>
          <w:snapToGrid w:val="0"/>
          <w:color w:val="auto"/>
          <w:spacing w:val="0"/>
          <w:kern w:val="0"/>
          <w:sz w:val="21"/>
          <w:szCs w:val="21"/>
          <w:highlight w:val="none"/>
          <w:lang w:val="en-US" w:eastAsia="en-US" w:bidi="ar-SA"/>
        </w:rPr>
        <w:t>详细计费</w:t>
      </w:r>
      <w:r>
        <w:rPr>
          <w:rFonts w:hint="eastAsia" w:ascii="宋体" w:hAnsi="宋体" w:eastAsia="宋体" w:cs="宋体"/>
          <w:snapToGrid w:val="0"/>
          <w:color w:val="auto"/>
          <w:spacing w:val="0"/>
          <w:kern w:val="0"/>
          <w:sz w:val="21"/>
          <w:szCs w:val="21"/>
          <w:highlight w:val="none"/>
          <w:lang w:val="en-US" w:eastAsia="zh-CN" w:bidi="ar-SA"/>
        </w:rPr>
        <w:t>规则如下：</w:t>
      </w:r>
    </w:p>
    <w:p w14:paraId="1C393740">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outlineLvl w:val="2"/>
        <w:rPr>
          <w:rFonts w:hint="eastAsia" w:ascii="宋体" w:hAnsi="宋体" w:eastAsia="宋体" w:cs="宋体"/>
          <w:snapToGrid w:val="0"/>
          <w:color w:val="auto"/>
          <w:spacing w:val="0"/>
          <w:kern w:val="0"/>
          <w:sz w:val="21"/>
          <w:szCs w:val="21"/>
          <w:highlight w:val="none"/>
          <w:lang w:val="en-US" w:eastAsia="zh-CN" w:bidi="ar-SA"/>
        </w:rPr>
      </w:pPr>
      <w:bookmarkStart w:id="447" w:name="_Toc24084"/>
      <w:r>
        <w:rPr>
          <w:rFonts w:hint="eastAsia" w:ascii="宋体" w:hAnsi="宋体" w:eastAsia="宋体" w:cs="宋体"/>
          <w:snapToGrid w:val="0"/>
          <w:color w:val="auto"/>
          <w:spacing w:val="0"/>
          <w:kern w:val="0"/>
          <w:sz w:val="21"/>
          <w:szCs w:val="21"/>
          <w:highlight w:val="none"/>
          <w:lang w:val="en-US" w:eastAsia="zh-CN" w:bidi="ar-SA"/>
        </w:rPr>
        <w:t>3.1.1 工程类项目的造价咨询费计费规则</w:t>
      </w:r>
      <w:bookmarkEnd w:id="447"/>
    </w:p>
    <w:p w14:paraId="0D5D10AC">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投资估算的编制或审核、工程概算的编制或审核、工程预算的编制或审核、工程结算的编制、工程结算审核、施工阶段全过程造价控制，按《广东省建设工程造价咨询服务收费标准》(粤价函(2011)742号)相应的收费标准计费，再乘以服务折扣系数。如编制或审核的成果金额中含土地征用、迁移补偿等为取得或租用土地使用权而发生的费用，则以编制或审核的成果金额直接扣减该费用作为收费基数。</w:t>
      </w:r>
    </w:p>
    <w:p w14:paraId="24C97AB9">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outlineLvl w:val="2"/>
        <w:rPr>
          <w:rFonts w:hint="eastAsia" w:ascii="宋体" w:hAnsi="宋体" w:eastAsia="宋体" w:cs="宋体"/>
          <w:snapToGrid w:val="0"/>
          <w:color w:val="auto"/>
          <w:spacing w:val="0"/>
          <w:kern w:val="0"/>
          <w:sz w:val="21"/>
          <w:szCs w:val="21"/>
          <w:highlight w:val="none"/>
          <w:lang w:val="en-US" w:eastAsia="zh-CN" w:bidi="ar-SA"/>
        </w:rPr>
      </w:pPr>
      <w:bookmarkStart w:id="448" w:name="_Toc21495"/>
      <w:r>
        <w:rPr>
          <w:rFonts w:hint="eastAsia" w:ascii="宋体" w:hAnsi="宋体" w:eastAsia="宋体" w:cs="宋体"/>
          <w:snapToGrid w:val="0"/>
          <w:color w:val="auto"/>
          <w:spacing w:val="0"/>
          <w:kern w:val="0"/>
          <w:sz w:val="21"/>
          <w:szCs w:val="21"/>
          <w:highlight w:val="none"/>
          <w:lang w:val="en-US" w:eastAsia="zh-CN" w:bidi="ar-SA"/>
        </w:rPr>
        <w:t>3.1.2 非工程类货物采购、服务类项目的预算编审、结算</w:t>
      </w:r>
      <w:bookmarkEnd w:id="448"/>
    </w:p>
    <w:p w14:paraId="62C27B26">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（1）预算编审以单个委托单的清单条数为基准，按200元/条计算，造价咨询费等于清单条数×200元/条，</w:t>
      </w:r>
      <w:r>
        <w:rPr>
          <w:rFonts w:hint="eastAsia" w:ascii="宋体" w:hAnsi="宋体" w:eastAsia="宋体" w:cs="宋体"/>
          <w:color w:val="auto"/>
          <w:kern w:val="2"/>
          <w:sz w:val="21"/>
          <w:szCs w:val="21"/>
          <w:highlight w:val="none"/>
          <w:lang w:val="en-US" w:eastAsia="zh-CN" w:bidi="ar"/>
        </w:rPr>
        <w:t>每单不足2000元按2000元，再乘以服务折扣系数；同时，</w:t>
      </w:r>
      <w:r>
        <w:rPr>
          <w:rFonts w:hint="eastAsia" w:ascii="宋体" w:hAnsi="宋体" w:eastAsia="宋体" w:cs="宋体"/>
          <w:snapToGrid w:val="0"/>
          <w:color w:val="auto"/>
          <w:spacing w:val="0"/>
          <w:kern w:val="0"/>
          <w:sz w:val="21"/>
          <w:szCs w:val="21"/>
          <w:highlight w:val="none"/>
          <w:lang w:val="en-US" w:eastAsia="zh-CN" w:bidi="ar-SA"/>
        </w:rPr>
        <w:t>单个委托单最高收费不超过</w:t>
      </w:r>
      <w:r>
        <w:rPr>
          <w:rFonts w:hint="eastAsia" w:ascii="宋体" w:hAnsi="宋体" w:eastAsia="宋体" w:cs="宋体"/>
          <w:color w:val="auto"/>
          <w:kern w:val="2"/>
          <w:sz w:val="21"/>
          <w:szCs w:val="21"/>
          <w:highlight w:val="none"/>
          <w:lang w:val="en-US" w:eastAsia="zh-CN" w:bidi="ar"/>
        </w:rPr>
        <w:t>按《广东省建设工程造价咨询服务收费标准》(粤价函(2011)742号)中“单独编制或审核预算造价”相应的收费标准计出的费用。</w:t>
      </w:r>
      <w:r>
        <w:rPr>
          <w:rFonts w:hint="eastAsia" w:ascii="宋体" w:hAnsi="宋体" w:eastAsia="宋体" w:cs="宋体"/>
          <w:snapToGrid w:val="0"/>
          <w:color w:val="auto"/>
          <w:spacing w:val="0"/>
          <w:kern w:val="0"/>
          <w:sz w:val="21"/>
          <w:szCs w:val="21"/>
          <w:highlight w:val="none"/>
          <w:lang w:val="en-US" w:eastAsia="zh-CN" w:bidi="ar-SA"/>
        </w:rPr>
        <w:t>，如遇特殊情况双方另行协商确定。</w:t>
      </w:r>
    </w:p>
    <w:p w14:paraId="1D906F9D">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（2）货物合同结算、服务合同结算，以单个项目计算，每单2000元，再乘以服务折扣系数。</w:t>
      </w:r>
    </w:p>
    <w:p w14:paraId="28421B03">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outlineLvl w:val="2"/>
        <w:rPr>
          <w:rFonts w:hint="eastAsia" w:ascii="宋体" w:hAnsi="宋体" w:eastAsia="宋体" w:cs="宋体"/>
          <w:snapToGrid w:val="0"/>
          <w:color w:val="auto"/>
          <w:spacing w:val="0"/>
          <w:kern w:val="0"/>
          <w:sz w:val="21"/>
          <w:szCs w:val="21"/>
          <w:highlight w:val="none"/>
          <w:lang w:val="en-US" w:eastAsia="zh-CN" w:bidi="ar-SA"/>
        </w:rPr>
      </w:pPr>
      <w:bookmarkStart w:id="449" w:name="_Toc12963"/>
      <w:r>
        <w:rPr>
          <w:rFonts w:hint="eastAsia" w:ascii="宋体" w:hAnsi="宋体" w:eastAsia="宋体" w:cs="宋体"/>
          <w:snapToGrid w:val="0"/>
          <w:color w:val="auto"/>
          <w:spacing w:val="0"/>
          <w:kern w:val="0"/>
          <w:sz w:val="21"/>
          <w:szCs w:val="21"/>
          <w:highlight w:val="none"/>
          <w:lang w:val="en-US" w:eastAsia="zh-CN" w:bidi="ar-SA"/>
        </w:rPr>
        <w:t>3.1.3 其他</w:t>
      </w:r>
      <w:bookmarkEnd w:id="449"/>
    </w:p>
    <w:p w14:paraId="0C271EA8">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（1）清单不平衡报价审核按每单项（单项造价委托）2000 元，再乘以服务折扣系数计取。</w:t>
      </w:r>
    </w:p>
    <w:p w14:paraId="4AAC104C">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（2）进度款支付审核按每单项（单项造价委托）2000 元，再乘以服务折扣系数计取。</w:t>
      </w:r>
    </w:p>
    <w:p w14:paraId="45F25C71">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3）工程变更预算编制或审核，以“│变更增加│+│变更减少│”即绝对值之和为计费基数，按《广东省建设工程造价咨询服务收费标准》(粤价函(2011)742号)中工程预算的编制或审核相应的收费标准及相关规定计费，</w:t>
      </w:r>
      <w:r>
        <w:rPr>
          <w:rFonts w:hint="eastAsia" w:ascii="宋体" w:hAnsi="宋体" w:eastAsia="宋体" w:cs="宋体"/>
          <w:color w:val="auto"/>
          <w:kern w:val="2"/>
          <w:sz w:val="21"/>
          <w:szCs w:val="21"/>
          <w:highlight w:val="none"/>
          <w:lang w:val="en-US" w:eastAsia="zh-CN" w:bidi="ar"/>
        </w:rPr>
        <w:t>再乘以服务折扣系数</w:t>
      </w:r>
      <w:r>
        <w:rPr>
          <w:rFonts w:hint="eastAsia" w:ascii="宋体" w:hAnsi="宋体" w:eastAsia="宋体" w:cs="宋体"/>
          <w:snapToGrid w:val="0"/>
          <w:color w:val="auto"/>
          <w:spacing w:val="0"/>
          <w:kern w:val="0"/>
          <w:sz w:val="21"/>
          <w:szCs w:val="21"/>
          <w:highlight w:val="none"/>
          <w:lang w:val="en-US" w:eastAsia="zh-CN" w:bidi="ar-SA"/>
        </w:rPr>
        <w:t>。</w:t>
      </w:r>
    </w:p>
    <w:p w14:paraId="6D8EF368">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（4）施工合同结算，对于总价包干合同，原合同价部分不参与计算咨询费；</w:t>
      </w:r>
    </w:p>
    <w:p w14:paraId="01AFFCD7">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（5）如项目实施过程中，若存在单位工程未按概算总表中的单位工程目录实施，则施工阶段全过程造价咨询费的收费基数需重新调整对应的概算金额后重新计算。</w:t>
      </w:r>
    </w:p>
    <w:p w14:paraId="70A099F8">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（6）在造价咨询服务过程中，如因建设标准、项目完整性等原因造成设计图纸修改，致使工程造价需要重新修改和确定，双方另行商议需增加的工作时限以及造价咨询服务费用。</w:t>
      </w:r>
    </w:p>
    <w:p w14:paraId="5E7EE7B9">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3</w:t>
      </w:r>
      <w:r>
        <w:rPr>
          <w:rFonts w:hint="eastAsia" w:ascii="宋体" w:hAnsi="宋体" w:eastAsia="宋体" w:cs="宋体"/>
          <w:snapToGrid w:val="0"/>
          <w:color w:val="auto"/>
          <w:spacing w:val="0"/>
          <w:kern w:val="0"/>
          <w:sz w:val="21"/>
          <w:szCs w:val="21"/>
          <w:highlight w:val="none"/>
          <w:lang w:val="en-US" w:eastAsia="en-US" w:bidi="ar-SA"/>
        </w:rPr>
        <w:t>.</w:t>
      </w:r>
      <w:r>
        <w:rPr>
          <w:rFonts w:hint="eastAsia" w:ascii="宋体" w:hAnsi="宋体" w:eastAsia="宋体" w:cs="宋体"/>
          <w:snapToGrid w:val="0"/>
          <w:color w:val="auto"/>
          <w:spacing w:val="0"/>
          <w:kern w:val="0"/>
          <w:sz w:val="21"/>
          <w:szCs w:val="21"/>
          <w:highlight w:val="none"/>
          <w:lang w:val="en-US" w:eastAsia="zh-CN" w:bidi="ar-SA"/>
        </w:rPr>
        <w:t>2</w:t>
      </w:r>
      <w:r>
        <w:rPr>
          <w:rFonts w:hint="eastAsia" w:ascii="宋体" w:hAnsi="宋体" w:eastAsia="宋体" w:cs="宋体"/>
          <w:snapToGrid w:val="0"/>
          <w:color w:val="auto"/>
          <w:spacing w:val="0"/>
          <w:kern w:val="0"/>
          <w:sz w:val="21"/>
          <w:szCs w:val="21"/>
          <w:highlight w:val="none"/>
          <w:lang w:val="en-US" w:eastAsia="en-US" w:bidi="ar-SA"/>
        </w:rPr>
        <w:t xml:space="preserve"> 单项造价咨询服务费包括了中标人完成招标文件和合同约定的全部工作所需支付的一切费用，为包干价，包括但不限于(1)人员人工费(工资及加班工资、福利、社保、住房公积金、节日补贴、高温津贴、劳保、服装和膳食、意外伤害保险、加班费、住宿补贴、市内交通补贴</w:t>
      </w:r>
      <w:r>
        <w:rPr>
          <w:rFonts w:hint="eastAsia" w:ascii="宋体" w:hAnsi="宋体" w:eastAsia="宋体" w:cs="宋体"/>
          <w:snapToGrid w:val="0"/>
          <w:color w:val="auto"/>
          <w:spacing w:val="0"/>
          <w:kern w:val="0"/>
          <w:sz w:val="21"/>
          <w:szCs w:val="21"/>
          <w:highlight w:val="none"/>
          <w:lang w:val="en-US" w:eastAsia="zh-CN" w:bidi="ar-SA"/>
        </w:rPr>
        <w:t>、</w:t>
      </w:r>
      <w:r>
        <w:rPr>
          <w:rFonts w:hint="eastAsia" w:ascii="宋体" w:hAnsi="宋体" w:eastAsia="宋体" w:cs="宋体"/>
          <w:snapToGrid w:val="0"/>
          <w:color w:val="auto"/>
          <w:spacing w:val="0"/>
          <w:kern w:val="0"/>
          <w:sz w:val="21"/>
          <w:szCs w:val="21"/>
          <w:highlight w:val="none"/>
          <w:lang w:val="en-US" w:eastAsia="en-US" w:bidi="ar-SA"/>
        </w:rPr>
        <w:t>培训、经济补偿等)、驻场服务所需的差旅费、食宿费、交通费、通讯费、配合费、办理履约担保所需等费用；(2)合理利润、投标人销项税额以外的税费等；(3)法律法规、行业公认、完成合同实施过程中由投标人承担的其他直接及间接费用。</w:t>
      </w:r>
    </w:p>
    <w:p w14:paraId="3DFDBCEF">
      <w:pPr>
        <w:keepNext w:val="0"/>
        <w:keepLines w:val="0"/>
        <w:pageBreakBefore w:val="0"/>
        <w:widowControl/>
        <w:kinsoku/>
        <w:wordWrap/>
        <w:overflowPunct/>
        <w:topLinePunct/>
        <w:autoSpaceDE/>
        <w:autoSpaceDN/>
        <w:bidi w:val="0"/>
        <w:adjustRightInd w:val="0"/>
        <w:snapToGrid w:val="0"/>
        <w:spacing w:line="360" w:lineRule="auto"/>
        <w:ind w:right="474" w:firstLine="419"/>
        <w:jc w:val="both"/>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3</w:t>
      </w:r>
      <w:r>
        <w:rPr>
          <w:rFonts w:hint="eastAsia" w:ascii="宋体" w:hAnsi="宋体" w:eastAsia="宋体" w:cs="宋体"/>
          <w:snapToGrid w:val="0"/>
          <w:color w:val="auto"/>
          <w:spacing w:val="0"/>
          <w:kern w:val="0"/>
          <w:sz w:val="21"/>
          <w:szCs w:val="21"/>
          <w:highlight w:val="none"/>
          <w:lang w:val="en-US" w:eastAsia="en-US" w:bidi="ar-SA"/>
        </w:rPr>
        <w:t>.</w:t>
      </w:r>
      <w:r>
        <w:rPr>
          <w:rFonts w:hint="eastAsia" w:ascii="宋体" w:hAnsi="宋体" w:eastAsia="宋体" w:cs="宋体"/>
          <w:snapToGrid w:val="0"/>
          <w:color w:val="auto"/>
          <w:spacing w:val="0"/>
          <w:kern w:val="0"/>
          <w:sz w:val="21"/>
          <w:szCs w:val="21"/>
          <w:highlight w:val="none"/>
          <w:lang w:val="en-US" w:eastAsia="zh-CN" w:bidi="ar-SA"/>
        </w:rPr>
        <w:t xml:space="preserve">3 </w:t>
      </w:r>
      <w:r>
        <w:rPr>
          <w:rFonts w:hint="eastAsia" w:ascii="宋体" w:hAnsi="宋体" w:eastAsia="宋体" w:cs="宋体"/>
          <w:snapToGrid w:val="0"/>
          <w:color w:val="auto"/>
          <w:spacing w:val="0"/>
          <w:kern w:val="0"/>
          <w:sz w:val="21"/>
          <w:szCs w:val="21"/>
          <w:highlight w:val="none"/>
          <w:lang w:val="en-US" w:eastAsia="en-US" w:bidi="ar-SA"/>
        </w:rPr>
        <w:t>付费周期：以季度为单位，即按季度计量支付服务费。中标人须向招标人提供相应的工作量清单及对应的</w:t>
      </w:r>
      <w:r>
        <w:rPr>
          <w:rFonts w:hint="eastAsia" w:ascii="宋体" w:hAnsi="宋体" w:eastAsia="宋体" w:cs="宋体"/>
          <w:snapToGrid w:val="0"/>
          <w:color w:val="auto"/>
          <w:spacing w:val="0"/>
          <w:kern w:val="0"/>
          <w:sz w:val="21"/>
          <w:szCs w:val="21"/>
          <w:highlight w:val="none"/>
          <w:lang w:val="en-US" w:eastAsia="zh-CN" w:bidi="ar-SA"/>
        </w:rPr>
        <w:t>请款</w:t>
      </w:r>
      <w:r>
        <w:rPr>
          <w:rFonts w:hint="eastAsia" w:ascii="宋体" w:hAnsi="宋体" w:eastAsia="宋体" w:cs="宋体"/>
          <w:snapToGrid w:val="0"/>
          <w:color w:val="auto"/>
          <w:spacing w:val="0"/>
          <w:kern w:val="0"/>
          <w:sz w:val="21"/>
          <w:szCs w:val="21"/>
          <w:highlight w:val="none"/>
          <w:lang w:val="en-US" w:eastAsia="en-US" w:bidi="ar-SA"/>
        </w:rPr>
        <w:t>资料，经招标人审核通过后，在中标人提交对应的请款报告30天内向中标人支付造价咨询服务费。</w:t>
      </w:r>
    </w:p>
    <w:p w14:paraId="38063B59">
      <w:pPr>
        <w:keepNext w:val="0"/>
        <w:keepLines w:val="0"/>
        <w:pageBreakBefore w:val="0"/>
        <w:widowControl/>
        <w:kinsoku/>
        <w:wordWrap/>
        <w:overflowPunct/>
        <w:topLinePunct/>
        <w:autoSpaceDE/>
        <w:autoSpaceDN/>
        <w:bidi w:val="0"/>
        <w:adjustRightInd w:val="0"/>
        <w:snapToGrid w:val="0"/>
        <w:spacing w:line="360" w:lineRule="auto"/>
        <w:ind w:right="435" w:firstLine="429"/>
        <w:jc w:val="both"/>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3</w:t>
      </w:r>
      <w:r>
        <w:rPr>
          <w:rFonts w:hint="eastAsia" w:ascii="宋体" w:hAnsi="宋体" w:eastAsia="宋体" w:cs="宋体"/>
          <w:snapToGrid w:val="0"/>
          <w:color w:val="auto"/>
          <w:spacing w:val="0"/>
          <w:kern w:val="0"/>
          <w:sz w:val="21"/>
          <w:szCs w:val="21"/>
          <w:highlight w:val="none"/>
          <w:lang w:val="en-US" w:eastAsia="en-US" w:bidi="ar-SA"/>
        </w:rPr>
        <w:t>.</w:t>
      </w:r>
      <w:r>
        <w:rPr>
          <w:rFonts w:hint="eastAsia" w:ascii="宋体" w:hAnsi="宋体" w:eastAsia="宋体" w:cs="宋体"/>
          <w:snapToGrid w:val="0"/>
          <w:color w:val="auto"/>
          <w:spacing w:val="0"/>
          <w:kern w:val="0"/>
          <w:sz w:val="21"/>
          <w:szCs w:val="21"/>
          <w:highlight w:val="none"/>
          <w:lang w:val="en-US" w:eastAsia="zh-CN" w:bidi="ar-SA"/>
        </w:rPr>
        <w:t xml:space="preserve">4 </w:t>
      </w:r>
      <w:r>
        <w:rPr>
          <w:rFonts w:hint="eastAsia" w:ascii="宋体" w:hAnsi="宋体" w:eastAsia="宋体" w:cs="宋体"/>
          <w:snapToGrid w:val="0"/>
          <w:color w:val="auto"/>
          <w:spacing w:val="0"/>
          <w:kern w:val="0"/>
          <w:sz w:val="21"/>
          <w:szCs w:val="21"/>
          <w:highlight w:val="none"/>
          <w:lang w:val="en-US" w:eastAsia="en-US" w:bidi="ar-SA"/>
        </w:rPr>
        <w:t>每笔款项支付前，中标人应向招标人提交该付费周期内单项造价咨询服务项目工作量清单及对应的结算资料、请款报告及符合招标人及相关法律法规要求的增值税</w:t>
      </w:r>
      <w:r>
        <w:rPr>
          <w:rFonts w:hint="eastAsia" w:ascii="宋体" w:hAnsi="宋体" w:eastAsia="宋体" w:cs="宋体"/>
          <w:snapToGrid w:val="0"/>
          <w:color w:val="auto"/>
          <w:spacing w:val="0"/>
          <w:kern w:val="0"/>
          <w:sz w:val="21"/>
          <w:szCs w:val="21"/>
          <w:highlight w:val="none"/>
          <w:lang w:val="en-US" w:eastAsia="zh-CN" w:bidi="ar-SA"/>
        </w:rPr>
        <w:t>普通</w:t>
      </w:r>
      <w:r>
        <w:rPr>
          <w:rFonts w:hint="eastAsia" w:ascii="宋体" w:hAnsi="宋体" w:eastAsia="宋体" w:cs="宋体"/>
          <w:snapToGrid w:val="0"/>
          <w:color w:val="auto"/>
          <w:spacing w:val="0"/>
          <w:kern w:val="0"/>
          <w:sz w:val="21"/>
          <w:szCs w:val="21"/>
          <w:highlight w:val="none"/>
          <w:lang w:val="en-US" w:eastAsia="en-US" w:bidi="ar-SA"/>
        </w:rPr>
        <w:t>发票，经招标人确认无误后30天内支付相关费用。中标人逾期提交请款材料或提交材料不符合招标人要求的，招标人有权顺延支付相应款项，并不承担逾期付款的违约责任，由于中标人提供的发票不符合税法规定，给招标人造成的损失由中标人承担赔偿责任，中标人不得以此延迟而拒绝履行合同义务</w:t>
      </w:r>
      <w:r>
        <w:rPr>
          <w:rFonts w:hint="eastAsia" w:ascii="宋体" w:hAnsi="宋体" w:eastAsia="宋体" w:cs="宋体"/>
          <w:snapToGrid w:val="0"/>
          <w:color w:val="auto"/>
          <w:spacing w:val="0"/>
          <w:kern w:val="0"/>
          <w:sz w:val="21"/>
          <w:szCs w:val="21"/>
          <w:highlight w:val="none"/>
          <w:lang w:val="en-US" w:eastAsia="zh-CN" w:bidi="ar-SA"/>
        </w:rPr>
        <w:t>。</w:t>
      </w:r>
    </w:p>
    <w:p w14:paraId="74519D4A">
      <w:pPr>
        <w:keepNext w:val="0"/>
        <w:keepLines w:val="0"/>
        <w:pageBreakBefore w:val="0"/>
        <w:widowControl/>
        <w:kinsoku/>
        <w:wordWrap/>
        <w:overflowPunct/>
        <w:topLinePunct/>
        <w:autoSpaceDE/>
        <w:autoSpaceDN/>
        <w:bidi w:val="0"/>
        <w:adjustRightInd w:val="0"/>
        <w:snapToGrid w:val="0"/>
        <w:spacing w:line="360" w:lineRule="auto"/>
        <w:ind w:left="442"/>
        <w:jc w:val="left"/>
        <w:textAlignment w:val="baseline"/>
        <w:outlineLvl w:val="1"/>
        <w:rPr>
          <w:rFonts w:hint="eastAsia" w:ascii="宋体" w:hAnsi="宋体" w:eastAsia="宋体" w:cs="宋体"/>
          <w:snapToGrid w:val="0"/>
          <w:color w:val="auto"/>
          <w:spacing w:val="0"/>
          <w:kern w:val="0"/>
          <w:sz w:val="21"/>
          <w:szCs w:val="21"/>
          <w:highlight w:val="none"/>
          <w:lang w:val="en-US" w:eastAsia="en-US" w:bidi="ar-SA"/>
        </w:rPr>
      </w:pPr>
      <w:bookmarkStart w:id="450" w:name="_Toc22353"/>
      <w:r>
        <w:rPr>
          <w:rFonts w:hint="eastAsia" w:ascii="宋体" w:hAnsi="宋体" w:eastAsia="宋体" w:cs="宋体"/>
          <w:b/>
          <w:bCs/>
          <w:snapToGrid w:val="0"/>
          <w:color w:val="auto"/>
          <w:spacing w:val="0"/>
          <w:kern w:val="0"/>
          <w:sz w:val="21"/>
          <w:szCs w:val="21"/>
          <w:highlight w:val="none"/>
          <w:lang w:val="en-US" w:eastAsia="zh-CN" w:bidi="ar-SA"/>
        </w:rPr>
        <w:t>四</w:t>
      </w:r>
      <w:r>
        <w:rPr>
          <w:rFonts w:hint="eastAsia" w:ascii="宋体" w:hAnsi="宋体" w:eastAsia="宋体" w:cs="宋体"/>
          <w:b/>
          <w:bCs/>
          <w:snapToGrid w:val="0"/>
          <w:color w:val="auto"/>
          <w:spacing w:val="0"/>
          <w:kern w:val="0"/>
          <w:sz w:val="21"/>
          <w:szCs w:val="21"/>
          <w:highlight w:val="none"/>
          <w:lang w:val="en-US" w:eastAsia="en-US" w:bidi="ar-SA"/>
        </w:rPr>
        <w:t>、单项造价咨询服务完成时间要求</w:t>
      </w:r>
      <w:bookmarkEnd w:id="450"/>
    </w:p>
    <w:p w14:paraId="44AFEBA5">
      <w:pPr>
        <w:keepNext w:val="0"/>
        <w:keepLines w:val="0"/>
        <w:pageBreakBefore w:val="0"/>
        <w:widowControl/>
        <w:kinsoku/>
        <w:wordWrap/>
        <w:overflowPunct/>
        <w:topLinePunct/>
        <w:autoSpaceDE/>
        <w:autoSpaceDN/>
        <w:bidi w:val="0"/>
        <w:adjustRightInd w:val="0"/>
        <w:snapToGrid w:val="0"/>
        <w:spacing w:line="360" w:lineRule="auto"/>
        <w:ind w:left="69" w:right="522" w:firstLine="369"/>
        <w:jc w:val="both"/>
        <w:textAlignment w:val="baseline"/>
        <w:outlineLvl w:val="2"/>
        <w:rPr>
          <w:rFonts w:hint="eastAsia" w:ascii="宋体" w:hAnsi="宋体" w:eastAsia="宋体" w:cs="宋体"/>
          <w:snapToGrid w:val="0"/>
          <w:color w:val="auto"/>
          <w:spacing w:val="0"/>
          <w:kern w:val="0"/>
          <w:sz w:val="21"/>
          <w:szCs w:val="21"/>
          <w:highlight w:val="none"/>
          <w:lang w:val="en-US" w:eastAsia="zh-CN" w:bidi="ar-SA"/>
        </w:rPr>
      </w:pPr>
      <w:bookmarkStart w:id="451" w:name="_Toc25123"/>
      <w:r>
        <w:rPr>
          <w:rFonts w:hint="eastAsia" w:ascii="宋体" w:hAnsi="宋体" w:eastAsia="宋体" w:cs="宋体"/>
          <w:snapToGrid w:val="0"/>
          <w:color w:val="auto"/>
          <w:spacing w:val="0"/>
          <w:kern w:val="0"/>
          <w:sz w:val="21"/>
          <w:szCs w:val="21"/>
          <w:highlight w:val="none"/>
          <w:lang w:val="en-US" w:eastAsia="zh-CN" w:bidi="ar-SA"/>
        </w:rPr>
        <w:t>4</w:t>
      </w:r>
      <w:r>
        <w:rPr>
          <w:rFonts w:hint="eastAsia" w:ascii="宋体" w:hAnsi="宋体" w:eastAsia="宋体" w:cs="宋体"/>
          <w:snapToGrid w:val="0"/>
          <w:color w:val="auto"/>
          <w:spacing w:val="0"/>
          <w:kern w:val="0"/>
          <w:sz w:val="21"/>
          <w:szCs w:val="21"/>
          <w:highlight w:val="none"/>
          <w:lang w:val="en-US" w:eastAsia="en-US" w:bidi="ar-SA"/>
        </w:rPr>
        <w:t xml:space="preserve">.1 </w:t>
      </w:r>
      <w:r>
        <w:rPr>
          <w:rFonts w:hint="eastAsia" w:ascii="宋体" w:hAnsi="宋体" w:eastAsia="宋体" w:cs="宋体"/>
          <w:snapToGrid w:val="0"/>
          <w:color w:val="auto"/>
          <w:spacing w:val="0"/>
          <w:kern w:val="0"/>
          <w:sz w:val="21"/>
          <w:szCs w:val="21"/>
          <w:highlight w:val="none"/>
          <w:lang w:val="en-US" w:eastAsia="zh-CN" w:bidi="ar-SA"/>
        </w:rPr>
        <w:t>单项造价咨询服务完成时间要求，具体如下：</w:t>
      </w:r>
      <w:bookmarkEnd w:id="451"/>
    </w:p>
    <w:tbl>
      <w:tblPr>
        <w:tblStyle w:val="3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556"/>
        <w:gridCol w:w="1240"/>
        <w:gridCol w:w="1240"/>
        <w:gridCol w:w="1240"/>
        <w:gridCol w:w="2545"/>
        <w:gridCol w:w="851"/>
        <w:gridCol w:w="851"/>
      </w:tblGrid>
      <w:tr w14:paraId="63A5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bottom w:val="single" w:color="auto" w:sz="4" w:space="0"/>
              <w:right w:val="single" w:color="auto" w:sz="4" w:space="0"/>
            </w:tcBorders>
            <w:vAlign w:val="center"/>
          </w:tcPr>
          <w:p w14:paraId="52C77E1C">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序号</w:t>
            </w:r>
          </w:p>
        </w:tc>
        <w:tc>
          <w:tcPr>
            <w:tcW w:w="1556" w:type="dxa"/>
            <w:tcBorders>
              <w:left w:val="nil"/>
              <w:bottom w:val="single" w:color="auto" w:sz="4" w:space="0"/>
              <w:right w:val="single" w:color="auto" w:sz="4" w:space="0"/>
            </w:tcBorders>
            <w:vAlign w:val="center"/>
          </w:tcPr>
          <w:p w14:paraId="1278938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金额（万元）</w:t>
            </w:r>
          </w:p>
        </w:tc>
        <w:tc>
          <w:tcPr>
            <w:tcW w:w="1240" w:type="dxa"/>
            <w:tcBorders>
              <w:left w:val="nil"/>
              <w:bottom w:val="single" w:color="auto" w:sz="4" w:space="0"/>
              <w:right w:val="single" w:color="auto" w:sz="4" w:space="0"/>
            </w:tcBorders>
            <w:vAlign w:val="center"/>
          </w:tcPr>
          <w:p w14:paraId="24D50C3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投资估算审核</w:t>
            </w:r>
          </w:p>
        </w:tc>
        <w:tc>
          <w:tcPr>
            <w:tcW w:w="1240" w:type="dxa"/>
            <w:tcBorders>
              <w:left w:val="nil"/>
              <w:bottom w:val="single" w:color="auto" w:sz="4" w:space="0"/>
              <w:right w:val="single" w:color="auto" w:sz="4" w:space="0"/>
            </w:tcBorders>
            <w:vAlign w:val="center"/>
          </w:tcPr>
          <w:p w14:paraId="6AE9DD4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初设概算审核</w:t>
            </w:r>
          </w:p>
        </w:tc>
        <w:tc>
          <w:tcPr>
            <w:tcW w:w="1240" w:type="dxa"/>
            <w:tcBorders>
              <w:left w:val="nil"/>
              <w:bottom w:val="single" w:color="auto" w:sz="4" w:space="0"/>
              <w:right w:val="single" w:color="auto" w:sz="4" w:space="0"/>
            </w:tcBorders>
            <w:vAlign w:val="center"/>
          </w:tcPr>
          <w:p w14:paraId="2C2F261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招标控制价编制</w:t>
            </w:r>
          </w:p>
        </w:tc>
        <w:tc>
          <w:tcPr>
            <w:tcW w:w="2545" w:type="dxa"/>
            <w:tcBorders>
              <w:left w:val="nil"/>
              <w:bottom w:val="single" w:color="auto" w:sz="4" w:space="0"/>
              <w:right w:val="single" w:color="auto" w:sz="4" w:space="0"/>
            </w:tcBorders>
            <w:vAlign w:val="center"/>
          </w:tcPr>
          <w:p w14:paraId="54AE1F0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zh-CN"/>
              </w:rPr>
            </w:pPr>
            <w:r>
              <w:rPr>
                <w:rFonts w:hint="eastAsia" w:ascii="宋体" w:hAnsi="宋体" w:eastAsia="宋体" w:cs="宋体"/>
                <w:snapToGrid w:val="0"/>
                <w:color w:val="auto"/>
                <w:spacing w:val="0"/>
                <w:kern w:val="0"/>
                <w:sz w:val="21"/>
                <w:szCs w:val="21"/>
                <w:highlight w:val="none"/>
                <w:lang w:eastAsia="en-US"/>
              </w:rPr>
              <w:t>施工图预算、变更预算、工程结算审核</w:t>
            </w:r>
            <w:r>
              <w:rPr>
                <w:rFonts w:hint="eastAsia" w:ascii="宋体" w:hAnsi="宋体" w:eastAsia="宋体" w:cs="宋体"/>
                <w:snapToGrid w:val="0"/>
                <w:color w:val="auto"/>
                <w:spacing w:val="0"/>
                <w:kern w:val="0"/>
                <w:sz w:val="21"/>
                <w:szCs w:val="21"/>
                <w:highlight w:val="none"/>
                <w:lang w:eastAsia="zh-CN"/>
              </w:rPr>
              <w:t>（</w:t>
            </w:r>
            <w:r>
              <w:rPr>
                <w:rFonts w:hint="eastAsia" w:ascii="宋体" w:hAnsi="宋体" w:eastAsia="宋体" w:cs="宋体"/>
                <w:snapToGrid w:val="0"/>
                <w:color w:val="auto"/>
                <w:spacing w:val="0"/>
                <w:kern w:val="0"/>
                <w:sz w:val="21"/>
                <w:szCs w:val="21"/>
                <w:highlight w:val="none"/>
                <w:lang w:val="en-US" w:eastAsia="zh-CN"/>
              </w:rPr>
              <w:t>或编制</w:t>
            </w:r>
            <w:r>
              <w:rPr>
                <w:rFonts w:hint="eastAsia" w:ascii="宋体" w:hAnsi="宋体" w:eastAsia="宋体" w:cs="宋体"/>
                <w:snapToGrid w:val="0"/>
                <w:color w:val="auto"/>
                <w:spacing w:val="0"/>
                <w:kern w:val="0"/>
                <w:sz w:val="21"/>
                <w:szCs w:val="21"/>
                <w:highlight w:val="none"/>
                <w:lang w:eastAsia="zh-CN"/>
              </w:rPr>
              <w:t>）</w:t>
            </w:r>
          </w:p>
        </w:tc>
        <w:tc>
          <w:tcPr>
            <w:tcW w:w="851" w:type="dxa"/>
            <w:tcBorders>
              <w:left w:val="nil"/>
              <w:bottom w:val="single" w:color="auto" w:sz="4" w:space="0"/>
            </w:tcBorders>
            <w:vAlign w:val="center"/>
          </w:tcPr>
          <w:p w14:paraId="55E7EAE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工程款支付审核</w:t>
            </w:r>
          </w:p>
        </w:tc>
        <w:tc>
          <w:tcPr>
            <w:tcW w:w="851" w:type="dxa"/>
            <w:tcBorders>
              <w:left w:val="nil"/>
              <w:bottom w:val="single" w:color="auto" w:sz="4" w:space="0"/>
            </w:tcBorders>
            <w:vAlign w:val="center"/>
          </w:tcPr>
          <w:p w14:paraId="0A250CD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货物采购、服务类项目预算编审</w:t>
            </w:r>
          </w:p>
        </w:tc>
      </w:tr>
      <w:tr w14:paraId="44A4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2" w:type="dxa"/>
            <w:tcBorders>
              <w:top w:val="single" w:color="auto" w:sz="4" w:space="0"/>
              <w:bottom w:val="single" w:color="auto" w:sz="4" w:space="0"/>
              <w:right w:val="single" w:color="auto" w:sz="4" w:space="0"/>
            </w:tcBorders>
            <w:vAlign w:val="center"/>
          </w:tcPr>
          <w:p w14:paraId="5E18FF6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1</w:t>
            </w:r>
          </w:p>
        </w:tc>
        <w:tc>
          <w:tcPr>
            <w:tcW w:w="1556" w:type="dxa"/>
            <w:tcBorders>
              <w:top w:val="single" w:color="auto" w:sz="4" w:space="0"/>
              <w:left w:val="nil"/>
              <w:bottom w:val="single" w:color="auto" w:sz="4" w:space="0"/>
              <w:right w:val="single" w:color="auto" w:sz="4" w:space="0"/>
            </w:tcBorders>
            <w:vAlign w:val="center"/>
          </w:tcPr>
          <w:p w14:paraId="4159506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500以内</w:t>
            </w:r>
          </w:p>
        </w:tc>
        <w:tc>
          <w:tcPr>
            <w:tcW w:w="1240" w:type="dxa"/>
            <w:tcBorders>
              <w:top w:val="nil"/>
              <w:left w:val="nil"/>
              <w:bottom w:val="single" w:color="auto" w:sz="4" w:space="0"/>
              <w:right w:val="single" w:color="auto" w:sz="4" w:space="0"/>
            </w:tcBorders>
            <w:vAlign w:val="center"/>
          </w:tcPr>
          <w:p w14:paraId="6D35AA8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val="en-US" w:eastAsia="zh-CN"/>
              </w:rPr>
            </w:pPr>
            <w:r>
              <w:rPr>
                <w:rFonts w:hint="eastAsia" w:ascii="宋体" w:hAnsi="宋体" w:eastAsia="宋体" w:cs="宋体"/>
                <w:snapToGrid w:val="0"/>
                <w:color w:val="auto"/>
                <w:spacing w:val="0"/>
                <w:kern w:val="0"/>
                <w:sz w:val="21"/>
                <w:szCs w:val="21"/>
                <w:highlight w:val="none"/>
                <w:lang w:val="en-US" w:eastAsia="zh-CN"/>
              </w:rPr>
              <w:t>5工作日</w:t>
            </w:r>
          </w:p>
        </w:tc>
        <w:tc>
          <w:tcPr>
            <w:tcW w:w="1240" w:type="dxa"/>
            <w:tcBorders>
              <w:top w:val="single" w:color="auto" w:sz="4" w:space="0"/>
              <w:left w:val="nil"/>
              <w:bottom w:val="single" w:color="auto" w:sz="4" w:space="0"/>
              <w:right w:val="single" w:color="auto" w:sz="4" w:space="0"/>
            </w:tcBorders>
            <w:vAlign w:val="center"/>
          </w:tcPr>
          <w:p w14:paraId="1FEA7F6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val="en-US" w:eastAsia="zh-CN"/>
              </w:rPr>
              <w:t>5</w:t>
            </w:r>
            <w:r>
              <w:rPr>
                <w:rFonts w:hint="eastAsia" w:ascii="宋体" w:hAnsi="宋体" w:eastAsia="宋体" w:cs="宋体"/>
                <w:snapToGrid w:val="0"/>
                <w:color w:val="auto"/>
                <w:spacing w:val="0"/>
                <w:kern w:val="0"/>
                <w:sz w:val="21"/>
                <w:szCs w:val="21"/>
                <w:highlight w:val="none"/>
                <w:lang w:eastAsia="en-US"/>
              </w:rPr>
              <w:t>工作日</w:t>
            </w:r>
          </w:p>
        </w:tc>
        <w:tc>
          <w:tcPr>
            <w:tcW w:w="1240" w:type="dxa"/>
            <w:tcBorders>
              <w:top w:val="single" w:color="auto" w:sz="4" w:space="0"/>
              <w:left w:val="nil"/>
              <w:bottom w:val="single" w:color="auto" w:sz="4" w:space="0"/>
              <w:right w:val="single" w:color="auto" w:sz="4" w:space="0"/>
            </w:tcBorders>
            <w:vAlign w:val="center"/>
          </w:tcPr>
          <w:p w14:paraId="0585A92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val="en-US" w:eastAsia="zh-CN"/>
              </w:rPr>
              <w:t>10</w:t>
            </w:r>
            <w:r>
              <w:rPr>
                <w:rFonts w:hint="eastAsia" w:ascii="宋体" w:hAnsi="宋体" w:eastAsia="宋体" w:cs="宋体"/>
                <w:snapToGrid w:val="0"/>
                <w:color w:val="auto"/>
                <w:spacing w:val="0"/>
                <w:kern w:val="0"/>
                <w:sz w:val="21"/>
                <w:szCs w:val="21"/>
                <w:highlight w:val="none"/>
                <w:lang w:eastAsia="en-US"/>
              </w:rPr>
              <w:t>工作日</w:t>
            </w:r>
          </w:p>
        </w:tc>
        <w:tc>
          <w:tcPr>
            <w:tcW w:w="2545" w:type="dxa"/>
            <w:tcBorders>
              <w:top w:val="single" w:color="auto" w:sz="4" w:space="0"/>
              <w:left w:val="nil"/>
              <w:bottom w:val="single" w:color="auto" w:sz="4" w:space="0"/>
              <w:right w:val="single" w:color="auto" w:sz="4" w:space="0"/>
            </w:tcBorders>
            <w:vAlign w:val="center"/>
          </w:tcPr>
          <w:p w14:paraId="7119F3D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val="en-US" w:eastAsia="zh-CN"/>
              </w:rPr>
              <w:t>5</w:t>
            </w:r>
            <w:r>
              <w:rPr>
                <w:rFonts w:hint="eastAsia" w:ascii="宋体" w:hAnsi="宋体" w:eastAsia="宋体" w:cs="宋体"/>
                <w:snapToGrid w:val="0"/>
                <w:color w:val="auto"/>
                <w:spacing w:val="0"/>
                <w:kern w:val="0"/>
                <w:sz w:val="21"/>
                <w:szCs w:val="21"/>
                <w:highlight w:val="none"/>
                <w:lang w:eastAsia="en-US"/>
              </w:rPr>
              <w:t>工作日</w:t>
            </w:r>
          </w:p>
        </w:tc>
        <w:tc>
          <w:tcPr>
            <w:tcW w:w="851" w:type="dxa"/>
            <w:vMerge w:val="restart"/>
            <w:tcBorders>
              <w:top w:val="single" w:color="auto" w:sz="4" w:space="0"/>
              <w:left w:val="nil"/>
            </w:tcBorders>
            <w:vAlign w:val="center"/>
          </w:tcPr>
          <w:p w14:paraId="320706D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2工作日</w:t>
            </w:r>
          </w:p>
        </w:tc>
        <w:tc>
          <w:tcPr>
            <w:tcW w:w="851" w:type="dxa"/>
            <w:vMerge w:val="restart"/>
            <w:tcBorders>
              <w:top w:val="single" w:color="auto" w:sz="4" w:space="0"/>
              <w:left w:val="nil"/>
            </w:tcBorders>
            <w:vAlign w:val="center"/>
          </w:tcPr>
          <w:p w14:paraId="2DE5C76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val="en-US" w:eastAsia="zh-CN"/>
              </w:rPr>
            </w:pPr>
            <w:r>
              <w:rPr>
                <w:rFonts w:hint="eastAsia" w:ascii="宋体" w:hAnsi="宋体" w:eastAsia="宋体" w:cs="宋体"/>
                <w:snapToGrid w:val="0"/>
                <w:color w:val="auto"/>
                <w:spacing w:val="0"/>
                <w:kern w:val="0"/>
                <w:sz w:val="21"/>
                <w:szCs w:val="21"/>
                <w:highlight w:val="none"/>
                <w:lang w:val="en-US" w:eastAsia="zh-CN"/>
              </w:rPr>
              <w:t>10工作日</w:t>
            </w:r>
          </w:p>
        </w:tc>
      </w:tr>
      <w:tr w14:paraId="2F6E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2" w:type="dxa"/>
            <w:tcBorders>
              <w:top w:val="single" w:color="auto" w:sz="4" w:space="0"/>
              <w:bottom w:val="single" w:color="auto" w:sz="4" w:space="0"/>
              <w:right w:val="single" w:color="auto" w:sz="4" w:space="0"/>
            </w:tcBorders>
            <w:vAlign w:val="center"/>
          </w:tcPr>
          <w:p w14:paraId="72D672E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2</w:t>
            </w:r>
          </w:p>
        </w:tc>
        <w:tc>
          <w:tcPr>
            <w:tcW w:w="1556" w:type="dxa"/>
            <w:tcBorders>
              <w:top w:val="single" w:color="auto" w:sz="4" w:space="0"/>
              <w:left w:val="nil"/>
              <w:bottom w:val="single" w:color="auto" w:sz="4" w:space="0"/>
              <w:right w:val="single" w:color="auto" w:sz="4" w:space="0"/>
            </w:tcBorders>
            <w:vAlign w:val="center"/>
          </w:tcPr>
          <w:p w14:paraId="7810508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500-2500</w:t>
            </w:r>
          </w:p>
        </w:tc>
        <w:tc>
          <w:tcPr>
            <w:tcW w:w="1240" w:type="dxa"/>
            <w:vMerge w:val="restart"/>
            <w:tcBorders>
              <w:top w:val="nil"/>
              <w:left w:val="nil"/>
              <w:right w:val="single" w:color="auto" w:sz="4" w:space="0"/>
            </w:tcBorders>
            <w:vAlign w:val="center"/>
          </w:tcPr>
          <w:p w14:paraId="6567B76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val="en-US" w:eastAsia="zh-CN"/>
              </w:rPr>
            </w:pPr>
            <w:r>
              <w:rPr>
                <w:rFonts w:hint="eastAsia" w:ascii="宋体" w:hAnsi="宋体" w:eastAsia="宋体" w:cs="宋体"/>
                <w:snapToGrid w:val="0"/>
                <w:color w:val="auto"/>
                <w:spacing w:val="0"/>
                <w:kern w:val="0"/>
                <w:sz w:val="21"/>
                <w:szCs w:val="21"/>
                <w:highlight w:val="none"/>
                <w:lang w:val="en-US" w:eastAsia="zh-CN"/>
              </w:rPr>
              <w:t>10工作日</w:t>
            </w:r>
          </w:p>
        </w:tc>
        <w:tc>
          <w:tcPr>
            <w:tcW w:w="1240" w:type="dxa"/>
            <w:vMerge w:val="restart"/>
            <w:tcBorders>
              <w:top w:val="nil"/>
              <w:left w:val="nil"/>
              <w:bottom w:val="single" w:color="auto" w:sz="4" w:space="0"/>
              <w:right w:val="single" w:color="auto" w:sz="4" w:space="0"/>
            </w:tcBorders>
            <w:vAlign w:val="center"/>
          </w:tcPr>
          <w:p w14:paraId="5AFB7EB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15工作日</w:t>
            </w:r>
          </w:p>
        </w:tc>
        <w:tc>
          <w:tcPr>
            <w:tcW w:w="1240" w:type="dxa"/>
            <w:tcBorders>
              <w:top w:val="single" w:color="auto" w:sz="4" w:space="0"/>
              <w:left w:val="nil"/>
              <w:bottom w:val="single" w:color="auto" w:sz="4" w:space="0"/>
              <w:right w:val="single" w:color="auto" w:sz="4" w:space="0"/>
            </w:tcBorders>
            <w:vAlign w:val="center"/>
          </w:tcPr>
          <w:p w14:paraId="70D8884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10工作日</w:t>
            </w:r>
          </w:p>
        </w:tc>
        <w:tc>
          <w:tcPr>
            <w:tcW w:w="2545" w:type="dxa"/>
            <w:tcBorders>
              <w:top w:val="single" w:color="auto" w:sz="4" w:space="0"/>
              <w:left w:val="nil"/>
              <w:bottom w:val="single" w:color="auto" w:sz="4" w:space="0"/>
              <w:right w:val="single" w:color="auto" w:sz="4" w:space="0"/>
            </w:tcBorders>
            <w:vAlign w:val="center"/>
          </w:tcPr>
          <w:p w14:paraId="445FE8F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val="en-US" w:eastAsia="zh-CN"/>
              </w:rPr>
              <w:t>18</w:t>
            </w:r>
            <w:r>
              <w:rPr>
                <w:rFonts w:hint="eastAsia" w:ascii="宋体" w:hAnsi="宋体" w:eastAsia="宋体" w:cs="宋体"/>
                <w:snapToGrid w:val="0"/>
                <w:color w:val="auto"/>
                <w:spacing w:val="0"/>
                <w:kern w:val="0"/>
                <w:sz w:val="21"/>
                <w:szCs w:val="21"/>
                <w:highlight w:val="none"/>
                <w:lang w:eastAsia="en-US"/>
              </w:rPr>
              <w:t>工作日</w:t>
            </w:r>
          </w:p>
        </w:tc>
        <w:tc>
          <w:tcPr>
            <w:tcW w:w="851" w:type="dxa"/>
            <w:vMerge w:val="continue"/>
            <w:tcBorders>
              <w:left w:val="nil"/>
            </w:tcBorders>
          </w:tcPr>
          <w:p w14:paraId="18DA1AB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851" w:type="dxa"/>
            <w:vMerge w:val="continue"/>
            <w:tcBorders>
              <w:left w:val="nil"/>
            </w:tcBorders>
          </w:tcPr>
          <w:p w14:paraId="19F5AA7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r>
      <w:tr w14:paraId="5A65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2" w:type="dxa"/>
            <w:tcBorders>
              <w:top w:val="single" w:color="auto" w:sz="4" w:space="0"/>
              <w:bottom w:val="single" w:color="auto" w:sz="4" w:space="0"/>
              <w:right w:val="single" w:color="auto" w:sz="4" w:space="0"/>
            </w:tcBorders>
            <w:vAlign w:val="center"/>
          </w:tcPr>
          <w:p w14:paraId="15C35F5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3</w:t>
            </w:r>
          </w:p>
        </w:tc>
        <w:tc>
          <w:tcPr>
            <w:tcW w:w="1556" w:type="dxa"/>
            <w:tcBorders>
              <w:top w:val="single" w:color="auto" w:sz="4" w:space="0"/>
              <w:left w:val="nil"/>
              <w:bottom w:val="single" w:color="auto" w:sz="4" w:space="0"/>
              <w:right w:val="single" w:color="auto" w:sz="4" w:space="0"/>
            </w:tcBorders>
            <w:vAlign w:val="center"/>
          </w:tcPr>
          <w:p w14:paraId="6DD7941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2500-5000</w:t>
            </w:r>
          </w:p>
        </w:tc>
        <w:tc>
          <w:tcPr>
            <w:tcW w:w="1240" w:type="dxa"/>
            <w:vMerge w:val="continue"/>
            <w:tcBorders>
              <w:left w:val="nil"/>
              <w:right w:val="single" w:color="auto" w:sz="4" w:space="0"/>
            </w:tcBorders>
            <w:vAlign w:val="center"/>
          </w:tcPr>
          <w:p w14:paraId="4E31B4A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1240" w:type="dxa"/>
            <w:vMerge w:val="continue"/>
            <w:tcBorders>
              <w:top w:val="nil"/>
              <w:left w:val="nil"/>
              <w:bottom w:val="single" w:color="auto" w:sz="4" w:space="0"/>
              <w:right w:val="single" w:color="auto" w:sz="4" w:space="0"/>
            </w:tcBorders>
            <w:vAlign w:val="center"/>
          </w:tcPr>
          <w:p w14:paraId="63657D9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1240" w:type="dxa"/>
            <w:tcBorders>
              <w:top w:val="single" w:color="auto" w:sz="4" w:space="0"/>
              <w:left w:val="nil"/>
              <w:bottom w:val="single" w:color="auto" w:sz="4" w:space="0"/>
              <w:right w:val="single" w:color="auto" w:sz="4" w:space="0"/>
            </w:tcBorders>
            <w:vAlign w:val="center"/>
          </w:tcPr>
          <w:p w14:paraId="76CC199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12工作日</w:t>
            </w:r>
          </w:p>
        </w:tc>
        <w:tc>
          <w:tcPr>
            <w:tcW w:w="2545" w:type="dxa"/>
            <w:tcBorders>
              <w:top w:val="single" w:color="auto" w:sz="4" w:space="0"/>
              <w:left w:val="nil"/>
              <w:bottom w:val="single" w:color="auto" w:sz="4" w:space="0"/>
              <w:right w:val="single" w:color="auto" w:sz="4" w:space="0"/>
            </w:tcBorders>
            <w:vAlign w:val="center"/>
          </w:tcPr>
          <w:p w14:paraId="15C45F9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val="en-US" w:eastAsia="zh-CN"/>
              </w:rPr>
              <w:t>20</w:t>
            </w:r>
            <w:r>
              <w:rPr>
                <w:rFonts w:hint="eastAsia" w:ascii="宋体" w:hAnsi="宋体" w:eastAsia="宋体" w:cs="宋体"/>
                <w:snapToGrid w:val="0"/>
                <w:color w:val="auto"/>
                <w:spacing w:val="0"/>
                <w:kern w:val="0"/>
                <w:sz w:val="21"/>
                <w:szCs w:val="21"/>
                <w:highlight w:val="none"/>
                <w:lang w:eastAsia="en-US"/>
              </w:rPr>
              <w:t>工作日</w:t>
            </w:r>
          </w:p>
        </w:tc>
        <w:tc>
          <w:tcPr>
            <w:tcW w:w="851" w:type="dxa"/>
            <w:vMerge w:val="continue"/>
            <w:tcBorders>
              <w:left w:val="nil"/>
            </w:tcBorders>
          </w:tcPr>
          <w:p w14:paraId="20732E8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851" w:type="dxa"/>
            <w:vMerge w:val="continue"/>
            <w:tcBorders>
              <w:left w:val="nil"/>
            </w:tcBorders>
          </w:tcPr>
          <w:p w14:paraId="241166A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r>
      <w:tr w14:paraId="1ED6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72" w:type="dxa"/>
            <w:tcBorders>
              <w:top w:val="single" w:color="auto" w:sz="4" w:space="0"/>
              <w:bottom w:val="single" w:color="auto" w:sz="4" w:space="0"/>
              <w:right w:val="single" w:color="auto" w:sz="4" w:space="0"/>
            </w:tcBorders>
            <w:vAlign w:val="center"/>
          </w:tcPr>
          <w:p w14:paraId="392DD20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4</w:t>
            </w:r>
          </w:p>
        </w:tc>
        <w:tc>
          <w:tcPr>
            <w:tcW w:w="1556" w:type="dxa"/>
            <w:tcBorders>
              <w:top w:val="single" w:color="auto" w:sz="4" w:space="0"/>
              <w:left w:val="nil"/>
              <w:bottom w:val="single" w:color="auto" w:sz="4" w:space="0"/>
              <w:right w:val="single" w:color="auto" w:sz="4" w:space="0"/>
            </w:tcBorders>
            <w:vAlign w:val="center"/>
          </w:tcPr>
          <w:p w14:paraId="361F7E7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5000-10000</w:t>
            </w:r>
          </w:p>
        </w:tc>
        <w:tc>
          <w:tcPr>
            <w:tcW w:w="1240" w:type="dxa"/>
            <w:vMerge w:val="continue"/>
            <w:tcBorders>
              <w:left w:val="nil"/>
              <w:right w:val="single" w:color="auto" w:sz="4" w:space="0"/>
            </w:tcBorders>
            <w:vAlign w:val="center"/>
          </w:tcPr>
          <w:p w14:paraId="540C540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1240" w:type="dxa"/>
            <w:vMerge w:val="continue"/>
            <w:tcBorders>
              <w:top w:val="nil"/>
              <w:left w:val="nil"/>
              <w:bottom w:val="single" w:color="auto" w:sz="4" w:space="0"/>
              <w:right w:val="single" w:color="auto" w:sz="4" w:space="0"/>
            </w:tcBorders>
            <w:vAlign w:val="center"/>
          </w:tcPr>
          <w:p w14:paraId="49608B1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1240" w:type="dxa"/>
            <w:tcBorders>
              <w:top w:val="single" w:color="auto" w:sz="4" w:space="0"/>
              <w:left w:val="nil"/>
              <w:bottom w:val="single" w:color="auto" w:sz="4" w:space="0"/>
              <w:right w:val="single" w:color="auto" w:sz="4" w:space="0"/>
            </w:tcBorders>
            <w:vAlign w:val="center"/>
          </w:tcPr>
          <w:p w14:paraId="66F54EF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16工作日</w:t>
            </w:r>
          </w:p>
        </w:tc>
        <w:tc>
          <w:tcPr>
            <w:tcW w:w="2545" w:type="dxa"/>
            <w:tcBorders>
              <w:top w:val="single" w:color="auto" w:sz="4" w:space="0"/>
              <w:left w:val="nil"/>
              <w:bottom w:val="single" w:color="auto" w:sz="4" w:space="0"/>
              <w:right w:val="single" w:color="auto" w:sz="4" w:space="0"/>
            </w:tcBorders>
            <w:vAlign w:val="center"/>
          </w:tcPr>
          <w:p w14:paraId="172AE00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val="en-US" w:eastAsia="zh-CN"/>
              </w:rPr>
              <w:t>26</w:t>
            </w:r>
            <w:r>
              <w:rPr>
                <w:rFonts w:hint="eastAsia" w:ascii="宋体" w:hAnsi="宋体" w:eastAsia="宋体" w:cs="宋体"/>
                <w:snapToGrid w:val="0"/>
                <w:color w:val="auto"/>
                <w:spacing w:val="0"/>
                <w:kern w:val="0"/>
                <w:sz w:val="21"/>
                <w:szCs w:val="21"/>
                <w:highlight w:val="none"/>
                <w:lang w:eastAsia="en-US"/>
              </w:rPr>
              <w:t>工作日</w:t>
            </w:r>
          </w:p>
        </w:tc>
        <w:tc>
          <w:tcPr>
            <w:tcW w:w="851" w:type="dxa"/>
            <w:vMerge w:val="continue"/>
            <w:tcBorders>
              <w:left w:val="nil"/>
            </w:tcBorders>
          </w:tcPr>
          <w:p w14:paraId="2693CD3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851" w:type="dxa"/>
            <w:vMerge w:val="continue"/>
            <w:tcBorders>
              <w:left w:val="nil"/>
            </w:tcBorders>
          </w:tcPr>
          <w:p w14:paraId="6AD97F5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r>
      <w:tr w14:paraId="4E92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72" w:type="dxa"/>
            <w:tcBorders>
              <w:top w:val="single" w:color="auto" w:sz="4" w:space="0"/>
              <w:right w:val="single" w:color="auto" w:sz="4" w:space="0"/>
            </w:tcBorders>
            <w:vAlign w:val="center"/>
          </w:tcPr>
          <w:p w14:paraId="4EDB6BA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5</w:t>
            </w:r>
          </w:p>
        </w:tc>
        <w:tc>
          <w:tcPr>
            <w:tcW w:w="1556" w:type="dxa"/>
            <w:tcBorders>
              <w:top w:val="single" w:color="auto" w:sz="4" w:space="0"/>
              <w:left w:val="nil"/>
              <w:right w:val="single" w:color="auto" w:sz="4" w:space="0"/>
            </w:tcBorders>
            <w:vAlign w:val="center"/>
          </w:tcPr>
          <w:p w14:paraId="79FAD4F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val="en-US" w:eastAsia="zh-CN"/>
              </w:rPr>
              <w:t>＞</w:t>
            </w:r>
            <w:r>
              <w:rPr>
                <w:rFonts w:hint="eastAsia" w:ascii="宋体" w:hAnsi="宋体" w:eastAsia="宋体" w:cs="宋体"/>
                <w:snapToGrid w:val="0"/>
                <w:color w:val="auto"/>
                <w:spacing w:val="0"/>
                <w:kern w:val="0"/>
                <w:sz w:val="21"/>
                <w:szCs w:val="21"/>
                <w:highlight w:val="none"/>
                <w:lang w:eastAsia="en-US"/>
              </w:rPr>
              <w:t>10000</w:t>
            </w:r>
          </w:p>
        </w:tc>
        <w:tc>
          <w:tcPr>
            <w:tcW w:w="1240" w:type="dxa"/>
            <w:vMerge w:val="continue"/>
            <w:tcBorders>
              <w:left w:val="nil"/>
              <w:right w:val="single" w:color="auto" w:sz="4" w:space="0"/>
            </w:tcBorders>
            <w:vAlign w:val="center"/>
          </w:tcPr>
          <w:p w14:paraId="0B4DDB6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1240" w:type="dxa"/>
            <w:vMerge w:val="continue"/>
            <w:tcBorders>
              <w:top w:val="nil"/>
              <w:left w:val="nil"/>
              <w:right w:val="single" w:color="auto" w:sz="4" w:space="0"/>
            </w:tcBorders>
            <w:vAlign w:val="center"/>
          </w:tcPr>
          <w:p w14:paraId="3E2F0E1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1240" w:type="dxa"/>
            <w:tcBorders>
              <w:top w:val="single" w:color="auto" w:sz="4" w:space="0"/>
              <w:left w:val="nil"/>
              <w:right w:val="single" w:color="auto" w:sz="4" w:space="0"/>
            </w:tcBorders>
            <w:vAlign w:val="center"/>
          </w:tcPr>
          <w:p w14:paraId="541E988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eastAsia="en-US"/>
              </w:rPr>
              <w:t>18工作日</w:t>
            </w:r>
          </w:p>
        </w:tc>
        <w:tc>
          <w:tcPr>
            <w:tcW w:w="2545" w:type="dxa"/>
            <w:tcBorders>
              <w:top w:val="single" w:color="auto" w:sz="4" w:space="0"/>
              <w:left w:val="nil"/>
              <w:right w:val="single" w:color="auto" w:sz="4" w:space="0"/>
            </w:tcBorders>
            <w:vAlign w:val="center"/>
          </w:tcPr>
          <w:p w14:paraId="509E729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r>
              <w:rPr>
                <w:rFonts w:hint="eastAsia" w:ascii="宋体" w:hAnsi="宋体" w:eastAsia="宋体" w:cs="宋体"/>
                <w:snapToGrid w:val="0"/>
                <w:color w:val="auto"/>
                <w:spacing w:val="0"/>
                <w:kern w:val="0"/>
                <w:sz w:val="21"/>
                <w:szCs w:val="21"/>
                <w:highlight w:val="none"/>
                <w:lang w:val="en-US" w:eastAsia="zh-CN"/>
              </w:rPr>
              <w:t>28</w:t>
            </w:r>
            <w:r>
              <w:rPr>
                <w:rFonts w:hint="eastAsia" w:ascii="宋体" w:hAnsi="宋体" w:eastAsia="宋体" w:cs="宋体"/>
                <w:snapToGrid w:val="0"/>
                <w:color w:val="auto"/>
                <w:spacing w:val="0"/>
                <w:kern w:val="0"/>
                <w:sz w:val="21"/>
                <w:szCs w:val="21"/>
                <w:highlight w:val="none"/>
                <w:lang w:eastAsia="en-US"/>
              </w:rPr>
              <w:t>工作日</w:t>
            </w:r>
          </w:p>
        </w:tc>
        <w:tc>
          <w:tcPr>
            <w:tcW w:w="851" w:type="dxa"/>
            <w:vMerge w:val="continue"/>
            <w:tcBorders>
              <w:left w:val="nil"/>
            </w:tcBorders>
          </w:tcPr>
          <w:p w14:paraId="3A2137F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c>
          <w:tcPr>
            <w:tcW w:w="851" w:type="dxa"/>
            <w:vMerge w:val="continue"/>
            <w:tcBorders>
              <w:left w:val="nil"/>
            </w:tcBorders>
          </w:tcPr>
          <w:p w14:paraId="4BDC335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val="0"/>
                <w:color w:val="auto"/>
                <w:spacing w:val="0"/>
                <w:kern w:val="0"/>
                <w:sz w:val="21"/>
                <w:szCs w:val="21"/>
                <w:highlight w:val="none"/>
                <w:lang w:eastAsia="en-US"/>
              </w:rPr>
            </w:pPr>
          </w:p>
        </w:tc>
      </w:tr>
    </w:tbl>
    <w:p w14:paraId="50787047">
      <w:pPr>
        <w:keepNext w:val="0"/>
        <w:keepLines w:val="0"/>
        <w:pageBreakBefore w:val="0"/>
        <w:widowControl/>
        <w:kinsoku/>
        <w:wordWrap/>
        <w:overflowPunct/>
        <w:topLinePunct/>
        <w:autoSpaceDE/>
        <w:autoSpaceDN/>
        <w:bidi w:val="0"/>
        <w:adjustRightInd w:val="0"/>
        <w:snapToGrid w:val="0"/>
        <w:spacing w:line="360" w:lineRule="auto"/>
        <w:ind w:right="522" w:firstLine="420" w:firstLineChars="200"/>
        <w:jc w:val="both"/>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4</w:t>
      </w:r>
      <w:r>
        <w:rPr>
          <w:rFonts w:hint="eastAsia" w:ascii="宋体" w:hAnsi="宋体" w:eastAsia="宋体" w:cs="宋体"/>
          <w:snapToGrid w:val="0"/>
          <w:color w:val="auto"/>
          <w:spacing w:val="0"/>
          <w:kern w:val="0"/>
          <w:sz w:val="21"/>
          <w:szCs w:val="21"/>
          <w:highlight w:val="none"/>
          <w:lang w:val="en-US" w:eastAsia="en-US" w:bidi="ar-SA"/>
        </w:rPr>
        <w:t>.2 以上时限为</w:t>
      </w:r>
      <w:r>
        <w:rPr>
          <w:rFonts w:hint="eastAsia" w:ascii="宋体" w:hAnsi="宋体" w:eastAsia="宋体" w:cs="宋体"/>
          <w:snapToGrid w:val="0"/>
          <w:color w:val="auto"/>
          <w:spacing w:val="0"/>
          <w:kern w:val="0"/>
          <w:sz w:val="21"/>
          <w:szCs w:val="21"/>
          <w:highlight w:val="none"/>
          <w:lang w:val="en-US" w:eastAsia="zh-CN" w:bidi="ar-SA"/>
        </w:rPr>
        <w:t>中标人</w:t>
      </w:r>
      <w:r>
        <w:rPr>
          <w:rFonts w:hint="eastAsia" w:ascii="宋体" w:hAnsi="宋体" w:eastAsia="宋体" w:cs="宋体"/>
          <w:snapToGrid w:val="0"/>
          <w:color w:val="auto"/>
          <w:spacing w:val="0"/>
          <w:kern w:val="0"/>
          <w:sz w:val="21"/>
          <w:szCs w:val="21"/>
          <w:highlight w:val="none"/>
          <w:lang w:val="en-US" w:eastAsia="en-US" w:bidi="ar-SA"/>
        </w:rPr>
        <w:t>完成单项工程造价咨询服务</w:t>
      </w:r>
      <w:r>
        <w:rPr>
          <w:rFonts w:hint="eastAsia" w:ascii="宋体" w:hAnsi="宋体" w:eastAsia="宋体" w:cs="宋体"/>
          <w:snapToGrid w:val="0"/>
          <w:color w:val="auto"/>
          <w:spacing w:val="0"/>
          <w:kern w:val="0"/>
          <w:sz w:val="21"/>
          <w:szCs w:val="21"/>
          <w:highlight w:val="none"/>
          <w:lang w:val="en-US" w:eastAsia="zh-CN" w:bidi="ar-SA"/>
        </w:rPr>
        <w:t>并向招标人正式报出初稿</w:t>
      </w:r>
      <w:r>
        <w:rPr>
          <w:rFonts w:hint="eastAsia" w:ascii="宋体" w:hAnsi="宋体" w:eastAsia="宋体" w:cs="宋体"/>
          <w:snapToGrid w:val="0"/>
          <w:color w:val="auto"/>
          <w:spacing w:val="0"/>
          <w:kern w:val="0"/>
          <w:sz w:val="21"/>
          <w:szCs w:val="21"/>
          <w:highlight w:val="none"/>
          <w:lang w:val="en-US" w:eastAsia="en-US" w:bidi="ar-SA"/>
        </w:rPr>
        <w:t>成果文件的时间。招标人有权根据单项工作实际情况，要求造价咨询服务单位加快完成相关工作，造价咨询机构应予以配合。</w:t>
      </w:r>
    </w:p>
    <w:p w14:paraId="4794D5E3">
      <w:pPr>
        <w:keepNext w:val="0"/>
        <w:keepLines w:val="0"/>
        <w:pageBreakBefore w:val="0"/>
        <w:widowControl/>
        <w:kinsoku/>
        <w:wordWrap/>
        <w:overflowPunct/>
        <w:topLinePunct/>
        <w:autoSpaceDE/>
        <w:autoSpaceDN/>
        <w:bidi w:val="0"/>
        <w:adjustRightInd w:val="0"/>
        <w:snapToGrid w:val="0"/>
        <w:spacing w:line="360" w:lineRule="auto"/>
        <w:ind w:left="442"/>
        <w:jc w:val="left"/>
        <w:textAlignment w:val="baseline"/>
        <w:outlineLvl w:val="1"/>
        <w:rPr>
          <w:rFonts w:hint="eastAsia" w:ascii="宋体" w:hAnsi="宋体" w:eastAsia="宋体" w:cs="宋体"/>
          <w:snapToGrid w:val="0"/>
          <w:color w:val="auto"/>
          <w:spacing w:val="0"/>
          <w:kern w:val="0"/>
          <w:sz w:val="21"/>
          <w:szCs w:val="21"/>
          <w:highlight w:val="none"/>
          <w:lang w:val="en-US" w:eastAsia="en-US" w:bidi="ar-SA"/>
        </w:rPr>
      </w:pPr>
      <w:bookmarkStart w:id="452" w:name="_Toc26191"/>
      <w:r>
        <w:rPr>
          <w:rFonts w:hint="eastAsia" w:ascii="宋体" w:hAnsi="宋体" w:eastAsia="宋体" w:cs="宋体"/>
          <w:b/>
          <w:bCs/>
          <w:snapToGrid w:val="0"/>
          <w:color w:val="auto"/>
          <w:spacing w:val="0"/>
          <w:kern w:val="0"/>
          <w:sz w:val="21"/>
          <w:szCs w:val="21"/>
          <w:highlight w:val="none"/>
          <w:lang w:val="en-US" w:eastAsia="zh-CN" w:bidi="ar-SA"/>
        </w:rPr>
        <w:t>五</w:t>
      </w:r>
      <w:r>
        <w:rPr>
          <w:rFonts w:hint="eastAsia" w:ascii="宋体" w:hAnsi="宋体" w:eastAsia="宋体" w:cs="宋体"/>
          <w:b/>
          <w:bCs/>
          <w:snapToGrid w:val="0"/>
          <w:color w:val="auto"/>
          <w:spacing w:val="0"/>
          <w:kern w:val="0"/>
          <w:sz w:val="21"/>
          <w:szCs w:val="21"/>
          <w:highlight w:val="none"/>
          <w:lang w:val="en-US" w:eastAsia="en-US" w:bidi="ar-SA"/>
        </w:rPr>
        <w:t>、服务要求</w:t>
      </w:r>
      <w:bookmarkEnd w:id="452"/>
    </w:p>
    <w:p w14:paraId="6C08B396">
      <w:pPr>
        <w:keepNext w:val="0"/>
        <w:keepLines w:val="0"/>
        <w:pageBreakBefore w:val="0"/>
        <w:widowControl/>
        <w:kinsoku/>
        <w:wordWrap/>
        <w:overflowPunct/>
        <w:topLinePunct/>
        <w:autoSpaceDE/>
        <w:autoSpaceDN/>
        <w:bidi w:val="0"/>
        <w:adjustRightInd w:val="0"/>
        <w:snapToGrid w:val="0"/>
        <w:spacing w:line="360" w:lineRule="auto"/>
        <w:ind w:left="72" w:right="395" w:firstLine="370"/>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.1</w:t>
      </w:r>
      <w:r>
        <w:rPr>
          <w:rFonts w:hint="eastAsia" w:ascii="宋体" w:hAnsi="宋体" w:eastAsia="宋体" w:cs="宋体"/>
          <w:snapToGrid w:val="0"/>
          <w:color w:val="auto"/>
          <w:spacing w:val="0"/>
          <w:kern w:val="0"/>
          <w:sz w:val="21"/>
          <w:szCs w:val="21"/>
          <w:highlight w:val="none"/>
          <w:lang w:val="en-US" w:eastAsia="zh-CN" w:bidi="ar-SA"/>
        </w:rPr>
        <w:t xml:space="preserve"> </w:t>
      </w:r>
      <w:r>
        <w:rPr>
          <w:rFonts w:hint="eastAsia" w:ascii="宋体" w:hAnsi="宋体" w:eastAsia="宋体" w:cs="宋体"/>
          <w:snapToGrid w:val="0"/>
          <w:color w:val="auto"/>
          <w:spacing w:val="0"/>
          <w:kern w:val="0"/>
          <w:sz w:val="21"/>
          <w:szCs w:val="21"/>
          <w:highlight w:val="none"/>
          <w:lang w:val="en-US" w:eastAsia="en-US" w:bidi="ar-SA"/>
        </w:rPr>
        <w:t>根</w:t>
      </w:r>
      <w:r>
        <w:rPr>
          <w:rFonts w:hint="eastAsia" w:ascii="宋体" w:hAnsi="宋体" w:eastAsia="宋体" w:cs="宋体"/>
          <w:b w:val="0"/>
          <w:bCs w:val="0"/>
          <w:snapToGrid w:val="0"/>
          <w:color w:val="auto"/>
          <w:spacing w:val="0"/>
          <w:kern w:val="0"/>
          <w:sz w:val="21"/>
          <w:szCs w:val="21"/>
          <w:highlight w:val="none"/>
          <w:lang w:val="en-US" w:eastAsia="en-US" w:bidi="ar-SA"/>
        </w:rPr>
        <w:t>据国家和省、市有关工程造价的法规、政策、文件、以及基建财务管理的有关规定，本着为招标人节约投资的原则，科学、客观、公正地开展工程造价咨询服务工作；应按招标人的要求，按时按质按量提供咨询报告，对成果报告的真实性、准确性、完整性、合法性、合理性负责，并负有保密责任。</w:t>
      </w:r>
    </w:p>
    <w:p w14:paraId="322DC005">
      <w:pPr>
        <w:keepNext w:val="0"/>
        <w:keepLines w:val="0"/>
        <w:pageBreakBefore w:val="0"/>
        <w:widowControl/>
        <w:kinsoku/>
        <w:wordWrap/>
        <w:overflowPunct/>
        <w:topLinePunct/>
        <w:autoSpaceDE/>
        <w:autoSpaceDN/>
        <w:bidi w:val="0"/>
        <w:adjustRightInd w:val="0"/>
        <w:snapToGrid w:val="0"/>
        <w:spacing w:line="360" w:lineRule="auto"/>
        <w:ind w:right="447" w:firstLine="41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.2</w:t>
      </w:r>
      <w:r>
        <w:rPr>
          <w:rFonts w:hint="eastAsia" w:ascii="宋体" w:hAnsi="宋体" w:eastAsia="宋体" w:cs="宋体"/>
          <w:snapToGrid w:val="0"/>
          <w:color w:val="auto"/>
          <w:spacing w:val="0"/>
          <w:kern w:val="0"/>
          <w:sz w:val="21"/>
          <w:szCs w:val="21"/>
          <w:highlight w:val="none"/>
          <w:lang w:val="en-US" w:eastAsia="zh-CN" w:bidi="ar-SA"/>
        </w:rPr>
        <w:t xml:space="preserve"> 根据</w:t>
      </w:r>
      <w:r>
        <w:rPr>
          <w:rFonts w:hint="eastAsia" w:ascii="宋体" w:hAnsi="宋体" w:eastAsia="宋体" w:cs="宋体"/>
          <w:snapToGrid w:val="0"/>
          <w:color w:val="auto"/>
          <w:spacing w:val="0"/>
          <w:kern w:val="0"/>
          <w:sz w:val="21"/>
          <w:szCs w:val="21"/>
          <w:highlight w:val="none"/>
          <w:lang w:val="en-US" w:eastAsia="en-US" w:bidi="ar-SA"/>
        </w:rPr>
        <w:t>招标人</w:t>
      </w:r>
      <w:r>
        <w:rPr>
          <w:rFonts w:hint="eastAsia" w:ascii="宋体" w:hAnsi="宋体" w:eastAsia="宋体" w:cs="宋体"/>
          <w:snapToGrid w:val="0"/>
          <w:color w:val="auto"/>
          <w:spacing w:val="0"/>
          <w:kern w:val="0"/>
          <w:sz w:val="21"/>
          <w:szCs w:val="21"/>
          <w:highlight w:val="none"/>
          <w:lang w:val="en-US" w:eastAsia="zh-CN" w:bidi="ar-SA"/>
        </w:rPr>
        <w:t>的委托，</w:t>
      </w:r>
      <w:r>
        <w:rPr>
          <w:rFonts w:hint="eastAsia" w:ascii="宋体" w:hAnsi="宋体" w:eastAsia="宋体" w:cs="宋体"/>
          <w:snapToGrid w:val="0"/>
          <w:color w:val="auto"/>
          <w:spacing w:val="0"/>
          <w:kern w:val="0"/>
          <w:sz w:val="21"/>
          <w:szCs w:val="21"/>
          <w:highlight w:val="none"/>
          <w:lang w:val="en-US" w:eastAsia="en-US" w:bidi="ar-SA"/>
        </w:rPr>
        <w:t>编制和审核的工程概预算(含最高限价)、招标工程量清单应确保结果完整、科学、准确，符合工程项目的实际情况和国家有关工程计价规范；招标工程量清单设置要科学、合理，不得有高估冒算、虚列项目，也不得有漏项漏量、重项错量等错误，如有上述错误，应负相应的责任。</w:t>
      </w:r>
    </w:p>
    <w:p w14:paraId="7F7BE974">
      <w:pPr>
        <w:keepNext w:val="0"/>
        <w:keepLines w:val="0"/>
        <w:pageBreakBefore w:val="0"/>
        <w:widowControl/>
        <w:kinsoku/>
        <w:wordWrap/>
        <w:overflowPunct/>
        <w:topLinePunct/>
        <w:autoSpaceDE/>
        <w:autoSpaceDN/>
        <w:bidi w:val="0"/>
        <w:adjustRightInd w:val="0"/>
        <w:snapToGrid w:val="0"/>
        <w:spacing w:line="360" w:lineRule="auto"/>
        <w:ind w:right="458" w:firstLine="41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.3</w:t>
      </w:r>
      <w:r>
        <w:rPr>
          <w:rFonts w:hint="eastAsia" w:ascii="宋体" w:hAnsi="宋体" w:eastAsia="宋体" w:cs="宋体"/>
          <w:snapToGrid w:val="0"/>
          <w:color w:val="auto"/>
          <w:spacing w:val="0"/>
          <w:kern w:val="0"/>
          <w:sz w:val="21"/>
          <w:szCs w:val="21"/>
          <w:highlight w:val="none"/>
          <w:lang w:val="en-US" w:eastAsia="zh-CN" w:bidi="ar-SA"/>
        </w:rPr>
        <w:t xml:space="preserve"> </w:t>
      </w:r>
      <w:r>
        <w:rPr>
          <w:rFonts w:hint="eastAsia" w:ascii="宋体" w:hAnsi="宋体" w:eastAsia="宋体" w:cs="宋体"/>
          <w:snapToGrid w:val="0"/>
          <w:color w:val="auto"/>
          <w:spacing w:val="0"/>
          <w:kern w:val="0"/>
          <w:sz w:val="21"/>
          <w:szCs w:val="21"/>
          <w:highlight w:val="none"/>
          <w:lang w:val="en-US" w:eastAsia="en-US" w:bidi="ar-SA"/>
        </w:rPr>
        <w:t>在编制和审核工程概预算(含最高限价)、招标工程量清单时，如招标人有相关需求，中标人须对项目的设计方案作出技术经济分析，并向招标人提出优化方案和合理化建议。</w:t>
      </w:r>
    </w:p>
    <w:p w14:paraId="51775EAF">
      <w:pPr>
        <w:keepNext w:val="0"/>
        <w:keepLines w:val="0"/>
        <w:pageBreakBefore w:val="0"/>
        <w:widowControl/>
        <w:kinsoku/>
        <w:wordWrap/>
        <w:overflowPunct/>
        <w:topLinePunct/>
        <w:autoSpaceDE/>
        <w:autoSpaceDN/>
        <w:bidi w:val="0"/>
        <w:adjustRightInd w:val="0"/>
        <w:snapToGrid w:val="0"/>
        <w:spacing w:line="360" w:lineRule="auto"/>
        <w:ind w:right="445" w:firstLine="41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.4</w:t>
      </w:r>
      <w:r>
        <w:rPr>
          <w:rFonts w:hint="eastAsia" w:ascii="宋体" w:hAnsi="宋体" w:eastAsia="宋体" w:cs="宋体"/>
          <w:snapToGrid w:val="0"/>
          <w:color w:val="auto"/>
          <w:spacing w:val="0"/>
          <w:kern w:val="0"/>
          <w:sz w:val="21"/>
          <w:szCs w:val="21"/>
          <w:highlight w:val="none"/>
          <w:lang w:val="en-US" w:eastAsia="zh-CN" w:bidi="ar-SA"/>
        </w:rPr>
        <w:t xml:space="preserve"> </w:t>
      </w:r>
      <w:r>
        <w:rPr>
          <w:rFonts w:hint="eastAsia" w:ascii="宋体" w:hAnsi="宋体" w:eastAsia="宋体" w:cs="宋体"/>
          <w:snapToGrid w:val="0"/>
          <w:color w:val="auto"/>
          <w:spacing w:val="0"/>
          <w:kern w:val="0"/>
          <w:sz w:val="21"/>
          <w:szCs w:val="21"/>
          <w:highlight w:val="none"/>
          <w:lang w:val="en-US" w:eastAsia="en-US" w:bidi="ar-SA"/>
        </w:rPr>
        <w:t>要坚持科学准确、客观真实、公平公正、合理合法、廉洁高效的原则，审核工程竣工结算。必须及时配合招标人解决结算审核中存在的技术问题，在服务过程中，如发现计价原则方法的确定、重大的签证审核以及工程管理中存在违规行为要及时向招标人反映，不得擅自作出处理，要对项目的全过程管理依法作出正确的评价。</w:t>
      </w:r>
    </w:p>
    <w:p w14:paraId="6004AF07">
      <w:pPr>
        <w:keepNext w:val="0"/>
        <w:keepLines w:val="0"/>
        <w:pageBreakBefore w:val="0"/>
        <w:widowControl/>
        <w:kinsoku/>
        <w:wordWrap/>
        <w:overflowPunct/>
        <w:topLinePunct/>
        <w:autoSpaceDE/>
        <w:autoSpaceDN/>
        <w:bidi w:val="0"/>
        <w:adjustRightInd w:val="0"/>
        <w:snapToGrid w:val="0"/>
        <w:spacing w:line="360" w:lineRule="auto"/>
        <w:ind w:right="459" w:firstLine="419"/>
        <w:jc w:val="both"/>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.5</w:t>
      </w:r>
      <w:r>
        <w:rPr>
          <w:rFonts w:hint="eastAsia" w:ascii="宋体" w:hAnsi="宋体" w:eastAsia="宋体" w:cs="宋体"/>
          <w:snapToGrid w:val="0"/>
          <w:color w:val="auto"/>
          <w:spacing w:val="0"/>
          <w:kern w:val="0"/>
          <w:sz w:val="21"/>
          <w:szCs w:val="21"/>
          <w:highlight w:val="none"/>
          <w:lang w:val="en-US" w:eastAsia="zh-CN" w:bidi="ar-SA"/>
        </w:rPr>
        <w:t xml:space="preserve"> </w:t>
      </w:r>
      <w:r>
        <w:rPr>
          <w:rFonts w:hint="eastAsia" w:ascii="宋体" w:hAnsi="宋体" w:eastAsia="宋体" w:cs="宋体"/>
          <w:snapToGrid w:val="0"/>
          <w:color w:val="auto"/>
          <w:spacing w:val="0"/>
          <w:kern w:val="0"/>
          <w:sz w:val="21"/>
          <w:szCs w:val="21"/>
          <w:highlight w:val="none"/>
          <w:lang w:val="en-US" w:eastAsia="en-US" w:bidi="ar-SA"/>
        </w:rPr>
        <w:t>对存有疑问的地方，应配合招标人深入现场调查取证，逐一核实，按实际情况调整，保证工程造价咨询服务成果文件的合理性和真实性。重要的材料或设备价格，应及时与招标人沟通，协商确定合理的价格。</w:t>
      </w:r>
    </w:p>
    <w:p w14:paraId="5A9ED4F3">
      <w:pPr>
        <w:keepNext w:val="0"/>
        <w:keepLines w:val="0"/>
        <w:pageBreakBefore w:val="0"/>
        <w:widowControl/>
        <w:kinsoku/>
        <w:wordWrap/>
        <w:overflowPunct/>
        <w:topLinePunct/>
        <w:autoSpaceDE/>
        <w:autoSpaceDN/>
        <w:bidi w:val="0"/>
        <w:adjustRightInd w:val="0"/>
        <w:snapToGrid w:val="0"/>
        <w:spacing w:line="360" w:lineRule="auto"/>
        <w:ind w:right="486" w:firstLine="41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.6</w:t>
      </w:r>
      <w:r>
        <w:rPr>
          <w:rFonts w:hint="eastAsia" w:ascii="宋体" w:hAnsi="宋体" w:eastAsia="宋体" w:cs="宋体"/>
          <w:snapToGrid w:val="0"/>
          <w:color w:val="auto"/>
          <w:spacing w:val="0"/>
          <w:kern w:val="0"/>
          <w:sz w:val="21"/>
          <w:szCs w:val="21"/>
          <w:highlight w:val="none"/>
          <w:lang w:val="en-US" w:eastAsia="zh-CN" w:bidi="ar-SA"/>
        </w:rPr>
        <w:t xml:space="preserve"> </w:t>
      </w:r>
      <w:r>
        <w:rPr>
          <w:rFonts w:hint="eastAsia" w:ascii="宋体" w:hAnsi="宋体" w:eastAsia="宋体" w:cs="宋体"/>
          <w:snapToGrid w:val="0"/>
          <w:color w:val="auto"/>
          <w:spacing w:val="0"/>
          <w:kern w:val="0"/>
          <w:sz w:val="21"/>
          <w:szCs w:val="21"/>
          <w:highlight w:val="none"/>
          <w:lang w:val="en-US" w:eastAsia="en-US" w:bidi="ar-SA"/>
        </w:rPr>
        <w:t>配合招标人做好编审依据的收集及取证工作，所有的编审依据必须是有效的书面资料，并妥善保存。</w:t>
      </w:r>
    </w:p>
    <w:p w14:paraId="266C4348">
      <w:pPr>
        <w:keepNext w:val="0"/>
        <w:keepLines w:val="0"/>
        <w:pageBreakBefore w:val="0"/>
        <w:widowControl/>
        <w:kinsoku/>
        <w:wordWrap/>
        <w:overflowPunct/>
        <w:topLinePunct/>
        <w:autoSpaceDE/>
        <w:autoSpaceDN/>
        <w:bidi w:val="0"/>
        <w:adjustRightInd w:val="0"/>
        <w:snapToGrid w:val="0"/>
        <w:spacing w:line="360" w:lineRule="auto"/>
        <w:ind w:right="391" w:firstLine="41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.7</w:t>
      </w:r>
      <w:r>
        <w:rPr>
          <w:rFonts w:hint="eastAsia" w:ascii="宋体" w:hAnsi="宋体" w:eastAsia="宋体" w:cs="宋体"/>
          <w:snapToGrid w:val="0"/>
          <w:color w:val="auto"/>
          <w:spacing w:val="0"/>
          <w:kern w:val="0"/>
          <w:sz w:val="21"/>
          <w:szCs w:val="21"/>
          <w:highlight w:val="none"/>
          <w:lang w:val="en-US" w:eastAsia="zh-CN" w:bidi="ar-SA"/>
        </w:rPr>
        <w:t xml:space="preserve"> </w:t>
      </w:r>
      <w:r>
        <w:rPr>
          <w:rFonts w:hint="eastAsia" w:ascii="宋体" w:hAnsi="宋体" w:eastAsia="宋体" w:cs="宋体"/>
          <w:snapToGrid w:val="0"/>
          <w:color w:val="auto"/>
          <w:spacing w:val="0"/>
          <w:kern w:val="0"/>
          <w:sz w:val="21"/>
          <w:szCs w:val="21"/>
          <w:highlight w:val="none"/>
          <w:lang w:val="en-US" w:eastAsia="en-US" w:bidi="ar-SA"/>
        </w:rPr>
        <w:t>不得接受同一项目不同委托人的造价咨询服务委托，即就同一项目既接受招标人的委托，又接受项目投标供应商、承包单位等相对利益关系人的委托。</w:t>
      </w:r>
    </w:p>
    <w:p w14:paraId="053A92FF">
      <w:pPr>
        <w:keepNext w:val="0"/>
        <w:keepLines w:val="0"/>
        <w:pageBreakBefore w:val="0"/>
        <w:widowControl/>
        <w:kinsoku/>
        <w:wordWrap/>
        <w:overflowPunct/>
        <w:topLinePunct/>
        <w:autoSpaceDE/>
        <w:autoSpaceDN/>
        <w:bidi w:val="0"/>
        <w:adjustRightInd w:val="0"/>
        <w:snapToGrid w:val="0"/>
        <w:spacing w:line="360" w:lineRule="auto"/>
        <w:ind w:right="459" w:firstLine="41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.8 项目的结果未经招标人许可，不得泄露给他人。中标</w:t>
      </w:r>
      <w:r>
        <w:rPr>
          <w:rFonts w:hint="eastAsia" w:ascii="宋体" w:hAnsi="宋体" w:eastAsia="宋体" w:cs="宋体"/>
          <w:snapToGrid w:val="0"/>
          <w:color w:val="auto"/>
          <w:spacing w:val="0"/>
          <w:kern w:val="0"/>
          <w:sz w:val="21"/>
          <w:szCs w:val="21"/>
          <w:highlight w:val="none"/>
          <w:lang w:val="en-US" w:eastAsia="zh-CN" w:bidi="ar-SA"/>
        </w:rPr>
        <w:t>人</w:t>
      </w:r>
      <w:r>
        <w:rPr>
          <w:rFonts w:hint="eastAsia" w:ascii="宋体" w:hAnsi="宋体" w:eastAsia="宋体" w:cs="宋体"/>
          <w:snapToGrid w:val="0"/>
          <w:color w:val="auto"/>
          <w:spacing w:val="0"/>
          <w:kern w:val="0"/>
          <w:sz w:val="21"/>
          <w:szCs w:val="21"/>
          <w:highlight w:val="none"/>
          <w:lang w:val="en-US" w:eastAsia="en-US" w:bidi="ar-SA"/>
        </w:rPr>
        <w:t>应对受托任务涉及的有关资料、内容、成果以及结论承担保密的义务。</w:t>
      </w:r>
    </w:p>
    <w:p w14:paraId="533263B5">
      <w:pPr>
        <w:keepNext w:val="0"/>
        <w:keepLines w:val="0"/>
        <w:pageBreakBefore w:val="0"/>
        <w:widowControl/>
        <w:kinsoku/>
        <w:wordWrap/>
        <w:overflowPunct/>
        <w:topLinePunct/>
        <w:autoSpaceDE/>
        <w:autoSpaceDN/>
        <w:bidi w:val="0"/>
        <w:adjustRightInd w:val="0"/>
        <w:snapToGrid w:val="0"/>
        <w:spacing w:line="360" w:lineRule="auto"/>
        <w:ind w:right="445" w:firstLine="41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.9 对于招标人要求中标人驻场服务的项目，中标人有义务派出专业的人员驻场服务，服务场地由招标人提供。</w:t>
      </w:r>
    </w:p>
    <w:p w14:paraId="619F25BF">
      <w:pPr>
        <w:keepNext w:val="0"/>
        <w:keepLines w:val="0"/>
        <w:pageBreakBefore w:val="0"/>
        <w:widowControl/>
        <w:kinsoku/>
        <w:wordWrap/>
        <w:overflowPunct/>
        <w:topLinePunct/>
        <w:autoSpaceDE/>
        <w:autoSpaceDN/>
        <w:bidi w:val="0"/>
        <w:adjustRightInd w:val="0"/>
        <w:snapToGrid w:val="0"/>
        <w:spacing w:line="360" w:lineRule="auto"/>
        <w:ind w:right="445" w:firstLine="419"/>
        <w:jc w:val="left"/>
        <w:textAlignment w:val="baseline"/>
        <w:outlineLvl w:val="2"/>
        <w:rPr>
          <w:rFonts w:hint="eastAsia" w:ascii="宋体" w:hAnsi="宋体" w:eastAsia="宋体" w:cs="宋体"/>
          <w:snapToGrid w:val="0"/>
          <w:color w:val="auto"/>
          <w:spacing w:val="0"/>
          <w:kern w:val="0"/>
          <w:sz w:val="21"/>
          <w:szCs w:val="21"/>
          <w:highlight w:val="none"/>
          <w:lang w:val="en-US" w:eastAsia="en-US" w:bidi="ar-SA"/>
        </w:rPr>
      </w:pPr>
      <w:bookmarkStart w:id="453" w:name="_Toc32339"/>
      <w:r>
        <w:rPr>
          <w:rFonts w:hint="eastAsia" w:ascii="宋体" w:hAnsi="宋体" w:eastAsia="宋体" w:cs="宋体"/>
          <w:b/>
          <w:bCs w:val="0"/>
          <w:color w:val="auto"/>
          <w:szCs w:val="21"/>
          <w:highlight w:val="none"/>
          <w:u w:val="single"/>
        </w:rPr>
        <w:t>★</w:t>
      </w:r>
      <w:r>
        <w:rPr>
          <w:rFonts w:hint="eastAsia" w:ascii="宋体" w:hAnsi="宋体" w:eastAsia="宋体" w:cs="宋体"/>
          <w:snapToGrid w:val="0"/>
          <w:color w:val="auto"/>
          <w:spacing w:val="0"/>
          <w:kern w:val="0"/>
          <w:sz w:val="21"/>
          <w:szCs w:val="21"/>
          <w:highlight w:val="none"/>
          <w:lang w:val="en-US" w:eastAsia="zh-CN" w:bidi="ar-SA"/>
        </w:rPr>
        <w:t>5</w:t>
      </w:r>
      <w:r>
        <w:rPr>
          <w:rFonts w:hint="eastAsia" w:ascii="宋体" w:hAnsi="宋体" w:eastAsia="宋体" w:cs="宋体"/>
          <w:snapToGrid w:val="0"/>
          <w:color w:val="auto"/>
          <w:spacing w:val="0"/>
          <w:kern w:val="0"/>
          <w:sz w:val="21"/>
          <w:szCs w:val="21"/>
          <w:highlight w:val="none"/>
          <w:lang w:val="en-US" w:eastAsia="en-US" w:bidi="ar-SA"/>
        </w:rPr>
        <w:t>.10</w:t>
      </w:r>
      <w:r>
        <w:rPr>
          <w:rFonts w:hint="eastAsia" w:ascii="宋体" w:hAnsi="宋体" w:eastAsia="宋体" w:cs="宋体"/>
          <w:snapToGrid w:val="0"/>
          <w:color w:val="auto"/>
          <w:spacing w:val="0"/>
          <w:kern w:val="0"/>
          <w:sz w:val="21"/>
          <w:szCs w:val="21"/>
          <w:highlight w:val="none"/>
          <w:lang w:val="en-US" w:eastAsia="zh-CN" w:bidi="ar-SA"/>
        </w:rPr>
        <w:t xml:space="preserve"> </w:t>
      </w:r>
      <w:r>
        <w:rPr>
          <w:rFonts w:hint="eastAsia" w:ascii="宋体" w:hAnsi="宋体" w:eastAsia="宋体" w:cs="宋体"/>
          <w:snapToGrid w:val="0"/>
          <w:color w:val="auto"/>
          <w:spacing w:val="0"/>
          <w:kern w:val="0"/>
          <w:sz w:val="21"/>
          <w:szCs w:val="21"/>
          <w:highlight w:val="none"/>
          <w:lang w:val="en-US" w:eastAsia="en-US" w:bidi="ar-SA"/>
        </w:rPr>
        <w:t>人员要求</w:t>
      </w:r>
      <w:bookmarkEnd w:id="453"/>
    </w:p>
    <w:p w14:paraId="55295C55">
      <w:pPr>
        <w:keepNext w:val="0"/>
        <w:keepLines w:val="0"/>
        <w:pageBreakBefore w:val="0"/>
        <w:widowControl/>
        <w:kinsoku/>
        <w:wordWrap/>
        <w:overflowPunct/>
        <w:topLinePunct/>
        <w:autoSpaceDE/>
        <w:autoSpaceDN/>
        <w:bidi w:val="0"/>
        <w:adjustRightInd w:val="0"/>
        <w:snapToGrid w:val="0"/>
        <w:spacing w:line="360" w:lineRule="auto"/>
        <w:ind w:right="445" w:firstLine="419"/>
        <w:jc w:val="left"/>
        <w:textAlignment w:val="baseline"/>
        <w:rPr>
          <w:rFonts w:hint="eastAsia" w:ascii="宋体" w:hAnsi="宋体" w:eastAsia="宋体" w:cs="宋体"/>
          <w:b/>
          <w:bCs w:val="0"/>
          <w:snapToGrid w:val="0"/>
          <w:color w:val="auto"/>
          <w:spacing w:val="0"/>
          <w:kern w:val="0"/>
          <w:sz w:val="21"/>
          <w:szCs w:val="21"/>
          <w:highlight w:val="none"/>
          <w:lang w:val="en-US" w:eastAsia="en-US" w:bidi="ar-SA"/>
        </w:rPr>
      </w:pPr>
      <w:r>
        <w:rPr>
          <w:rFonts w:hint="eastAsia" w:ascii="宋体" w:hAnsi="宋体" w:eastAsia="宋体" w:cs="宋体"/>
          <w:b/>
          <w:bCs w:val="0"/>
          <w:snapToGrid w:val="0"/>
          <w:color w:val="auto"/>
          <w:spacing w:val="0"/>
          <w:kern w:val="0"/>
          <w:sz w:val="21"/>
          <w:szCs w:val="21"/>
          <w:highlight w:val="none"/>
          <w:lang w:val="en-US" w:eastAsia="zh-CN" w:bidi="ar-SA"/>
        </w:rPr>
        <w:t>（1）</w:t>
      </w:r>
      <w:r>
        <w:rPr>
          <w:rFonts w:hint="eastAsia" w:ascii="宋体" w:hAnsi="宋体" w:eastAsia="宋体" w:cs="宋体"/>
          <w:b/>
          <w:bCs w:val="0"/>
          <w:snapToGrid w:val="0"/>
          <w:color w:val="auto"/>
          <w:spacing w:val="0"/>
          <w:kern w:val="0"/>
          <w:sz w:val="21"/>
          <w:szCs w:val="21"/>
          <w:highlight w:val="none"/>
          <w:lang w:val="en-US" w:eastAsia="en-US" w:bidi="ar-SA"/>
        </w:rPr>
        <w:t>拟投入本项目的技术负责人(仅一人)须具有</w:t>
      </w:r>
      <w:r>
        <w:rPr>
          <w:rFonts w:hint="eastAsia" w:ascii="宋体" w:hAnsi="宋体" w:eastAsia="宋体" w:cs="宋体"/>
          <w:b/>
          <w:bCs/>
          <w:color w:val="auto"/>
          <w:sz w:val="21"/>
          <w:szCs w:val="21"/>
          <w:highlight w:val="none"/>
          <w:lang w:val="en-US" w:eastAsia="zh-CN"/>
        </w:rPr>
        <w:t>一级造价工程师注册证书</w:t>
      </w:r>
      <w:r>
        <w:rPr>
          <w:rFonts w:hint="eastAsia" w:ascii="宋体" w:hAnsi="宋体" w:eastAsia="宋体" w:cs="宋体"/>
          <w:b/>
          <w:bCs w:val="0"/>
          <w:snapToGrid w:val="0"/>
          <w:color w:val="auto"/>
          <w:spacing w:val="0"/>
          <w:kern w:val="0"/>
          <w:sz w:val="21"/>
          <w:szCs w:val="21"/>
          <w:highlight w:val="none"/>
          <w:lang w:val="en-US" w:eastAsia="en-US" w:bidi="ar-SA"/>
        </w:rPr>
        <w:t>，并具有工程</w:t>
      </w:r>
      <w:r>
        <w:rPr>
          <w:rFonts w:hint="eastAsia" w:ascii="宋体" w:hAnsi="宋体" w:eastAsia="宋体" w:cs="宋体"/>
          <w:b/>
          <w:bCs w:val="0"/>
          <w:snapToGrid w:val="0"/>
          <w:color w:val="auto"/>
          <w:spacing w:val="0"/>
          <w:kern w:val="0"/>
          <w:sz w:val="21"/>
          <w:szCs w:val="21"/>
          <w:highlight w:val="none"/>
          <w:lang w:val="en-US" w:eastAsia="zh-CN" w:bidi="ar-SA"/>
        </w:rPr>
        <w:t>类相关</w:t>
      </w:r>
      <w:r>
        <w:rPr>
          <w:rFonts w:hint="eastAsia" w:ascii="宋体" w:hAnsi="宋体" w:eastAsia="宋体" w:cs="宋体"/>
          <w:b/>
          <w:bCs w:val="0"/>
          <w:snapToGrid w:val="0"/>
          <w:color w:val="auto"/>
          <w:spacing w:val="0"/>
          <w:kern w:val="0"/>
          <w:sz w:val="21"/>
          <w:szCs w:val="21"/>
          <w:highlight w:val="none"/>
          <w:lang w:val="en-US" w:eastAsia="en-US" w:bidi="ar-SA"/>
        </w:rPr>
        <w:t>高级专业技术职称。</w:t>
      </w:r>
    </w:p>
    <w:p w14:paraId="6ADA52CE">
      <w:pPr>
        <w:keepNext w:val="0"/>
        <w:keepLines w:val="0"/>
        <w:pageBreakBefore w:val="0"/>
        <w:widowControl/>
        <w:kinsoku/>
        <w:wordWrap/>
        <w:overflowPunct/>
        <w:topLinePunct/>
        <w:autoSpaceDE/>
        <w:autoSpaceDN/>
        <w:bidi w:val="0"/>
        <w:adjustRightInd w:val="0"/>
        <w:snapToGrid w:val="0"/>
        <w:spacing w:line="360" w:lineRule="auto"/>
        <w:ind w:right="445" w:firstLine="419"/>
        <w:jc w:val="left"/>
        <w:textAlignment w:val="baseline"/>
        <w:rPr>
          <w:rFonts w:hint="eastAsia" w:ascii="宋体" w:hAnsi="宋体" w:eastAsia="宋体" w:cs="宋体"/>
          <w:b/>
          <w:bCs/>
          <w:snapToGrid w:val="0"/>
          <w:color w:val="auto"/>
          <w:spacing w:val="0"/>
          <w:kern w:val="0"/>
          <w:sz w:val="21"/>
          <w:szCs w:val="21"/>
          <w:highlight w:val="none"/>
          <w:lang w:val="en-US" w:eastAsia="en-US" w:bidi="ar-SA"/>
        </w:rPr>
      </w:pPr>
      <w:r>
        <w:rPr>
          <w:rFonts w:hint="eastAsia" w:ascii="宋体" w:hAnsi="宋体" w:eastAsia="宋体" w:cs="宋体"/>
          <w:b/>
          <w:bCs/>
          <w:snapToGrid w:val="0"/>
          <w:color w:val="auto"/>
          <w:spacing w:val="0"/>
          <w:kern w:val="0"/>
          <w:sz w:val="21"/>
          <w:szCs w:val="21"/>
          <w:highlight w:val="none"/>
          <w:lang w:val="en-US" w:eastAsia="zh-CN" w:bidi="ar-SA"/>
        </w:rPr>
        <w:t>（2）</w:t>
      </w:r>
      <w:r>
        <w:rPr>
          <w:rFonts w:hint="eastAsia" w:ascii="宋体" w:hAnsi="宋体" w:eastAsia="宋体" w:cs="宋体"/>
          <w:b/>
          <w:bCs/>
          <w:snapToGrid w:val="0"/>
          <w:color w:val="auto"/>
          <w:spacing w:val="0"/>
          <w:kern w:val="0"/>
          <w:sz w:val="21"/>
          <w:szCs w:val="21"/>
          <w:highlight w:val="none"/>
          <w:lang w:val="en-US" w:eastAsia="en-US" w:bidi="ar-SA"/>
        </w:rPr>
        <w:t>拟投入本项目的服务团队(除技术负责人外)取得</w:t>
      </w:r>
      <w:r>
        <w:rPr>
          <w:rFonts w:hint="eastAsia" w:ascii="宋体" w:hAnsi="宋体" w:eastAsia="宋体" w:cs="宋体"/>
          <w:b/>
          <w:bCs/>
          <w:snapToGrid w:val="0"/>
          <w:color w:val="auto"/>
          <w:spacing w:val="0"/>
          <w:kern w:val="0"/>
          <w:sz w:val="21"/>
          <w:szCs w:val="21"/>
          <w:highlight w:val="none"/>
          <w:lang w:val="en-US" w:eastAsia="zh-CN" w:bidi="ar-SA"/>
        </w:rPr>
        <w:t>二级或以上</w:t>
      </w:r>
      <w:r>
        <w:rPr>
          <w:rFonts w:hint="eastAsia" w:ascii="宋体" w:hAnsi="宋体" w:eastAsia="宋体" w:cs="宋体"/>
          <w:b/>
          <w:bCs/>
          <w:snapToGrid w:val="0"/>
          <w:color w:val="auto"/>
          <w:spacing w:val="0"/>
          <w:kern w:val="0"/>
          <w:sz w:val="21"/>
          <w:szCs w:val="21"/>
          <w:highlight w:val="none"/>
          <w:lang w:val="en-US" w:eastAsia="en-US" w:bidi="ar-SA"/>
        </w:rPr>
        <w:t>造价工程师注册证书的人员应不少于</w:t>
      </w:r>
      <w:r>
        <w:rPr>
          <w:rFonts w:hint="eastAsia" w:ascii="宋体" w:hAnsi="宋体" w:eastAsia="宋体" w:cs="宋体"/>
          <w:b/>
          <w:bCs/>
          <w:snapToGrid w:val="0"/>
          <w:color w:val="auto"/>
          <w:spacing w:val="0"/>
          <w:kern w:val="0"/>
          <w:sz w:val="21"/>
          <w:szCs w:val="21"/>
          <w:highlight w:val="none"/>
          <w:lang w:val="en-US" w:eastAsia="zh-CN" w:bidi="ar-SA"/>
        </w:rPr>
        <w:t>6</w:t>
      </w:r>
      <w:r>
        <w:rPr>
          <w:rFonts w:hint="eastAsia" w:ascii="宋体" w:hAnsi="宋体" w:eastAsia="宋体" w:cs="宋体"/>
          <w:b/>
          <w:bCs/>
          <w:snapToGrid w:val="0"/>
          <w:color w:val="auto"/>
          <w:spacing w:val="0"/>
          <w:kern w:val="0"/>
          <w:sz w:val="21"/>
          <w:szCs w:val="21"/>
          <w:highlight w:val="none"/>
          <w:lang w:val="en-US" w:eastAsia="en-US" w:bidi="ar-SA"/>
        </w:rPr>
        <w:t>人。</w:t>
      </w:r>
    </w:p>
    <w:p w14:paraId="630EF2A7">
      <w:pPr>
        <w:keepNext w:val="0"/>
        <w:keepLines w:val="0"/>
        <w:pageBreakBefore w:val="0"/>
        <w:widowControl/>
        <w:kinsoku/>
        <w:wordWrap/>
        <w:overflowPunct/>
        <w:topLinePunct/>
        <w:autoSpaceDE/>
        <w:autoSpaceDN/>
        <w:bidi w:val="0"/>
        <w:adjustRightInd w:val="0"/>
        <w:snapToGrid w:val="0"/>
        <w:spacing w:line="360" w:lineRule="auto"/>
        <w:ind w:right="391" w:firstLine="419"/>
        <w:jc w:val="left"/>
        <w:textAlignment w:val="baseline"/>
        <w:rPr>
          <w:rFonts w:hint="eastAsia" w:ascii="宋体" w:hAnsi="宋体" w:eastAsia="宋体" w:cs="宋体"/>
          <w:snapToGrid w:val="0"/>
          <w:color w:val="auto"/>
          <w:spacing w:val="0"/>
          <w:kern w:val="0"/>
          <w:sz w:val="21"/>
          <w:szCs w:val="21"/>
          <w:highlight w:val="none"/>
          <w:lang w:val="en-US" w:eastAsia="en-US" w:bidi="ar-SA"/>
        </w:rPr>
      </w:pPr>
      <w:r>
        <w:rPr>
          <w:rFonts w:hint="eastAsia" w:ascii="宋体" w:hAnsi="宋体" w:eastAsia="宋体" w:cs="宋体"/>
          <w:b/>
          <w:bCs/>
          <w:snapToGrid w:val="0"/>
          <w:color w:val="auto"/>
          <w:spacing w:val="0"/>
          <w:kern w:val="0"/>
          <w:sz w:val="21"/>
          <w:szCs w:val="21"/>
          <w:highlight w:val="none"/>
          <w:lang w:val="en-US" w:eastAsia="en-US" w:bidi="ar-SA"/>
        </w:rPr>
        <w:t>注：1、同一人员具备同一种类证书的仅按最高等级证书计算；2、</w:t>
      </w:r>
      <w:r>
        <w:rPr>
          <w:rFonts w:hint="eastAsia" w:ascii="宋体" w:hAnsi="宋体" w:eastAsia="宋体" w:cs="宋体"/>
          <w:b/>
          <w:bCs/>
          <w:color w:val="auto"/>
          <w:sz w:val="21"/>
          <w:szCs w:val="21"/>
          <w:highlight w:val="none"/>
        </w:rPr>
        <w:t>以上人员须提供</w:t>
      </w:r>
      <w:r>
        <w:rPr>
          <w:rFonts w:hint="eastAsia" w:ascii="宋体" w:hAnsi="宋体" w:eastAsia="宋体" w:cs="宋体"/>
          <w:b/>
          <w:bCs/>
          <w:color w:val="auto"/>
          <w:sz w:val="21"/>
          <w:szCs w:val="21"/>
          <w:highlight w:val="none"/>
          <w:lang w:val="en-US" w:eastAsia="zh-CN"/>
        </w:rPr>
        <w:t>以下证明材料复印件加盖投标人公章：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1）人员</w:t>
      </w:r>
      <w:r>
        <w:rPr>
          <w:rFonts w:hint="eastAsia" w:ascii="宋体" w:hAnsi="宋体" w:eastAsia="宋体" w:cs="宋体"/>
          <w:b/>
          <w:bCs/>
          <w:color w:val="auto"/>
          <w:sz w:val="21"/>
          <w:szCs w:val="21"/>
          <w:highlight w:val="none"/>
        </w:rPr>
        <w:t>身份证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造价工程师职业资格证书；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w:t>
      </w:r>
      <w:r>
        <w:rPr>
          <w:rFonts w:hint="eastAsia" w:ascii="宋体" w:hAnsi="宋体" w:eastAsia="宋体" w:cs="宋体"/>
          <w:b/>
          <w:bCs/>
          <w:color w:val="auto"/>
          <w:sz w:val="21"/>
          <w:szCs w:val="21"/>
          <w:highlight w:val="none"/>
        </w:rPr>
        <w:t>注册证书（或在“全国建筑市场公共服务平台”上的执业注册信息截图）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人力资源和社会保障部门（或税务部门）出具</w:t>
      </w:r>
      <w:r>
        <w:rPr>
          <w:rFonts w:hint="eastAsia" w:ascii="宋体" w:hAnsi="宋体" w:eastAsia="宋体" w:cs="宋体"/>
          <w:b/>
          <w:bCs/>
          <w:color w:val="auto"/>
          <w:sz w:val="21"/>
          <w:szCs w:val="21"/>
          <w:highlight w:val="none"/>
        </w:rPr>
        <w:t>的202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Cs w:val="21"/>
          <w:highlight w:val="none"/>
        </w:rPr>
        <w:t>的投标人为其缴纳的社保证明</w:t>
      </w:r>
      <w:r>
        <w:rPr>
          <w:rFonts w:hint="eastAsia" w:ascii="宋体" w:hAnsi="宋体" w:eastAsia="宋体" w:cs="宋体"/>
          <w:b/>
          <w:bCs/>
          <w:color w:val="auto"/>
          <w:szCs w:val="21"/>
          <w:highlight w:val="none"/>
          <w:lang w:val="en-US" w:eastAsia="zh-CN"/>
        </w:rPr>
        <w:t>材料。</w:t>
      </w:r>
    </w:p>
    <w:p w14:paraId="5BE81679">
      <w:pPr>
        <w:keepNext w:val="0"/>
        <w:keepLines w:val="0"/>
        <w:pageBreakBefore w:val="0"/>
        <w:widowControl/>
        <w:numPr>
          <w:ilvl w:val="0"/>
          <w:numId w:val="0"/>
        </w:numPr>
        <w:kinsoku/>
        <w:wordWrap/>
        <w:overflowPunct/>
        <w:topLinePunct/>
        <w:autoSpaceDE/>
        <w:autoSpaceDN/>
        <w:bidi w:val="0"/>
        <w:adjustRightInd w:val="0"/>
        <w:snapToGrid w:val="0"/>
        <w:spacing w:line="360" w:lineRule="auto"/>
        <w:ind w:right="391" w:firstLine="419"/>
        <w:jc w:val="left"/>
        <w:textAlignment w:val="baseline"/>
        <w:rPr>
          <w:rFonts w:hint="eastAsia" w:ascii="宋体" w:hAnsi="宋体" w:eastAsia="宋体" w:cs="宋体"/>
          <w:b/>
          <w:bCs/>
          <w:snapToGrid w:val="0"/>
          <w:color w:val="auto"/>
          <w:spacing w:val="0"/>
          <w:kern w:val="0"/>
          <w:sz w:val="21"/>
          <w:szCs w:val="21"/>
          <w:highlight w:val="none"/>
          <w:lang w:val="en-US" w:eastAsia="en-US" w:bidi="ar-SA"/>
        </w:rPr>
      </w:pPr>
      <w:r>
        <w:rPr>
          <w:rFonts w:hint="eastAsia" w:ascii="宋体" w:hAnsi="宋体" w:eastAsia="宋体" w:cs="宋体"/>
          <w:b/>
          <w:color w:val="auto"/>
          <w:szCs w:val="21"/>
          <w:highlight w:val="none"/>
          <w:u w:val="none"/>
        </w:rPr>
        <w:t>★</w:t>
      </w:r>
      <w:r>
        <w:rPr>
          <w:rFonts w:hint="eastAsia" w:ascii="宋体" w:hAnsi="宋体" w:eastAsia="宋体" w:cs="宋体"/>
          <w:b/>
          <w:color w:val="auto"/>
          <w:szCs w:val="21"/>
          <w:highlight w:val="none"/>
          <w:u w:val="none"/>
          <w:lang w:val="en-US" w:eastAsia="zh-CN"/>
        </w:rPr>
        <w:t>六</w:t>
      </w:r>
      <w:r>
        <w:rPr>
          <w:rFonts w:hint="eastAsia" w:ascii="宋体" w:hAnsi="宋体" w:eastAsia="宋体" w:cs="宋体"/>
          <w:b/>
          <w:bCs/>
          <w:snapToGrid w:val="0"/>
          <w:color w:val="auto"/>
          <w:spacing w:val="0"/>
          <w:kern w:val="0"/>
          <w:sz w:val="21"/>
          <w:szCs w:val="21"/>
          <w:highlight w:val="none"/>
          <w:lang w:val="en-US" w:eastAsia="en-US" w:bidi="ar-SA"/>
        </w:rPr>
        <w:t>、</w:t>
      </w:r>
      <w:r>
        <w:rPr>
          <w:rFonts w:hint="eastAsia" w:ascii="宋体" w:hAnsi="宋体" w:eastAsia="宋体" w:cs="宋体"/>
          <w:b/>
          <w:bCs/>
          <w:snapToGrid w:val="0"/>
          <w:color w:val="auto"/>
          <w:kern w:val="0"/>
          <w:szCs w:val="21"/>
          <w:highlight w:val="none"/>
          <w:lang w:val="en-US" w:eastAsia="en-US"/>
        </w:rPr>
        <w:t>如</w:t>
      </w:r>
      <w:r>
        <w:rPr>
          <w:rFonts w:hint="eastAsia" w:ascii="宋体" w:hAnsi="宋体" w:eastAsia="宋体" w:cs="宋体"/>
          <w:b/>
          <w:bCs/>
          <w:snapToGrid w:val="0"/>
          <w:color w:val="auto"/>
          <w:spacing w:val="0"/>
          <w:kern w:val="0"/>
          <w:sz w:val="21"/>
          <w:szCs w:val="21"/>
          <w:highlight w:val="none"/>
          <w:lang w:val="en-US" w:eastAsia="en-US" w:bidi="ar-SA"/>
        </w:rPr>
        <w:t>投标人</w:t>
      </w:r>
      <w:r>
        <w:rPr>
          <w:rFonts w:hint="eastAsia" w:ascii="宋体" w:hAnsi="宋体" w:eastAsia="宋体" w:cs="宋体"/>
          <w:b/>
          <w:bCs/>
          <w:snapToGrid w:val="0"/>
          <w:color w:val="auto"/>
          <w:spacing w:val="0"/>
          <w:kern w:val="0"/>
          <w:sz w:val="21"/>
          <w:szCs w:val="21"/>
          <w:highlight w:val="none"/>
          <w:lang w:val="en-US" w:eastAsia="zh-CN" w:bidi="ar-SA"/>
        </w:rPr>
        <w:t>在提交投标文件截止时间前</w:t>
      </w:r>
      <w:r>
        <w:rPr>
          <w:rFonts w:hint="eastAsia" w:ascii="宋体" w:hAnsi="宋体" w:eastAsia="宋体" w:cs="宋体"/>
          <w:b/>
          <w:bCs/>
          <w:snapToGrid w:val="0"/>
          <w:color w:val="auto"/>
          <w:spacing w:val="0"/>
          <w:kern w:val="0"/>
          <w:sz w:val="21"/>
          <w:szCs w:val="21"/>
          <w:highlight w:val="none"/>
          <w:lang w:val="en-US" w:eastAsia="en-US" w:bidi="ar-SA"/>
        </w:rPr>
        <w:t>在东莞市水务局“水务工程参建企业信用管理系统”（简称“水务信用系统”）已有本项目对应的企业类型</w:t>
      </w:r>
      <w:r>
        <w:rPr>
          <w:rFonts w:hint="eastAsia" w:ascii="宋体" w:hAnsi="宋体" w:eastAsia="宋体" w:cs="宋体"/>
          <w:b/>
          <w:bCs/>
          <w:snapToGrid w:val="0"/>
          <w:color w:val="auto"/>
          <w:spacing w:val="0"/>
          <w:kern w:val="0"/>
          <w:sz w:val="21"/>
          <w:szCs w:val="21"/>
          <w:highlight w:val="none"/>
          <w:lang w:val="en-US" w:eastAsia="zh-CN" w:bidi="ar-SA"/>
        </w:rPr>
        <w:t>（造价咨询）</w:t>
      </w:r>
      <w:r>
        <w:rPr>
          <w:rFonts w:hint="eastAsia" w:ascii="宋体" w:hAnsi="宋体" w:eastAsia="宋体" w:cs="宋体"/>
          <w:b/>
          <w:bCs/>
          <w:snapToGrid w:val="0"/>
          <w:color w:val="auto"/>
          <w:spacing w:val="0"/>
          <w:kern w:val="0"/>
          <w:sz w:val="21"/>
          <w:szCs w:val="21"/>
          <w:highlight w:val="none"/>
          <w:lang w:val="en-US" w:eastAsia="en-US" w:bidi="ar-SA"/>
        </w:rPr>
        <w:t>信用信息登记</w:t>
      </w:r>
      <w:r>
        <w:rPr>
          <w:rFonts w:hint="eastAsia" w:ascii="宋体" w:hAnsi="宋体" w:eastAsia="宋体" w:cs="宋体"/>
          <w:b/>
          <w:bCs/>
          <w:snapToGrid w:val="0"/>
          <w:color w:val="auto"/>
          <w:spacing w:val="0"/>
          <w:kern w:val="0"/>
          <w:sz w:val="21"/>
          <w:szCs w:val="21"/>
          <w:highlight w:val="none"/>
          <w:lang w:val="en-US" w:eastAsia="zh-CN" w:bidi="ar-SA"/>
        </w:rPr>
        <w:t>（注：须提供水务信用系统查询截图加盖投标人公章）</w:t>
      </w:r>
      <w:r>
        <w:rPr>
          <w:rFonts w:hint="eastAsia" w:ascii="宋体" w:hAnsi="宋体" w:eastAsia="宋体" w:cs="宋体"/>
          <w:b/>
          <w:bCs/>
          <w:snapToGrid w:val="0"/>
          <w:color w:val="auto"/>
          <w:spacing w:val="0"/>
          <w:kern w:val="0"/>
          <w:sz w:val="21"/>
          <w:szCs w:val="21"/>
          <w:highlight w:val="none"/>
          <w:lang w:val="en-US" w:eastAsia="en-US" w:bidi="ar-SA"/>
        </w:rPr>
        <w:t>。若</w:t>
      </w:r>
      <w:r>
        <w:rPr>
          <w:rFonts w:hint="eastAsia" w:ascii="宋体" w:hAnsi="宋体" w:eastAsia="宋体" w:cs="宋体"/>
          <w:b/>
          <w:bCs/>
          <w:snapToGrid w:val="0"/>
          <w:color w:val="auto"/>
          <w:spacing w:val="0"/>
          <w:kern w:val="0"/>
          <w:sz w:val="21"/>
          <w:szCs w:val="21"/>
          <w:highlight w:val="none"/>
          <w:lang w:val="en-US" w:eastAsia="zh-CN" w:bidi="ar-SA"/>
        </w:rPr>
        <w:t>投标人在提交投标文件截止时间前</w:t>
      </w:r>
      <w:r>
        <w:rPr>
          <w:rFonts w:hint="eastAsia" w:ascii="宋体" w:hAnsi="宋体" w:eastAsia="宋体" w:cs="宋体"/>
          <w:b/>
          <w:bCs/>
          <w:snapToGrid w:val="0"/>
          <w:color w:val="auto"/>
          <w:spacing w:val="0"/>
          <w:kern w:val="0"/>
          <w:sz w:val="21"/>
          <w:szCs w:val="21"/>
          <w:highlight w:val="none"/>
          <w:lang w:val="en-US" w:eastAsia="en-US" w:bidi="ar-SA"/>
        </w:rPr>
        <w:t>尚未在水务</w:t>
      </w:r>
      <w:r>
        <w:rPr>
          <w:rFonts w:hint="eastAsia" w:ascii="宋体" w:hAnsi="宋体" w:eastAsia="宋体" w:cs="宋体"/>
          <w:b/>
          <w:bCs/>
          <w:snapToGrid w:val="0"/>
          <w:color w:val="auto"/>
          <w:spacing w:val="0"/>
          <w:kern w:val="0"/>
          <w:sz w:val="21"/>
          <w:szCs w:val="21"/>
          <w:highlight w:val="none"/>
          <w:lang w:val="en-US" w:eastAsia="zh-CN" w:bidi="ar-SA"/>
        </w:rPr>
        <w:t>信用系统</w:t>
      </w:r>
      <w:r>
        <w:rPr>
          <w:rFonts w:hint="eastAsia" w:ascii="宋体" w:hAnsi="宋体" w:eastAsia="宋体" w:cs="宋体"/>
          <w:b/>
          <w:bCs/>
          <w:snapToGrid w:val="0"/>
          <w:color w:val="auto"/>
          <w:spacing w:val="0"/>
          <w:kern w:val="0"/>
          <w:sz w:val="21"/>
          <w:szCs w:val="21"/>
          <w:highlight w:val="none"/>
          <w:lang w:val="en-US" w:eastAsia="en-US" w:bidi="ar-SA"/>
        </w:rPr>
        <w:t>有本项目对应的企业类型</w:t>
      </w:r>
      <w:r>
        <w:rPr>
          <w:rFonts w:hint="eastAsia" w:ascii="宋体" w:hAnsi="宋体" w:eastAsia="宋体" w:cs="宋体"/>
          <w:b/>
          <w:bCs/>
          <w:snapToGrid w:val="0"/>
          <w:color w:val="auto"/>
          <w:spacing w:val="0"/>
          <w:kern w:val="0"/>
          <w:sz w:val="21"/>
          <w:szCs w:val="21"/>
          <w:highlight w:val="none"/>
          <w:lang w:val="en-US" w:eastAsia="zh-CN" w:bidi="ar-SA"/>
        </w:rPr>
        <w:t>（造价咨询）</w:t>
      </w:r>
      <w:r>
        <w:rPr>
          <w:rFonts w:hint="eastAsia" w:ascii="宋体" w:hAnsi="宋体" w:eastAsia="宋体" w:cs="宋体"/>
          <w:b/>
          <w:bCs/>
          <w:snapToGrid w:val="0"/>
          <w:color w:val="auto"/>
          <w:spacing w:val="0"/>
          <w:kern w:val="0"/>
          <w:sz w:val="21"/>
          <w:szCs w:val="21"/>
          <w:highlight w:val="none"/>
          <w:lang w:val="en-US" w:eastAsia="en-US" w:bidi="ar-SA"/>
        </w:rPr>
        <w:t>信用信息档案</w:t>
      </w:r>
      <w:r>
        <w:rPr>
          <w:rFonts w:hint="eastAsia" w:ascii="宋体" w:hAnsi="宋体" w:eastAsia="宋体" w:cs="宋体"/>
          <w:b/>
          <w:bCs/>
          <w:snapToGrid w:val="0"/>
          <w:color w:val="auto"/>
          <w:spacing w:val="0"/>
          <w:kern w:val="0"/>
          <w:sz w:val="21"/>
          <w:szCs w:val="21"/>
          <w:highlight w:val="none"/>
          <w:lang w:val="en-US" w:eastAsia="zh-CN" w:bidi="ar-SA"/>
        </w:rPr>
        <w:t>的，须承诺</w:t>
      </w:r>
      <w:r>
        <w:rPr>
          <w:rFonts w:hint="eastAsia" w:ascii="宋体" w:hAnsi="宋体" w:eastAsia="宋体" w:cs="宋体"/>
          <w:b/>
          <w:bCs/>
          <w:snapToGrid w:val="0"/>
          <w:color w:val="auto"/>
          <w:spacing w:val="0"/>
          <w:kern w:val="0"/>
          <w:sz w:val="21"/>
          <w:szCs w:val="21"/>
          <w:highlight w:val="none"/>
          <w:lang w:val="en-US" w:eastAsia="en-US" w:bidi="ar-SA"/>
        </w:rPr>
        <w:t>在中标后一个月内到东莞市水务局办理好本项目对应的企业类型</w:t>
      </w:r>
      <w:r>
        <w:rPr>
          <w:rFonts w:hint="eastAsia" w:ascii="宋体" w:hAnsi="宋体" w:eastAsia="宋体" w:cs="宋体"/>
          <w:b/>
          <w:bCs/>
          <w:snapToGrid w:val="0"/>
          <w:color w:val="auto"/>
          <w:spacing w:val="0"/>
          <w:kern w:val="0"/>
          <w:sz w:val="21"/>
          <w:szCs w:val="21"/>
          <w:highlight w:val="none"/>
          <w:lang w:val="en-US" w:eastAsia="zh-CN" w:bidi="ar-SA"/>
        </w:rPr>
        <w:t>（造价咨询）</w:t>
      </w:r>
      <w:r>
        <w:rPr>
          <w:rFonts w:hint="eastAsia" w:ascii="宋体" w:hAnsi="宋体" w:eastAsia="宋体" w:cs="宋体"/>
          <w:b/>
          <w:bCs/>
          <w:snapToGrid w:val="0"/>
          <w:color w:val="auto"/>
          <w:spacing w:val="0"/>
          <w:kern w:val="0"/>
          <w:sz w:val="21"/>
          <w:szCs w:val="21"/>
          <w:highlight w:val="none"/>
          <w:lang w:val="en-US" w:eastAsia="en-US" w:bidi="ar-SA"/>
        </w:rPr>
        <w:t>信用信息档案，否则视为放弃中标(</w:t>
      </w:r>
      <w:r>
        <w:rPr>
          <w:rFonts w:hint="eastAsia" w:ascii="宋体" w:hAnsi="宋体" w:eastAsia="宋体" w:cs="宋体"/>
          <w:b/>
          <w:bCs/>
          <w:snapToGrid w:val="0"/>
          <w:color w:val="auto"/>
          <w:spacing w:val="0"/>
          <w:kern w:val="0"/>
          <w:sz w:val="21"/>
          <w:szCs w:val="21"/>
          <w:highlight w:val="none"/>
          <w:lang w:val="en-US" w:eastAsia="zh-CN" w:bidi="ar-SA"/>
        </w:rPr>
        <w:t>注：</w:t>
      </w:r>
      <w:r>
        <w:rPr>
          <w:rFonts w:hint="eastAsia" w:ascii="宋体" w:hAnsi="宋体" w:eastAsia="宋体" w:cs="宋体"/>
          <w:b/>
          <w:bCs/>
          <w:snapToGrid w:val="0"/>
          <w:color w:val="auto"/>
          <w:spacing w:val="0"/>
          <w:kern w:val="0"/>
          <w:sz w:val="21"/>
          <w:szCs w:val="21"/>
          <w:highlight w:val="none"/>
          <w:lang w:val="en-US" w:eastAsia="en-US" w:bidi="ar-SA"/>
        </w:rPr>
        <w:t>须提供承诺函加盖投标人公章) 。</w:t>
      </w:r>
    </w:p>
    <w:p w14:paraId="274C16EF">
      <w:pPr>
        <w:widowControl/>
        <w:topLinePunct/>
        <w:adjustRightInd w:val="0"/>
        <w:snapToGrid w:val="0"/>
        <w:spacing w:line="360" w:lineRule="auto"/>
        <w:ind w:right="391" w:firstLine="419"/>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u w:val="none"/>
        </w:rPr>
        <w:t>★</w:t>
      </w:r>
      <w:r>
        <w:rPr>
          <w:rFonts w:hint="eastAsia" w:ascii="宋体" w:hAnsi="宋体" w:eastAsia="宋体" w:cs="宋体"/>
          <w:b/>
          <w:bCs/>
          <w:snapToGrid w:val="0"/>
          <w:color w:val="auto"/>
          <w:spacing w:val="0"/>
          <w:kern w:val="0"/>
          <w:sz w:val="21"/>
          <w:szCs w:val="21"/>
          <w:highlight w:val="none"/>
          <w:lang w:val="en-US" w:eastAsia="zh-CN" w:bidi="ar-SA"/>
        </w:rPr>
        <w:t>七、</w:t>
      </w:r>
      <w:r>
        <w:rPr>
          <w:rFonts w:hint="eastAsia" w:ascii="宋体" w:hAnsi="宋体" w:eastAsia="宋体" w:cs="宋体"/>
          <w:b/>
          <w:bCs/>
          <w:snapToGrid w:val="0"/>
          <w:color w:val="auto"/>
          <w:spacing w:val="0"/>
          <w:kern w:val="0"/>
          <w:sz w:val="21"/>
          <w:szCs w:val="21"/>
          <w:highlight w:val="none"/>
          <w:lang w:val="en-US" w:eastAsia="en-US" w:bidi="ar-SA"/>
        </w:rPr>
        <w:t>招标结果公示期间，招标人有权核查中标候选人办公场所、设备以及拟投入服务人员情况，如与造价咨询服务单位投标文件不相符，招标人有权取消其中标资格，并根据评标委员会推荐顺序确定其他中标人(</w:t>
      </w:r>
      <w:r>
        <w:rPr>
          <w:rFonts w:hint="eastAsia" w:ascii="宋体" w:hAnsi="宋体" w:eastAsia="宋体" w:cs="宋体"/>
          <w:b/>
          <w:bCs/>
          <w:snapToGrid w:val="0"/>
          <w:color w:val="auto"/>
          <w:spacing w:val="0"/>
          <w:kern w:val="0"/>
          <w:sz w:val="21"/>
          <w:szCs w:val="21"/>
          <w:highlight w:val="none"/>
          <w:lang w:val="en-US" w:eastAsia="zh-CN" w:bidi="ar-SA"/>
        </w:rPr>
        <w:t>注：</w:t>
      </w:r>
      <w:r>
        <w:rPr>
          <w:rFonts w:hint="eastAsia" w:ascii="宋体" w:hAnsi="宋体" w:eastAsia="宋体" w:cs="宋体"/>
          <w:b/>
          <w:bCs/>
          <w:snapToGrid w:val="0"/>
          <w:color w:val="auto"/>
          <w:spacing w:val="0"/>
          <w:kern w:val="0"/>
          <w:sz w:val="21"/>
          <w:szCs w:val="21"/>
          <w:highlight w:val="none"/>
          <w:lang w:val="en-US" w:eastAsia="en-US" w:bidi="ar-SA"/>
        </w:rPr>
        <w:t>须提供承诺函加盖投标人公章)</w:t>
      </w:r>
      <w:r>
        <w:rPr>
          <w:rFonts w:hint="eastAsia" w:ascii="宋体" w:hAnsi="宋体" w:eastAsia="宋体" w:cs="宋体"/>
          <w:b/>
          <w:bCs/>
          <w:snapToGrid w:val="0"/>
          <w:color w:val="auto"/>
          <w:spacing w:val="0"/>
          <w:kern w:val="0"/>
          <w:sz w:val="21"/>
          <w:szCs w:val="21"/>
          <w:highlight w:val="none"/>
          <w:lang w:val="en-US" w:eastAsia="zh-CN" w:bidi="ar-SA"/>
        </w:rPr>
        <w:t>。</w:t>
      </w:r>
    </w:p>
    <w:p w14:paraId="3E7A57F0">
      <w:pPr>
        <w:pStyle w:val="18"/>
        <w:keepNext w:val="0"/>
        <w:keepLines w:val="0"/>
        <w:pageBreakBefore w:val="0"/>
        <w:widowControl/>
        <w:kinsoku/>
        <w:wordWrap/>
        <w:overflowPunct/>
        <w:topLinePunct/>
        <w:autoSpaceDE/>
        <w:autoSpaceDN/>
        <w:bidi w:val="0"/>
        <w:adjustRightInd w:val="0"/>
        <w:snapToGrid w:val="0"/>
        <w:spacing w:line="360" w:lineRule="auto"/>
        <w:ind w:left="20"/>
        <w:jc w:val="left"/>
        <w:textAlignment w:val="baseline"/>
        <w:rPr>
          <w:rFonts w:hint="eastAsia" w:ascii="宋体" w:hAnsi="宋体" w:eastAsia="宋体" w:cs="宋体"/>
          <w:color w:val="auto"/>
          <w:spacing w:val="0"/>
          <w:sz w:val="21"/>
          <w:szCs w:val="21"/>
          <w:highlight w:val="none"/>
          <w:lang w:val="en-US" w:eastAsia="zh-CN"/>
        </w:rPr>
        <w:sectPr>
          <w:footerReference r:id="rId4" w:type="first"/>
          <w:footerReference r:id="rId3" w:type="default"/>
          <w:pgSz w:w="11906" w:h="16838"/>
          <w:pgMar w:top="1191" w:right="1043" w:bottom="1191" w:left="1043" w:header="720" w:footer="720" w:gutter="0"/>
          <w:cols w:space="720" w:num="1"/>
          <w:titlePg/>
          <w:docGrid w:linePitch="326" w:charSpace="0"/>
        </w:sectPr>
      </w:pPr>
    </w:p>
    <w:p w14:paraId="717BE906">
      <w:pPr>
        <w:pStyle w:val="18"/>
        <w:keepNext w:val="0"/>
        <w:keepLines w:val="0"/>
        <w:pageBreakBefore w:val="0"/>
        <w:widowControl/>
        <w:kinsoku/>
        <w:wordWrap/>
        <w:overflowPunct/>
        <w:topLinePunct/>
        <w:autoSpaceDE/>
        <w:autoSpaceDN/>
        <w:bidi w:val="0"/>
        <w:adjustRightInd w:val="0"/>
        <w:snapToGrid w:val="0"/>
        <w:spacing w:line="360" w:lineRule="auto"/>
        <w:ind w:left="20"/>
        <w:jc w:val="left"/>
        <w:textAlignment w:val="baseline"/>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附件：</w:t>
      </w:r>
    </w:p>
    <w:p w14:paraId="783A0BE5">
      <w:pPr>
        <w:pStyle w:val="18"/>
        <w:keepNext w:val="0"/>
        <w:keepLines w:val="0"/>
        <w:pageBreakBefore w:val="0"/>
        <w:widowControl/>
        <w:kinsoku/>
        <w:wordWrap/>
        <w:overflowPunct/>
        <w:topLinePunct/>
        <w:autoSpaceDE/>
        <w:autoSpaceDN/>
        <w:bidi w:val="0"/>
        <w:adjustRightInd w:val="0"/>
        <w:snapToGrid w:val="0"/>
        <w:spacing w:line="360" w:lineRule="auto"/>
        <w:ind w:left="20"/>
        <w:jc w:val="center"/>
        <w:textAlignment w:val="baseline"/>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广东省建设工程造价咨询服务收费标准</w:t>
      </w:r>
      <w:r>
        <w:rPr>
          <w:rFonts w:hint="eastAsia" w:ascii="宋体" w:hAnsi="宋体" w:eastAsia="宋体" w:cs="宋体"/>
          <w:color w:val="auto"/>
          <w:spacing w:val="0"/>
          <w:sz w:val="21"/>
          <w:szCs w:val="21"/>
          <w:highlight w:val="none"/>
          <w:lang w:val="en-US" w:eastAsia="zh-CN"/>
        </w:rPr>
        <w:t>(粤价函(2011)742号)</w:t>
      </w:r>
    </w:p>
    <w:tbl>
      <w:tblPr>
        <w:tblStyle w:val="37"/>
        <w:tblW w:w="5007" w:type="pct"/>
        <w:tblInd w:w="0"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autofit"/>
        <w:tblCellMar>
          <w:top w:w="0" w:type="dxa"/>
          <w:left w:w="0" w:type="dxa"/>
          <w:bottom w:w="0" w:type="dxa"/>
          <w:right w:w="0" w:type="dxa"/>
        </w:tblCellMar>
      </w:tblPr>
      <w:tblGrid>
        <w:gridCol w:w="597"/>
        <w:gridCol w:w="461"/>
        <w:gridCol w:w="385"/>
        <w:gridCol w:w="826"/>
        <w:gridCol w:w="2536"/>
        <w:gridCol w:w="1101"/>
        <w:gridCol w:w="1197"/>
        <w:gridCol w:w="1119"/>
        <w:gridCol w:w="1278"/>
        <w:gridCol w:w="1435"/>
        <w:gridCol w:w="1139"/>
        <w:gridCol w:w="1104"/>
        <w:gridCol w:w="1311"/>
      </w:tblGrid>
      <w:tr w14:paraId="085BDA40">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390" w:hRule="atLeast"/>
        </w:trPr>
        <w:tc>
          <w:tcPr>
            <w:tcW w:w="206" w:type="pct"/>
            <w:vMerge w:val="restart"/>
            <w:tcBorders>
              <w:top w:val="single" w:color="auto" w:sz="4" w:space="0"/>
              <w:left w:val="single" w:color="auto" w:sz="4" w:space="0"/>
              <w:bottom w:val="single" w:color="auto" w:sz="4" w:space="0"/>
              <w:right w:val="single" w:color="auto" w:sz="4" w:space="0"/>
            </w:tcBorders>
            <w:vAlign w:val="center"/>
          </w:tcPr>
          <w:p w14:paraId="1848BB7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序号</w:t>
            </w:r>
          </w:p>
        </w:tc>
        <w:tc>
          <w:tcPr>
            <w:tcW w:w="577" w:type="pct"/>
            <w:gridSpan w:val="3"/>
            <w:vMerge w:val="restart"/>
            <w:tcBorders>
              <w:top w:val="single" w:color="auto" w:sz="4" w:space="0"/>
              <w:left w:val="single" w:color="auto" w:sz="4" w:space="0"/>
              <w:bottom w:val="single" w:color="auto" w:sz="4" w:space="0"/>
              <w:right w:val="single" w:color="auto" w:sz="4" w:space="0"/>
            </w:tcBorders>
            <w:vAlign w:val="center"/>
          </w:tcPr>
          <w:p w14:paraId="21A9C98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咨 询 项 目 名 称</w:t>
            </w:r>
          </w:p>
        </w:tc>
        <w:tc>
          <w:tcPr>
            <w:tcW w:w="875" w:type="pct"/>
            <w:vMerge w:val="restart"/>
            <w:tcBorders>
              <w:top w:val="inset" w:color="333333" w:sz="6" w:space="0"/>
              <w:left w:val="single" w:color="auto" w:sz="4" w:space="0"/>
              <w:bottom w:val="inset" w:color="333333" w:sz="6" w:space="0"/>
              <w:right w:val="inset" w:color="333333" w:sz="6" w:space="0"/>
            </w:tcBorders>
            <w:vAlign w:val="center"/>
          </w:tcPr>
          <w:p w14:paraId="55B1481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服务内容</w:t>
            </w:r>
          </w:p>
        </w:tc>
        <w:tc>
          <w:tcPr>
            <w:tcW w:w="380" w:type="pct"/>
            <w:vMerge w:val="restart"/>
            <w:tcBorders>
              <w:top w:val="inset" w:color="333333" w:sz="6" w:space="0"/>
              <w:left w:val="nil"/>
              <w:bottom w:val="inset" w:color="333333" w:sz="6" w:space="0"/>
              <w:right w:val="inset" w:color="333333" w:sz="6" w:space="0"/>
            </w:tcBorders>
            <w:vAlign w:val="center"/>
          </w:tcPr>
          <w:p w14:paraId="09AB0FA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收 费 基 数</w:t>
            </w:r>
          </w:p>
        </w:tc>
        <w:tc>
          <w:tcPr>
            <w:tcW w:w="2507" w:type="pct"/>
            <w:gridSpan w:val="6"/>
            <w:tcBorders>
              <w:top w:val="inset" w:color="333333" w:sz="6" w:space="0"/>
              <w:left w:val="nil"/>
              <w:bottom w:val="inset" w:color="333333" w:sz="6" w:space="0"/>
              <w:right w:val="inset" w:color="333333" w:sz="6" w:space="0"/>
            </w:tcBorders>
            <w:vAlign w:val="center"/>
          </w:tcPr>
          <w:p w14:paraId="38A8026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最高收费标准</w:t>
            </w:r>
          </w:p>
        </w:tc>
        <w:tc>
          <w:tcPr>
            <w:tcW w:w="452" w:type="pct"/>
            <w:vMerge w:val="restart"/>
            <w:tcBorders>
              <w:top w:val="inset" w:color="333333" w:sz="6" w:space="0"/>
              <w:left w:val="nil"/>
              <w:bottom w:val="inset" w:color="333333" w:sz="6" w:space="0"/>
              <w:right w:val="inset" w:color="333333" w:sz="6" w:space="0"/>
            </w:tcBorders>
            <w:vAlign w:val="center"/>
          </w:tcPr>
          <w:p w14:paraId="7AFAFE6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备注</w:t>
            </w:r>
          </w:p>
        </w:tc>
      </w:tr>
      <w:tr w14:paraId="691E6738">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444"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14:paraId="5CE6C78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pacing w:val="0"/>
                <w:kern w:val="2"/>
                <w:sz w:val="21"/>
                <w:szCs w:val="21"/>
                <w:highlight w:val="none"/>
              </w:rPr>
            </w:pPr>
          </w:p>
        </w:tc>
        <w:tc>
          <w:tcPr>
            <w:tcW w:w="577" w:type="pct"/>
            <w:gridSpan w:val="3"/>
            <w:vMerge w:val="continue"/>
            <w:tcBorders>
              <w:top w:val="single" w:color="auto" w:sz="4" w:space="0"/>
              <w:left w:val="single" w:color="auto" w:sz="4" w:space="0"/>
              <w:bottom w:val="single" w:color="auto" w:sz="4" w:space="0"/>
              <w:right w:val="single" w:color="auto" w:sz="4" w:space="0"/>
            </w:tcBorders>
            <w:vAlign w:val="center"/>
          </w:tcPr>
          <w:p w14:paraId="2AE132B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pacing w:val="0"/>
                <w:kern w:val="2"/>
                <w:sz w:val="21"/>
                <w:szCs w:val="21"/>
                <w:highlight w:val="none"/>
              </w:rPr>
            </w:pPr>
          </w:p>
        </w:tc>
        <w:tc>
          <w:tcPr>
            <w:tcW w:w="875" w:type="pct"/>
            <w:vMerge w:val="continue"/>
            <w:tcBorders>
              <w:top w:val="inset" w:color="333333" w:sz="6" w:space="0"/>
              <w:left w:val="single" w:color="auto" w:sz="4" w:space="0"/>
              <w:bottom w:val="inset" w:color="333333" w:sz="6" w:space="0"/>
              <w:right w:val="inset" w:color="333333" w:sz="6" w:space="0"/>
            </w:tcBorders>
            <w:vAlign w:val="center"/>
          </w:tcPr>
          <w:p w14:paraId="5576270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pacing w:val="0"/>
                <w:kern w:val="2"/>
                <w:sz w:val="21"/>
                <w:szCs w:val="21"/>
                <w:highlight w:val="none"/>
              </w:rPr>
            </w:pPr>
          </w:p>
        </w:tc>
        <w:tc>
          <w:tcPr>
            <w:tcW w:w="380" w:type="pct"/>
            <w:vMerge w:val="continue"/>
            <w:tcBorders>
              <w:top w:val="inset" w:color="333333" w:sz="6" w:space="0"/>
              <w:left w:val="nil"/>
              <w:bottom w:val="inset" w:color="333333" w:sz="6" w:space="0"/>
              <w:right w:val="inset" w:color="333333" w:sz="6" w:space="0"/>
            </w:tcBorders>
            <w:vAlign w:val="center"/>
          </w:tcPr>
          <w:p w14:paraId="3BFC274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pacing w:val="0"/>
                <w:kern w:val="2"/>
                <w:sz w:val="21"/>
                <w:szCs w:val="21"/>
                <w:highlight w:val="none"/>
              </w:rPr>
            </w:pPr>
          </w:p>
        </w:tc>
        <w:tc>
          <w:tcPr>
            <w:tcW w:w="413" w:type="pct"/>
            <w:tcBorders>
              <w:top w:val="inset" w:color="333333" w:sz="6" w:space="0"/>
              <w:left w:val="nil"/>
              <w:bottom w:val="inset" w:color="333333" w:sz="6" w:space="0"/>
              <w:right w:val="inset" w:color="333333" w:sz="6" w:space="0"/>
            </w:tcBorders>
            <w:vAlign w:val="center"/>
          </w:tcPr>
          <w:p w14:paraId="54153EC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100万元以内</w:t>
            </w:r>
          </w:p>
        </w:tc>
        <w:tc>
          <w:tcPr>
            <w:tcW w:w="386" w:type="pct"/>
            <w:tcBorders>
              <w:top w:val="inset" w:color="333333" w:sz="6" w:space="0"/>
              <w:left w:val="nil"/>
              <w:bottom w:val="inset" w:color="333333" w:sz="6" w:space="0"/>
              <w:right w:val="inset" w:color="333333" w:sz="6" w:space="0"/>
            </w:tcBorders>
            <w:vAlign w:val="center"/>
          </w:tcPr>
          <w:p w14:paraId="188495C5">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101-500</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万元</w:t>
            </w:r>
          </w:p>
        </w:tc>
        <w:tc>
          <w:tcPr>
            <w:tcW w:w="441" w:type="pct"/>
            <w:tcBorders>
              <w:top w:val="inset" w:color="333333" w:sz="6" w:space="0"/>
              <w:left w:val="nil"/>
              <w:bottom w:val="inset" w:color="333333" w:sz="6" w:space="0"/>
              <w:right w:val="inset" w:color="333333" w:sz="6" w:space="0"/>
            </w:tcBorders>
            <w:vAlign w:val="center"/>
          </w:tcPr>
          <w:p w14:paraId="027C6AD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501-1000</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万元</w:t>
            </w:r>
          </w:p>
        </w:tc>
        <w:tc>
          <w:tcPr>
            <w:tcW w:w="495" w:type="pct"/>
            <w:tcBorders>
              <w:top w:val="inset" w:color="333333" w:sz="6" w:space="0"/>
              <w:left w:val="nil"/>
              <w:bottom w:val="inset" w:color="333333" w:sz="6" w:space="0"/>
              <w:right w:val="inset" w:color="333333" w:sz="6" w:space="0"/>
            </w:tcBorders>
            <w:vAlign w:val="center"/>
          </w:tcPr>
          <w:p w14:paraId="45F02C55">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1001-5000</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万元</w:t>
            </w:r>
          </w:p>
        </w:tc>
        <w:tc>
          <w:tcPr>
            <w:tcW w:w="393" w:type="pct"/>
            <w:tcBorders>
              <w:top w:val="inset" w:color="333333" w:sz="6" w:space="0"/>
              <w:left w:val="nil"/>
              <w:bottom w:val="inset" w:color="333333" w:sz="6" w:space="0"/>
              <w:right w:val="inset" w:color="333333" w:sz="6" w:space="0"/>
            </w:tcBorders>
            <w:vAlign w:val="center"/>
          </w:tcPr>
          <w:p w14:paraId="47070A3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5001万元-1</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亿元</w:t>
            </w:r>
          </w:p>
        </w:tc>
        <w:tc>
          <w:tcPr>
            <w:tcW w:w="379" w:type="pct"/>
            <w:tcBorders>
              <w:top w:val="inset" w:color="333333" w:sz="6" w:space="0"/>
              <w:left w:val="nil"/>
              <w:bottom w:val="inset" w:color="333333" w:sz="6" w:space="0"/>
              <w:right w:val="inset" w:color="333333" w:sz="6" w:space="0"/>
            </w:tcBorders>
            <w:vAlign w:val="center"/>
          </w:tcPr>
          <w:p w14:paraId="392DD7B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1亿元以上</w:t>
            </w:r>
          </w:p>
        </w:tc>
        <w:tc>
          <w:tcPr>
            <w:tcW w:w="452" w:type="pct"/>
            <w:vMerge w:val="continue"/>
            <w:tcBorders>
              <w:top w:val="inset" w:color="333333" w:sz="6" w:space="0"/>
              <w:left w:val="nil"/>
              <w:bottom w:val="inset" w:color="333333" w:sz="6" w:space="0"/>
              <w:right w:val="inset" w:color="333333" w:sz="6" w:space="0"/>
            </w:tcBorders>
            <w:vAlign w:val="center"/>
          </w:tcPr>
          <w:p w14:paraId="4E0239B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pacing w:val="0"/>
                <w:kern w:val="2"/>
                <w:sz w:val="21"/>
                <w:szCs w:val="21"/>
                <w:highlight w:val="none"/>
              </w:rPr>
            </w:pPr>
          </w:p>
        </w:tc>
      </w:tr>
      <w:tr w14:paraId="17AA2C40">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1065" w:hRule="atLeast"/>
        </w:trPr>
        <w:tc>
          <w:tcPr>
            <w:tcW w:w="206" w:type="pct"/>
            <w:tcBorders>
              <w:top w:val="single" w:color="auto" w:sz="4" w:space="0"/>
              <w:left w:val="inset" w:color="333333" w:sz="6" w:space="0"/>
              <w:bottom w:val="inset" w:color="333333" w:sz="6" w:space="0"/>
              <w:right w:val="inset" w:color="333333" w:sz="6" w:space="0"/>
            </w:tcBorders>
            <w:vAlign w:val="center"/>
          </w:tcPr>
          <w:p w14:paraId="383C453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577" w:type="pct"/>
            <w:gridSpan w:val="3"/>
            <w:tcBorders>
              <w:top w:val="single" w:color="auto" w:sz="4" w:space="0"/>
              <w:left w:val="nil"/>
              <w:bottom w:val="inset" w:color="333333" w:sz="6" w:space="0"/>
              <w:right w:val="inset" w:color="333333" w:sz="6" w:space="0"/>
            </w:tcBorders>
            <w:vAlign w:val="center"/>
          </w:tcPr>
          <w:p w14:paraId="0BF0FB1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投资估算的编制或审核</w:t>
            </w:r>
          </w:p>
        </w:tc>
        <w:tc>
          <w:tcPr>
            <w:tcW w:w="875" w:type="pct"/>
            <w:tcBorders>
              <w:top w:val="inset" w:color="333333" w:sz="6" w:space="0"/>
              <w:left w:val="nil"/>
              <w:bottom w:val="inset" w:color="333333" w:sz="6" w:space="0"/>
              <w:right w:val="inset" w:color="333333" w:sz="6" w:space="0"/>
            </w:tcBorders>
            <w:vAlign w:val="center"/>
          </w:tcPr>
          <w:p w14:paraId="752B4D0C">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依据建设项目可行性研究方案编制或核对项目投资估算，出具投资估算报告或审核报告</w:t>
            </w:r>
          </w:p>
        </w:tc>
        <w:tc>
          <w:tcPr>
            <w:tcW w:w="380" w:type="pct"/>
            <w:tcBorders>
              <w:top w:val="inset" w:color="333333" w:sz="6" w:space="0"/>
              <w:left w:val="nil"/>
              <w:bottom w:val="inset" w:color="333333" w:sz="6" w:space="0"/>
              <w:right w:val="inset" w:color="333333" w:sz="6" w:space="0"/>
            </w:tcBorders>
            <w:vAlign w:val="center"/>
          </w:tcPr>
          <w:p w14:paraId="15AF5E5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估算价</w:t>
            </w:r>
          </w:p>
        </w:tc>
        <w:tc>
          <w:tcPr>
            <w:tcW w:w="413" w:type="pct"/>
            <w:tcBorders>
              <w:top w:val="inset" w:color="333333" w:sz="6" w:space="0"/>
              <w:left w:val="nil"/>
              <w:bottom w:val="inset" w:color="333333" w:sz="6" w:space="0"/>
              <w:right w:val="inset" w:color="333333" w:sz="6" w:space="0"/>
            </w:tcBorders>
            <w:vAlign w:val="center"/>
          </w:tcPr>
          <w:p w14:paraId="55FFE9A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1.3‰</w:t>
            </w:r>
          </w:p>
        </w:tc>
        <w:tc>
          <w:tcPr>
            <w:tcW w:w="386" w:type="pct"/>
            <w:tcBorders>
              <w:top w:val="inset" w:color="333333" w:sz="6" w:space="0"/>
              <w:left w:val="nil"/>
              <w:bottom w:val="inset" w:color="333333" w:sz="6" w:space="0"/>
              <w:right w:val="inset" w:color="333333" w:sz="6" w:space="0"/>
            </w:tcBorders>
            <w:vAlign w:val="center"/>
          </w:tcPr>
          <w:p w14:paraId="3CC0FC5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w:t>
            </w:r>
          </w:p>
        </w:tc>
        <w:tc>
          <w:tcPr>
            <w:tcW w:w="441" w:type="pct"/>
            <w:tcBorders>
              <w:top w:val="inset" w:color="333333" w:sz="6" w:space="0"/>
              <w:left w:val="nil"/>
              <w:bottom w:val="inset" w:color="333333" w:sz="6" w:space="0"/>
              <w:right w:val="inset" w:color="333333" w:sz="6" w:space="0"/>
            </w:tcBorders>
            <w:vAlign w:val="center"/>
          </w:tcPr>
          <w:p w14:paraId="45D6A15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0.9‰</w:t>
            </w:r>
          </w:p>
        </w:tc>
        <w:tc>
          <w:tcPr>
            <w:tcW w:w="495" w:type="pct"/>
            <w:tcBorders>
              <w:top w:val="inset" w:color="333333" w:sz="6" w:space="0"/>
              <w:left w:val="nil"/>
              <w:bottom w:val="inset" w:color="333333" w:sz="6" w:space="0"/>
              <w:right w:val="inset" w:color="333333" w:sz="6" w:space="0"/>
            </w:tcBorders>
            <w:vAlign w:val="center"/>
          </w:tcPr>
          <w:p w14:paraId="2E8EACD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0.7‰</w:t>
            </w:r>
          </w:p>
        </w:tc>
        <w:tc>
          <w:tcPr>
            <w:tcW w:w="393" w:type="pct"/>
            <w:tcBorders>
              <w:top w:val="inset" w:color="333333" w:sz="6" w:space="0"/>
              <w:left w:val="nil"/>
              <w:bottom w:val="inset" w:color="333333" w:sz="6" w:space="0"/>
              <w:right w:val="inset" w:color="333333" w:sz="6" w:space="0"/>
            </w:tcBorders>
            <w:vAlign w:val="center"/>
          </w:tcPr>
          <w:p w14:paraId="383BDA2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0.5‰</w:t>
            </w:r>
          </w:p>
        </w:tc>
        <w:tc>
          <w:tcPr>
            <w:tcW w:w="379" w:type="pct"/>
            <w:tcBorders>
              <w:top w:val="inset" w:color="333333" w:sz="6" w:space="0"/>
              <w:left w:val="nil"/>
              <w:bottom w:val="inset" w:color="333333" w:sz="6" w:space="0"/>
              <w:right w:val="inset" w:color="333333" w:sz="6" w:space="0"/>
            </w:tcBorders>
            <w:vAlign w:val="center"/>
          </w:tcPr>
          <w:p w14:paraId="03FFB2C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0.4‰</w:t>
            </w:r>
          </w:p>
        </w:tc>
        <w:tc>
          <w:tcPr>
            <w:tcW w:w="452" w:type="pct"/>
            <w:tcBorders>
              <w:top w:val="inset" w:color="333333" w:sz="6" w:space="0"/>
              <w:left w:val="nil"/>
              <w:bottom w:val="inset" w:color="333333" w:sz="6" w:space="0"/>
              <w:right w:val="inset" w:color="333333" w:sz="6" w:space="0"/>
            </w:tcBorders>
            <w:vAlign w:val="center"/>
          </w:tcPr>
          <w:p w14:paraId="5E5D45D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差额定率累进计费</w:t>
            </w:r>
          </w:p>
        </w:tc>
      </w:tr>
      <w:tr w14:paraId="25A79BAC">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780" w:hRule="atLeast"/>
        </w:trPr>
        <w:tc>
          <w:tcPr>
            <w:tcW w:w="206" w:type="pct"/>
            <w:tcBorders>
              <w:top w:val="inset" w:color="333333" w:sz="6" w:space="0"/>
              <w:left w:val="inset" w:color="333333" w:sz="6" w:space="0"/>
              <w:bottom w:val="inset" w:color="333333" w:sz="6" w:space="0"/>
              <w:right w:val="inset" w:color="333333" w:sz="6" w:space="0"/>
            </w:tcBorders>
            <w:vAlign w:val="center"/>
          </w:tcPr>
          <w:p w14:paraId="0E39B33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577" w:type="pct"/>
            <w:gridSpan w:val="3"/>
            <w:tcBorders>
              <w:top w:val="inset" w:color="333333" w:sz="6" w:space="0"/>
              <w:left w:val="nil"/>
              <w:bottom w:val="inset" w:color="333333" w:sz="6" w:space="0"/>
              <w:right w:val="inset" w:color="333333" w:sz="6" w:space="0"/>
            </w:tcBorders>
            <w:vAlign w:val="center"/>
          </w:tcPr>
          <w:p w14:paraId="221D8FC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工程概算的编制或审核</w:t>
            </w:r>
          </w:p>
        </w:tc>
        <w:tc>
          <w:tcPr>
            <w:tcW w:w="875" w:type="pct"/>
            <w:tcBorders>
              <w:top w:val="inset" w:color="333333" w:sz="6" w:space="0"/>
              <w:left w:val="nil"/>
              <w:bottom w:val="inset" w:color="333333" w:sz="6" w:space="0"/>
              <w:right w:val="inset" w:color="333333" w:sz="6" w:space="0"/>
            </w:tcBorders>
            <w:vAlign w:val="center"/>
          </w:tcPr>
          <w:p w14:paraId="1A611B2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依据初步设计图纸计算或复核工程量，出具工程概算书或审核报告</w:t>
            </w:r>
          </w:p>
        </w:tc>
        <w:tc>
          <w:tcPr>
            <w:tcW w:w="380" w:type="pct"/>
            <w:tcBorders>
              <w:top w:val="inset" w:color="333333" w:sz="6" w:space="0"/>
              <w:left w:val="nil"/>
              <w:bottom w:val="inset" w:color="333333" w:sz="6" w:space="0"/>
              <w:right w:val="inset" w:color="333333" w:sz="6" w:space="0"/>
            </w:tcBorders>
            <w:vAlign w:val="center"/>
          </w:tcPr>
          <w:p w14:paraId="173FA2E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概算价</w:t>
            </w:r>
          </w:p>
        </w:tc>
        <w:tc>
          <w:tcPr>
            <w:tcW w:w="413" w:type="pct"/>
            <w:tcBorders>
              <w:top w:val="inset" w:color="333333" w:sz="6" w:space="0"/>
              <w:left w:val="nil"/>
              <w:bottom w:val="inset" w:color="333333" w:sz="6" w:space="0"/>
              <w:right w:val="inset" w:color="333333" w:sz="6" w:space="0"/>
            </w:tcBorders>
            <w:vAlign w:val="center"/>
          </w:tcPr>
          <w:p w14:paraId="6299221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386" w:type="pct"/>
            <w:tcBorders>
              <w:top w:val="inset" w:color="333333" w:sz="6" w:space="0"/>
              <w:left w:val="nil"/>
              <w:bottom w:val="inset" w:color="333333" w:sz="6" w:space="0"/>
              <w:right w:val="inset" w:color="333333" w:sz="6" w:space="0"/>
            </w:tcBorders>
            <w:vAlign w:val="center"/>
          </w:tcPr>
          <w:p w14:paraId="75D6A37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1.8‰</w:t>
            </w:r>
          </w:p>
        </w:tc>
        <w:tc>
          <w:tcPr>
            <w:tcW w:w="441" w:type="pct"/>
            <w:tcBorders>
              <w:top w:val="inset" w:color="333333" w:sz="6" w:space="0"/>
              <w:left w:val="nil"/>
              <w:bottom w:val="inset" w:color="333333" w:sz="6" w:space="0"/>
              <w:right w:val="inset" w:color="333333" w:sz="6" w:space="0"/>
            </w:tcBorders>
            <w:vAlign w:val="center"/>
          </w:tcPr>
          <w:p w14:paraId="7A5A58C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1.6‰</w:t>
            </w:r>
          </w:p>
        </w:tc>
        <w:tc>
          <w:tcPr>
            <w:tcW w:w="495" w:type="pct"/>
            <w:tcBorders>
              <w:top w:val="inset" w:color="333333" w:sz="6" w:space="0"/>
              <w:left w:val="nil"/>
              <w:bottom w:val="inset" w:color="333333" w:sz="6" w:space="0"/>
              <w:right w:val="inset" w:color="333333" w:sz="6" w:space="0"/>
            </w:tcBorders>
            <w:vAlign w:val="center"/>
          </w:tcPr>
          <w:p w14:paraId="3B06E33C">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1.3‰</w:t>
            </w:r>
          </w:p>
        </w:tc>
        <w:tc>
          <w:tcPr>
            <w:tcW w:w="393" w:type="pct"/>
            <w:tcBorders>
              <w:top w:val="inset" w:color="333333" w:sz="6" w:space="0"/>
              <w:left w:val="nil"/>
              <w:bottom w:val="inset" w:color="333333" w:sz="6" w:space="0"/>
              <w:right w:val="inset" w:color="333333" w:sz="6" w:space="0"/>
            </w:tcBorders>
            <w:vAlign w:val="center"/>
          </w:tcPr>
          <w:p w14:paraId="3567826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1.2‰</w:t>
            </w:r>
          </w:p>
        </w:tc>
        <w:tc>
          <w:tcPr>
            <w:tcW w:w="379" w:type="pct"/>
            <w:tcBorders>
              <w:top w:val="inset" w:color="333333" w:sz="6" w:space="0"/>
              <w:left w:val="nil"/>
              <w:bottom w:val="inset" w:color="333333" w:sz="6" w:space="0"/>
              <w:right w:val="inset" w:color="333333" w:sz="6" w:space="0"/>
            </w:tcBorders>
            <w:vAlign w:val="center"/>
          </w:tcPr>
          <w:p w14:paraId="11B3075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w:t>
            </w:r>
          </w:p>
        </w:tc>
        <w:tc>
          <w:tcPr>
            <w:tcW w:w="452" w:type="pct"/>
            <w:tcBorders>
              <w:top w:val="inset" w:color="333333" w:sz="6" w:space="0"/>
              <w:left w:val="nil"/>
              <w:bottom w:val="inset" w:color="333333" w:sz="6" w:space="0"/>
              <w:right w:val="inset" w:color="333333" w:sz="6" w:space="0"/>
            </w:tcBorders>
            <w:vAlign w:val="center"/>
          </w:tcPr>
          <w:p w14:paraId="46D08E7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差额定率累进计费</w:t>
            </w:r>
          </w:p>
        </w:tc>
      </w:tr>
      <w:tr w14:paraId="67045C0A">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810" w:hRule="atLeast"/>
        </w:trPr>
        <w:tc>
          <w:tcPr>
            <w:tcW w:w="206" w:type="pct"/>
            <w:vMerge w:val="restart"/>
            <w:tcBorders>
              <w:top w:val="nil"/>
              <w:left w:val="inset" w:color="333333" w:sz="6" w:space="0"/>
              <w:bottom w:val="inset" w:color="333333" w:sz="6" w:space="0"/>
              <w:right w:val="inset" w:color="333333" w:sz="6" w:space="0"/>
            </w:tcBorders>
            <w:vAlign w:val="center"/>
          </w:tcPr>
          <w:p w14:paraId="3BBF63B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159" w:type="pct"/>
            <w:vMerge w:val="restart"/>
            <w:tcBorders>
              <w:top w:val="nil"/>
              <w:left w:val="nil"/>
              <w:bottom w:val="inset" w:color="333333" w:sz="6" w:space="0"/>
              <w:right w:val="inset" w:color="333333" w:sz="6" w:space="0"/>
            </w:tcBorders>
            <w:vAlign w:val="center"/>
          </w:tcPr>
          <w:p w14:paraId="19EA940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工程预算的编制或审核</w:t>
            </w:r>
          </w:p>
        </w:tc>
        <w:tc>
          <w:tcPr>
            <w:tcW w:w="133" w:type="pct"/>
            <w:vMerge w:val="restart"/>
            <w:tcBorders>
              <w:top w:val="nil"/>
              <w:left w:val="nil"/>
              <w:bottom w:val="inset" w:color="333333" w:sz="6" w:space="0"/>
              <w:right w:val="inset" w:color="333333" w:sz="6" w:space="0"/>
            </w:tcBorders>
            <w:vAlign w:val="center"/>
          </w:tcPr>
          <w:p w14:paraId="561F854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清单计价法</w:t>
            </w:r>
          </w:p>
        </w:tc>
        <w:tc>
          <w:tcPr>
            <w:tcW w:w="285" w:type="pct"/>
            <w:tcBorders>
              <w:top w:val="inset" w:color="333333" w:sz="6" w:space="0"/>
              <w:left w:val="nil"/>
              <w:bottom w:val="inset" w:color="333333" w:sz="6" w:space="0"/>
              <w:right w:val="inset" w:color="333333" w:sz="6" w:space="0"/>
            </w:tcBorders>
            <w:vAlign w:val="center"/>
          </w:tcPr>
          <w:p w14:paraId="3F823B3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单独编制或审核工程量清单</w:t>
            </w:r>
          </w:p>
        </w:tc>
        <w:tc>
          <w:tcPr>
            <w:tcW w:w="875" w:type="pct"/>
            <w:tcBorders>
              <w:top w:val="inset" w:color="333333" w:sz="6" w:space="0"/>
              <w:left w:val="nil"/>
              <w:bottom w:val="inset" w:color="333333" w:sz="6" w:space="0"/>
              <w:right w:val="inset" w:color="333333" w:sz="6" w:space="0"/>
            </w:tcBorders>
            <w:vAlign w:val="center"/>
          </w:tcPr>
          <w:p w14:paraId="560755D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依据施工图编制或审核工程量清单，出具工程量清单书或审核报告</w:t>
            </w:r>
          </w:p>
        </w:tc>
        <w:tc>
          <w:tcPr>
            <w:tcW w:w="380" w:type="pct"/>
            <w:tcBorders>
              <w:top w:val="inset" w:color="333333" w:sz="6" w:space="0"/>
              <w:left w:val="nil"/>
              <w:bottom w:val="inset" w:color="333333" w:sz="6" w:space="0"/>
              <w:right w:val="inset" w:color="333333" w:sz="6" w:space="0"/>
            </w:tcBorders>
            <w:vAlign w:val="center"/>
          </w:tcPr>
          <w:p w14:paraId="2467884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预算造价（预算价、招标控制价）</w:t>
            </w:r>
          </w:p>
        </w:tc>
        <w:tc>
          <w:tcPr>
            <w:tcW w:w="413" w:type="pct"/>
            <w:tcBorders>
              <w:top w:val="inset" w:color="333333" w:sz="6" w:space="0"/>
              <w:left w:val="nil"/>
              <w:bottom w:val="inset" w:color="333333" w:sz="6" w:space="0"/>
              <w:right w:val="inset" w:color="333333" w:sz="6" w:space="0"/>
            </w:tcBorders>
            <w:vAlign w:val="center"/>
          </w:tcPr>
          <w:p w14:paraId="236F1EB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386" w:type="pct"/>
            <w:tcBorders>
              <w:top w:val="inset" w:color="333333" w:sz="6" w:space="0"/>
              <w:left w:val="nil"/>
              <w:bottom w:val="inset" w:color="333333" w:sz="6" w:space="0"/>
              <w:right w:val="inset" w:color="333333" w:sz="6" w:space="0"/>
            </w:tcBorders>
            <w:vAlign w:val="center"/>
          </w:tcPr>
          <w:p w14:paraId="16AAB8A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2.5‰</w:t>
            </w:r>
          </w:p>
        </w:tc>
        <w:tc>
          <w:tcPr>
            <w:tcW w:w="441" w:type="pct"/>
            <w:tcBorders>
              <w:top w:val="inset" w:color="333333" w:sz="6" w:space="0"/>
              <w:left w:val="nil"/>
              <w:bottom w:val="inset" w:color="333333" w:sz="6" w:space="0"/>
              <w:right w:val="inset" w:color="333333" w:sz="6" w:space="0"/>
            </w:tcBorders>
            <w:vAlign w:val="center"/>
          </w:tcPr>
          <w:p w14:paraId="2A91A30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2.4‰</w:t>
            </w:r>
          </w:p>
        </w:tc>
        <w:tc>
          <w:tcPr>
            <w:tcW w:w="495" w:type="pct"/>
            <w:tcBorders>
              <w:top w:val="inset" w:color="333333" w:sz="6" w:space="0"/>
              <w:left w:val="nil"/>
              <w:bottom w:val="inset" w:color="333333" w:sz="6" w:space="0"/>
              <w:right w:val="inset" w:color="333333" w:sz="6" w:space="0"/>
            </w:tcBorders>
            <w:vAlign w:val="center"/>
          </w:tcPr>
          <w:p w14:paraId="54D1D53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2.2‰</w:t>
            </w:r>
          </w:p>
        </w:tc>
        <w:tc>
          <w:tcPr>
            <w:tcW w:w="393" w:type="pct"/>
            <w:tcBorders>
              <w:top w:val="inset" w:color="333333" w:sz="6" w:space="0"/>
              <w:left w:val="nil"/>
              <w:bottom w:val="inset" w:color="333333" w:sz="6" w:space="0"/>
              <w:right w:val="inset" w:color="333333" w:sz="6" w:space="0"/>
            </w:tcBorders>
            <w:vAlign w:val="center"/>
          </w:tcPr>
          <w:p w14:paraId="340D35E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379" w:type="pct"/>
            <w:tcBorders>
              <w:top w:val="inset" w:color="333333" w:sz="6" w:space="0"/>
              <w:left w:val="nil"/>
              <w:bottom w:val="inset" w:color="333333" w:sz="6" w:space="0"/>
              <w:right w:val="inset" w:color="333333" w:sz="6" w:space="0"/>
            </w:tcBorders>
            <w:vAlign w:val="center"/>
          </w:tcPr>
          <w:p w14:paraId="7BB22F5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1.8‰</w:t>
            </w:r>
          </w:p>
        </w:tc>
        <w:tc>
          <w:tcPr>
            <w:tcW w:w="452" w:type="pct"/>
            <w:tcBorders>
              <w:top w:val="inset" w:color="333333" w:sz="6" w:space="0"/>
              <w:left w:val="nil"/>
              <w:bottom w:val="inset" w:color="333333" w:sz="6" w:space="0"/>
              <w:right w:val="inset" w:color="333333" w:sz="6" w:space="0"/>
            </w:tcBorders>
            <w:vAlign w:val="center"/>
          </w:tcPr>
          <w:p w14:paraId="23E83E1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差额定率累进计费</w:t>
            </w:r>
          </w:p>
        </w:tc>
      </w:tr>
      <w:tr w14:paraId="1C7987E8">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870" w:hRule="atLeast"/>
        </w:trPr>
        <w:tc>
          <w:tcPr>
            <w:tcW w:w="206" w:type="pct"/>
            <w:vMerge w:val="continue"/>
            <w:tcBorders>
              <w:top w:val="nil"/>
              <w:left w:val="inset" w:color="333333" w:sz="6" w:space="0"/>
              <w:bottom w:val="inset" w:color="333333" w:sz="6" w:space="0"/>
              <w:right w:val="inset" w:color="333333" w:sz="6" w:space="0"/>
            </w:tcBorders>
            <w:vAlign w:val="center"/>
          </w:tcPr>
          <w:p w14:paraId="5D28CFE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159" w:type="pct"/>
            <w:vMerge w:val="continue"/>
            <w:tcBorders>
              <w:top w:val="nil"/>
              <w:left w:val="nil"/>
              <w:bottom w:val="inset" w:color="333333" w:sz="6" w:space="0"/>
              <w:right w:val="inset" w:color="333333" w:sz="6" w:space="0"/>
            </w:tcBorders>
            <w:vAlign w:val="center"/>
          </w:tcPr>
          <w:p w14:paraId="7552375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133" w:type="pct"/>
            <w:vMerge w:val="continue"/>
            <w:tcBorders>
              <w:top w:val="nil"/>
              <w:left w:val="nil"/>
              <w:bottom w:val="inset" w:color="333333" w:sz="6" w:space="0"/>
              <w:right w:val="inset" w:color="333333" w:sz="6" w:space="0"/>
            </w:tcBorders>
            <w:vAlign w:val="center"/>
          </w:tcPr>
          <w:p w14:paraId="7CBBFD7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285" w:type="pct"/>
            <w:tcBorders>
              <w:top w:val="inset" w:color="333333" w:sz="6" w:space="0"/>
              <w:left w:val="nil"/>
              <w:bottom w:val="inset" w:color="333333" w:sz="6" w:space="0"/>
              <w:right w:val="inset" w:color="333333" w:sz="6" w:space="0"/>
            </w:tcBorders>
            <w:vAlign w:val="center"/>
          </w:tcPr>
          <w:p w14:paraId="58FF308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单独编制或审核预算造价</w:t>
            </w:r>
          </w:p>
        </w:tc>
        <w:tc>
          <w:tcPr>
            <w:tcW w:w="875" w:type="pct"/>
            <w:tcBorders>
              <w:top w:val="inset" w:color="333333" w:sz="6" w:space="0"/>
              <w:left w:val="nil"/>
              <w:bottom w:val="inset" w:color="333333" w:sz="6" w:space="0"/>
              <w:right w:val="inset" w:color="333333" w:sz="6" w:space="0"/>
            </w:tcBorders>
            <w:vAlign w:val="center"/>
          </w:tcPr>
          <w:p w14:paraId="2137C81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依据施工图、工程量清单编制或审核工程量清单报价，出具工程报价书或审核报告</w:t>
            </w:r>
          </w:p>
        </w:tc>
        <w:tc>
          <w:tcPr>
            <w:tcW w:w="380" w:type="pct"/>
            <w:tcBorders>
              <w:top w:val="inset" w:color="333333" w:sz="6" w:space="0"/>
              <w:left w:val="nil"/>
              <w:bottom w:val="inset" w:color="333333" w:sz="6" w:space="0"/>
              <w:right w:val="inset" w:color="333333" w:sz="6" w:space="0"/>
            </w:tcBorders>
            <w:vAlign w:val="center"/>
          </w:tcPr>
          <w:p w14:paraId="0F6C494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预算造价（预算价、招标控制价、投标报价）</w:t>
            </w:r>
          </w:p>
        </w:tc>
        <w:tc>
          <w:tcPr>
            <w:tcW w:w="413" w:type="pct"/>
            <w:tcBorders>
              <w:top w:val="inset" w:color="333333" w:sz="6" w:space="0"/>
              <w:left w:val="nil"/>
              <w:bottom w:val="inset" w:color="333333" w:sz="6" w:space="0"/>
              <w:right w:val="inset" w:color="333333" w:sz="6" w:space="0"/>
            </w:tcBorders>
            <w:vAlign w:val="center"/>
          </w:tcPr>
          <w:p w14:paraId="181072D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1.8‰</w:t>
            </w:r>
          </w:p>
        </w:tc>
        <w:tc>
          <w:tcPr>
            <w:tcW w:w="386" w:type="pct"/>
            <w:tcBorders>
              <w:top w:val="inset" w:color="333333" w:sz="6" w:space="0"/>
              <w:left w:val="nil"/>
              <w:bottom w:val="inset" w:color="333333" w:sz="6" w:space="0"/>
              <w:right w:val="inset" w:color="333333" w:sz="6" w:space="0"/>
            </w:tcBorders>
            <w:vAlign w:val="center"/>
          </w:tcPr>
          <w:p w14:paraId="7BB0C3A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1.6‰</w:t>
            </w:r>
          </w:p>
        </w:tc>
        <w:tc>
          <w:tcPr>
            <w:tcW w:w="441" w:type="pct"/>
            <w:tcBorders>
              <w:top w:val="inset" w:color="333333" w:sz="6" w:space="0"/>
              <w:left w:val="nil"/>
              <w:bottom w:val="inset" w:color="333333" w:sz="6" w:space="0"/>
              <w:right w:val="inset" w:color="333333" w:sz="6" w:space="0"/>
            </w:tcBorders>
            <w:vAlign w:val="center"/>
          </w:tcPr>
          <w:p w14:paraId="2C26850C">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1.4‰</w:t>
            </w:r>
          </w:p>
        </w:tc>
        <w:tc>
          <w:tcPr>
            <w:tcW w:w="495" w:type="pct"/>
            <w:tcBorders>
              <w:top w:val="inset" w:color="333333" w:sz="6" w:space="0"/>
              <w:left w:val="nil"/>
              <w:bottom w:val="inset" w:color="333333" w:sz="6" w:space="0"/>
              <w:right w:val="inset" w:color="333333" w:sz="6" w:space="0"/>
            </w:tcBorders>
            <w:vAlign w:val="center"/>
          </w:tcPr>
          <w:p w14:paraId="47F1EAB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1.2‰</w:t>
            </w:r>
          </w:p>
        </w:tc>
        <w:tc>
          <w:tcPr>
            <w:tcW w:w="393" w:type="pct"/>
            <w:tcBorders>
              <w:top w:val="inset" w:color="333333" w:sz="6" w:space="0"/>
              <w:left w:val="nil"/>
              <w:bottom w:val="inset" w:color="333333" w:sz="6" w:space="0"/>
              <w:right w:val="inset" w:color="333333" w:sz="6" w:space="0"/>
            </w:tcBorders>
            <w:vAlign w:val="center"/>
          </w:tcPr>
          <w:p w14:paraId="6C8212D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0.9‰</w:t>
            </w:r>
          </w:p>
        </w:tc>
        <w:tc>
          <w:tcPr>
            <w:tcW w:w="379" w:type="pct"/>
            <w:tcBorders>
              <w:top w:val="inset" w:color="333333" w:sz="6" w:space="0"/>
              <w:left w:val="nil"/>
              <w:bottom w:val="inset" w:color="333333" w:sz="6" w:space="0"/>
              <w:right w:val="inset" w:color="333333" w:sz="6" w:space="0"/>
            </w:tcBorders>
            <w:vAlign w:val="center"/>
          </w:tcPr>
          <w:p w14:paraId="5B1527B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0.8‰</w:t>
            </w:r>
          </w:p>
        </w:tc>
        <w:tc>
          <w:tcPr>
            <w:tcW w:w="452" w:type="pct"/>
            <w:tcBorders>
              <w:top w:val="inset" w:color="333333" w:sz="6" w:space="0"/>
              <w:left w:val="nil"/>
              <w:bottom w:val="inset" w:color="333333" w:sz="6" w:space="0"/>
              <w:right w:val="inset" w:color="333333" w:sz="6" w:space="0"/>
            </w:tcBorders>
            <w:vAlign w:val="center"/>
          </w:tcPr>
          <w:p w14:paraId="5381B61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差额定率累进计费</w:t>
            </w:r>
          </w:p>
        </w:tc>
      </w:tr>
      <w:tr w14:paraId="169299AF">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750" w:hRule="atLeast"/>
        </w:trPr>
        <w:tc>
          <w:tcPr>
            <w:tcW w:w="206" w:type="pct"/>
            <w:vMerge w:val="continue"/>
            <w:tcBorders>
              <w:top w:val="nil"/>
              <w:left w:val="inset" w:color="333333" w:sz="6" w:space="0"/>
              <w:bottom w:val="inset" w:color="333333" w:sz="6" w:space="0"/>
              <w:right w:val="inset" w:color="333333" w:sz="6" w:space="0"/>
            </w:tcBorders>
            <w:vAlign w:val="center"/>
          </w:tcPr>
          <w:p w14:paraId="1488ECF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159" w:type="pct"/>
            <w:vMerge w:val="continue"/>
            <w:tcBorders>
              <w:top w:val="nil"/>
              <w:left w:val="nil"/>
              <w:bottom w:val="inset" w:color="333333" w:sz="6" w:space="0"/>
              <w:right w:val="inset" w:color="333333" w:sz="6" w:space="0"/>
            </w:tcBorders>
            <w:vAlign w:val="center"/>
          </w:tcPr>
          <w:p w14:paraId="683D003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133" w:type="pct"/>
            <w:tcBorders>
              <w:top w:val="inset" w:color="333333" w:sz="6" w:space="0"/>
              <w:left w:val="nil"/>
              <w:bottom w:val="inset" w:color="333333" w:sz="6" w:space="0"/>
              <w:right w:val="inset" w:color="333333" w:sz="6" w:space="0"/>
            </w:tcBorders>
            <w:vAlign w:val="center"/>
          </w:tcPr>
          <w:p w14:paraId="4BA4A86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定额计价法</w:t>
            </w:r>
          </w:p>
        </w:tc>
        <w:tc>
          <w:tcPr>
            <w:tcW w:w="285" w:type="pct"/>
            <w:tcBorders>
              <w:top w:val="inset" w:color="333333" w:sz="6" w:space="0"/>
              <w:left w:val="nil"/>
              <w:bottom w:val="inset" w:color="333333" w:sz="6" w:space="0"/>
              <w:right w:val="inset" w:color="333333" w:sz="6" w:space="0"/>
            </w:tcBorders>
            <w:vAlign w:val="center"/>
          </w:tcPr>
          <w:p w14:paraId="552659CC">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编制或审核预算造价</w:t>
            </w:r>
          </w:p>
        </w:tc>
        <w:tc>
          <w:tcPr>
            <w:tcW w:w="875" w:type="pct"/>
            <w:tcBorders>
              <w:top w:val="inset" w:color="333333" w:sz="6" w:space="0"/>
              <w:left w:val="nil"/>
              <w:bottom w:val="inset" w:color="333333" w:sz="6" w:space="0"/>
              <w:right w:val="inset" w:color="333333" w:sz="6" w:space="0"/>
            </w:tcBorders>
            <w:vAlign w:val="center"/>
          </w:tcPr>
          <w:p w14:paraId="572D7AB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依据施工图编制或审核工程预算，出具工程预算书或审核报告</w:t>
            </w:r>
          </w:p>
        </w:tc>
        <w:tc>
          <w:tcPr>
            <w:tcW w:w="380" w:type="pct"/>
            <w:tcBorders>
              <w:top w:val="inset" w:color="333333" w:sz="6" w:space="0"/>
              <w:left w:val="nil"/>
              <w:bottom w:val="inset" w:color="333333" w:sz="6" w:space="0"/>
              <w:right w:val="inset" w:color="333333" w:sz="6" w:space="0"/>
            </w:tcBorders>
            <w:vAlign w:val="center"/>
          </w:tcPr>
          <w:p w14:paraId="5977EC0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预算造价（预算价、招标控制价、投标报价）</w:t>
            </w:r>
          </w:p>
        </w:tc>
        <w:tc>
          <w:tcPr>
            <w:tcW w:w="413" w:type="pct"/>
            <w:tcBorders>
              <w:top w:val="inset" w:color="333333" w:sz="6" w:space="0"/>
              <w:left w:val="nil"/>
              <w:bottom w:val="inset" w:color="333333" w:sz="6" w:space="0"/>
              <w:right w:val="inset" w:color="333333" w:sz="6" w:space="0"/>
            </w:tcBorders>
            <w:vAlign w:val="center"/>
          </w:tcPr>
          <w:p w14:paraId="3F7C8DA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3.5‰</w:t>
            </w:r>
          </w:p>
        </w:tc>
        <w:tc>
          <w:tcPr>
            <w:tcW w:w="386" w:type="pct"/>
            <w:tcBorders>
              <w:top w:val="inset" w:color="333333" w:sz="6" w:space="0"/>
              <w:left w:val="nil"/>
              <w:bottom w:val="inset" w:color="333333" w:sz="6" w:space="0"/>
              <w:right w:val="inset" w:color="333333" w:sz="6" w:space="0"/>
            </w:tcBorders>
            <w:vAlign w:val="center"/>
          </w:tcPr>
          <w:p w14:paraId="36EE0CF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441" w:type="pct"/>
            <w:tcBorders>
              <w:top w:val="inset" w:color="333333" w:sz="6" w:space="0"/>
              <w:left w:val="nil"/>
              <w:bottom w:val="inset" w:color="333333" w:sz="6" w:space="0"/>
              <w:right w:val="inset" w:color="333333" w:sz="6" w:space="0"/>
            </w:tcBorders>
            <w:vAlign w:val="center"/>
          </w:tcPr>
          <w:p w14:paraId="403FD2A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2.8‰</w:t>
            </w:r>
          </w:p>
        </w:tc>
        <w:tc>
          <w:tcPr>
            <w:tcW w:w="495" w:type="pct"/>
            <w:tcBorders>
              <w:top w:val="inset" w:color="333333" w:sz="6" w:space="0"/>
              <w:left w:val="nil"/>
              <w:bottom w:val="inset" w:color="333333" w:sz="6" w:space="0"/>
              <w:right w:val="inset" w:color="333333" w:sz="6" w:space="0"/>
            </w:tcBorders>
            <w:vAlign w:val="center"/>
          </w:tcPr>
          <w:p w14:paraId="4C46065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2.7‰</w:t>
            </w:r>
          </w:p>
        </w:tc>
        <w:tc>
          <w:tcPr>
            <w:tcW w:w="393" w:type="pct"/>
            <w:tcBorders>
              <w:top w:val="inset" w:color="333333" w:sz="6" w:space="0"/>
              <w:left w:val="nil"/>
              <w:bottom w:val="inset" w:color="333333" w:sz="6" w:space="0"/>
              <w:right w:val="inset" w:color="333333" w:sz="6" w:space="0"/>
            </w:tcBorders>
            <w:vAlign w:val="center"/>
          </w:tcPr>
          <w:p w14:paraId="580541F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2.4‰</w:t>
            </w:r>
          </w:p>
        </w:tc>
        <w:tc>
          <w:tcPr>
            <w:tcW w:w="379" w:type="pct"/>
            <w:tcBorders>
              <w:top w:val="inset" w:color="333333" w:sz="6" w:space="0"/>
              <w:left w:val="nil"/>
              <w:bottom w:val="inset" w:color="333333" w:sz="6" w:space="0"/>
              <w:right w:val="inset" w:color="333333" w:sz="6" w:space="0"/>
            </w:tcBorders>
            <w:vAlign w:val="center"/>
          </w:tcPr>
          <w:p w14:paraId="0819A1C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452" w:type="pct"/>
            <w:tcBorders>
              <w:top w:val="inset" w:color="333333" w:sz="6" w:space="0"/>
              <w:left w:val="nil"/>
              <w:bottom w:val="inset" w:color="333333" w:sz="6" w:space="0"/>
              <w:right w:val="inset" w:color="333333" w:sz="6" w:space="0"/>
            </w:tcBorders>
            <w:vAlign w:val="center"/>
          </w:tcPr>
          <w:p w14:paraId="73CB192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差额定率累进计费</w:t>
            </w:r>
          </w:p>
        </w:tc>
      </w:tr>
      <w:tr w14:paraId="45F3487F">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675" w:hRule="atLeast"/>
        </w:trPr>
        <w:tc>
          <w:tcPr>
            <w:tcW w:w="206" w:type="pct"/>
            <w:tcBorders>
              <w:top w:val="inset" w:color="333333" w:sz="6" w:space="0"/>
              <w:left w:val="inset" w:color="333333" w:sz="6" w:space="0"/>
              <w:bottom w:val="inset" w:color="333333" w:sz="6" w:space="0"/>
              <w:right w:val="inset" w:color="333333" w:sz="6" w:space="0"/>
            </w:tcBorders>
            <w:vAlign w:val="center"/>
          </w:tcPr>
          <w:p w14:paraId="6DC66C4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w:t>
            </w:r>
          </w:p>
        </w:tc>
        <w:tc>
          <w:tcPr>
            <w:tcW w:w="577" w:type="pct"/>
            <w:gridSpan w:val="3"/>
            <w:tcBorders>
              <w:top w:val="inset" w:color="333333" w:sz="6" w:space="0"/>
              <w:left w:val="nil"/>
              <w:bottom w:val="inset" w:color="333333" w:sz="6" w:space="0"/>
              <w:right w:val="inset" w:color="333333" w:sz="6" w:space="0"/>
            </w:tcBorders>
            <w:vAlign w:val="center"/>
          </w:tcPr>
          <w:p w14:paraId="7DEC8CD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工程结算的编制</w:t>
            </w:r>
          </w:p>
        </w:tc>
        <w:tc>
          <w:tcPr>
            <w:tcW w:w="875" w:type="pct"/>
            <w:tcBorders>
              <w:top w:val="inset" w:color="333333" w:sz="6" w:space="0"/>
              <w:left w:val="nil"/>
              <w:bottom w:val="inset" w:color="333333" w:sz="6" w:space="0"/>
              <w:right w:val="inset" w:color="333333" w:sz="6" w:space="0"/>
            </w:tcBorders>
            <w:vAlign w:val="center"/>
          </w:tcPr>
          <w:p w14:paraId="177EA3C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依据竣工图等竣工资料编制工程结算，出具工程结算书</w:t>
            </w:r>
          </w:p>
        </w:tc>
        <w:tc>
          <w:tcPr>
            <w:tcW w:w="380" w:type="pct"/>
            <w:tcBorders>
              <w:top w:val="inset" w:color="333333" w:sz="6" w:space="0"/>
              <w:left w:val="nil"/>
              <w:bottom w:val="inset" w:color="333333" w:sz="6" w:space="0"/>
              <w:right w:val="inset" w:color="333333" w:sz="6" w:space="0"/>
            </w:tcBorders>
            <w:vAlign w:val="center"/>
          </w:tcPr>
          <w:p w14:paraId="6E7A9F5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结算价</w:t>
            </w:r>
          </w:p>
        </w:tc>
        <w:tc>
          <w:tcPr>
            <w:tcW w:w="413" w:type="pct"/>
            <w:tcBorders>
              <w:top w:val="inset" w:color="333333" w:sz="6" w:space="0"/>
              <w:left w:val="nil"/>
              <w:bottom w:val="inset" w:color="333333" w:sz="6" w:space="0"/>
              <w:right w:val="inset" w:color="333333" w:sz="6" w:space="0"/>
            </w:tcBorders>
            <w:vAlign w:val="center"/>
          </w:tcPr>
          <w:p w14:paraId="23D95DB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4.5‰</w:t>
            </w:r>
          </w:p>
        </w:tc>
        <w:tc>
          <w:tcPr>
            <w:tcW w:w="386" w:type="pct"/>
            <w:tcBorders>
              <w:top w:val="inset" w:color="333333" w:sz="6" w:space="0"/>
              <w:left w:val="nil"/>
              <w:bottom w:val="inset" w:color="333333" w:sz="6" w:space="0"/>
              <w:right w:val="inset" w:color="333333" w:sz="6" w:space="0"/>
            </w:tcBorders>
            <w:vAlign w:val="center"/>
          </w:tcPr>
          <w:p w14:paraId="2B2EA3D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w:t>
            </w:r>
          </w:p>
        </w:tc>
        <w:tc>
          <w:tcPr>
            <w:tcW w:w="441" w:type="pct"/>
            <w:tcBorders>
              <w:top w:val="inset" w:color="333333" w:sz="6" w:space="0"/>
              <w:left w:val="nil"/>
              <w:bottom w:val="inset" w:color="333333" w:sz="6" w:space="0"/>
              <w:right w:val="inset" w:color="333333" w:sz="6" w:space="0"/>
            </w:tcBorders>
            <w:vAlign w:val="center"/>
          </w:tcPr>
          <w:p w14:paraId="57DE43B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3.5‰</w:t>
            </w:r>
          </w:p>
        </w:tc>
        <w:tc>
          <w:tcPr>
            <w:tcW w:w="495" w:type="pct"/>
            <w:tcBorders>
              <w:top w:val="inset" w:color="333333" w:sz="6" w:space="0"/>
              <w:left w:val="nil"/>
              <w:bottom w:val="inset" w:color="333333" w:sz="6" w:space="0"/>
              <w:right w:val="inset" w:color="333333" w:sz="6" w:space="0"/>
            </w:tcBorders>
            <w:vAlign w:val="center"/>
          </w:tcPr>
          <w:p w14:paraId="3829531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3.3‰</w:t>
            </w:r>
          </w:p>
        </w:tc>
        <w:tc>
          <w:tcPr>
            <w:tcW w:w="393" w:type="pct"/>
            <w:tcBorders>
              <w:top w:val="inset" w:color="333333" w:sz="6" w:space="0"/>
              <w:left w:val="nil"/>
              <w:bottom w:val="inset" w:color="333333" w:sz="6" w:space="0"/>
              <w:right w:val="inset" w:color="333333" w:sz="6" w:space="0"/>
            </w:tcBorders>
            <w:vAlign w:val="center"/>
          </w:tcPr>
          <w:p w14:paraId="6E8E852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379" w:type="pct"/>
            <w:tcBorders>
              <w:top w:val="inset" w:color="333333" w:sz="6" w:space="0"/>
              <w:left w:val="nil"/>
              <w:bottom w:val="inset" w:color="333333" w:sz="6" w:space="0"/>
              <w:right w:val="inset" w:color="333333" w:sz="6" w:space="0"/>
            </w:tcBorders>
            <w:vAlign w:val="center"/>
          </w:tcPr>
          <w:p w14:paraId="7FD8C3F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2.5‰</w:t>
            </w:r>
          </w:p>
        </w:tc>
        <w:tc>
          <w:tcPr>
            <w:tcW w:w="452" w:type="pct"/>
            <w:tcBorders>
              <w:top w:val="inset" w:color="333333" w:sz="6" w:space="0"/>
              <w:left w:val="nil"/>
              <w:bottom w:val="inset" w:color="333333" w:sz="6" w:space="0"/>
              <w:right w:val="inset" w:color="333333" w:sz="6" w:space="0"/>
            </w:tcBorders>
            <w:vAlign w:val="center"/>
          </w:tcPr>
          <w:p w14:paraId="61F3B69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差额定率累进计费</w:t>
            </w:r>
          </w:p>
        </w:tc>
      </w:tr>
      <w:tr w14:paraId="538005D3">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735" w:hRule="atLeast"/>
        </w:trPr>
        <w:tc>
          <w:tcPr>
            <w:tcW w:w="206" w:type="pct"/>
            <w:vMerge w:val="restart"/>
            <w:tcBorders>
              <w:top w:val="nil"/>
              <w:left w:val="inset" w:color="333333" w:sz="6" w:space="0"/>
              <w:bottom w:val="inset" w:color="333333" w:sz="6" w:space="0"/>
              <w:right w:val="inset" w:color="333333" w:sz="6" w:space="0"/>
            </w:tcBorders>
            <w:vAlign w:val="center"/>
          </w:tcPr>
          <w:p w14:paraId="2ACCAA6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w:t>
            </w:r>
          </w:p>
        </w:tc>
        <w:tc>
          <w:tcPr>
            <w:tcW w:w="292" w:type="pct"/>
            <w:gridSpan w:val="2"/>
            <w:vMerge w:val="restart"/>
            <w:tcBorders>
              <w:top w:val="nil"/>
              <w:left w:val="nil"/>
              <w:bottom w:val="inset" w:color="333333" w:sz="6" w:space="0"/>
              <w:right w:val="inset" w:color="333333" w:sz="6" w:space="0"/>
            </w:tcBorders>
            <w:vAlign w:val="center"/>
          </w:tcPr>
          <w:p w14:paraId="68AB892C">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工程结算审核</w:t>
            </w:r>
          </w:p>
        </w:tc>
        <w:tc>
          <w:tcPr>
            <w:tcW w:w="285" w:type="pct"/>
            <w:tcBorders>
              <w:top w:val="inset" w:color="333333" w:sz="6" w:space="0"/>
              <w:left w:val="nil"/>
              <w:bottom w:val="inset" w:color="333333" w:sz="6" w:space="0"/>
              <w:right w:val="inset" w:color="333333" w:sz="6" w:space="0"/>
            </w:tcBorders>
            <w:vAlign w:val="center"/>
          </w:tcPr>
          <w:p w14:paraId="4BE5E0D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（1）基本收费</w:t>
            </w:r>
          </w:p>
        </w:tc>
        <w:tc>
          <w:tcPr>
            <w:tcW w:w="875" w:type="pct"/>
            <w:vMerge w:val="restart"/>
            <w:tcBorders>
              <w:top w:val="nil"/>
              <w:left w:val="nil"/>
              <w:bottom w:val="inset" w:color="333333" w:sz="6" w:space="0"/>
              <w:right w:val="inset" w:color="333333" w:sz="6" w:space="0"/>
            </w:tcBorders>
            <w:vAlign w:val="center"/>
          </w:tcPr>
          <w:p w14:paraId="7829FFF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依据竣工图、签证资料、工程结算书等进行审核，出具工程结算审核报告</w:t>
            </w:r>
          </w:p>
        </w:tc>
        <w:tc>
          <w:tcPr>
            <w:tcW w:w="380" w:type="pct"/>
            <w:tcBorders>
              <w:top w:val="inset" w:color="333333" w:sz="6" w:space="0"/>
              <w:left w:val="nil"/>
              <w:bottom w:val="inset" w:color="333333" w:sz="6" w:space="0"/>
              <w:right w:val="inset" w:color="333333" w:sz="6" w:space="0"/>
            </w:tcBorders>
            <w:vAlign w:val="center"/>
          </w:tcPr>
          <w:p w14:paraId="1FF46DE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送审结算价</w:t>
            </w:r>
          </w:p>
        </w:tc>
        <w:tc>
          <w:tcPr>
            <w:tcW w:w="413" w:type="pct"/>
            <w:tcBorders>
              <w:top w:val="inset" w:color="333333" w:sz="6" w:space="0"/>
              <w:left w:val="nil"/>
              <w:bottom w:val="inset" w:color="333333" w:sz="6" w:space="0"/>
              <w:right w:val="inset" w:color="333333" w:sz="6" w:space="0"/>
            </w:tcBorders>
            <w:vAlign w:val="center"/>
          </w:tcPr>
          <w:p w14:paraId="3286045C">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2.8‰</w:t>
            </w:r>
          </w:p>
        </w:tc>
        <w:tc>
          <w:tcPr>
            <w:tcW w:w="386" w:type="pct"/>
            <w:tcBorders>
              <w:top w:val="inset" w:color="333333" w:sz="6" w:space="0"/>
              <w:left w:val="nil"/>
              <w:bottom w:val="nil"/>
              <w:right w:val="inset" w:color="333333" w:sz="6" w:space="0"/>
            </w:tcBorders>
            <w:vAlign w:val="center"/>
          </w:tcPr>
          <w:p w14:paraId="2F96C8D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2.5‰</w:t>
            </w:r>
          </w:p>
        </w:tc>
        <w:tc>
          <w:tcPr>
            <w:tcW w:w="441" w:type="pct"/>
            <w:tcBorders>
              <w:top w:val="inset" w:color="333333" w:sz="6" w:space="0"/>
              <w:left w:val="nil"/>
              <w:bottom w:val="inset" w:color="333333" w:sz="6" w:space="0"/>
              <w:right w:val="inset" w:color="333333" w:sz="6" w:space="0"/>
            </w:tcBorders>
            <w:vAlign w:val="center"/>
          </w:tcPr>
          <w:p w14:paraId="7F457B0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2.2‰</w:t>
            </w:r>
          </w:p>
        </w:tc>
        <w:tc>
          <w:tcPr>
            <w:tcW w:w="495" w:type="pct"/>
            <w:tcBorders>
              <w:top w:val="inset" w:color="333333" w:sz="6" w:space="0"/>
              <w:left w:val="nil"/>
              <w:bottom w:val="inset" w:color="333333" w:sz="6" w:space="0"/>
              <w:right w:val="inset" w:color="333333" w:sz="6" w:space="0"/>
            </w:tcBorders>
            <w:vAlign w:val="center"/>
          </w:tcPr>
          <w:p w14:paraId="1D6FA12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1.6‰</w:t>
            </w:r>
          </w:p>
        </w:tc>
        <w:tc>
          <w:tcPr>
            <w:tcW w:w="393" w:type="pct"/>
            <w:tcBorders>
              <w:top w:val="inset" w:color="333333" w:sz="6" w:space="0"/>
              <w:left w:val="nil"/>
              <w:bottom w:val="inset" w:color="333333" w:sz="6" w:space="0"/>
              <w:right w:val="inset" w:color="333333" w:sz="6" w:space="0"/>
            </w:tcBorders>
            <w:vAlign w:val="center"/>
          </w:tcPr>
          <w:p w14:paraId="57B1D97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1.3‰</w:t>
            </w:r>
          </w:p>
        </w:tc>
        <w:tc>
          <w:tcPr>
            <w:tcW w:w="379" w:type="pct"/>
            <w:tcBorders>
              <w:top w:val="inset" w:color="333333" w:sz="6" w:space="0"/>
              <w:left w:val="nil"/>
              <w:bottom w:val="inset" w:color="333333" w:sz="6" w:space="0"/>
              <w:right w:val="inset" w:color="333333" w:sz="6" w:space="0"/>
            </w:tcBorders>
            <w:vAlign w:val="center"/>
          </w:tcPr>
          <w:p w14:paraId="13559A65">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452" w:type="pct"/>
            <w:vMerge w:val="restart"/>
            <w:tcBorders>
              <w:top w:val="inset" w:color="333333" w:sz="6" w:space="0"/>
              <w:left w:val="nil"/>
              <w:bottom w:val="inset" w:color="333333" w:sz="6" w:space="0"/>
              <w:right w:val="inset" w:color="333333" w:sz="6" w:space="0"/>
            </w:tcBorders>
            <w:vAlign w:val="center"/>
          </w:tcPr>
          <w:p w14:paraId="01BC818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基本收费为差额定率累进计费；总收费=基本收费+效益收费</w:t>
            </w:r>
          </w:p>
        </w:tc>
      </w:tr>
      <w:tr w14:paraId="5FEA8E16">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660" w:hRule="atLeast"/>
        </w:trPr>
        <w:tc>
          <w:tcPr>
            <w:tcW w:w="206" w:type="pct"/>
            <w:vMerge w:val="continue"/>
            <w:tcBorders>
              <w:top w:val="nil"/>
              <w:left w:val="inset" w:color="333333" w:sz="6" w:space="0"/>
              <w:bottom w:val="inset" w:color="333333" w:sz="6" w:space="0"/>
              <w:right w:val="inset" w:color="333333" w:sz="6" w:space="0"/>
            </w:tcBorders>
            <w:vAlign w:val="center"/>
          </w:tcPr>
          <w:p w14:paraId="181CCE6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292" w:type="pct"/>
            <w:gridSpan w:val="2"/>
            <w:vMerge w:val="continue"/>
            <w:tcBorders>
              <w:top w:val="nil"/>
              <w:left w:val="nil"/>
              <w:bottom w:val="inset" w:color="333333" w:sz="6" w:space="0"/>
              <w:right w:val="inset" w:color="333333" w:sz="6" w:space="0"/>
            </w:tcBorders>
            <w:vAlign w:val="center"/>
          </w:tcPr>
          <w:p w14:paraId="1F39E4F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285" w:type="pct"/>
            <w:tcBorders>
              <w:top w:val="inset" w:color="333333" w:sz="6" w:space="0"/>
              <w:left w:val="nil"/>
              <w:bottom w:val="inset" w:color="333333" w:sz="6" w:space="0"/>
              <w:right w:val="inset" w:color="333333" w:sz="6" w:space="0"/>
            </w:tcBorders>
            <w:vAlign w:val="center"/>
          </w:tcPr>
          <w:p w14:paraId="784CC94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（2）效益收费</w:t>
            </w:r>
          </w:p>
        </w:tc>
        <w:tc>
          <w:tcPr>
            <w:tcW w:w="875" w:type="pct"/>
            <w:vMerge w:val="continue"/>
            <w:tcBorders>
              <w:top w:val="nil"/>
              <w:left w:val="nil"/>
              <w:bottom w:val="inset" w:color="333333" w:sz="6" w:space="0"/>
              <w:right w:val="inset" w:color="333333" w:sz="6" w:space="0"/>
            </w:tcBorders>
            <w:vAlign w:val="center"/>
          </w:tcPr>
          <w:p w14:paraId="47E6003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380" w:type="pct"/>
            <w:tcBorders>
              <w:top w:val="inset" w:color="333333" w:sz="6" w:space="0"/>
              <w:left w:val="nil"/>
              <w:bottom w:val="inset" w:color="333333" w:sz="6" w:space="0"/>
              <w:right w:val="inset" w:color="333333" w:sz="6" w:space="0"/>
            </w:tcBorders>
            <w:vAlign w:val="center"/>
          </w:tcPr>
          <w:p w14:paraId="1CB1F7F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|核减额|+|核增额|</w:t>
            </w:r>
          </w:p>
        </w:tc>
        <w:tc>
          <w:tcPr>
            <w:tcW w:w="2507" w:type="pct"/>
            <w:gridSpan w:val="6"/>
            <w:tcBorders>
              <w:top w:val="inset" w:color="333333" w:sz="6" w:space="0"/>
              <w:left w:val="nil"/>
              <w:bottom w:val="inset" w:color="333333" w:sz="6" w:space="0"/>
              <w:right w:val="inset" w:color="333333" w:sz="6" w:space="0"/>
            </w:tcBorders>
            <w:vAlign w:val="center"/>
          </w:tcPr>
          <w:p w14:paraId="254B827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w:t>
            </w:r>
          </w:p>
        </w:tc>
        <w:tc>
          <w:tcPr>
            <w:tcW w:w="452" w:type="pct"/>
            <w:vMerge w:val="continue"/>
            <w:tcBorders>
              <w:top w:val="inset" w:color="333333" w:sz="6" w:space="0"/>
              <w:left w:val="nil"/>
              <w:bottom w:val="inset" w:color="333333" w:sz="6" w:space="0"/>
              <w:right w:val="inset" w:color="333333" w:sz="6" w:space="0"/>
            </w:tcBorders>
            <w:vAlign w:val="center"/>
          </w:tcPr>
          <w:p w14:paraId="14A7272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r>
      <w:tr w14:paraId="4F5402A5">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1230" w:hRule="atLeast"/>
        </w:trPr>
        <w:tc>
          <w:tcPr>
            <w:tcW w:w="206" w:type="pct"/>
            <w:tcBorders>
              <w:top w:val="inset" w:color="333333" w:sz="6" w:space="0"/>
              <w:left w:val="inset" w:color="333333" w:sz="6" w:space="0"/>
              <w:bottom w:val="inset" w:color="333333" w:sz="6" w:space="0"/>
              <w:right w:val="inset" w:color="333333" w:sz="6" w:space="0"/>
            </w:tcBorders>
            <w:vAlign w:val="center"/>
          </w:tcPr>
          <w:p w14:paraId="0590FAC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w:t>
            </w:r>
          </w:p>
        </w:tc>
        <w:tc>
          <w:tcPr>
            <w:tcW w:w="577" w:type="pct"/>
            <w:gridSpan w:val="3"/>
            <w:tcBorders>
              <w:top w:val="inset" w:color="333333" w:sz="6" w:space="0"/>
              <w:left w:val="nil"/>
              <w:bottom w:val="inset" w:color="333333" w:sz="6" w:space="0"/>
              <w:right w:val="inset" w:color="333333" w:sz="6" w:space="0"/>
            </w:tcBorders>
            <w:vAlign w:val="center"/>
          </w:tcPr>
          <w:p w14:paraId="7473173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施工阶段全过程造价控制</w:t>
            </w:r>
          </w:p>
        </w:tc>
        <w:tc>
          <w:tcPr>
            <w:tcW w:w="875" w:type="pct"/>
            <w:tcBorders>
              <w:top w:val="inset" w:color="333333" w:sz="6" w:space="0"/>
              <w:left w:val="nil"/>
              <w:bottom w:val="inset" w:color="333333" w:sz="6" w:space="0"/>
              <w:right w:val="inset" w:color="333333" w:sz="6" w:space="0"/>
            </w:tcBorders>
            <w:vAlign w:val="center"/>
          </w:tcPr>
          <w:p w14:paraId="7EB3EFF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工程量清单编制开始到工程结算审核的造价咨询服务</w:t>
            </w:r>
          </w:p>
        </w:tc>
        <w:tc>
          <w:tcPr>
            <w:tcW w:w="380" w:type="pct"/>
            <w:tcBorders>
              <w:top w:val="inset" w:color="333333" w:sz="6" w:space="0"/>
              <w:left w:val="nil"/>
              <w:bottom w:val="inset" w:color="333333" w:sz="6" w:space="0"/>
              <w:right w:val="inset" w:color="333333" w:sz="6" w:space="0"/>
            </w:tcBorders>
            <w:vAlign w:val="center"/>
          </w:tcPr>
          <w:p w14:paraId="021CEA5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概算价</w:t>
            </w:r>
          </w:p>
        </w:tc>
        <w:tc>
          <w:tcPr>
            <w:tcW w:w="413" w:type="pct"/>
            <w:tcBorders>
              <w:top w:val="inset" w:color="333333" w:sz="6" w:space="0"/>
              <w:left w:val="nil"/>
              <w:bottom w:val="inset" w:color="333333" w:sz="6" w:space="0"/>
              <w:right w:val="inset" w:color="333333" w:sz="6" w:space="0"/>
            </w:tcBorders>
            <w:vAlign w:val="center"/>
          </w:tcPr>
          <w:p w14:paraId="47B7A34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12‰</w:t>
            </w:r>
          </w:p>
        </w:tc>
        <w:tc>
          <w:tcPr>
            <w:tcW w:w="386" w:type="pct"/>
            <w:tcBorders>
              <w:top w:val="inset" w:color="333333" w:sz="6" w:space="0"/>
              <w:left w:val="nil"/>
              <w:bottom w:val="inset" w:color="333333" w:sz="6" w:space="0"/>
              <w:right w:val="inset" w:color="333333" w:sz="6" w:space="0"/>
            </w:tcBorders>
            <w:vAlign w:val="center"/>
          </w:tcPr>
          <w:p w14:paraId="0655537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11‰</w:t>
            </w:r>
          </w:p>
        </w:tc>
        <w:tc>
          <w:tcPr>
            <w:tcW w:w="441" w:type="pct"/>
            <w:tcBorders>
              <w:top w:val="inset" w:color="333333" w:sz="6" w:space="0"/>
              <w:left w:val="nil"/>
              <w:bottom w:val="inset" w:color="333333" w:sz="6" w:space="0"/>
              <w:right w:val="inset" w:color="333333" w:sz="6" w:space="0"/>
            </w:tcBorders>
            <w:vAlign w:val="center"/>
          </w:tcPr>
          <w:p w14:paraId="715B2F1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w:t>
            </w:r>
          </w:p>
        </w:tc>
        <w:tc>
          <w:tcPr>
            <w:tcW w:w="495" w:type="pct"/>
            <w:tcBorders>
              <w:top w:val="inset" w:color="333333" w:sz="6" w:space="0"/>
              <w:left w:val="nil"/>
              <w:bottom w:val="inset" w:color="333333" w:sz="6" w:space="0"/>
              <w:right w:val="inset" w:color="333333" w:sz="6" w:space="0"/>
            </w:tcBorders>
            <w:vAlign w:val="center"/>
          </w:tcPr>
          <w:p w14:paraId="76C90D8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w:t>
            </w:r>
          </w:p>
        </w:tc>
        <w:tc>
          <w:tcPr>
            <w:tcW w:w="393" w:type="pct"/>
            <w:tcBorders>
              <w:top w:val="inset" w:color="333333" w:sz="6" w:space="0"/>
              <w:left w:val="nil"/>
              <w:bottom w:val="inset" w:color="333333" w:sz="6" w:space="0"/>
              <w:right w:val="inset" w:color="333333" w:sz="6" w:space="0"/>
            </w:tcBorders>
            <w:vAlign w:val="center"/>
          </w:tcPr>
          <w:p w14:paraId="2DD35BE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w:t>
            </w:r>
          </w:p>
        </w:tc>
        <w:tc>
          <w:tcPr>
            <w:tcW w:w="379" w:type="pct"/>
            <w:tcBorders>
              <w:top w:val="inset" w:color="333333" w:sz="6" w:space="0"/>
              <w:left w:val="nil"/>
              <w:bottom w:val="inset" w:color="333333" w:sz="6" w:space="0"/>
              <w:right w:val="inset" w:color="333333" w:sz="6" w:space="0"/>
            </w:tcBorders>
            <w:vAlign w:val="center"/>
          </w:tcPr>
          <w:p w14:paraId="1250022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w:t>
            </w:r>
          </w:p>
        </w:tc>
        <w:tc>
          <w:tcPr>
            <w:tcW w:w="452" w:type="pct"/>
            <w:tcBorders>
              <w:top w:val="inset" w:color="333333" w:sz="6" w:space="0"/>
              <w:left w:val="nil"/>
              <w:bottom w:val="inset" w:color="333333" w:sz="6" w:space="0"/>
              <w:right w:val="inset" w:color="333333" w:sz="6" w:space="0"/>
            </w:tcBorders>
            <w:vAlign w:val="center"/>
          </w:tcPr>
          <w:p w14:paraId="4A8FDF2C">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差额定率累进计费；不包驻场人员的费用</w:t>
            </w:r>
          </w:p>
        </w:tc>
      </w:tr>
      <w:tr w14:paraId="557E7362">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990" w:hRule="atLeast"/>
        </w:trPr>
        <w:tc>
          <w:tcPr>
            <w:tcW w:w="206" w:type="pct"/>
            <w:vMerge w:val="restart"/>
            <w:tcBorders>
              <w:top w:val="nil"/>
              <w:left w:val="inset" w:color="333333" w:sz="6" w:space="0"/>
              <w:bottom w:val="inset" w:color="333333" w:sz="6" w:space="0"/>
              <w:right w:val="inset" w:color="333333" w:sz="6" w:space="0"/>
            </w:tcBorders>
            <w:vAlign w:val="center"/>
          </w:tcPr>
          <w:p w14:paraId="212C750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w:t>
            </w:r>
          </w:p>
        </w:tc>
        <w:tc>
          <w:tcPr>
            <w:tcW w:w="577" w:type="pct"/>
            <w:gridSpan w:val="3"/>
            <w:vMerge w:val="restart"/>
            <w:tcBorders>
              <w:top w:val="nil"/>
              <w:left w:val="nil"/>
              <w:bottom w:val="inset" w:color="333333" w:sz="6" w:space="0"/>
              <w:right w:val="inset" w:color="333333" w:sz="6" w:space="0"/>
            </w:tcBorders>
            <w:vAlign w:val="center"/>
          </w:tcPr>
          <w:p w14:paraId="1134706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工程造价纠纷鉴证</w:t>
            </w:r>
          </w:p>
        </w:tc>
        <w:tc>
          <w:tcPr>
            <w:tcW w:w="875" w:type="pct"/>
            <w:tcBorders>
              <w:top w:val="inset" w:color="333333" w:sz="6" w:space="0"/>
              <w:left w:val="nil"/>
              <w:bottom w:val="inset" w:color="333333" w:sz="6" w:space="0"/>
              <w:right w:val="inset" w:color="333333" w:sz="6" w:space="0"/>
            </w:tcBorders>
            <w:vAlign w:val="center"/>
          </w:tcPr>
          <w:p w14:paraId="5744BFE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受委托进行鉴证</w:t>
            </w:r>
          </w:p>
        </w:tc>
        <w:tc>
          <w:tcPr>
            <w:tcW w:w="380" w:type="pct"/>
            <w:tcBorders>
              <w:top w:val="inset" w:color="333333" w:sz="6" w:space="0"/>
              <w:left w:val="nil"/>
              <w:bottom w:val="inset" w:color="333333" w:sz="6" w:space="0"/>
              <w:right w:val="inset" w:color="333333" w:sz="6" w:space="0"/>
            </w:tcBorders>
            <w:vAlign w:val="center"/>
          </w:tcPr>
          <w:p w14:paraId="0D7B0DC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鉴证后标的额</w:t>
            </w:r>
          </w:p>
        </w:tc>
        <w:tc>
          <w:tcPr>
            <w:tcW w:w="413" w:type="pct"/>
            <w:tcBorders>
              <w:top w:val="inset" w:color="333333" w:sz="6" w:space="0"/>
              <w:left w:val="nil"/>
              <w:bottom w:val="inset" w:color="333333" w:sz="6" w:space="0"/>
              <w:right w:val="inset" w:color="333333" w:sz="6" w:space="0"/>
            </w:tcBorders>
            <w:vAlign w:val="center"/>
          </w:tcPr>
          <w:p w14:paraId="58E3AFA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12‰</w:t>
            </w:r>
          </w:p>
        </w:tc>
        <w:tc>
          <w:tcPr>
            <w:tcW w:w="386" w:type="pct"/>
            <w:tcBorders>
              <w:top w:val="inset" w:color="333333" w:sz="6" w:space="0"/>
              <w:left w:val="nil"/>
              <w:bottom w:val="inset" w:color="333333" w:sz="6" w:space="0"/>
              <w:right w:val="inset" w:color="333333" w:sz="6" w:space="0"/>
            </w:tcBorders>
            <w:vAlign w:val="center"/>
          </w:tcPr>
          <w:p w14:paraId="4ADF50C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10‰</w:t>
            </w:r>
          </w:p>
        </w:tc>
        <w:tc>
          <w:tcPr>
            <w:tcW w:w="441" w:type="pct"/>
            <w:tcBorders>
              <w:top w:val="inset" w:color="333333" w:sz="6" w:space="0"/>
              <w:left w:val="nil"/>
              <w:bottom w:val="inset" w:color="333333" w:sz="6" w:space="0"/>
              <w:right w:val="inset" w:color="333333" w:sz="6" w:space="0"/>
            </w:tcBorders>
            <w:vAlign w:val="center"/>
          </w:tcPr>
          <w:p w14:paraId="48581E2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w:t>
            </w:r>
          </w:p>
        </w:tc>
        <w:tc>
          <w:tcPr>
            <w:tcW w:w="495" w:type="pct"/>
            <w:tcBorders>
              <w:top w:val="inset" w:color="333333" w:sz="6" w:space="0"/>
              <w:left w:val="nil"/>
              <w:bottom w:val="inset" w:color="333333" w:sz="6" w:space="0"/>
              <w:right w:val="inset" w:color="333333" w:sz="6" w:space="0"/>
            </w:tcBorders>
            <w:vAlign w:val="center"/>
          </w:tcPr>
          <w:p w14:paraId="2B47002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w:t>
            </w:r>
          </w:p>
        </w:tc>
        <w:tc>
          <w:tcPr>
            <w:tcW w:w="393" w:type="pct"/>
            <w:tcBorders>
              <w:top w:val="inset" w:color="333333" w:sz="6" w:space="0"/>
              <w:left w:val="nil"/>
              <w:bottom w:val="inset" w:color="333333" w:sz="6" w:space="0"/>
              <w:right w:val="inset" w:color="333333" w:sz="6" w:space="0"/>
            </w:tcBorders>
            <w:vAlign w:val="center"/>
          </w:tcPr>
          <w:p w14:paraId="017ED59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w:t>
            </w:r>
          </w:p>
        </w:tc>
        <w:tc>
          <w:tcPr>
            <w:tcW w:w="379" w:type="pct"/>
            <w:tcBorders>
              <w:top w:val="inset" w:color="333333" w:sz="6" w:space="0"/>
              <w:left w:val="nil"/>
              <w:bottom w:val="inset" w:color="333333" w:sz="6" w:space="0"/>
              <w:right w:val="inset" w:color="333333" w:sz="6" w:space="0"/>
            </w:tcBorders>
            <w:vAlign w:val="center"/>
          </w:tcPr>
          <w:p w14:paraId="2C71880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w:t>
            </w:r>
          </w:p>
        </w:tc>
        <w:tc>
          <w:tcPr>
            <w:tcW w:w="452" w:type="pct"/>
            <w:tcBorders>
              <w:top w:val="inset" w:color="333333" w:sz="6" w:space="0"/>
              <w:left w:val="nil"/>
              <w:bottom w:val="inset" w:color="333333" w:sz="6" w:space="0"/>
              <w:right w:val="inset" w:color="333333" w:sz="6" w:space="0"/>
            </w:tcBorders>
            <w:vAlign w:val="center"/>
          </w:tcPr>
          <w:p w14:paraId="5D78B247">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差额定率累进计费；原被告单方有造价或双方均无造价</w:t>
            </w:r>
          </w:p>
        </w:tc>
      </w:tr>
      <w:tr w14:paraId="71445A9B">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615" w:hRule="atLeast"/>
        </w:trPr>
        <w:tc>
          <w:tcPr>
            <w:tcW w:w="206" w:type="pct"/>
            <w:vMerge w:val="continue"/>
            <w:tcBorders>
              <w:top w:val="nil"/>
              <w:left w:val="inset" w:color="333333" w:sz="6" w:space="0"/>
              <w:bottom w:val="inset" w:color="333333" w:sz="6" w:space="0"/>
              <w:right w:val="inset" w:color="333333" w:sz="6" w:space="0"/>
            </w:tcBorders>
            <w:vAlign w:val="center"/>
          </w:tcPr>
          <w:p w14:paraId="1D49B02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577" w:type="pct"/>
            <w:gridSpan w:val="3"/>
            <w:vMerge w:val="continue"/>
            <w:tcBorders>
              <w:top w:val="nil"/>
              <w:left w:val="nil"/>
              <w:bottom w:val="inset" w:color="333333" w:sz="6" w:space="0"/>
              <w:right w:val="inset" w:color="333333" w:sz="6" w:space="0"/>
            </w:tcBorders>
            <w:vAlign w:val="center"/>
          </w:tcPr>
          <w:p w14:paraId="41C2FD7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875" w:type="pct"/>
            <w:tcBorders>
              <w:top w:val="inset" w:color="333333" w:sz="6" w:space="0"/>
              <w:left w:val="nil"/>
              <w:bottom w:val="inset" w:color="333333" w:sz="6" w:space="0"/>
              <w:right w:val="inset" w:color="333333" w:sz="6" w:space="0"/>
            </w:tcBorders>
            <w:vAlign w:val="center"/>
          </w:tcPr>
          <w:p w14:paraId="540400D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受委托进行鉴证</w:t>
            </w:r>
          </w:p>
        </w:tc>
        <w:tc>
          <w:tcPr>
            <w:tcW w:w="380" w:type="pct"/>
            <w:tcBorders>
              <w:top w:val="inset" w:color="333333" w:sz="6" w:space="0"/>
              <w:left w:val="nil"/>
              <w:bottom w:val="inset" w:color="333333" w:sz="6" w:space="0"/>
              <w:right w:val="inset" w:color="333333" w:sz="6" w:space="0"/>
            </w:tcBorders>
            <w:vAlign w:val="center"/>
          </w:tcPr>
          <w:p w14:paraId="6F3594D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争议差额</w:t>
            </w:r>
          </w:p>
        </w:tc>
        <w:tc>
          <w:tcPr>
            <w:tcW w:w="2507" w:type="pct"/>
            <w:gridSpan w:val="6"/>
            <w:tcBorders>
              <w:top w:val="inset" w:color="333333" w:sz="6" w:space="0"/>
              <w:left w:val="nil"/>
              <w:bottom w:val="inset" w:color="333333" w:sz="6" w:space="0"/>
              <w:right w:val="inset" w:color="333333" w:sz="6" w:space="0"/>
            </w:tcBorders>
            <w:vAlign w:val="center"/>
          </w:tcPr>
          <w:p w14:paraId="22AFD65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争议差额在1000万以下（含1000万）按5%收取，1000万以上按4%收取</w:t>
            </w:r>
          </w:p>
        </w:tc>
        <w:tc>
          <w:tcPr>
            <w:tcW w:w="452" w:type="pct"/>
            <w:tcBorders>
              <w:top w:val="inset" w:color="333333" w:sz="6" w:space="0"/>
              <w:left w:val="nil"/>
              <w:bottom w:val="inset" w:color="333333" w:sz="6" w:space="0"/>
              <w:right w:val="inset" w:color="333333" w:sz="6" w:space="0"/>
            </w:tcBorders>
            <w:vAlign w:val="center"/>
          </w:tcPr>
          <w:p w14:paraId="462B4ABA">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双方各有造价</w:t>
            </w:r>
          </w:p>
        </w:tc>
      </w:tr>
      <w:tr w14:paraId="59D01911">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1170" w:hRule="atLeast"/>
        </w:trPr>
        <w:tc>
          <w:tcPr>
            <w:tcW w:w="206" w:type="pct"/>
            <w:tcBorders>
              <w:top w:val="inset" w:color="333333" w:sz="6" w:space="0"/>
              <w:left w:val="inset" w:color="333333" w:sz="6" w:space="0"/>
              <w:bottom w:val="inset" w:color="333333" w:sz="6" w:space="0"/>
              <w:right w:val="inset" w:color="333333" w:sz="6" w:space="0"/>
            </w:tcBorders>
            <w:vAlign w:val="center"/>
          </w:tcPr>
          <w:p w14:paraId="2849B22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w:t>
            </w:r>
          </w:p>
        </w:tc>
        <w:tc>
          <w:tcPr>
            <w:tcW w:w="577" w:type="pct"/>
            <w:gridSpan w:val="3"/>
            <w:tcBorders>
              <w:top w:val="inset" w:color="333333" w:sz="6" w:space="0"/>
              <w:left w:val="nil"/>
              <w:bottom w:val="inset" w:color="333333" w:sz="6" w:space="0"/>
              <w:right w:val="inset" w:color="333333" w:sz="6" w:space="0"/>
            </w:tcBorders>
            <w:vAlign w:val="center"/>
          </w:tcPr>
          <w:p w14:paraId="567C18E8">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钢筋及预埋件计算</w:t>
            </w:r>
          </w:p>
        </w:tc>
        <w:tc>
          <w:tcPr>
            <w:tcW w:w="875" w:type="pct"/>
            <w:tcBorders>
              <w:top w:val="inset" w:color="333333" w:sz="6" w:space="0"/>
              <w:left w:val="nil"/>
              <w:bottom w:val="inset" w:color="333333" w:sz="6" w:space="0"/>
              <w:right w:val="inset" w:color="333333" w:sz="6" w:space="0"/>
            </w:tcBorders>
            <w:vAlign w:val="center"/>
          </w:tcPr>
          <w:p w14:paraId="7C59DF24">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依据施工图纸、设计标准和施工操作规程计算或审核钢筋（或铁件）重量，提供完整的钢筋（或铁件）重量计算明细表、汇总表或审核报告</w:t>
            </w:r>
          </w:p>
        </w:tc>
        <w:tc>
          <w:tcPr>
            <w:tcW w:w="380" w:type="pct"/>
            <w:tcBorders>
              <w:top w:val="inset" w:color="333333" w:sz="6" w:space="0"/>
              <w:left w:val="nil"/>
              <w:bottom w:val="inset" w:color="333333" w:sz="6" w:space="0"/>
              <w:right w:val="inset" w:color="333333" w:sz="6" w:space="0"/>
            </w:tcBorders>
            <w:vAlign w:val="center"/>
          </w:tcPr>
          <w:p w14:paraId="4264BB7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按实际钢筋使用量</w:t>
            </w:r>
          </w:p>
        </w:tc>
        <w:tc>
          <w:tcPr>
            <w:tcW w:w="2507" w:type="pct"/>
            <w:gridSpan w:val="6"/>
            <w:tcBorders>
              <w:top w:val="inset" w:color="333333" w:sz="6" w:space="0"/>
              <w:left w:val="nil"/>
              <w:bottom w:val="inset" w:color="333333" w:sz="6" w:space="0"/>
              <w:right w:val="inset" w:color="333333" w:sz="6" w:space="0"/>
            </w:tcBorders>
            <w:vAlign w:val="center"/>
          </w:tcPr>
          <w:p w14:paraId="17956CC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12元/吨</w:t>
            </w:r>
          </w:p>
        </w:tc>
        <w:tc>
          <w:tcPr>
            <w:tcW w:w="452" w:type="pct"/>
            <w:tcBorders>
              <w:top w:val="inset" w:color="333333" w:sz="6" w:space="0"/>
              <w:left w:val="nil"/>
              <w:bottom w:val="inset" w:color="333333" w:sz="6" w:space="0"/>
              <w:right w:val="inset" w:color="333333" w:sz="6" w:space="0"/>
            </w:tcBorders>
            <w:vAlign w:val="center"/>
          </w:tcPr>
          <w:p w14:paraId="0306DBCE">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w:t>
            </w:r>
          </w:p>
        </w:tc>
      </w:tr>
      <w:tr w14:paraId="4D89272F">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1170" w:hRule="atLeast"/>
        </w:trPr>
        <w:tc>
          <w:tcPr>
            <w:tcW w:w="206" w:type="pct"/>
            <w:tcBorders>
              <w:top w:val="inset" w:color="333333" w:sz="6" w:space="0"/>
              <w:left w:val="inset" w:color="333333" w:sz="6" w:space="0"/>
              <w:bottom w:val="inset" w:color="333333" w:sz="6" w:space="0"/>
              <w:right w:val="inset" w:color="333333" w:sz="6" w:space="0"/>
            </w:tcBorders>
            <w:vAlign w:val="center"/>
          </w:tcPr>
          <w:p w14:paraId="317E42E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w:t>
            </w:r>
          </w:p>
        </w:tc>
        <w:tc>
          <w:tcPr>
            <w:tcW w:w="577" w:type="pct"/>
            <w:gridSpan w:val="3"/>
            <w:tcBorders>
              <w:top w:val="inset" w:color="333333" w:sz="6" w:space="0"/>
              <w:left w:val="nil"/>
              <w:bottom w:val="inset" w:color="333333" w:sz="6" w:space="0"/>
              <w:right w:val="inset" w:color="333333" w:sz="6" w:space="0"/>
            </w:tcBorders>
            <w:vAlign w:val="center"/>
          </w:tcPr>
          <w:p w14:paraId="16C7858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工程造价咨询工日收费标准</w:t>
            </w:r>
          </w:p>
        </w:tc>
        <w:tc>
          <w:tcPr>
            <w:tcW w:w="875" w:type="pct"/>
            <w:tcBorders>
              <w:top w:val="inset" w:color="333333" w:sz="6" w:space="0"/>
              <w:left w:val="nil"/>
              <w:bottom w:val="inset" w:color="333333" w:sz="6" w:space="0"/>
              <w:right w:val="inset" w:color="333333" w:sz="6" w:space="0"/>
            </w:tcBorders>
            <w:vAlign w:val="center"/>
          </w:tcPr>
          <w:p w14:paraId="0D25B44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受委托派出专业人员从事工程造价咨询服务</w:t>
            </w:r>
          </w:p>
        </w:tc>
        <w:tc>
          <w:tcPr>
            <w:tcW w:w="380" w:type="pct"/>
            <w:tcBorders>
              <w:top w:val="inset" w:color="333333" w:sz="6" w:space="0"/>
              <w:left w:val="nil"/>
              <w:bottom w:val="inset" w:color="333333" w:sz="6" w:space="0"/>
              <w:right w:val="inset" w:color="333333" w:sz="6" w:space="0"/>
            </w:tcBorders>
            <w:vAlign w:val="center"/>
          </w:tcPr>
          <w:p w14:paraId="79690F62">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工时</w:t>
            </w:r>
          </w:p>
        </w:tc>
        <w:tc>
          <w:tcPr>
            <w:tcW w:w="2507" w:type="pct"/>
            <w:gridSpan w:val="6"/>
            <w:tcBorders>
              <w:top w:val="inset" w:color="333333" w:sz="6" w:space="0"/>
              <w:left w:val="nil"/>
              <w:bottom w:val="inset" w:color="333333" w:sz="6" w:space="0"/>
              <w:right w:val="inset" w:color="333333" w:sz="6" w:space="0"/>
            </w:tcBorders>
            <w:vAlign w:val="center"/>
          </w:tcPr>
          <w:p w14:paraId="4D07DE2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具有高级工程师职称的注册造价师：190元/人·工作小时；注册造价师或高级职称的咨询人员：150元/人·工作小时；工程造价中级资格专业人员：100元/人·工作小时；工程造价初级资格专业人员：60元/人·工作小时</w:t>
            </w:r>
          </w:p>
        </w:tc>
        <w:tc>
          <w:tcPr>
            <w:tcW w:w="452" w:type="pct"/>
            <w:tcBorders>
              <w:top w:val="inset" w:color="333333" w:sz="6" w:space="0"/>
              <w:left w:val="nil"/>
              <w:bottom w:val="inset" w:color="333333" w:sz="6" w:space="0"/>
              <w:right w:val="inset" w:color="333333" w:sz="6" w:space="0"/>
            </w:tcBorders>
            <w:vAlign w:val="center"/>
          </w:tcPr>
          <w:p w14:paraId="19A2A81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w:t>
            </w:r>
          </w:p>
        </w:tc>
      </w:tr>
      <w:tr w14:paraId="42A47A29">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525" w:hRule="atLeast"/>
        </w:trPr>
        <w:tc>
          <w:tcPr>
            <w:tcW w:w="206" w:type="pct"/>
            <w:vMerge w:val="restart"/>
            <w:tcBorders>
              <w:top w:val="inset" w:color="333333" w:sz="6" w:space="0"/>
              <w:left w:val="inset" w:color="333333" w:sz="6" w:space="0"/>
              <w:right w:val="inset" w:color="333333" w:sz="6" w:space="0"/>
            </w:tcBorders>
            <w:vAlign w:val="center"/>
          </w:tcPr>
          <w:p w14:paraId="64F37D4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说明：</w:t>
            </w:r>
          </w:p>
        </w:tc>
        <w:tc>
          <w:tcPr>
            <w:tcW w:w="4341" w:type="pct"/>
            <w:gridSpan w:val="11"/>
            <w:tcBorders>
              <w:top w:val="inset" w:color="333333" w:sz="6" w:space="0"/>
              <w:left w:val="nil"/>
              <w:bottom w:val="inset" w:color="333333" w:sz="6" w:space="0"/>
              <w:right w:val="inset" w:color="333333" w:sz="6" w:space="0"/>
            </w:tcBorders>
            <w:vAlign w:val="center"/>
          </w:tcPr>
          <w:p w14:paraId="0BE0E24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1.以上收费标准为最高收费标准，委托双方可在最高收费标准范围内协商确定具体收费标准。</w:t>
            </w:r>
          </w:p>
        </w:tc>
        <w:tc>
          <w:tcPr>
            <w:tcW w:w="452" w:type="pct"/>
            <w:tcBorders>
              <w:top w:val="inset" w:color="333333" w:sz="6" w:space="0"/>
              <w:left w:val="nil"/>
              <w:bottom w:val="inset" w:color="333333" w:sz="6" w:space="0"/>
              <w:right w:val="inset" w:color="333333" w:sz="6" w:space="0"/>
            </w:tcBorders>
            <w:vAlign w:val="center"/>
          </w:tcPr>
          <w:p w14:paraId="7B28118D">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r>
      <w:tr w14:paraId="4424E132">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390" w:hRule="atLeast"/>
        </w:trPr>
        <w:tc>
          <w:tcPr>
            <w:tcW w:w="206" w:type="pct"/>
            <w:vMerge w:val="continue"/>
            <w:tcBorders>
              <w:left w:val="inset" w:color="333333" w:sz="6" w:space="0"/>
              <w:right w:val="inset" w:color="333333" w:sz="6" w:space="0"/>
            </w:tcBorders>
            <w:vAlign w:val="center"/>
          </w:tcPr>
          <w:p w14:paraId="036B763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4341" w:type="pct"/>
            <w:gridSpan w:val="11"/>
            <w:tcBorders>
              <w:top w:val="inset" w:color="333333" w:sz="6" w:space="0"/>
              <w:left w:val="nil"/>
              <w:bottom w:val="inset" w:color="333333" w:sz="6" w:space="0"/>
              <w:right w:val="inset" w:color="333333" w:sz="6" w:space="0"/>
            </w:tcBorders>
            <w:vAlign w:val="center"/>
          </w:tcPr>
          <w:p w14:paraId="6097625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2.造价咨询费不足2000元的按2000元收取。</w:t>
            </w:r>
          </w:p>
        </w:tc>
        <w:tc>
          <w:tcPr>
            <w:tcW w:w="452" w:type="pct"/>
            <w:tcBorders>
              <w:top w:val="inset" w:color="333333" w:sz="6" w:space="0"/>
              <w:left w:val="nil"/>
              <w:bottom w:val="inset" w:color="333333" w:sz="6" w:space="0"/>
              <w:right w:val="inset" w:color="333333" w:sz="6" w:space="0"/>
            </w:tcBorders>
            <w:vAlign w:val="center"/>
          </w:tcPr>
          <w:p w14:paraId="04A5B921">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r>
      <w:tr w14:paraId="3B7CD05A">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390" w:hRule="atLeast"/>
        </w:trPr>
        <w:tc>
          <w:tcPr>
            <w:tcW w:w="206" w:type="pct"/>
            <w:vMerge w:val="continue"/>
            <w:tcBorders>
              <w:left w:val="inset" w:color="333333" w:sz="6" w:space="0"/>
              <w:right w:val="inset" w:color="333333" w:sz="6" w:space="0"/>
            </w:tcBorders>
            <w:vAlign w:val="center"/>
          </w:tcPr>
          <w:p w14:paraId="56B7773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4341" w:type="pct"/>
            <w:gridSpan w:val="11"/>
            <w:tcBorders>
              <w:top w:val="inset" w:color="333333" w:sz="6" w:space="0"/>
              <w:left w:val="nil"/>
              <w:bottom w:val="inset" w:color="333333" w:sz="6" w:space="0"/>
              <w:right w:val="inset" w:color="333333" w:sz="6" w:space="0"/>
            </w:tcBorders>
            <w:vAlign w:val="center"/>
          </w:tcPr>
          <w:p w14:paraId="1A4F8D20">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3.工程主材无论是否计入工程造价，均应计入取费基数。合同包干价加签证项目，包干价部分应计入取费基数。</w:t>
            </w:r>
          </w:p>
        </w:tc>
        <w:tc>
          <w:tcPr>
            <w:tcW w:w="452" w:type="pct"/>
            <w:tcBorders>
              <w:top w:val="inset" w:color="333333" w:sz="6" w:space="0"/>
              <w:left w:val="nil"/>
              <w:bottom w:val="inset" w:color="333333" w:sz="6" w:space="0"/>
              <w:right w:val="inset" w:color="333333" w:sz="6" w:space="0"/>
            </w:tcBorders>
            <w:vAlign w:val="center"/>
          </w:tcPr>
          <w:p w14:paraId="0CB2923B">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r>
      <w:tr w14:paraId="4DFD3ACA">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435" w:hRule="atLeast"/>
        </w:trPr>
        <w:tc>
          <w:tcPr>
            <w:tcW w:w="206" w:type="pct"/>
            <w:vMerge w:val="continue"/>
            <w:tcBorders>
              <w:left w:val="inset" w:color="333333" w:sz="6" w:space="0"/>
              <w:bottom w:val="inset" w:color="333333" w:sz="6" w:space="0"/>
              <w:right w:val="inset" w:color="333333" w:sz="6" w:space="0"/>
            </w:tcBorders>
            <w:vAlign w:val="center"/>
          </w:tcPr>
          <w:p w14:paraId="0A1567F3">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c>
          <w:tcPr>
            <w:tcW w:w="4341" w:type="pct"/>
            <w:gridSpan w:val="11"/>
            <w:tcBorders>
              <w:top w:val="inset" w:color="333333" w:sz="6" w:space="0"/>
              <w:left w:val="nil"/>
              <w:bottom w:val="inset" w:color="333333" w:sz="6" w:space="0"/>
              <w:right w:val="inset" w:color="333333" w:sz="6" w:space="0"/>
            </w:tcBorders>
            <w:vAlign w:val="center"/>
          </w:tcPr>
          <w:p w14:paraId="75B96EF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4.工程预算的编制或审核、工程结算的编制或审核的收费标准不包括钢筋及预埋件计算，凡要求钢筋及预埋件计算的按相对应的收费标准另行收费。</w:t>
            </w:r>
          </w:p>
        </w:tc>
        <w:tc>
          <w:tcPr>
            <w:tcW w:w="452" w:type="pct"/>
            <w:tcBorders>
              <w:top w:val="inset" w:color="333333" w:sz="6" w:space="0"/>
              <w:left w:val="nil"/>
              <w:bottom w:val="inset" w:color="333333" w:sz="6" w:space="0"/>
              <w:right w:val="inset" w:color="333333" w:sz="6" w:space="0"/>
            </w:tcBorders>
            <w:vAlign w:val="center"/>
          </w:tcPr>
          <w:p w14:paraId="754BFFEF">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pacing w:val="0"/>
                <w:sz w:val="21"/>
                <w:szCs w:val="21"/>
                <w:highlight w:val="none"/>
              </w:rPr>
            </w:pPr>
          </w:p>
        </w:tc>
      </w:tr>
    </w:tbl>
    <w:p w14:paraId="1ABA0EE5">
      <w:pPr>
        <w:keepNext w:val="0"/>
        <w:keepLines w:val="0"/>
        <w:pageBreakBefore w:val="0"/>
        <w:widowControl/>
        <w:kinsoku/>
        <w:wordWrap/>
        <w:overflowPunct/>
        <w:topLinePunct/>
        <w:autoSpaceDE/>
        <w:autoSpaceDN/>
        <w:bidi w:val="0"/>
        <w:adjustRightInd w:val="0"/>
        <w:snapToGrid w:val="0"/>
        <w:spacing w:line="360" w:lineRule="auto"/>
        <w:textAlignment w:val="baseline"/>
        <w:rPr>
          <w:rFonts w:hint="eastAsia" w:ascii="宋体" w:hAnsi="宋体" w:eastAsia="宋体" w:cs="宋体"/>
          <w:color w:val="auto"/>
          <w:spacing w:val="0"/>
          <w:sz w:val="21"/>
          <w:szCs w:val="21"/>
          <w:highlight w:val="none"/>
        </w:rPr>
        <w:sectPr>
          <w:pgSz w:w="16838" w:h="11906" w:orient="landscape"/>
          <w:pgMar w:top="1043" w:right="1191" w:bottom="1043" w:left="1191" w:header="720" w:footer="720" w:gutter="0"/>
          <w:cols w:space="0" w:num="1"/>
          <w:titlePg/>
          <w:rtlGutter w:val="0"/>
          <w:docGrid w:linePitch="326" w:charSpace="0"/>
        </w:sectPr>
      </w:pPr>
    </w:p>
    <w:p w14:paraId="2EAF6BC2">
      <w:pPr>
        <w:pageBreakBefore/>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454" w:name="_Toc20825"/>
      <w:bookmarkStart w:id="455" w:name="_Toc142508359"/>
      <w:bookmarkStart w:id="456" w:name="_Toc450662892"/>
      <w:bookmarkStart w:id="457" w:name="_Toc11281_WPSOffice_Level1"/>
      <w:bookmarkStart w:id="458" w:name="_Toc16287"/>
      <w:bookmarkStart w:id="459" w:name="_Toc20401"/>
      <w:bookmarkStart w:id="460" w:name="_Toc486167707"/>
      <w:bookmarkStart w:id="461" w:name="_Toc25251"/>
      <w:r>
        <w:rPr>
          <w:rFonts w:hint="eastAsia" w:ascii="宋体" w:hAnsi="宋体" w:eastAsia="宋体" w:cs="宋体"/>
          <w:b/>
          <w:bCs/>
          <w:color w:val="auto"/>
          <w:kern w:val="44"/>
          <w:sz w:val="32"/>
          <w:szCs w:val="32"/>
          <w:highlight w:val="none"/>
          <w:lang w:val="zh-CN"/>
        </w:rPr>
        <w:t>第四篇 合同条款格式</w:t>
      </w:r>
      <w:bookmarkEnd w:id="454"/>
      <w:bookmarkEnd w:id="455"/>
      <w:bookmarkEnd w:id="456"/>
      <w:bookmarkEnd w:id="457"/>
      <w:bookmarkEnd w:id="458"/>
      <w:bookmarkEnd w:id="459"/>
      <w:bookmarkEnd w:id="460"/>
      <w:bookmarkEnd w:id="461"/>
    </w:p>
    <w:p w14:paraId="259A4C57">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3141F2C9">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4E5BAD27">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2C558F2D">
      <w:pPr>
        <w:autoSpaceDE w:val="0"/>
        <w:autoSpaceDN w:val="0"/>
        <w:adjustRightInd w:val="0"/>
        <w:spacing w:line="360" w:lineRule="auto"/>
        <w:jc w:val="center"/>
        <w:rPr>
          <w:rFonts w:hint="eastAsia" w:ascii="宋体" w:hAnsi="宋体" w:eastAsia="宋体" w:cs="宋体"/>
          <w:b/>
          <w:color w:val="auto"/>
          <w:kern w:val="0"/>
          <w:sz w:val="52"/>
          <w:szCs w:val="96"/>
          <w:highlight w:val="none"/>
          <w:lang w:eastAsia="zh-CN"/>
        </w:rPr>
      </w:pPr>
      <w:r>
        <w:rPr>
          <w:rFonts w:hint="eastAsia" w:ascii="宋体" w:hAnsi="宋体" w:eastAsia="宋体" w:cs="宋体"/>
          <w:b/>
          <w:color w:val="auto"/>
          <w:kern w:val="0"/>
          <w:sz w:val="52"/>
          <w:szCs w:val="96"/>
          <w:highlight w:val="none"/>
          <w:lang w:eastAsia="zh-CN"/>
        </w:rPr>
        <w:t>东莞市水务集团供水有限公司2024-2025年造价咨询服务项目</w:t>
      </w:r>
    </w:p>
    <w:p w14:paraId="540FBEE4">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14:paraId="410F2F27">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64FCB14F">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53DE28E3">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7EA4C3C6">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57A34B8F">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34B0DBB9">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19CC47D6">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lang w:eastAsia="zh-CN"/>
        </w:rPr>
        <w:t>东莞市水务集团供水有限公司</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rPr>
        <w:t xml:space="preserve"> </w:t>
      </w:r>
    </w:p>
    <w:p w14:paraId="7E064929">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AFB6208">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5E4E4322">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194723D4">
      <w:pPr>
        <w:autoSpaceDE w:val="0"/>
        <w:autoSpaceDN w:val="0"/>
        <w:adjustRightInd w:val="0"/>
        <w:jc w:val="left"/>
        <w:rPr>
          <w:rFonts w:hint="eastAsia" w:ascii="宋体" w:hAnsi="宋体" w:eastAsia="宋体" w:cs="宋体"/>
          <w:b/>
          <w:bCs/>
          <w:color w:val="auto"/>
          <w:kern w:val="0"/>
          <w:sz w:val="28"/>
          <w:szCs w:val="28"/>
          <w:highlight w:val="none"/>
        </w:rPr>
      </w:pPr>
    </w:p>
    <w:p w14:paraId="0C1E9F35">
      <w:pPr>
        <w:autoSpaceDE w:val="0"/>
        <w:autoSpaceDN w:val="0"/>
        <w:adjustRightInd w:val="0"/>
        <w:jc w:val="left"/>
        <w:rPr>
          <w:rFonts w:hint="eastAsia" w:ascii="宋体" w:hAnsi="宋体" w:eastAsia="宋体" w:cs="宋体"/>
          <w:b/>
          <w:bCs/>
          <w:color w:val="auto"/>
          <w:kern w:val="0"/>
          <w:sz w:val="28"/>
          <w:szCs w:val="28"/>
          <w:highlight w:val="none"/>
        </w:rPr>
      </w:pPr>
    </w:p>
    <w:p w14:paraId="00336C3E">
      <w:pPr>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360" w:lineRule="auto"/>
        <w:ind w:left="630" w:leftChars="300" w:right="0"/>
        <w:jc w:val="both"/>
        <w:textAlignment w:val="auto"/>
        <w:outlineLvl w:val="0"/>
        <w:rPr>
          <w:rFonts w:hint="eastAsia" w:ascii="宋体" w:hAnsi="宋体" w:eastAsia="宋体" w:cs="宋体"/>
          <w:b/>
          <w:bCs/>
          <w:color w:val="auto"/>
          <w:kern w:val="2"/>
          <w:sz w:val="21"/>
          <w:szCs w:val="21"/>
          <w:highlight w:val="none"/>
          <w:u w:val="single"/>
          <w:shd w:val="clear" w:fill="FFFFFF"/>
        </w:rPr>
      </w:pPr>
      <w:r>
        <w:rPr>
          <w:rFonts w:hint="eastAsia" w:ascii="宋体" w:hAnsi="宋体" w:eastAsia="宋体" w:cs="宋体"/>
          <w:b/>
          <w:bCs/>
          <w:color w:val="auto"/>
          <w:kern w:val="2"/>
          <w:sz w:val="21"/>
          <w:szCs w:val="21"/>
          <w:highlight w:val="none"/>
          <w:shd w:val="clear" w:fill="FFFFFF"/>
          <w:lang w:val="en-US" w:eastAsia="zh-CN" w:bidi="ar"/>
        </w:rPr>
        <w:t>甲方：</w:t>
      </w:r>
      <w:r>
        <w:rPr>
          <w:rFonts w:hint="eastAsia" w:ascii="宋体" w:hAnsi="宋体" w:eastAsia="宋体" w:cs="宋体"/>
          <w:bCs/>
          <w:color w:val="auto"/>
          <w:kern w:val="2"/>
          <w:sz w:val="21"/>
          <w:szCs w:val="21"/>
          <w:highlight w:val="none"/>
          <w:u w:val="single"/>
          <w:shd w:val="clear" w:fill="FFFFFF"/>
          <w:lang w:val="en-US" w:eastAsia="zh-CN" w:bidi="ar"/>
        </w:rPr>
        <w:t>东莞市水务集团供水有限公司</w:t>
      </w:r>
    </w:p>
    <w:p w14:paraId="2306C3D4">
      <w:pPr>
        <w:keepNext w:val="0"/>
        <w:keepLines w:val="0"/>
        <w:widowControl w:val="0"/>
        <w:suppressLineNumbers w:val="0"/>
        <w:spacing w:before="0" w:beforeAutospacing="0" w:after="0" w:afterAutospacing="0" w:line="360" w:lineRule="auto"/>
        <w:ind w:left="630" w:leftChars="300" w:right="0"/>
        <w:jc w:val="both"/>
        <w:rPr>
          <w:rFonts w:hint="eastAsia" w:ascii="宋体" w:hAnsi="宋体" w:eastAsia="宋体" w:cs="宋体"/>
          <w:bCs/>
          <w:color w:val="auto"/>
          <w:kern w:val="2"/>
          <w:sz w:val="21"/>
          <w:szCs w:val="21"/>
          <w:highlight w:val="none"/>
          <w:shd w:val="clear" w:fill="FFFFFF"/>
        </w:rPr>
      </w:pPr>
      <w:r>
        <w:rPr>
          <w:rFonts w:hint="eastAsia" w:ascii="宋体" w:hAnsi="宋体" w:eastAsia="宋体" w:cs="宋体"/>
          <w:bCs/>
          <w:color w:val="auto"/>
          <w:kern w:val="2"/>
          <w:sz w:val="21"/>
          <w:szCs w:val="21"/>
          <w:highlight w:val="none"/>
          <w:shd w:val="clear" w:fill="FFFFFF"/>
          <w:lang w:val="en-US" w:eastAsia="zh-CN" w:bidi="ar"/>
        </w:rPr>
        <w:t>统一社会信用代码：</w:t>
      </w:r>
      <w:r>
        <w:rPr>
          <w:rFonts w:hint="eastAsia" w:ascii="宋体" w:hAnsi="宋体" w:eastAsia="宋体" w:cs="宋体"/>
          <w:bCs/>
          <w:color w:val="auto"/>
          <w:kern w:val="2"/>
          <w:sz w:val="21"/>
          <w:szCs w:val="21"/>
          <w:highlight w:val="none"/>
          <w:u w:val="single"/>
          <w:shd w:val="clear" w:fill="FFFFFF"/>
          <w:lang w:val="en-US" w:eastAsia="zh-CN" w:bidi="ar"/>
        </w:rPr>
        <w:t>91441900735007609Y</w:t>
      </w:r>
    </w:p>
    <w:p w14:paraId="01B8C02B">
      <w:pPr>
        <w:keepNext w:val="0"/>
        <w:keepLines w:val="0"/>
        <w:widowControl w:val="0"/>
        <w:suppressLineNumbers w:val="0"/>
        <w:spacing w:before="0" w:beforeAutospacing="0" w:after="0" w:afterAutospacing="0" w:line="360" w:lineRule="auto"/>
        <w:ind w:left="630" w:leftChars="300" w:right="0"/>
        <w:jc w:val="both"/>
        <w:rPr>
          <w:rFonts w:hint="eastAsia" w:ascii="宋体" w:hAnsi="宋体" w:eastAsia="宋体" w:cs="宋体"/>
          <w:bCs/>
          <w:color w:val="auto"/>
          <w:kern w:val="2"/>
          <w:sz w:val="21"/>
          <w:szCs w:val="21"/>
          <w:highlight w:val="none"/>
          <w:shd w:val="clear" w:fill="FFFFFF"/>
        </w:rPr>
      </w:pPr>
      <w:r>
        <w:rPr>
          <w:rFonts w:hint="eastAsia" w:ascii="宋体" w:hAnsi="宋体" w:eastAsia="宋体" w:cs="宋体"/>
          <w:bCs/>
          <w:color w:val="auto"/>
          <w:kern w:val="2"/>
          <w:sz w:val="21"/>
          <w:szCs w:val="21"/>
          <w:highlight w:val="none"/>
          <w:shd w:val="clear" w:fill="FFFFFF"/>
          <w:lang w:val="en-US" w:eastAsia="zh-CN" w:bidi="ar"/>
        </w:rPr>
        <w:t xml:space="preserve">住所： </w:t>
      </w:r>
      <w:r>
        <w:rPr>
          <w:rFonts w:hint="eastAsia" w:ascii="宋体" w:hAnsi="宋体" w:eastAsia="宋体" w:cs="宋体"/>
          <w:bCs/>
          <w:color w:val="auto"/>
          <w:kern w:val="2"/>
          <w:sz w:val="21"/>
          <w:szCs w:val="21"/>
          <w:highlight w:val="none"/>
          <w:u w:val="single"/>
          <w:shd w:val="clear" w:fill="FFFFFF"/>
          <w:lang w:val="en-US" w:eastAsia="zh-CN" w:bidi="ar"/>
        </w:rPr>
        <w:t>广东省东莞市莞城街道莞龙路莞城段 141 号</w:t>
      </w:r>
      <w:r>
        <w:rPr>
          <w:rFonts w:hint="eastAsia" w:ascii="宋体" w:hAnsi="宋体" w:eastAsia="宋体" w:cs="宋体"/>
          <w:bCs/>
          <w:color w:val="auto"/>
          <w:kern w:val="2"/>
          <w:sz w:val="21"/>
          <w:szCs w:val="21"/>
          <w:highlight w:val="none"/>
          <w:shd w:val="clear" w:fill="FFFFFF"/>
          <w:lang w:val="en-US" w:eastAsia="zh-CN" w:bidi="ar"/>
        </w:rPr>
        <w:t xml:space="preserve"> </w:t>
      </w:r>
    </w:p>
    <w:p w14:paraId="2A383105">
      <w:pPr>
        <w:keepNext w:val="0"/>
        <w:keepLines w:val="0"/>
        <w:widowControl w:val="0"/>
        <w:suppressLineNumbers w:val="0"/>
        <w:spacing w:before="0" w:beforeAutospacing="0" w:after="0" w:afterAutospacing="0" w:line="360" w:lineRule="auto"/>
        <w:ind w:left="630" w:leftChars="300" w:right="0"/>
        <w:jc w:val="both"/>
        <w:rPr>
          <w:rFonts w:hint="eastAsia" w:ascii="宋体" w:hAnsi="宋体" w:eastAsia="宋体" w:cs="宋体"/>
          <w:bCs/>
          <w:color w:val="auto"/>
          <w:kern w:val="2"/>
          <w:sz w:val="21"/>
          <w:szCs w:val="21"/>
          <w:highlight w:val="none"/>
          <w:shd w:val="clear" w:fill="FFFFFF"/>
        </w:rPr>
      </w:pPr>
      <w:r>
        <w:rPr>
          <w:rFonts w:hint="eastAsia" w:ascii="宋体" w:hAnsi="宋体" w:eastAsia="宋体" w:cs="宋体"/>
          <w:bCs/>
          <w:color w:val="auto"/>
          <w:kern w:val="2"/>
          <w:sz w:val="21"/>
          <w:szCs w:val="21"/>
          <w:highlight w:val="none"/>
          <w:shd w:val="clear" w:fill="FFFFFF"/>
          <w:lang w:val="en-US" w:eastAsia="zh-CN" w:bidi="ar"/>
        </w:rPr>
        <w:t>法定代表人：</w:t>
      </w:r>
      <w:r>
        <w:rPr>
          <w:rFonts w:hint="eastAsia" w:ascii="宋体" w:hAnsi="宋体" w:eastAsia="宋体" w:cs="宋体"/>
          <w:bCs/>
          <w:color w:val="auto"/>
          <w:kern w:val="2"/>
          <w:sz w:val="21"/>
          <w:szCs w:val="21"/>
          <w:highlight w:val="none"/>
          <w:u w:val="single"/>
          <w:shd w:val="clear" w:fill="FFFFFF"/>
          <w:lang w:val="en-US" w:eastAsia="zh-CN" w:bidi="ar"/>
        </w:rPr>
        <w:t>刘伟洪</w:t>
      </w:r>
    </w:p>
    <w:p w14:paraId="0C007AF7">
      <w:pPr>
        <w:keepNext w:val="0"/>
        <w:keepLines w:val="0"/>
        <w:widowControl w:val="0"/>
        <w:suppressLineNumbers w:val="0"/>
        <w:spacing w:before="0" w:beforeAutospacing="0" w:after="0" w:afterAutospacing="0" w:line="360" w:lineRule="auto"/>
        <w:ind w:left="630" w:leftChars="300" w:right="0"/>
        <w:jc w:val="both"/>
        <w:outlineLvl w:val="0"/>
        <w:rPr>
          <w:rFonts w:hint="eastAsia" w:ascii="宋体" w:hAnsi="宋体" w:eastAsia="宋体" w:cs="宋体"/>
          <w:bCs/>
          <w:color w:val="auto"/>
          <w:kern w:val="2"/>
          <w:sz w:val="21"/>
          <w:szCs w:val="21"/>
          <w:highlight w:val="none"/>
          <w:shd w:val="clear" w:fill="FFFFFF"/>
        </w:rPr>
      </w:pPr>
      <w:r>
        <w:rPr>
          <w:rFonts w:hint="eastAsia" w:ascii="宋体" w:hAnsi="宋体" w:eastAsia="宋体" w:cs="宋体"/>
          <w:bCs/>
          <w:color w:val="auto"/>
          <w:kern w:val="2"/>
          <w:sz w:val="21"/>
          <w:szCs w:val="21"/>
          <w:highlight w:val="none"/>
          <w:u w:val="single"/>
          <w:shd w:val="clear" w:fill="FFFFFF"/>
          <w:lang w:val="en-US" w:eastAsia="zh-CN" w:bidi="ar"/>
        </w:rPr>
        <w:br w:type="textWrapping"/>
      </w:r>
      <w:r>
        <w:rPr>
          <w:rFonts w:hint="eastAsia" w:ascii="宋体" w:hAnsi="宋体" w:eastAsia="宋体" w:cs="宋体"/>
          <w:b/>
          <w:bCs/>
          <w:color w:val="auto"/>
          <w:kern w:val="2"/>
          <w:sz w:val="21"/>
          <w:szCs w:val="21"/>
          <w:highlight w:val="none"/>
          <w:shd w:val="clear" w:fill="FFFFFF"/>
          <w:lang w:val="en-US" w:eastAsia="zh-CN" w:bidi="ar"/>
        </w:rPr>
        <w:t>乙方：</w:t>
      </w:r>
      <w:r>
        <w:rPr>
          <w:rFonts w:hint="eastAsia" w:ascii="宋体" w:hAnsi="宋体" w:eastAsia="宋体" w:cs="宋体"/>
          <w:bCs/>
          <w:color w:val="auto"/>
          <w:kern w:val="2"/>
          <w:sz w:val="21"/>
          <w:szCs w:val="21"/>
          <w:highlight w:val="none"/>
          <w:u w:val="single"/>
          <w:shd w:val="clear" w:fill="FFFFFF"/>
          <w:lang w:val="en-US" w:eastAsia="zh-CN" w:bidi="ar"/>
        </w:rPr>
        <w:t xml:space="preserve">                           </w:t>
      </w:r>
    </w:p>
    <w:p w14:paraId="48785F89">
      <w:pPr>
        <w:pStyle w:val="33"/>
        <w:keepNext w:val="0"/>
        <w:keepLines w:val="0"/>
        <w:widowControl w:val="0"/>
        <w:suppressLineNumbers w:val="0"/>
        <w:spacing w:before="0" w:beforeAutospacing="1" w:after="12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统一社会信用代码：</w:t>
      </w:r>
      <w:r>
        <w:rPr>
          <w:rFonts w:hint="eastAsia" w:ascii="宋体" w:hAnsi="宋体" w:eastAsia="宋体" w:cs="宋体"/>
          <w:color w:val="auto"/>
          <w:kern w:val="2"/>
          <w:sz w:val="21"/>
          <w:szCs w:val="21"/>
          <w:highlight w:val="none"/>
          <w:u w:val="single"/>
          <w:lang w:val="en-US" w:eastAsia="zh-CN" w:bidi="ar"/>
        </w:rPr>
        <w:t xml:space="preserve">                  </w:t>
      </w:r>
    </w:p>
    <w:p w14:paraId="68CDE90F">
      <w:pPr>
        <w:pStyle w:val="33"/>
        <w:keepNext w:val="0"/>
        <w:keepLines w:val="0"/>
        <w:widowControl w:val="0"/>
        <w:suppressLineNumbers w:val="0"/>
        <w:spacing w:before="0" w:beforeAutospacing="1" w:after="120" w:afterAutospacing="0"/>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住所：</w:t>
      </w:r>
      <w:r>
        <w:rPr>
          <w:rFonts w:hint="eastAsia" w:ascii="宋体" w:hAnsi="宋体" w:eastAsia="宋体" w:cs="宋体"/>
          <w:color w:val="auto"/>
          <w:kern w:val="2"/>
          <w:sz w:val="21"/>
          <w:szCs w:val="21"/>
          <w:highlight w:val="none"/>
          <w:u w:val="single"/>
          <w:lang w:val="en-US" w:eastAsia="zh-CN" w:bidi="ar"/>
        </w:rPr>
        <w:t xml:space="preserve">                                        </w:t>
      </w:r>
    </w:p>
    <w:p w14:paraId="3EA323E1">
      <w:pPr>
        <w:pStyle w:val="33"/>
        <w:keepNext w:val="0"/>
        <w:keepLines w:val="0"/>
        <w:widowControl w:val="0"/>
        <w:suppressLineNumbers w:val="0"/>
        <w:spacing w:before="0" w:beforeAutospacing="1" w:after="120" w:afterAutospacing="0"/>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w:t>
      </w:r>
    </w:p>
    <w:p w14:paraId="24B0CF8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根据《中华人民共和国民法典》及相关法律、法规的规定，甲乙双方本着诚实守信、合作共赢的原则，结合本项目的具体情况，甲、乙双方在自愿、平等、协商一致的基础上签订本合同。</w:t>
      </w:r>
    </w:p>
    <w:p w14:paraId="1DC0716E">
      <w:pPr>
        <w:keepNext w:val="0"/>
        <w:keepLines w:val="0"/>
        <w:widowControl w:val="0"/>
        <w:suppressLineNumbers w:val="0"/>
        <w:spacing w:before="156" w:beforeLines="50" w:beforeAutospacing="0" w:after="0" w:afterAutospacing="0" w:line="360" w:lineRule="auto"/>
        <w:ind w:left="473" w:leftChars="175" w:right="0" w:hanging="105" w:hangingChars="5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第一条 服务内容</w:t>
      </w:r>
    </w:p>
    <w:p w14:paraId="26415E35">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负责为甲方（或甲方各分公司）提供造价咨询服务，根据国家有关法律、法规、规范性文件及标准，科学、客观、公正的完成本项服务，对提供的成果资料的合法性、合理性、真实性、准确性、完整性负责。服务内容包括但不限于以下内容：</w:t>
      </w:r>
    </w:p>
    <w:p w14:paraId="0AA2C8C2">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甲方要求和提供的资料完成估算、概算编制或审核，施工图预算编制或审核，招标控制价编制，变更预算编制或审核，工程结算编制或审核，施工阶段全过程造价控制，以及非工程类的货物采购、服务类项目的预算编审、合同结算等造价咨询业务，并出具成果文件；</w:t>
      </w:r>
    </w:p>
    <w:p w14:paraId="02B96BFB">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2、积极配合甲方开展造价咨询服务工作，包括对数，修改、出具成果文件，扫描成果文件，必要时需派驻人员至甲方所在的办公地点（东莞市范围内）配合甲方开展造价咨询相关工作。</w:t>
      </w:r>
    </w:p>
    <w:p w14:paraId="24E34986">
      <w:pPr>
        <w:keepNext w:val="0"/>
        <w:keepLines w:val="0"/>
        <w:widowControl w:val="0"/>
        <w:suppressLineNumbers w:val="0"/>
        <w:spacing w:before="0" w:beforeAutospacing="0" w:after="0" w:afterAutospacing="0" w:line="360" w:lineRule="auto"/>
        <w:ind w:left="0" w:right="0" w:firstLine="422" w:firstLineChars="200"/>
        <w:contextualSpacing/>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第二条 服务期限</w:t>
      </w:r>
    </w:p>
    <w:p w14:paraId="505923DF">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本项目服务期至2025年12月31日。</w:t>
      </w:r>
    </w:p>
    <w:p w14:paraId="56334609">
      <w:pPr>
        <w:keepNext w:val="0"/>
        <w:keepLines w:val="0"/>
        <w:widowControl w:val="0"/>
        <w:suppressLineNumbers w:val="0"/>
        <w:spacing w:before="0" w:beforeAutospacing="0" w:after="0" w:afterAutospacing="0" w:line="360" w:lineRule="auto"/>
        <w:ind w:left="0" w:right="0" w:firstLine="422" w:firstLineChars="200"/>
        <w:contextualSpacing/>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第三条 服务费的计算与支付</w:t>
      </w:r>
    </w:p>
    <w:p w14:paraId="60A7CEAE">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 本项目中标折扣系数为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1055334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 单项造价咨询服务费参照《广东省物价局关于调整我省建设工程造价咨询服务收费的复函(粤价函(2011)742号)》中收费项目对应的收费标准，再乘以服务折扣系数，单项造价咨询服务不设最低收费。详细计费规则如下：</w:t>
      </w:r>
    </w:p>
    <w:p w14:paraId="36F06371">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（1）工程类项目的造价咨询费计费规则</w:t>
      </w:r>
    </w:p>
    <w:p w14:paraId="3CE462A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估算的编制或审核、工程概算的编制或审核、工程预算的编制或审核、工程结算的编制、工程结算审核、施工阶段全过程造价控制，按《广东省建设工程造价咨询服务收费标准》(粤价函(2011)742号)相应的收费标准计费，再乘以服务折扣系数。如编制或审核的成果金额中含土地征用、迁移补偿等为取得或租用土地使用权而发生的费用，则以编制或审核的成果金额直接扣减该费用作为收费基数。</w:t>
      </w:r>
    </w:p>
    <w:p w14:paraId="6D3053A7">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（2）非工程类货物采购、服务类项目的预算编审、结算</w:t>
      </w:r>
    </w:p>
    <w:p w14:paraId="408FBB8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①预算编审以单个委托单的清单条数为基准，按200元/条计算，造价咨询费等于清单条数</w:t>
      </w:r>
      <w:r>
        <w:rPr>
          <w:rFonts w:hint="eastAsia" w:ascii="宋体" w:hAnsi="宋体" w:eastAsia="宋体" w:cs="宋体"/>
          <w:color w:val="auto"/>
          <w:spacing w:val="0"/>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200元/条，每单不足2000元按2000元，再乘以服务折扣系数；同时，单个委托单最高收费不超过按《广东省建设工程造价咨询服务收费标准》(粤价函(2011)742号)中“单独编制或审核预算造价”相应的收费标准计出的费用。如遇特殊情况双方另行协商确定。</w:t>
      </w:r>
    </w:p>
    <w:p w14:paraId="02D4CCEE">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②货物合同结算、服务合同结算，以单个项目计算，每单2000元，再乘以服务折扣系数。</w:t>
      </w:r>
    </w:p>
    <w:p w14:paraId="14B0820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（3）其他</w:t>
      </w:r>
    </w:p>
    <w:p w14:paraId="384A875B">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①清单不平衡报价审核按每单项（单项造价委托）2000 元，再乘以服务折扣系数计取。</w:t>
      </w:r>
    </w:p>
    <w:p w14:paraId="74C87975">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②进度款支付审核按每单项（单项造价委托）2000 元，再乘以服务折扣系数计取。</w:t>
      </w:r>
    </w:p>
    <w:p w14:paraId="002281EB">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工程变更预算编制或审核，以“│变更增加│+│变更减少│”即绝对值之和为计费基数，按《广东省建设工程造价咨询服务收费标准》(粤价函(2011)742号)中工程预算的编制或审核相应的收费标准及相关规定计费，再乘以服务折扣系数。</w:t>
      </w:r>
    </w:p>
    <w:p w14:paraId="092F9E9C">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④施工合同结算，对于总价包干合同，原合同价部分不参与计算咨询费。</w:t>
      </w:r>
    </w:p>
    <w:p w14:paraId="62C45B1A">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⑤如项目实施过程中，若存在单位工程未按概算总表中的单位工程目录实施，则施工阶段全过程造价咨询费的收费基数需重新调整对应的概算金额后重新计算。</w:t>
      </w:r>
    </w:p>
    <w:p w14:paraId="7B2E11E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⑥在造价咨询服务过程中，如因建设标准、项目完整性等原因造成设计图纸修改，致使工程造价需要重新修改和确定，双方另行商议需增加的工作时限以及造价咨询服务费用。</w:t>
      </w:r>
    </w:p>
    <w:p w14:paraId="09F9674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单项造价咨询服务费包括了乙方完成招标文件和合同约定的全部工作所需支付的一切费用，为包干价，包括但不限于(1)人员人工费(工资及加班工资、福利、社保、住房公积金、节日补贴、高温津贴、劳保、服装和膳食、意外伤害保险、加班费、住宿补贴、市内交通补贴、 培训、经济补偿等)、驻场服务所需的差旅费、食宿费、交通费、通讯费、配合费、办理履约担保 所需等费用；(2)合理利润、乙方销项税额以外的税费等；(3)法律法规、行业公认、完成合同实施过程中由乙方承担的其他直接及间接费用。</w:t>
      </w:r>
    </w:p>
    <w:p w14:paraId="51E6EEB1">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4、付费周期：以季度为单位，即按季度计量支付服务费。</w:t>
      </w:r>
    </w:p>
    <w:p w14:paraId="173A48F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 每笔款项支付前，乙方应向甲方（或甲方各分公司）提交该付费周期内单项造价咨询服务项目工作量清单及对应的结算资料、请款报告及符合甲方（或甲方各分公司）及相关法律法规要求的增值税普通发票，经甲方（或甲方各分公司）确认无误后30天内支付相关费用。乙方逾期提交请款材料或提交材料不符合甲方（或甲方各分公司）要求的，甲方（或甲方各分公司）有权顺延支付相应款项，并不承担逾期付款的违约责任，由于乙方提供的发票不符合税法规定，给甲方（或甲方各分公司）造成的损失由乙方承担赔偿责任，乙方不得以此延迟而拒绝履行合同义务。</w:t>
      </w:r>
    </w:p>
    <w:p w14:paraId="0CC5590B">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6、乙方收款账户信息</w:t>
      </w:r>
    </w:p>
    <w:p w14:paraId="7E82537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户  名：  </w:t>
      </w:r>
    </w:p>
    <w:p w14:paraId="05897D4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开户行： </w:t>
      </w:r>
    </w:p>
    <w:p w14:paraId="6A9B493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账  号： </w:t>
      </w:r>
    </w:p>
    <w:p w14:paraId="5F8DF9D0">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第四条 履约担保</w:t>
      </w:r>
    </w:p>
    <w:p w14:paraId="2E45218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1、乙方应当根据招标文件的规定在签订本合同前向甲方提供履约担保，履约担保形式及金额由乙方从以下方式中任选一种：</w:t>
      </w:r>
    </w:p>
    <w:p w14:paraId="71C06F7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□履约保证金（银行转账形式）金额为人民币46,000.00元；</w:t>
      </w:r>
    </w:p>
    <w:p w14:paraId="1510AE1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□不可撤销银行履约保函金额为人民币73,600.00元；</w:t>
      </w:r>
    </w:p>
    <w:p w14:paraId="7C9ADA5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履约保证保险凭证金额</w:t>
      </w:r>
      <w:r>
        <w:rPr>
          <w:rFonts w:hint="eastAsia" w:ascii="宋体" w:hAnsi="宋体" w:eastAsia="宋体" w:cs="宋体"/>
          <w:b w:val="0"/>
          <w:bCs w:val="0"/>
          <w:color w:val="auto"/>
          <w:kern w:val="2"/>
          <w:sz w:val="21"/>
          <w:szCs w:val="21"/>
          <w:highlight w:val="none"/>
          <w:lang w:val="en-US" w:eastAsia="zh-CN" w:bidi="ar"/>
        </w:rPr>
        <w:t>为</w:t>
      </w:r>
      <w:r>
        <w:rPr>
          <w:rFonts w:hint="eastAsia" w:ascii="宋体" w:hAnsi="宋体" w:eastAsia="宋体" w:cs="宋体"/>
          <w:color w:val="auto"/>
          <w:kern w:val="2"/>
          <w:sz w:val="21"/>
          <w:szCs w:val="21"/>
          <w:highlight w:val="none"/>
          <w:lang w:val="en-US" w:eastAsia="zh-CN" w:bidi="ar"/>
        </w:rPr>
        <w:t>人民币73,600.00元</w:t>
      </w:r>
      <w:r>
        <w:rPr>
          <w:rFonts w:hint="eastAsia" w:ascii="宋体" w:hAnsi="宋体" w:eastAsia="宋体" w:cs="宋体"/>
          <w:b w:val="0"/>
          <w:bCs w:val="0"/>
          <w:color w:val="auto"/>
          <w:kern w:val="2"/>
          <w:sz w:val="21"/>
          <w:szCs w:val="21"/>
          <w:highlight w:val="none"/>
          <w:lang w:val="en-US" w:eastAsia="zh-CN" w:bidi="ar"/>
        </w:rPr>
        <w:t>；</w:t>
      </w:r>
    </w:p>
    <w:p w14:paraId="1C3576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□担保公司履约担保书金额为人民币92,000.00元。</w:t>
      </w:r>
    </w:p>
    <w:p w14:paraId="3E1F114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2、合同履行过程中，乙方给甲方造成的损失超过履约担保数额的，乙方还应当对超过部分予以赔偿，甲方并依法追究乙方的相应责任。</w:t>
      </w:r>
    </w:p>
    <w:p w14:paraId="37C61D5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3、履约担保用于补偿甲方因乙方不能完成其合同义务而蒙受的损失或其他合同约定的事项。如发生下列任一情况时，甲方有权依合同追究违约责任外，同时有权提取履约担保并进行相应处理：</w:t>
      </w:r>
    </w:p>
    <w:p w14:paraId="13074A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（1）乙方将合同项下乙方的权利义务全部转让给第三方，或未经甲方书面同意将部分权利义务转让给第三方的，甲方有权没收其履约担保。</w:t>
      </w:r>
    </w:p>
    <w:p w14:paraId="3193758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（2）在合同履行期间，乙方怠于履行合同义务，经甲方提出改正，乙方在限期内仍拒不改正的，甲方可依法没收其履约担保。</w:t>
      </w:r>
    </w:p>
    <w:p w14:paraId="76030EC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合同履行期间，因乙方服务质量问题造成损害、侵权损失（包括但不限于甲方经济损失、甲方人员人身财产损失、第三人人身财产损失等）、与其所雇用员工发生劳资纠纷、上访、闹事或其他影响甲方生产经营等情况而其未及时妥善处理的，甲方有权使用履约担保予以支付或作出相应处理，由此产生的一切法律后果由乙方承担。</w:t>
      </w:r>
    </w:p>
    <w:p w14:paraId="73F5D19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（4）在合同履行期间，乙方违约产生的违约金、赔偿、罚款或其他应付费用等款项，甲方有权直接从未付款项中直接扣除或启用履约担保予以支付。</w:t>
      </w:r>
    </w:p>
    <w:p w14:paraId="092C3AF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（5）合同期内，乙方不能及时完成某项合同义务的，甲方有权提取履约担保用于处理该项工作。</w:t>
      </w:r>
    </w:p>
    <w:p w14:paraId="3653A1C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（6）其他根据本合同约定或法律规定，甲方可使用履约担保的情形。</w:t>
      </w:r>
    </w:p>
    <w:p w14:paraId="6389F9E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以履约保证金（银行转账形式）提供履约担保的，在合同期限届满并且乙方完成本合同及本合同下所有补充协议的全部服务义务，甲方向乙方支付全部款项后二十八(28)日后经甲方确认，乙方可向甲方提交退回履约担保的申请。甲方审核无异议后，办理履约担保退还手续，履约担保金余额无息退还乙方。</w:t>
      </w:r>
    </w:p>
    <w:p w14:paraId="6D43702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乙方提供不可撤销银行履约保函（或履约保证保险或担保公司履约担保书）作为履约担保的，不可撤销银行履约保函（或履约保证保险或担保公司履约担保书）应从合同签订之日起(或签订合同前)至合同期限届满并完成合同及补充协议项下全部服务义务，甲方向乙方支付全部款项后二十八(28)日内保持有效。如不可撤销银行履约保函（或履约保证保险或担保公司履约担保书）到期时乙方尚未完成合同及补充协议项下全部服务义务或甲方未支付全部款项,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费用中扣除。</w:t>
      </w:r>
    </w:p>
    <w:p w14:paraId="1C04047A">
      <w:pPr>
        <w:keepNext w:val="0"/>
        <w:keepLines w:val="0"/>
        <w:widowControl/>
        <w:suppressLineNumbers w:val="0"/>
        <w:spacing w:before="0" w:beforeLines="0" w:beforeAutospacing="0" w:after="0" w:afterAutospacing="0" w:line="360" w:lineRule="auto"/>
        <w:ind w:left="0" w:right="0" w:firstLine="420"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23978A3D">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第五条 甲方权利与义务</w:t>
      </w:r>
    </w:p>
    <w:p w14:paraId="0CDFB75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1、甲方有权要求乙方按合同约定提供相关的咨询服务，对乙方不符合本合同约定的行为要求限期整改。</w:t>
      </w:r>
    </w:p>
    <w:p w14:paraId="064BDD5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2、甲方应向乙方提供履行本合同范围内所必需的信息和内部相关资料，对所提供资料的真实性、准确性、合法性与完善性负责，并且甲方需要为乙方提供必要人员安排、场地等现场工作支持。</w:t>
      </w:r>
    </w:p>
    <w:p w14:paraId="44C0DC2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3、为保证项目执行的有效性及连续性，甲方应设置固定的项目负责人。</w:t>
      </w:r>
    </w:p>
    <w:p w14:paraId="791031A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4、甲方的项目负责人为：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0162F18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5、甲方有义务协调和组织各有关方面人员，对乙方项目服务及成果文件予以审核。</w:t>
      </w:r>
    </w:p>
    <w:p w14:paraId="26A77A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6、甲方有权要求乙方对其所提交的成果文件进行解释、说明或解答甲方提出的质询等。</w:t>
      </w:r>
    </w:p>
    <w:p w14:paraId="4392B0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7、在合同履行期间，根据实际需要，甲方有权对服务内容、要求等进行调整，乙方应当遵守执行。</w:t>
      </w:r>
    </w:p>
    <w:p w14:paraId="0F5CC521">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8、如果甲方对乙方项目成员的工作不满意，有权单方要求乙方在指定期限内更换符合要求的项目人员，乙方应遵照执行。</w:t>
      </w:r>
    </w:p>
    <w:p w14:paraId="791614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val="en-US" w:eastAsia="zh-CN" w:bidi="ar"/>
        </w:rPr>
        <w:t>9、甲方有权根据附件所列《考核表》的标准对乙方提供服务的情况进行考核，造价定稿金额400万（含）以上，按项目考核；造价定稿金额400万以下，按季度考核。合同履行期间，甲方有权对附件所列《考核表》进行调整，经双方认可后实施。</w:t>
      </w:r>
    </w:p>
    <w:p w14:paraId="10711B20">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第六条 乙方权利与义务</w:t>
      </w:r>
    </w:p>
    <w:p w14:paraId="4378418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需根据本合同约定的服务内容为甲方提供相应的咨询服务，但因实际情况发生变化导致服务范围有所变更的，乙方亦应予以履行，如由于服务范围变化导致与合同约定的工作内容发生重大变化，双方应协商确定相应的服务费用，在协商一致前乙方有权暂缓该项目。</w:t>
      </w:r>
    </w:p>
    <w:p w14:paraId="41B5E0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2、为保证项目执行的有效性及连续性，乙方应设置固定的项目负责人，其中乙方承诺保障咨询服务的整体高质量与高水平。</w:t>
      </w:r>
    </w:p>
    <w:p w14:paraId="5449FA9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3、乙方的项目负责人为：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0462B14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4、乙方承诺不诱使甲方员工离开甲方或成为乙方雇员。未经甲方事先同意，乙方承诺在甲方场所不开展与本项目无关的工作，不探听、不传播与项目无关的信息，不干扰甲方业务的正常进行。 </w:t>
      </w:r>
    </w:p>
    <w:p w14:paraId="65A7114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5、乙方有义务在合同约定的时间内完成并交付合同约定的各项工作和成果。 </w:t>
      </w:r>
    </w:p>
    <w:p w14:paraId="0F85C74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乙方有义务妥善保管好甲方提供的相关资料（包括书面和电子形式），不得向乙方内部无关人员以及任何第三方泄露有关内容。合同解除/终止后，乙方依然要对上述资料承担保密义务，直至相关信息被依法公开为止。</w:t>
      </w:r>
    </w:p>
    <w:p w14:paraId="6C6797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7、乙方有义务及时回复甲方所提出的与项目有关的问题。</w:t>
      </w:r>
    </w:p>
    <w:p w14:paraId="600ADE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8、乙方人员在甲方公司内活动时，需听从有关人员的安排和引导。</w:t>
      </w:r>
    </w:p>
    <w:p w14:paraId="21D3D1F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9、乙方应对咨询服务的工作量、正确性、完整性、合法性和及时性负责。</w:t>
      </w:r>
    </w:p>
    <w:p w14:paraId="37CF59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10、未经甲方书面同意，乙方不得将本合同或合同项下服务内容全部或部分委托给第三方。</w:t>
      </w:r>
    </w:p>
    <w:p w14:paraId="29B0A50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11、乙方对服务成果文件出现的遗漏或错误应无条件负责修改或补充。</w:t>
      </w:r>
    </w:p>
    <w:p w14:paraId="1EFC17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乙方保证所提供的造价咨询服务均为采用优质的服务资源及工作流程，内容及质量完全符合相关规范、标准及甲方要求。由于乙方的主观原因而造成的差错，如错套定额，点错小数点、重项、漏项、工程量计算错误、高估冒算导致造价失实等，应当向甲方进行赔偿。由于甲方委托资料不完善、不准确而导致的造价偏差，不可算作乙方咨询成果的质量问题。</w:t>
      </w:r>
    </w:p>
    <w:p w14:paraId="55D5936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13、乙方须承诺无条件接受甲方的指导、检查、监督及协调。</w:t>
      </w:r>
    </w:p>
    <w:p w14:paraId="4D649C5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在本合同执行过程中，无论何种原因，乙方均不得消极怠工或拒不履行合同义务（包括但不限于修改成果文件、技术支持、解答释疑、事故处理等），如有违反，甲方有权就违约事宜提出改正，如乙方仍拒不改正的，甲方有权选择解除本服务合同，并追究乙方违约责任，同时有权依法委托有资质的第三方继续履行本合同义务。</w:t>
      </w:r>
    </w:p>
    <w:p w14:paraId="256DF7EF">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第七条 成果文件交付期限及要求</w:t>
      </w:r>
    </w:p>
    <w:p w14:paraId="1F6412D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1、单项造价咨询服务完成时间要求，具体如下：</w:t>
      </w:r>
    </w:p>
    <w:tbl>
      <w:tblPr>
        <w:tblStyle w:val="3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2"/>
        <w:gridCol w:w="1556"/>
        <w:gridCol w:w="1240"/>
        <w:gridCol w:w="1240"/>
        <w:gridCol w:w="1240"/>
        <w:gridCol w:w="2545"/>
        <w:gridCol w:w="851"/>
        <w:gridCol w:w="851"/>
      </w:tblGrid>
      <w:tr w14:paraId="2763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C3045AB">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序号</w:t>
            </w:r>
          </w:p>
        </w:tc>
        <w:tc>
          <w:tcPr>
            <w:tcW w:w="1556" w:type="dxa"/>
            <w:tcBorders>
              <w:top w:val="single" w:color="auto" w:sz="4" w:space="0"/>
              <w:left w:val="nil"/>
              <w:bottom w:val="single" w:color="auto" w:sz="4" w:space="0"/>
              <w:right w:val="single" w:color="auto" w:sz="4" w:space="0"/>
            </w:tcBorders>
            <w:shd w:val="clear" w:color="auto" w:fill="auto"/>
            <w:vAlign w:val="center"/>
          </w:tcPr>
          <w:p w14:paraId="38BE9675">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金额（万元）</w:t>
            </w:r>
          </w:p>
        </w:tc>
        <w:tc>
          <w:tcPr>
            <w:tcW w:w="1240" w:type="dxa"/>
            <w:tcBorders>
              <w:top w:val="single" w:color="auto" w:sz="4" w:space="0"/>
              <w:left w:val="nil"/>
              <w:bottom w:val="single" w:color="auto" w:sz="4" w:space="0"/>
              <w:right w:val="single" w:color="auto" w:sz="4" w:space="0"/>
            </w:tcBorders>
            <w:shd w:val="clear" w:color="auto" w:fill="auto"/>
            <w:vAlign w:val="center"/>
          </w:tcPr>
          <w:p w14:paraId="2BC23C6A">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投资估算审核</w:t>
            </w:r>
          </w:p>
        </w:tc>
        <w:tc>
          <w:tcPr>
            <w:tcW w:w="1240" w:type="dxa"/>
            <w:tcBorders>
              <w:top w:val="single" w:color="auto" w:sz="4" w:space="0"/>
              <w:left w:val="nil"/>
              <w:bottom w:val="single" w:color="auto" w:sz="4" w:space="0"/>
              <w:right w:val="single" w:color="auto" w:sz="4" w:space="0"/>
            </w:tcBorders>
            <w:shd w:val="clear" w:color="auto" w:fill="auto"/>
            <w:vAlign w:val="center"/>
          </w:tcPr>
          <w:p w14:paraId="03A8DB82">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初设概算审核</w:t>
            </w:r>
          </w:p>
        </w:tc>
        <w:tc>
          <w:tcPr>
            <w:tcW w:w="1240" w:type="dxa"/>
            <w:tcBorders>
              <w:top w:val="single" w:color="auto" w:sz="4" w:space="0"/>
              <w:left w:val="nil"/>
              <w:bottom w:val="single" w:color="auto" w:sz="4" w:space="0"/>
              <w:right w:val="single" w:color="auto" w:sz="4" w:space="0"/>
            </w:tcBorders>
            <w:shd w:val="clear" w:color="auto" w:fill="auto"/>
            <w:vAlign w:val="center"/>
          </w:tcPr>
          <w:p w14:paraId="02E5B45F">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招标控制价编制</w:t>
            </w:r>
          </w:p>
        </w:tc>
        <w:tc>
          <w:tcPr>
            <w:tcW w:w="2545" w:type="dxa"/>
            <w:tcBorders>
              <w:top w:val="single" w:color="auto" w:sz="4" w:space="0"/>
              <w:left w:val="nil"/>
              <w:bottom w:val="single" w:color="auto" w:sz="4" w:space="0"/>
              <w:right w:val="single" w:color="auto" w:sz="4" w:space="0"/>
            </w:tcBorders>
            <w:shd w:val="clear" w:color="auto" w:fill="auto"/>
            <w:vAlign w:val="center"/>
          </w:tcPr>
          <w:p w14:paraId="55CB7C08">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施工图预算、变更预算、工程结算审核（或编制）</w:t>
            </w:r>
          </w:p>
        </w:tc>
        <w:tc>
          <w:tcPr>
            <w:tcW w:w="851" w:type="dxa"/>
            <w:tcBorders>
              <w:top w:val="single" w:color="auto" w:sz="4" w:space="0"/>
              <w:left w:val="nil"/>
              <w:bottom w:val="single" w:color="auto" w:sz="4" w:space="0"/>
              <w:right w:val="single" w:color="auto" w:sz="4" w:space="0"/>
            </w:tcBorders>
            <w:shd w:val="clear" w:color="auto" w:fill="auto"/>
            <w:vAlign w:val="center"/>
          </w:tcPr>
          <w:p w14:paraId="2B08D31F">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工程款支付审核</w:t>
            </w:r>
          </w:p>
        </w:tc>
        <w:tc>
          <w:tcPr>
            <w:tcW w:w="851" w:type="dxa"/>
            <w:tcBorders>
              <w:top w:val="single" w:color="auto" w:sz="4" w:space="0"/>
              <w:left w:val="nil"/>
              <w:bottom w:val="single" w:color="auto" w:sz="4" w:space="0"/>
              <w:right w:val="single" w:color="auto" w:sz="4" w:space="0"/>
            </w:tcBorders>
            <w:shd w:val="clear" w:color="auto" w:fill="auto"/>
            <w:vAlign w:val="center"/>
          </w:tcPr>
          <w:p w14:paraId="743A4D48">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货物采购、服务类项目预算编审</w:t>
            </w:r>
          </w:p>
        </w:tc>
      </w:tr>
      <w:tr w14:paraId="5E6C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D5CBE5">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w:t>
            </w:r>
          </w:p>
        </w:tc>
        <w:tc>
          <w:tcPr>
            <w:tcW w:w="1556" w:type="dxa"/>
            <w:tcBorders>
              <w:top w:val="single" w:color="auto" w:sz="4" w:space="0"/>
              <w:left w:val="nil"/>
              <w:bottom w:val="single" w:color="auto" w:sz="4" w:space="0"/>
              <w:right w:val="single" w:color="auto" w:sz="4" w:space="0"/>
            </w:tcBorders>
            <w:shd w:val="clear" w:color="auto" w:fill="auto"/>
            <w:vAlign w:val="center"/>
          </w:tcPr>
          <w:p w14:paraId="3445AE8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500以内</w:t>
            </w:r>
          </w:p>
        </w:tc>
        <w:tc>
          <w:tcPr>
            <w:tcW w:w="1240" w:type="dxa"/>
            <w:tcBorders>
              <w:top w:val="nil"/>
              <w:left w:val="nil"/>
              <w:bottom w:val="single" w:color="auto" w:sz="4" w:space="0"/>
              <w:right w:val="single" w:color="auto" w:sz="4" w:space="0"/>
            </w:tcBorders>
            <w:shd w:val="clear" w:color="auto" w:fill="auto"/>
            <w:vAlign w:val="center"/>
          </w:tcPr>
          <w:p w14:paraId="753901E7">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5工作日</w:t>
            </w:r>
          </w:p>
        </w:tc>
        <w:tc>
          <w:tcPr>
            <w:tcW w:w="1240" w:type="dxa"/>
            <w:tcBorders>
              <w:top w:val="single" w:color="auto" w:sz="4" w:space="0"/>
              <w:left w:val="nil"/>
              <w:bottom w:val="single" w:color="auto" w:sz="4" w:space="0"/>
              <w:right w:val="single" w:color="auto" w:sz="4" w:space="0"/>
            </w:tcBorders>
            <w:shd w:val="clear" w:color="auto" w:fill="auto"/>
            <w:vAlign w:val="center"/>
          </w:tcPr>
          <w:p w14:paraId="3CC400DA">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5工作日</w:t>
            </w:r>
          </w:p>
        </w:tc>
        <w:tc>
          <w:tcPr>
            <w:tcW w:w="1240" w:type="dxa"/>
            <w:tcBorders>
              <w:top w:val="single" w:color="auto" w:sz="4" w:space="0"/>
              <w:left w:val="nil"/>
              <w:bottom w:val="single" w:color="auto" w:sz="4" w:space="0"/>
              <w:right w:val="single" w:color="auto" w:sz="4" w:space="0"/>
            </w:tcBorders>
            <w:shd w:val="clear" w:color="auto" w:fill="auto"/>
            <w:vAlign w:val="center"/>
          </w:tcPr>
          <w:p w14:paraId="7325873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10工作日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12AB9963">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5工作日</w:t>
            </w:r>
          </w:p>
        </w:tc>
        <w:tc>
          <w:tcPr>
            <w:tcW w:w="851" w:type="dxa"/>
            <w:vMerge w:val="restart"/>
            <w:tcBorders>
              <w:top w:val="nil"/>
              <w:left w:val="nil"/>
              <w:bottom w:val="single" w:color="auto" w:sz="4" w:space="0"/>
              <w:right w:val="single" w:color="auto" w:sz="4" w:space="0"/>
            </w:tcBorders>
            <w:shd w:val="clear" w:color="auto" w:fill="auto"/>
            <w:vAlign w:val="center"/>
          </w:tcPr>
          <w:p w14:paraId="69D17E83">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2工作日</w:t>
            </w:r>
          </w:p>
        </w:tc>
        <w:tc>
          <w:tcPr>
            <w:tcW w:w="851" w:type="dxa"/>
            <w:vMerge w:val="restart"/>
            <w:tcBorders>
              <w:top w:val="nil"/>
              <w:left w:val="nil"/>
              <w:bottom w:val="single" w:color="auto" w:sz="4" w:space="0"/>
              <w:right w:val="single" w:color="auto" w:sz="4" w:space="0"/>
            </w:tcBorders>
            <w:shd w:val="clear" w:color="auto" w:fill="auto"/>
            <w:vAlign w:val="center"/>
          </w:tcPr>
          <w:p w14:paraId="3067ABED">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10工作日</w:t>
            </w:r>
          </w:p>
        </w:tc>
      </w:tr>
      <w:tr w14:paraId="7938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59E9A53">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w:t>
            </w:r>
          </w:p>
        </w:tc>
        <w:tc>
          <w:tcPr>
            <w:tcW w:w="1556" w:type="dxa"/>
            <w:tcBorders>
              <w:top w:val="single" w:color="auto" w:sz="4" w:space="0"/>
              <w:left w:val="nil"/>
              <w:bottom w:val="single" w:color="auto" w:sz="4" w:space="0"/>
              <w:right w:val="single" w:color="auto" w:sz="4" w:space="0"/>
            </w:tcBorders>
            <w:shd w:val="clear" w:color="auto" w:fill="auto"/>
            <w:vAlign w:val="center"/>
          </w:tcPr>
          <w:p w14:paraId="3AE7BEE3">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500-2500</w:t>
            </w:r>
          </w:p>
        </w:tc>
        <w:tc>
          <w:tcPr>
            <w:tcW w:w="1240" w:type="dxa"/>
            <w:vMerge w:val="restart"/>
            <w:tcBorders>
              <w:top w:val="nil"/>
              <w:left w:val="nil"/>
              <w:bottom w:val="single" w:color="auto" w:sz="4" w:space="0"/>
              <w:right w:val="single" w:color="auto" w:sz="4" w:space="0"/>
            </w:tcBorders>
            <w:shd w:val="clear" w:color="auto" w:fill="auto"/>
            <w:vAlign w:val="center"/>
          </w:tcPr>
          <w:p w14:paraId="4444295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10工作日</w:t>
            </w:r>
          </w:p>
        </w:tc>
        <w:tc>
          <w:tcPr>
            <w:tcW w:w="1240" w:type="dxa"/>
            <w:vMerge w:val="restart"/>
            <w:tcBorders>
              <w:top w:val="nil"/>
              <w:left w:val="nil"/>
              <w:bottom w:val="single" w:color="auto" w:sz="4" w:space="0"/>
              <w:right w:val="single" w:color="auto" w:sz="4" w:space="0"/>
            </w:tcBorders>
            <w:shd w:val="clear" w:color="auto" w:fill="auto"/>
            <w:vAlign w:val="center"/>
          </w:tcPr>
          <w:p w14:paraId="51653B49">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15工作日</w:t>
            </w:r>
          </w:p>
        </w:tc>
        <w:tc>
          <w:tcPr>
            <w:tcW w:w="1240" w:type="dxa"/>
            <w:tcBorders>
              <w:top w:val="single" w:color="auto" w:sz="4" w:space="0"/>
              <w:left w:val="nil"/>
              <w:bottom w:val="single" w:color="auto" w:sz="4" w:space="0"/>
              <w:right w:val="single" w:color="auto" w:sz="4" w:space="0"/>
            </w:tcBorders>
            <w:shd w:val="clear" w:color="auto" w:fill="auto"/>
            <w:vAlign w:val="center"/>
          </w:tcPr>
          <w:p w14:paraId="4C6B78CD">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10工作日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6088B342">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18工作日</w:t>
            </w:r>
          </w:p>
        </w:tc>
        <w:tc>
          <w:tcPr>
            <w:tcW w:w="851" w:type="dxa"/>
            <w:vMerge w:val="continue"/>
            <w:tcBorders>
              <w:top w:val="nil"/>
              <w:left w:val="nil"/>
              <w:bottom w:val="single" w:color="auto" w:sz="4" w:space="0"/>
              <w:right w:val="single" w:color="auto" w:sz="4" w:space="0"/>
            </w:tcBorders>
            <w:shd w:val="clear" w:color="auto" w:fill="auto"/>
            <w:vAlign w:val="center"/>
          </w:tcPr>
          <w:p w14:paraId="7DE0813B">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851" w:type="dxa"/>
            <w:vMerge w:val="continue"/>
            <w:tcBorders>
              <w:top w:val="nil"/>
              <w:left w:val="nil"/>
              <w:bottom w:val="single" w:color="auto" w:sz="4" w:space="0"/>
              <w:right w:val="single" w:color="auto" w:sz="4" w:space="0"/>
            </w:tcBorders>
            <w:shd w:val="clear" w:color="auto" w:fill="auto"/>
            <w:vAlign w:val="center"/>
          </w:tcPr>
          <w:p w14:paraId="106DF489">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r>
      <w:tr w14:paraId="48E2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AC3152E">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3</w:t>
            </w:r>
          </w:p>
        </w:tc>
        <w:tc>
          <w:tcPr>
            <w:tcW w:w="1556" w:type="dxa"/>
            <w:tcBorders>
              <w:top w:val="single" w:color="auto" w:sz="4" w:space="0"/>
              <w:left w:val="nil"/>
              <w:bottom w:val="single" w:color="auto" w:sz="4" w:space="0"/>
              <w:right w:val="single" w:color="auto" w:sz="4" w:space="0"/>
            </w:tcBorders>
            <w:shd w:val="clear" w:color="auto" w:fill="auto"/>
            <w:vAlign w:val="center"/>
          </w:tcPr>
          <w:p w14:paraId="533289F5">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2500-5000</w:t>
            </w:r>
          </w:p>
        </w:tc>
        <w:tc>
          <w:tcPr>
            <w:tcW w:w="1240" w:type="dxa"/>
            <w:vMerge w:val="continue"/>
            <w:tcBorders>
              <w:top w:val="nil"/>
              <w:left w:val="nil"/>
              <w:bottom w:val="single" w:color="auto" w:sz="4" w:space="0"/>
              <w:right w:val="single" w:color="auto" w:sz="4" w:space="0"/>
            </w:tcBorders>
            <w:shd w:val="clear" w:color="auto" w:fill="auto"/>
            <w:vAlign w:val="center"/>
          </w:tcPr>
          <w:p w14:paraId="6B280A9D">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240" w:type="dxa"/>
            <w:vMerge w:val="continue"/>
            <w:tcBorders>
              <w:top w:val="nil"/>
              <w:left w:val="nil"/>
              <w:bottom w:val="single" w:color="auto" w:sz="4" w:space="0"/>
              <w:right w:val="single" w:color="auto" w:sz="4" w:space="0"/>
            </w:tcBorders>
            <w:shd w:val="clear" w:color="auto" w:fill="auto"/>
            <w:vAlign w:val="center"/>
          </w:tcPr>
          <w:p w14:paraId="22036A9A">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51D24E78">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12工作日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30C27E46">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20工作日</w:t>
            </w:r>
          </w:p>
        </w:tc>
        <w:tc>
          <w:tcPr>
            <w:tcW w:w="851" w:type="dxa"/>
            <w:vMerge w:val="continue"/>
            <w:tcBorders>
              <w:top w:val="nil"/>
              <w:left w:val="nil"/>
              <w:bottom w:val="single" w:color="auto" w:sz="4" w:space="0"/>
              <w:right w:val="single" w:color="auto" w:sz="4" w:space="0"/>
            </w:tcBorders>
            <w:shd w:val="clear" w:color="auto" w:fill="auto"/>
            <w:vAlign w:val="center"/>
          </w:tcPr>
          <w:p w14:paraId="4860FECF">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851" w:type="dxa"/>
            <w:vMerge w:val="continue"/>
            <w:tcBorders>
              <w:top w:val="nil"/>
              <w:left w:val="nil"/>
              <w:bottom w:val="single" w:color="auto" w:sz="4" w:space="0"/>
              <w:right w:val="single" w:color="auto" w:sz="4" w:space="0"/>
            </w:tcBorders>
            <w:shd w:val="clear" w:color="auto" w:fill="auto"/>
            <w:vAlign w:val="center"/>
          </w:tcPr>
          <w:p w14:paraId="1F9AE087">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r>
      <w:tr w14:paraId="23A1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C839E4">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4</w:t>
            </w:r>
          </w:p>
        </w:tc>
        <w:tc>
          <w:tcPr>
            <w:tcW w:w="1556" w:type="dxa"/>
            <w:tcBorders>
              <w:top w:val="single" w:color="auto" w:sz="4" w:space="0"/>
              <w:left w:val="nil"/>
              <w:bottom w:val="single" w:color="auto" w:sz="4" w:space="0"/>
              <w:right w:val="single" w:color="auto" w:sz="4" w:space="0"/>
            </w:tcBorders>
            <w:shd w:val="clear" w:color="auto" w:fill="auto"/>
            <w:vAlign w:val="center"/>
          </w:tcPr>
          <w:p w14:paraId="330277B2">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5000-10000</w:t>
            </w:r>
          </w:p>
        </w:tc>
        <w:tc>
          <w:tcPr>
            <w:tcW w:w="1240" w:type="dxa"/>
            <w:vMerge w:val="continue"/>
            <w:tcBorders>
              <w:top w:val="nil"/>
              <w:left w:val="nil"/>
              <w:bottom w:val="single" w:color="auto" w:sz="4" w:space="0"/>
              <w:right w:val="single" w:color="auto" w:sz="4" w:space="0"/>
            </w:tcBorders>
            <w:shd w:val="clear" w:color="auto" w:fill="auto"/>
            <w:vAlign w:val="center"/>
          </w:tcPr>
          <w:p w14:paraId="5288BAA4">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240" w:type="dxa"/>
            <w:vMerge w:val="continue"/>
            <w:tcBorders>
              <w:top w:val="nil"/>
              <w:left w:val="nil"/>
              <w:bottom w:val="single" w:color="auto" w:sz="4" w:space="0"/>
              <w:right w:val="single" w:color="auto" w:sz="4" w:space="0"/>
            </w:tcBorders>
            <w:shd w:val="clear" w:color="auto" w:fill="auto"/>
            <w:vAlign w:val="center"/>
          </w:tcPr>
          <w:p w14:paraId="36823611">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760773F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16工作日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22329328">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26工作日</w:t>
            </w:r>
          </w:p>
        </w:tc>
        <w:tc>
          <w:tcPr>
            <w:tcW w:w="851" w:type="dxa"/>
            <w:vMerge w:val="continue"/>
            <w:tcBorders>
              <w:top w:val="nil"/>
              <w:left w:val="nil"/>
              <w:bottom w:val="single" w:color="auto" w:sz="4" w:space="0"/>
              <w:right w:val="single" w:color="auto" w:sz="4" w:space="0"/>
            </w:tcBorders>
            <w:shd w:val="clear" w:color="auto" w:fill="auto"/>
            <w:vAlign w:val="center"/>
          </w:tcPr>
          <w:p w14:paraId="6C0D530E">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851" w:type="dxa"/>
            <w:vMerge w:val="continue"/>
            <w:tcBorders>
              <w:top w:val="nil"/>
              <w:left w:val="nil"/>
              <w:bottom w:val="single" w:color="auto" w:sz="4" w:space="0"/>
              <w:right w:val="single" w:color="auto" w:sz="4" w:space="0"/>
            </w:tcBorders>
            <w:shd w:val="clear" w:color="auto" w:fill="auto"/>
            <w:vAlign w:val="center"/>
          </w:tcPr>
          <w:p w14:paraId="651AD4B7">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r>
      <w:tr w14:paraId="7CE9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260B698">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w:t>
            </w:r>
          </w:p>
        </w:tc>
        <w:tc>
          <w:tcPr>
            <w:tcW w:w="1556" w:type="dxa"/>
            <w:tcBorders>
              <w:top w:val="single" w:color="auto" w:sz="4" w:space="0"/>
              <w:left w:val="nil"/>
              <w:bottom w:val="single" w:color="auto" w:sz="4" w:space="0"/>
              <w:right w:val="single" w:color="auto" w:sz="4" w:space="0"/>
            </w:tcBorders>
            <w:shd w:val="clear" w:color="auto" w:fill="auto"/>
            <w:vAlign w:val="center"/>
          </w:tcPr>
          <w:p w14:paraId="078EF689">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&gt;10000</w:t>
            </w:r>
          </w:p>
        </w:tc>
        <w:tc>
          <w:tcPr>
            <w:tcW w:w="1240" w:type="dxa"/>
            <w:vMerge w:val="continue"/>
            <w:tcBorders>
              <w:top w:val="nil"/>
              <w:left w:val="nil"/>
              <w:bottom w:val="single" w:color="auto" w:sz="4" w:space="0"/>
              <w:right w:val="single" w:color="auto" w:sz="4" w:space="0"/>
            </w:tcBorders>
            <w:shd w:val="clear" w:color="auto" w:fill="auto"/>
            <w:vAlign w:val="center"/>
          </w:tcPr>
          <w:p w14:paraId="77A2B342">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240" w:type="dxa"/>
            <w:vMerge w:val="continue"/>
            <w:tcBorders>
              <w:top w:val="nil"/>
              <w:left w:val="nil"/>
              <w:bottom w:val="single" w:color="auto" w:sz="4" w:space="0"/>
              <w:right w:val="single" w:color="auto" w:sz="4" w:space="0"/>
            </w:tcBorders>
            <w:shd w:val="clear" w:color="auto" w:fill="auto"/>
            <w:vAlign w:val="center"/>
          </w:tcPr>
          <w:p w14:paraId="30E40B7B">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01E8B128">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18工作日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20B5035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28工作日</w:t>
            </w:r>
          </w:p>
        </w:tc>
        <w:tc>
          <w:tcPr>
            <w:tcW w:w="851" w:type="dxa"/>
            <w:vMerge w:val="continue"/>
            <w:tcBorders>
              <w:top w:val="nil"/>
              <w:left w:val="nil"/>
              <w:bottom w:val="single" w:color="auto" w:sz="4" w:space="0"/>
              <w:right w:val="single" w:color="auto" w:sz="4" w:space="0"/>
            </w:tcBorders>
            <w:shd w:val="clear" w:color="auto" w:fill="auto"/>
            <w:vAlign w:val="center"/>
          </w:tcPr>
          <w:p w14:paraId="0DC3022D">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851" w:type="dxa"/>
            <w:vMerge w:val="continue"/>
            <w:tcBorders>
              <w:top w:val="nil"/>
              <w:left w:val="nil"/>
              <w:bottom w:val="single" w:color="auto" w:sz="4" w:space="0"/>
              <w:right w:val="single" w:color="auto" w:sz="4" w:space="0"/>
            </w:tcBorders>
            <w:shd w:val="clear" w:color="auto" w:fill="auto"/>
            <w:vAlign w:val="center"/>
          </w:tcPr>
          <w:p w14:paraId="48A850BF">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r>
    </w:tbl>
    <w:p w14:paraId="103B69B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2、以上时限为乙方完成单项工程造价咨询服务并向甲方正式报出初稿成果文件的时间。甲方有权根据单项工作实际情况，要求乙方加快完成相关工作，乙方应予以配合。</w:t>
      </w:r>
    </w:p>
    <w:p w14:paraId="7BA8710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3、在履约期间，如甲方的委托资料不齐全或甲方对乙方所提出的问题不能及时核对或答复，则乙方的服务期限可相应顺延，并不因此承担违约责任。</w:t>
      </w:r>
    </w:p>
    <w:p w14:paraId="1E5A84D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4、成果文件的交付数量及要求。</w:t>
      </w:r>
    </w:p>
    <w:p w14:paraId="68BA3B8E">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（1）结算审核业务的成果文件需包含《项目造价审核表》、《结算审核书》、《审核说明》及项目报表。</w:t>
      </w:r>
    </w:p>
    <w:p w14:paraId="222E601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（2）估算编审、概算编审、预算编审业务的成果文件需包含封面、编制说明及项目报表。如根据图纸算量需提供工程量计算底稿电子版。</w:t>
      </w:r>
    </w:p>
    <w:p w14:paraId="2E8672A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（3）通过询价方式编制的货物采购、服务类招标控制价，需提供询价过程资料、询价单位清单、招标控制价编制情况说明等资料。</w:t>
      </w:r>
    </w:p>
    <w:p w14:paraId="1068A161">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（4）乙方向甲方提交的初稿成果文件，需包含电子版（包括广联达、Excel、Word等可编辑格式）及成果扫描版一套，无需提交纸质版。</w:t>
      </w:r>
    </w:p>
    <w:p w14:paraId="5D3871B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（5）乙方向甲方提交的终稿成果文件，需包含电子版（包括广联达、Excel、Word等可编辑格式）及经甲方审核确认的成果扫描版一套，纸质成果文件三套。</w:t>
      </w:r>
    </w:p>
    <w:p w14:paraId="5AB3E8F7">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5、成果验收</w:t>
      </w:r>
    </w:p>
    <w:p w14:paraId="5ECBC5E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（1）验收标准：甲方按照本合同约定的服务内容对终稿成果文件进行验收。乙方提交的终稿成果文件须符合本合同约定的要求，且须经甲方确认后即视为验收合格。</w:t>
      </w:r>
    </w:p>
    <w:p w14:paraId="07FF3B1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（2）甲方对服务成果的验收不能免除乙方应承担的质量责任。</w:t>
      </w:r>
    </w:p>
    <w:p w14:paraId="58BF68D7">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第八条 服务要求</w:t>
      </w:r>
    </w:p>
    <w:p w14:paraId="54239E36">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国家和省、市有关工程造价的法规、政策、文件、以及基建财务管理的有关规定，本着为甲方节约投资的原则，科学、客观、公正地开展工程造价咨询服务工作；应按甲方的要求，按时按质按量提供咨询报告，对成果报告的真实性、准确性、完整性、合法性、合理性负责，并负有保密责任。</w:t>
      </w:r>
    </w:p>
    <w:p w14:paraId="769CAB1B">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根据甲方的委托，编制和审核的工程概预算(含最高限价)、招标工程量清单应确保结果完整、科学、准确，符合工程项目的实际情况和国家有关工程计价规范；招标工程量清单设置要科学、合理，不得有高估冒算、虚列项目，也不得有漏项漏量、重项错量等错误，如有上述错误，应负相应的责任。</w:t>
      </w:r>
    </w:p>
    <w:p w14:paraId="42FBFBF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3、在编制和审核工程概预算(含最高限价)、招标工程量清单时，如甲方有相关需求，乙方须对项目的设计方案作出技术经济分析，并向甲方提出优化方案和合理化建议。</w:t>
      </w:r>
    </w:p>
    <w:p w14:paraId="17C2269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要坚持科学准确、客观真实、公平公正、合理合法、廉洁高效的原则，审核工程竣工结算。必须及时配合甲方解决结算审核中存在的技术问题，在服务过程中，如发现计价原则方法的确定、重大的签证审核以及工程管理中存在违规行为要及时向甲方反映，不得擅自作出处理，要对项目的全过程管理依法作出正确的评价。</w:t>
      </w:r>
    </w:p>
    <w:p w14:paraId="1406CEA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5、对存有疑问的地方，应配合甲方深入现场调查取证，逐一核实，按实际情况调整，保证工程造价咨询服务成果文件的合理性和真实性。重要的材料或设备价格，应及时与甲方沟通，协商确定合理的价格。</w:t>
      </w:r>
    </w:p>
    <w:p w14:paraId="44CDF08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6、配合甲方做好编审依据的收集及取证工作，所有的编审依据必须是有效的书面资料， 并妥善保存。</w:t>
      </w:r>
    </w:p>
    <w:p w14:paraId="325646FE">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7、不得接受同一项目不同委托人的造价咨询服务委托，即就同一项目既接受招标人的委托，又接受项目投标供应商、承包单位等相对利益关系人的委托。</w:t>
      </w:r>
    </w:p>
    <w:p w14:paraId="46497F90">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8、项目的结果未经甲方许可，不得泄露给他人。乙方应对受托任务涉及的有关资料、内容、成果以及结论承担保密的义务。</w:t>
      </w:r>
    </w:p>
    <w:p w14:paraId="3C2471C7">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9、对于甲方要求乙方驻场服务的项目，乙方有义务派出专业的人员驻场服务，服务场地由甲方提供。</w:t>
      </w:r>
    </w:p>
    <w:p w14:paraId="7311EBC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10、人员要求</w:t>
      </w:r>
    </w:p>
    <w:p w14:paraId="2C5D018D">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（1）拟投入本项目的技术负责人(仅一人)须具有一级造价工程师注册证书，并具有工程类相关高级专业技术职称。</w:t>
      </w:r>
    </w:p>
    <w:p w14:paraId="2A2121E7">
      <w:pPr>
        <w:pStyle w:val="16"/>
        <w:widowControl/>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（2）拟投入本项目的服务团队(除技术负责人外)取得二级或以上造价工程师注册证书的人员应不少于6人。</w:t>
      </w:r>
    </w:p>
    <w:p w14:paraId="289958F2">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val="en-US" w:eastAsia="zh-CN" w:bidi="ar"/>
        </w:rPr>
        <w:t>第九条 知识产权</w:t>
      </w:r>
    </w:p>
    <w:p w14:paraId="0A70596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在提供造价咨询服务过程中，涉及所承接项目的相关技术资料、图表、服务成果所有权及知识产权均属于甲方，且乙方保证，甲方在使用本合同项下由乙方提供的造价咨询服务成果时，免受第三方提出的侵犯其专利权、商标权、著作权或其他知识产权的起诉，否则，乙方应向甲方支付违约金20,000.00元，同时还应由乙方负责处理并承担相应的责任，并赔偿甲方因此遭受的损失（包括但不限于律师费、诉讼费、执行费、保全费、公证费、鉴定费等）。如因此导致甲方无法使用服务成果的，乙方应退还甲方已支付的全部费用。在不侵犯双方利益的情况下，双方可保留相关技术资料文件以及成果文件等，以备主管部门核查。</w:t>
      </w:r>
    </w:p>
    <w:p w14:paraId="32D56BDF">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第十条  违约责任</w:t>
      </w:r>
    </w:p>
    <w:p w14:paraId="74D15A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在本合同履行期间，甲方因实际情况发生变化，需取消已委派的项目时，若乙方还未开展实际咨询工作的，甲方无需向乙方支付咨询费用；若乙方已开展实际咨询工作的，甲方应按乙方实际完成并经甲方审核确认的工作量支付咨询费用，具体费用由双方协商确定。</w:t>
      </w:r>
    </w:p>
    <w:p w14:paraId="5114371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2、合同履行期间，甲方有权根据《考核表》扣分情况，累计出现3次单个项目扣分达到20分或单次考核扣分达到40分时甲方有权解除本合同，给甲方造成损失的，乙方还应足额赔偿甲方。</w:t>
      </w:r>
    </w:p>
    <w:p w14:paraId="1D29EC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本合同履行期间，乙方违反本合同或单项合同等约定的，甲方有权就违约事宜提出改正，如乙方拒不改正的，甲方有权要求乙方承担人民币20,000.00元的违约金，同时保留解除本合同或单项合同的权利。如甲方选择解除本合同或单项合同的，乙方还应按具体单项项目相应服务费用的20%向甲方支付违约金。如违约金不足以弥补甲方损失的，甲方有权另行追偿。</w:t>
      </w:r>
    </w:p>
    <w:p w14:paraId="583D394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4、在本合同履行期间，无特殊情况，乙方不得拒绝接受任务，否则，甲方有权解除本合同。</w:t>
      </w:r>
    </w:p>
    <w:p w14:paraId="41B0F9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乙方对项目成果出现的遗漏或错误，应无条件负责修改或补充。乙方怠于修改、补充或经修订仍不符合甲方要求的，不能通过甲方验收确认的，甲方有权不予支付该项目的咨询费用，并要求乙方支付相当于该项目造价咨询服务费20%的违约金。</w:t>
      </w:r>
    </w:p>
    <w:p w14:paraId="647750A8">
      <w:pPr>
        <w:pStyle w:val="33"/>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合同履行期间，乙方存在如下情形之一的，甲方有权书面通知乙方单方解除本合同，取消乙方服务资格，并要求乙方承担人民币20,000.00元的违约金，给甲方造成损失的，乙方还应足额赔偿甲方。甲方有权按相关法律法规追究其相应责任：</w:t>
      </w:r>
    </w:p>
    <w:p w14:paraId="6EB20B52">
      <w:pPr>
        <w:pStyle w:val="33"/>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（1）提供虚假信息、误导或欺骗甲方或相关用户单位，以谋取非法利益的；</w:t>
      </w:r>
    </w:p>
    <w:p w14:paraId="7FACD16F">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（2）违反诚信信用原则，没有严格执行相关质量、服务和收费标准，损害甲方或相关用户单位的利益的；</w:t>
      </w:r>
    </w:p>
    <w:p w14:paraId="6A80CCB2">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（3）违反有关法律法规以及本合同的约定，损害甲方利益的；</w:t>
      </w:r>
    </w:p>
    <w:p w14:paraId="5107E048">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（4）拒绝接受甲方及相关部门监督、检查的；</w:t>
      </w:r>
    </w:p>
    <w:p w14:paraId="35C46B17">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（5）出现信用危机、财务危机、生产经营危机甚至破产、倒闭，无法继续履行本合同的；</w:t>
      </w:r>
    </w:p>
    <w:p w14:paraId="68909547">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（6）采用非法手段进行不正当竞争的，构成恶劣影响；</w:t>
      </w:r>
    </w:p>
    <w:p w14:paraId="5C329C63">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（7）资质被降或者吊销的；</w:t>
      </w:r>
    </w:p>
    <w:p w14:paraId="2FA0507A">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（8）因违法国家有关法律法规，被相关行政部门或甲方通报的；</w:t>
      </w:r>
    </w:p>
    <w:p w14:paraId="6E3CD9DE">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（9）泄露服务项目内容的；</w:t>
      </w:r>
    </w:p>
    <w:p w14:paraId="74AFB624">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（10）未经甲方书面同意，将本合同或项下服务合同全部或部分转让给第三方的。</w:t>
      </w:r>
    </w:p>
    <w:p w14:paraId="11F8A1CC">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7、乙方因违约所产生的违约金、赔偿金等乙方应支付的所有费用，甲方有权从应付服务费用中直接抵扣。</w:t>
      </w:r>
    </w:p>
    <w:p w14:paraId="18AF264C">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第十一条 合同变更与终止</w:t>
      </w:r>
    </w:p>
    <w:p w14:paraId="574C74D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1、一方要求变更或解除合同时，应当至少提前5个工作日通知对方，因变更或解除合同使一方遭受损失的，应由责任方负责赔偿。</w:t>
      </w:r>
    </w:p>
    <w:p w14:paraId="1AB26B0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2、变更或解除合同的通知或协议应当采取书面形式。</w:t>
      </w:r>
    </w:p>
    <w:p w14:paraId="518B3949">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第十二条 不可抗力</w:t>
      </w:r>
    </w:p>
    <w:p w14:paraId="62DDF57C">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1、由于不可抗力因素（指疫情、火灾、地震、洪水、战争等）使乙方不能在合同规定的期限内提供服务时，乙方必须立即以书面形式通知甲方，并向甲方提供有关政府机关所出具的不可抗力因素证明。</w:t>
      </w:r>
    </w:p>
    <w:p w14:paraId="6E5745C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完全不能履约，并在30天内不能恢复履约，则任何一方可提出终止合同，互不承担违约责任。</w:t>
      </w:r>
    </w:p>
    <w:p w14:paraId="52685663">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第十三条 其他</w:t>
      </w:r>
    </w:p>
    <w:p w14:paraId="3E2583B5">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1、本合同自双方法定代表人或负责人签字并盖章之日起生效至合同项下全部义务履行完毕时终止。</w:t>
      </w:r>
    </w:p>
    <w:p w14:paraId="621877E0">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2、本合同签订前乙方已根据甲方要求开展的造价咨询服务，经甲方审核无误后可纳入本合同约定的服务范围并按本合同约定计算服务费用。</w:t>
      </w:r>
    </w:p>
    <w:p w14:paraId="5525A11C">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3、合同期内，甲方可根据委托项目实际情况与乙方签订单项服务合同，合同约定按单项服务合同为准。</w:t>
      </w:r>
    </w:p>
    <w:p w14:paraId="2E673A1C">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4、因签订及履行本合同发生的争议，双方应当协商解决；如未能达成一致，可提交有关主管部门调解；协商或调解不成的，任何一方均可向甲方所在地有管辖权的人民法院提起诉讼。</w:t>
      </w:r>
    </w:p>
    <w:p w14:paraId="2D4E5BCE">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5、本合同仅作为乙方在本合同期限内取得甲方分配具体单项造价项目的资格，但并不代表乙方必然取得具体单项造价项目服务的权利。</w:t>
      </w:r>
    </w:p>
    <w:p w14:paraId="275FE598">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6、本合同如有未尽事宜，由甲、乙双方订立补充协议，补充协议与本合同同具法律效力。</w:t>
      </w:r>
    </w:p>
    <w:p w14:paraId="0A8C484D">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7、本合同所列之附件，均与本合同同具法律效力，</w:t>
      </w:r>
    </w:p>
    <w:p w14:paraId="72230744">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8、本合同一式</w:t>
      </w:r>
      <w:r>
        <w:rPr>
          <w:rFonts w:hint="eastAsia" w:ascii="宋体" w:hAnsi="宋体" w:eastAsia="宋体" w:cs="宋体"/>
          <w:color w:val="auto"/>
          <w:kern w:val="2"/>
          <w:sz w:val="21"/>
          <w:szCs w:val="21"/>
          <w:highlight w:val="none"/>
          <w:u w:val="single"/>
          <w:lang w:val="en-US" w:eastAsia="zh-CN" w:bidi="ar"/>
        </w:rPr>
        <w:t>陆</w:t>
      </w:r>
      <w:r>
        <w:rPr>
          <w:rFonts w:hint="eastAsia" w:ascii="宋体" w:hAnsi="宋体" w:eastAsia="宋体" w:cs="宋体"/>
          <w:color w:val="auto"/>
          <w:kern w:val="2"/>
          <w:sz w:val="21"/>
          <w:szCs w:val="21"/>
          <w:highlight w:val="none"/>
          <w:lang w:val="en-US" w:eastAsia="zh-CN" w:bidi="ar"/>
        </w:rPr>
        <w:t>份，甲方</w:t>
      </w:r>
      <w:r>
        <w:rPr>
          <w:rFonts w:hint="eastAsia" w:ascii="宋体" w:hAnsi="宋体" w:eastAsia="宋体" w:cs="宋体"/>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lang w:val="en-US" w:eastAsia="zh-CN" w:bidi="ar"/>
        </w:rPr>
        <w:t>份、乙方</w:t>
      </w:r>
      <w:r>
        <w:rPr>
          <w:rFonts w:hint="eastAsia" w:ascii="宋体" w:hAnsi="宋体" w:eastAsia="宋体" w:cs="宋体"/>
          <w:color w:val="auto"/>
          <w:kern w:val="2"/>
          <w:sz w:val="21"/>
          <w:szCs w:val="21"/>
          <w:highlight w:val="none"/>
          <w:u w:val="single"/>
          <w:lang w:val="en-US" w:eastAsia="zh-CN" w:bidi="ar"/>
        </w:rPr>
        <w:t>贰</w:t>
      </w:r>
      <w:r>
        <w:rPr>
          <w:rFonts w:hint="eastAsia" w:ascii="宋体" w:hAnsi="宋体" w:eastAsia="宋体" w:cs="宋体"/>
          <w:color w:val="auto"/>
          <w:kern w:val="2"/>
          <w:sz w:val="21"/>
          <w:szCs w:val="21"/>
          <w:highlight w:val="none"/>
          <w:lang w:val="en-US" w:eastAsia="zh-CN" w:bidi="ar"/>
        </w:rPr>
        <w:t>份，具有同等法律效力。</w:t>
      </w:r>
    </w:p>
    <w:p w14:paraId="42797B3B">
      <w:pPr>
        <w:pStyle w:val="3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 </w:t>
      </w:r>
    </w:p>
    <w:p w14:paraId="62587E4B">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合同附件：</w:t>
      </w:r>
    </w:p>
    <w:p w14:paraId="3744DF40">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1、《广东省建设工程造价咨询服务收费标准》(粤价函(2011)742号)</w:t>
      </w:r>
    </w:p>
    <w:p w14:paraId="682686E1">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2、考核表</w:t>
      </w:r>
    </w:p>
    <w:p w14:paraId="10F8CD01">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3、廉洁协议书</w:t>
      </w:r>
    </w:p>
    <w:p w14:paraId="239B4A14">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78F435D">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B64795">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b/>
          <w:bCs/>
          <w:color w:val="auto"/>
          <w:spacing w:val="2"/>
          <w:kern w:val="2"/>
          <w:sz w:val="21"/>
          <w:szCs w:val="21"/>
          <w:highlight w:val="none"/>
        </w:rPr>
      </w:pPr>
      <w:r>
        <w:rPr>
          <w:rFonts w:hint="eastAsia" w:ascii="宋体" w:hAnsi="宋体" w:eastAsia="宋体" w:cs="宋体"/>
          <w:b/>
          <w:bCs/>
          <w:color w:val="auto"/>
          <w:spacing w:val="2"/>
          <w:kern w:val="2"/>
          <w:sz w:val="21"/>
          <w:szCs w:val="21"/>
          <w:highlight w:val="none"/>
          <w:lang w:val="en-US" w:eastAsia="zh-CN" w:bidi="ar"/>
        </w:rPr>
        <w:t>（以下无正文，为本合同的签署页/栏）</w:t>
      </w:r>
    </w:p>
    <w:p w14:paraId="03D441AD">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      方：（盖章）</w:t>
      </w:r>
    </w:p>
    <w:p w14:paraId="07660C0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法定代表人（或授权代表）：</w:t>
      </w:r>
    </w:p>
    <w:p w14:paraId="339B3D1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电      话：                       </w:t>
      </w:r>
    </w:p>
    <w:p w14:paraId="7B22F72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      址：    </w:t>
      </w:r>
    </w:p>
    <w:p w14:paraId="58DD252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 订 日期：   年   月   日              </w:t>
      </w:r>
    </w:p>
    <w:p w14:paraId="4A3C4C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745DD15">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      方：（盖章）</w:t>
      </w:r>
    </w:p>
    <w:p w14:paraId="596F35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法定代表人（或授权代表）：</w:t>
      </w:r>
    </w:p>
    <w:p w14:paraId="6D9E9B8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p>
    <w:p w14:paraId="33F992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w:t>
      </w:r>
    </w:p>
    <w:p w14:paraId="1D04CED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
        </w:rPr>
        <w:t xml:space="preserve">签 订 日 期：   年   月   </w:t>
      </w:r>
    </w:p>
    <w:p w14:paraId="1A255BC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lang w:val="en-US" w:eastAsia="zh-CN" w:bidi="ar"/>
        </w:rPr>
        <w:sectPr>
          <w:pgSz w:w="11906" w:h="16838"/>
          <w:pgMar w:top="1440" w:right="866" w:bottom="1440" w:left="960" w:header="851" w:footer="992" w:gutter="0"/>
          <w:cols w:space="0" w:num="1"/>
          <w:titlePg/>
          <w:rtlGutter w:val="0"/>
          <w:docGrid w:type="lines" w:linePitch="312" w:charSpace="0"/>
        </w:sectPr>
      </w:pPr>
    </w:p>
    <w:p w14:paraId="19A37310">
      <w:pPr>
        <w:pStyle w:val="33"/>
        <w:keepNext w:val="0"/>
        <w:keepLines w:val="0"/>
        <w:widowControl/>
        <w:suppressLineNumbers w:val="0"/>
        <w:topLinePunct/>
        <w:autoSpaceDE w:val="0"/>
        <w:autoSpaceDN/>
        <w:adjustRightInd w:val="0"/>
        <w:snapToGrid w:val="0"/>
        <w:spacing w:before="81" w:beforeAutospacing="0" w:after="120" w:afterAutospacing="0"/>
        <w:ind w:left="20" w:right="0"/>
        <w:jc w:val="both"/>
        <w:textAlignment w:val="baseline"/>
        <w:rPr>
          <w:rFonts w:hint="eastAsia" w:ascii="宋体" w:hAnsi="宋体" w:eastAsia="宋体" w:cs="宋体"/>
          <w:b/>
          <w:bCs/>
          <w:color w:val="auto"/>
          <w:spacing w:val="7"/>
          <w:kern w:val="2"/>
          <w:sz w:val="21"/>
          <w:szCs w:val="21"/>
          <w:highlight w:val="none"/>
          <w:vertAlign w:val="baseline"/>
        </w:rPr>
      </w:pPr>
      <w:r>
        <w:rPr>
          <w:rFonts w:hint="eastAsia" w:ascii="宋体" w:hAnsi="宋体" w:eastAsia="宋体" w:cs="宋体"/>
          <w:color w:val="auto"/>
          <w:spacing w:val="7"/>
          <w:kern w:val="2"/>
          <w:sz w:val="21"/>
          <w:szCs w:val="21"/>
          <w:highlight w:val="none"/>
          <w:vertAlign w:val="baseline"/>
          <w:lang w:val="en-US" w:eastAsia="zh-CN" w:bidi="ar"/>
        </w:rPr>
        <w:t>附件1.</w:t>
      </w:r>
    </w:p>
    <w:p w14:paraId="393DCEAF">
      <w:pPr>
        <w:pStyle w:val="33"/>
        <w:keepNext w:val="0"/>
        <w:keepLines w:val="0"/>
        <w:widowControl/>
        <w:suppressLineNumbers w:val="0"/>
        <w:topLinePunct/>
        <w:autoSpaceDE w:val="0"/>
        <w:autoSpaceDN/>
        <w:adjustRightInd w:val="0"/>
        <w:snapToGrid w:val="0"/>
        <w:spacing w:before="81" w:beforeAutospacing="0" w:after="120" w:afterAutospacing="0"/>
        <w:ind w:left="20" w:right="0"/>
        <w:jc w:val="center"/>
        <w:textAlignment w:val="baseline"/>
        <w:rPr>
          <w:rFonts w:hint="eastAsia" w:ascii="宋体" w:hAnsi="宋体" w:eastAsia="宋体" w:cs="宋体"/>
          <w:b/>
          <w:bCs/>
          <w:color w:val="auto"/>
          <w:spacing w:val="7"/>
          <w:kern w:val="2"/>
          <w:sz w:val="21"/>
          <w:szCs w:val="21"/>
          <w:highlight w:val="none"/>
          <w:vertAlign w:val="baseline"/>
        </w:rPr>
      </w:pPr>
      <w:r>
        <w:rPr>
          <w:rFonts w:hint="eastAsia" w:ascii="宋体" w:hAnsi="宋体" w:eastAsia="宋体" w:cs="宋体"/>
          <w:b/>
          <w:bCs/>
          <w:color w:val="auto"/>
          <w:spacing w:val="7"/>
          <w:kern w:val="2"/>
          <w:sz w:val="21"/>
          <w:szCs w:val="21"/>
          <w:highlight w:val="none"/>
          <w:vertAlign w:val="baseline"/>
          <w:lang w:val="en-US" w:eastAsia="zh-CN" w:bidi="ar"/>
        </w:rPr>
        <w:t>广东省建设工程造价咨询服务收费标准(粤价函(2011)742号)</w:t>
      </w:r>
    </w:p>
    <w:tbl>
      <w:tblPr>
        <w:tblStyle w:val="37"/>
        <w:tblW w:w="13988" w:type="dxa"/>
        <w:tblInd w:w="216"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Layout w:type="fixed"/>
        <w:tblCellMar>
          <w:top w:w="0" w:type="dxa"/>
          <w:left w:w="0" w:type="dxa"/>
          <w:bottom w:w="0" w:type="dxa"/>
          <w:right w:w="0" w:type="dxa"/>
        </w:tblCellMar>
      </w:tblPr>
      <w:tblGrid>
        <w:gridCol w:w="570"/>
        <w:gridCol w:w="666"/>
        <w:gridCol w:w="684"/>
        <w:gridCol w:w="1328"/>
        <w:gridCol w:w="1921"/>
        <w:gridCol w:w="1374"/>
        <w:gridCol w:w="801"/>
        <w:gridCol w:w="1025"/>
        <w:gridCol w:w="1216"/>
        <w:gridCol w:w="1278"/>
        <w:gridCol w:w="972"/>
        <w:gridCol w:w="944"/>
        <w:gridCol w:w="1209"/>
      </w:tblGrid>
      <w:tr w14:paraId="0729CC51">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390"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D62B78">
            <w:pPr>
              <w:pStyle w:val="33"/>
              <w:keepNext w:val="0"/>
              <w:keepLines w:val="0"/>
              <w:widowControl/>
              <w:suppressLineNumbers w:val="0"/>
              <w:topLinePunct/>
              <w:autoSpaceDE w:val="0"/>
              <w:autoSpaceDN/>
              <w:adjustRightInd w:val="0"/>
              <w:snapToGrid w:val="0"/>
              <w:spacing w:before="81" w:beforeAutospacing="0" w:after="120" w:afterAutospacing="0" w:line="360" w:lineRule="auto"/>
              <w:ind w:left="20" w:right="0"/>
              <w:jc w:val="both"/>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spacing w:val="7"/>
                <w:kern w:val="2"/>
                <w:sz w:val="21"/>
                <w:szCs w:val="21"/>
                <w:highlight w:val="none"/>
                <w:vertAlign w:val="baseline"/>
                <w:lang w:val="en-US" w:eastAsia="zh-CN" w:bidi="ar"/>
              </w:rPr>
              <w:t xml:space="preserve"> </w:t>
            </w:r>
            <w:r>
              <w:rPr>
                <w:rFonts w:hint="eastAsia" w:ascii="宋体" w:hAnsi="宋体" w:eastAsia="宋体" w:cs="宋体"/>
                <w:color w:val="auto"/>
                <w:kern w:val="2"/>
                <w:sz w:val="18"/>
                <w:szCs w:val="18"/>
                <w:highlight w:val="none"/>
                <w:vertAlign w:val="baseline"/>
                <w:lang w:val="en-US" w:eastAsia="zh-CN" w:bidi="ar"/>
              </w:rPr>
              <w:t>序号</w:t>
            </w:r>
          </w:p>
        </w:tc>
        <w:tc>
          <w:tcPr>
            <w:tcW w:w="267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08B97641">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咨 询 项 目 名 称</w:t>
            </w:r>
          </w:p>
        </w:tc>
        <w:tc>
          <w:tcPr>
            <w:tcW w:w="1921" w:type="dxa"/>
            <w:vMerge w:val="restart"/>
            <w:tcBorders>
              <w:top w:val="inset" w:color="333333" w:sz="6" w:space="0"/>
              <w:left w:val="nil"/>
              <w:bottom w:val="inset" w:color="333333" w:sz="6" w:space="0"/>
              <w:right w:val="inset" w:color="333333" w:sz="6" w:space="0"/>
            </w:tcBorders>
            <w:shd w:val="clear" w:color="auto" w:fill="auto"/>
            <w:vAlign w:val="center"/>
          </w:tcPr>
          <w:p w14:paraId="72E0AFF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服务内容</w:t>
            </w:r>
          </w:p>
        </w:tc>
        <w:tc>
          <w:tcPr>
            <w:tcW w:w="1374" w:type="dxa"/>
            <w:vMerge w:val="restart"/>
            <w:tcBorders>
              <w:top w:val="inset" w:color="333333" w:sz="6" w:space="0"/>
              <w:left w:val="nil"/>
              <w:bottom w:val="inset" w:color="333333" w:sz="6" w:space="0"/>
              <w:right w:val="inset" w:color="333333" w:sz="6" w:space="0"/>
            </w:tcBorders>
            <w:shd w:val="clear" w:color="auto" w:fill="auto"/>
            <w:vAlign w:val="center"/>
          </w:tcPr>
          <w:p w14:paraId="05EC2D5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收 费 基 数</w:t>
            </w:r>
          </w:p>
        </w:tc>
        <w:tc>
          <w:tcPr>
            <w:tcW w:w="6236" w:type="dxa"/>
            <w:gridSpan w:val="6"/>
            <w:tcBorders>
              <w:top w:val="inset" w:color="333333" w:sz="6" w:space="0"/>
              <w:left w:val="nil"/>
              <w:bottom w:val="inset" w:color="333333" w:sz="6" w:space="0"/>
              <w:right w:val="inset" w:color="333333" w:sz="6" w:space="0"/>
            </w:tcBorders>
            <w:shd w:val="clear" w:color="auto" w:fill="auto"/>
            <w:vAlign w:val="center"/>
          </w:tcPr>
          <w:p w14:paraId="0357979C">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最高收费标准</w:t>
            </w:r>
          </w:p>
        </w:tc>
        <w:tc>
          <w:tcPr>
            <w:tcW w:w="1209" w:type="dxa"/>
            <w:vMerge w:val="restart"/>
            <w:tcBorders>
              <w:top w:val="inset" w:color="333333" w:sz="6" w:space="0"/>
              <w:left w:val="nil"/>
              <w:bottom w:val="inset" w:color="333333" w:sz="6" w:space="0"/>
              <w:right w:val="inset" w:color="333333" w:sz="6" w:space="0"/>
            </w:tcBorders>
            <w:shd w:val="clear" w:color="auto" w:fill="auto"/>
            <w:vAlign w:val="center"/>
          </w:tcPr>
          <w:p w14:paraId="5A370DD0">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备注</w:t>
            </w:r>
          </w:p>
        </w:tc>
      </w:tr>
      <w:tr w14:paraId="265B7B85">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444"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B193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根据《中华人民共和国民法典》及相关法律、法规的规定，甲乙双方本着诚实守信、合作共赢的原则，结合本项目的具体情况，甲、乙双方在自愿、平等、协商一致的基础上签订本合同。</w:t>
            </w:r>
          </w:p>
          <w:p w14:paraId="6AAF3559">
            <w:pPr>
              <w:keepNext w:val="0"/>
              <w:keepLines w:val="0"/>
              <w:widowControl w:val="0"/>
              <w:suppressLineNumbers w:val="0"/>
              <w:spacing w:before="156" w:beforeLines="50" w:beforeAutospacing="0" w:after="0" w:afterAutospacing="0" w:line="360" w:lineRule="auto"/>
              <w:ind w:left="473" w:leftChars="175" w:right="0" w:hanging="105" w:hangingChars="5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第一条 服务内容</w:t>
            </w:r>
          </w:p>
          <w:p w14:paraId="51C12A78">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乙方负责为甲方</w:t>
            </w:r>
            <w:r>
              <w:rPr>
                <w:rFonts w:hint="eastAsia" w:ascii="宋体" w:hAnsi="宋体" w:eastAsia="宋体" w:cs="宋体"/>
                <w:color w:val="auto"/>
                <w:highlight w:val="none"/>
                <w:lang w:val="en-US" w:eastAsia="zh-CN"/>
              </w:rPr>
              <w:t>（含甲方各分公司）</w:t>
            </w:r>
            <w:r>
              <w:rPr>
                <w:rFonts w:hint="eastAsia" w:ascii="宋体" w:hAnsi="宋体" w:eastAsia="宋体" w:cs="宋体"/>
                <w:color w:val="auto"/>
                <w:kern w:val="2"/>
                <w:sz w:val="21"/>
                <w:szCs w:val="21"/>
                <w:highlight w:val="none"/>
                <w:lang w:val="en-US" w:eastAsia="zh-CN" w:bidi="ar"/>
              </w:rPr>
              <w:t>提供造价咨询服务，根据国家有关法律、法规、规范性文件及标准，科学、客观、公正的完成本项服务，对提供的成果资料的合法性、合理性、真实性、准确性、完整性负责。服务内容包括但不限于以下内容：</w:t>
            </w:r>
          </w:p>
          <w:p w14:paraId="07E38C32">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甲方要求和提供的资料完成估算、概算编制或审核，施工图预算编制或审核，招标控制价编制，变更预算编制或审核，工程结算编制或审核，施工阶段全过程造价控制，以及非工程类的货物采购、服务类项目的预算编审、合同结算等造价咨询业务，并出具成果文件；</w:t>
            </w:r>
          </w:p>
          <w:p w14:paraId="1BE3321B">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2、积极配合甲方开展造价咨询服务工作，包括对数，修改、出具成果文件，扫描成果文件，必要时需派驻人员至甲方所在的办公地点配合甲方开展造价咨询相关工作。</w:t>
            </w:r>
          </w:p>
          <w:p w14:paraId="5B54FBED">
            <w:pPr>
              <w:keepNext w:val="0"/>
              <w:keepLines w:val="0"/>
              <w:widowControl w:val="0"/>
              <w:suppressLineNumbers w:val="0"/>
              <w:spacing w:before="0" w:beforeAutospacing="0" w:after="0" w:afterAutospacing="0" w:line="360" w:lineRule="auto"/>
              <w:ind w:left="0" w:right="0" w:firstLine="422" w:firstLineChars="200"/>
              <w:contextualSpacing/>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第二条 服务期限</w:t>
            </w:r>
          </w:p>
          <w:p w14:paraId="244151A2">
            <w:pPr>
              <w:keepNext w:val="0"/>
              <w:keepLines w:val="0"/>
              <w:widowControl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本项目服务期至2025年12月31日。</w:t>
            </w:r>
          </w:p>
          <w:p w14:paraId="703B5BEB">
            <w:pPr>
              <w:keepNext w:val="0"/>
              <w:keepLines w:val="0"/>
              <w:widowControl w:val="0"/>
              <w:suppressLineNumbers w:val="0"/>
              <w:spacing w:before="0" w:beforeAutospacing="0" w:after="0" w:afterAutospacing="0" w:line="360" w:lineRule="auto"/>
              <w:ind w:left="0" w:right="0" w:firstLine="422" w:firstLineChars="200"/>
              <w:contextualSpacing/>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第三条 服务费的计算与支付</w:t>
            </w:r>
          </w:p>
          <w:p w14:paraId="2372482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 本项目中标折扣系数为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35F07A6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 单项造价咨询服务费参照《广东省物价局关于调整我省建设工程造价咨询服务收费的复函(粤价函(2011)742号)》中收费项目对应的收费标准，再乘以服务折扣系数，单项造价咨询服务不设最低收费。详细计费规则如下：</w:t>
            </w:r>
          </w:p>
          <w:p w14:paraId="4D7C8F4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（1）工程类项目的造价咨询费计费规则</w:t>
            </w:r>
          </w:p>
          <w:p w14:paraId="10D05E29">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资估算的编制或审核、工程概算的编制或审核、工程预算的编制或审核、工程结算的编制、工程结算审核、施工阶段全过程造价控制，按《广东省建设工程造价咨询服务收费标准》(粤价函(2011)742号)相应的收费标准计费，再乘以服务折扣系数。如编制或审核的成果金额中含土地征用、迁移补偿等为取得或租用土地使用权而发生的费用，则以编制或审核的成果金额直接扣减该费用作为收费基数。</w:t>
            </w:r>
          </w:p>
          <w:p w14:paraId="55612B2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（2）非工程类货物采购、服务类项目的预算编审、结算</w:t>
            </w:r>
          </w:p>
          <w:p w14:paraId="321380F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①预算编审以单个委托单的清单条数为基准，按200元/条计算，造价咨询费等于清单条数</w:t>
            </w:r>
            <w:r>
              <w:rPr>
                <w:rFonts w:hint="eastAsia" w:ascii="宋体" w:hAnsi="宋体" w:eastAsia="宋体" w:cs="宋体"/>
                <w:snapToGrid w:val="0"/>
                <w:color w:val="auto"/>
                <w:spacing w:val="0"/>
                <w:kern w:val="0"/>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
              </w:rPr>
              <w:t>200元/条，再乘以服务折扣系数，且单个委托单最高收费不超过其总预算价的1%，如遇特殊情况双方另行协商确定。</w:t>
            </w:r>
          </w:p>
          <w:p w14:paraId="3A0E4FEB">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②货物合同结算、服务合同结算，以单个项目计算，每单2000元，再乘以服务折扣系数。</w:t>
            </w:r>
          </w:p>
          <w:p w14:paraId="67A8D98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（3）其他</w:t>
            </w:r>
          </w:p>
          <w:p w14:paraId="01E0BBA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①清单不平衡报价审核按每单项（单项造价委托）2000 元，再乘以服务折扣系数计取。</w:t>
            </w:r>
          </w:p>
          <w:p w14:paraId="50FB0106">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②进度款支付审核按每单项（单项造价委托）2000 元，再乘以服务折扣系数计取。</w:t>
            </w:r>
          </w:p>
          <w:p w14:paraId="4DE9358A">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工程变更预算编制或审核，以“│变更增加│+│变更减少│”即绝对值之和为计费基数，按《广东省建设工程造价咨询服务收费标准》(粤价函(2011)742号)中工程预算的编制或审核相应的收费标准及相关规定计费，再乘以服务折扣系数。</w:t>
            </w:r>
          </w:p>
          <w:p w14:paraId="65C670C0">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④施工合同结算，对于总价包干合同，原合同价部分不参与计算咨询费。</w:t>
            </w:r>
          </w:p>
          <w:p w14:paraId="44A937C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⑤如项目实施过程中，若存在单位工程未按概算总表中的单位工程目录实施，则施工阶段全过程造价咨询费的收费基数需重新调整对应的概算金额后重新计算。</w:t>
            </w:r>
          </w:p>
          <w:p w14:paraId="4E6BBB27">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⑥在造价咨询服务过程中，如因建设标准、项目完整性等原因造成设计图纸修改，致使工程造价需要重新修改和确定，双方另行商议需增加的工作时限以及造价咨询服务费用。</w:t>
            </w:r>
          </w:p>
          <w:p w14:paraId="2B1884CD">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单项造价咨询服务费包括了乙方完成招标文件和合同约定的全部工作所需支付的一切费用，为包干价，包括但不限于(1)人员人工费(工资及加班工资、福利、社保、住房公积金、节日补贴、高温津贴、劳保、服装和膳食、意外伤害保险、加班费、住宿补贴、市内交通补贴、 培训、经济补偿等)、驻场服务所需的差旅费、食宿费、交通费、通讯费、配合费、办理履约担保 所需等费用；(2)合理利润、税费等；(3)法律法规、行业公认、完成合同实施过程中由乙方承担的其他直接及间接费用。</w:t>
            </w:r>
          </w:p>
          <w:p w14:paraId="2149748F">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4、付费周期：以季度为单位，即按季度计量支付服务费。</w:t>
            </w:r>
          </w:p>
          <w:p w14:paraId="579C6C3D">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 每笔款项支付前，乙方应向甲方</w:t>
            </w:r>
            <w:r>
              <w:rPr>
                <w:rFonts w:hint="eastAsia" w:ascii="宋体" w:hAnsi="宋体" w:eastAsia="宋体" w:cs="宋体"/>
                <w:color w:val="auto"/>
                <w:highlight w:val="none"/>
                <w:lang w:val="en-US" w:eastAsia="zh-CN"/>
              </w:rPr>
              <w:t>（或甲方各分公司）</w:t>
            </w:r>
            <w:r>
              <w:rPr>
                <w:rFonts w:hint="eastAsia" w:ascii="宋体" w:hAnsi="宋体" w:eastAsia="宋体" w:cs="宋体"/>
                <w:color w:val="auto"/>
                <w:kern w:val="2"/>
                <w:sz w:val="21"/>
                <w:szCs w:val="21"/>
                <w:highlight w:val="none"/>
                <w:lang w:val="en-US" w:eastAsia="zh-CN" w:bidi="ar"/>
              </w:rPr>
              <w:t>提交该付费周期内单项造价咨询服务项目工作量清单及对应的结算资料、请款报告及符合甲方</w:t>
            </w:r>
            <w:r>
              <w:rPr>
                <w:rFonts w:hint="eastAsia" w:ascii="宋体" w:hAnsi="宋体" w:eastAsia="宋体" w:cs="宋体"/>
                <w:color w:val="auto"/>
                <w:highlight w:val="none"/>
                <w:lang w:val="en-US" w:eastAsia="zh-CN"/>
              </w:rPr>
              <w:t>（或甲方各分公司）</w:t>
            </w:r>
            <w:r>
              <w:rPr>
                <w:rFonts w:hint="eastAsia" w:ascii="宋体" w:hAnsi="宋体" w:eastAsia="宋体" w:cs="宋体"/>
                <w:color w:val="auto"/>
                <w:kern w:val="2"/>
                <w:sz w:val="21"/>
                <w:szCs w:val="21"/>
                <w:highlight w:val="none"/>
                <w:lang w:val="en-US" w:eastAsia="zh-CN" w:bidi="ar"/>
              </w:rPr>
              <w:t>及相关法律法规要求的增值税普通发票，经甲方</w:t>
            </w:r>
            <w:r>
              <w:rPr>
                <w:rFonts w:hint="eastAsia" w:ascii="宋体" w:hAnsi="宋体" w:eastAsia="宋体" w:cs="宋体"/>
                <w:color w:val="auto"/>
                <w:highlight w:val="none"/>
                <w:lang w:val="en-US" w:eastAsia="zh-CN"/>
              </w:rPr>
              <w:t>（或甲方各分公司）</w:t>
            </w:r>
            <w:r>
              <w:rPr>
                <w:rFonts w:hint="eastAsia" w:ascii="宋体" w:hAnsi="宋体" w:eastAsia="宋体" w:cs="宋体"/>
                <w:color w:val="auto"/>
                <w:kern w:val="2"/>
                <w:sz w:val="21"/>
                <w:szCs w:val="21"/>
                <w:highlight w:val="none"/>
                <w:lang w:val="en-US" w:eastAsia="zh-CN" w:bidi="ar"/>
              </w:rPr>
              <w:t>确认无误后30天内支付相关费用。乙方逾期提交请款材料或提交材料不符合甲方</w:t>
            </w:r>
            <w:r>
              <w:rPr>
                <w:rFonts w:hint="eastAsia" w:ascii="宋体" w:hAnsi="宋体" w:eastAsia="宋体" w:cs="宋体"/>
                <w:color w:val="auto"/>
                <w:highlight w:val="none"/>
                <w:lang w:val="en-US" w:eastAsia="zh-CN"/>
              </w:rPr>
              <w:t>（或甲方各分公司）</w:t>
            </w:r>
            <w:r>
              <w:rPr>
                <w:rFonts w:hint="eastAsia" w:ascii="宋体" w:hAnsi="宋体" w:eastAsia="宋体" w:cs="宋体"/>
                <w:color w:val="auto"/>
                <w:kern w:val="2"/>
                <w:sz w:val="21"/>
                <w:szCs w:val="21"/>
                <w:highlight w:val="none"/>
                <w:lang w:val="en-US" w:eastAsia="zh-CN" w:bidi="ar"/>
              </w:rPr>
              <w:t>要求的，甲方</w:t>
            </w:r>
            <w:r>
              <w:rPr>
                <w:rFonts w:hint="eastAsia" w:ascii="宋体" w:hAnsi="宋体" w:eastAsia="宋体" w:cs="宋体"/>
                <w:color w:val="auto"/>
                <w:highlight w:val="none"/>
                <w:lang w:val="en-US" w:eastAsia="zh-CN"/>
              </w:rPr>
              <w:t>（或甲方各分公司）</w:t>
            </w:r>
            <w:r>
              <w:rPr>
                <w:rFonts w:hint="eastAsia" w:ascii="宋体" w:hAnsi="宋体" w:eastAsia="宋体" w:cs="宋体"/>
                <w:color w:val="auto"/>
                <w:kern w:val="2"/>
                <w:sz w:val="21"/>
                <w:szCs w:val="21"/>
                <w:highlight w:val="none"/>
                <w:lang w:val="en-US" w:eastAsia="zh-CN" w:bidi="ar"/>
              </w:rPr>
              <w:t>有权顺延支付相应款项，并不承担逾期付款的违约责任，由于乙方提供的发票不符合税法规定，给甲方</w:t>
            </w:r>
            <w:r>
              <w:rPr>
                <w:rFonts w:hint="eastAsia" w:ascii="宋体" w:hAnsi="宋体" w:eastAsia="宋体" w:cs="宋体"/>
                <w:color w:val="auto"/>
                <w:highlight w:val="none"/>
                <w:lang w:val="en-US" w:eastAsia="zh-CN"/>
              </w:rPr>
              <w:t>（或甲方各分公司）</w:t>
            </w:r>
            <w:r>
              <w:rPr>
                <w:rFonts w:hint="eastAsia" w:ascii="宋体" w:hAnsi="宋体" w:eastAsia="宋体" w:cs="宋体"/>
                <w:color w:val="auto"/>
                <w:kern w:val="2"/>
                <w:sz w:val="21"/>
                <w:szCs w:val="21"/>
                <w:highlight w:val="none"/>
                <w:lang w:val="en-US" w:eastAsia="zh-CN" w:bidi="ar"/>
              </w:rPr>
              <w:t>造成的损失由乙方承担赔偿责任，乙方不得以此延迟而拒绝履行合同义务。</w:t>
            </w:r>
          </w:p>
          <w:p w14:paraId="69F8594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6、乙方收款账户信息</w:t>
            </w:r>
          </w:p>
          <w:p w14:paraId="6A34BAF3">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户  名：  </w:t>
            </w:r>
          </w:p>
          <w:p w14:paraId="2F8D4E35">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开户行： </w:t>
            </w:r>
          </w:p>
          <w:p w14:paraId="4E43F451">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账  号： </w:t>
            </w:r>
          </w:p>
          <w:p w14:paraId="429A6254">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第四条 履约担保</w:t>
            </w:r>
          </w:p>
          <w:p w14:paraId="2FC5AB32">
            <w:pPr>
              <w:keepNext w:val="0"/>
              <w:keepLines w:val="0"/>
              <w:numPr>
                <w:ilvl w:val="-1"/>
                <w:numId w:val="0"/>
              </w:numPr>
              <w:suppressLineNumbers w:val="0"/>
              <w:autoSpaceDE/>
              <w:autoSpaceDN/>
              <w:snapToGrid/>
              <w:spacing w:before="0" w:beforeAutospacing="0" w:after="0" w:afterAutospacing="0" w:line="360"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乙方应当根据招标文件的规定在签订本合同前向甲方提供履约担保，履约担保形式及金额由乙方从以下方式中任选一种：</w:t>
            </w:r>
          </w:p>
          <w:p w14:paraId="5FB22085">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u w:val="none"/>
              </w:rPr>
              <w:t>履约保证金（银行转账形式）金额为人民币       元；</w:t>
            </w:r>
          </w:p>
          <w:p w14:paraId="4A7D20C6">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不可撤销银行履约保函金额为</w:t>
            </w:r>
            <w:r>
              <w:rPr>
                <w:rFonts w:hint="eastAsia" w:ascii="宋体" w:hAnsi="宋体" w:eastAsia="宋体" w:cs="宋体"/>
                <w:color w:val="auto"/>
                <w:sz w:val="21"/>
                <w:szCs w:val="21"/>
                <w:highlight w:val="none"/>
                <w:u w:val="none"/>
                <w:lang w:val="zh-CN"/>
              </w:rPr>
              <w:t>人民币</w:t>
            </w:r>
            <w:r>
              <w:rPr>
                <w:rFonts w:hint="eastAsia" w:ascii="宋体" w:hAnsi="宋体" w:eastAsia="宋体" w:cs="宋体"/>
                <w:color w:val="auto"/>
                <w:sz w:val="21"/>
                <w:szCs w:val="21"/>
                <w:highlight w:val="none"/>
                <w:u w:val="none"/>
              </w:rPr>
              <w:t xml:space="preserve">       元；</w:t>
            </w:r>
          </w:p>
          <w:p w14:paraId="54D0C028">
            <w:pPr>
              <w:keepNext w:val="0"/>
              <w:keepLines w:val="0"/>
              <w:suppressLineNumbers w:val="0"/>
              <w:snapToGrid/>
              <w:spacing w:before="0" w:beforeAutospacing="0" w:after="0" w:afterAutospacing="0" w:line="360" w:lineRule="auto"/>
              <w:ind w:left="0" w:right="0" w:firstLine="420" w:firstLineChars="200"/>
              <w:contextualSpacing w:val="0"/>
              <w:outlineLvl w:val="9"/>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color w:val="auto"/>
                <w:szCs w:val="21"/>
                <w:highlight w:val="none"/>
                <w:u w:val="none"/>
              </w:rPr>
              <w:t>履约保证保险</w:t>
            </w:r>
            <w:r>
              <w:rPr>
                <w:rFonts w:hint="eastAsia" w:ascii="宋体" w:hAnsi="宋体" w:eastAsia="宋体" w:cs="宋体"/>
                <w:color w:val="auto"/>
                <w:szCs w:val="21"/>
                <w:highlight w:val="none"/>
                <w:u w:val="none"/>
                <w:lang w:val="en-US" w:eastAsia="zh-CN"/>
              </w:rPr>
              <w:t>凭证</w:t>
            </w:r>
            <w:r>
              <w:rPr>
                <w:rFonts w:hint="eastAsia" w:ascii="宋体" w:hAnsi="宋体" w:eastAsia="宋体" w:cs="宋体"/>
                <w:color w:val="auto"/>
                <w:szCs w:val="21"/>
                <w:highlight w:val="none"/>
                <w:u w:val="none"/>
              </w:rPr>
              <w:t>金额</w:t>
            </w:r>
            <w:r>
              <w:rPr>
                <w:rFonts w:hint="eastAsia" w:ascii="宋体" w:hAnsi="宋体" w:eastAsia="宋体" w:cs="宋体"/>
                <w:b w:val="0"/>
                <w:bCs w:val="0"/>
                <w:color w:val="auto"/>
                <w:sz w:val="21"/>
                <w:szCs w:val="21"/>
                <w:highlight w:val="none"/>
                <w:u w:val="none"/>
                <w:lang w:val="en-US"/>
              </w:rPr>
              <w:t>为</w:t>
            </w:r>
            <w:r>
              <w:rPr>
                <w:rFonts w:hint="eastAsia" w:ascii="宋体" w:hAnsi="宋体" w:eastAsia="宋体" w:cs="宋体"/>
                <w:color w:val="auto"/>
                <w:sz w:val="21"/>
                <w:szCs w:val="21"/>
                <w:highlight w:val="none"/>
                <w:u w:val="none"/>
              </w:rPr>
              <w:t>人民币       元</w:t>
            </w:r>
            <w:r>
              <w:rPr>
                <w:rFonts w:hint="eastAsia" w:ascii="宋体" w:hAnsi="宋体" w:eastAsia="宋体" w:cs="宋体"/>
                <w:b w:val="0"/>
                <w:bCs w:val="0"/>
                <w:color w:val="auto"/>
                <w:sz w:val="21"/>
                <w:szCs w:val="21"/>
                <w:highlight w:val="none"/>
                <w:u w:val="none"/>
                <w:lang w:val="en-US" w:eastAsia="zh-CN"/>
              </w:rPr>
              <w:t>；</w:t>
            </w:r>
          </w:p>
          <w:p w14:paraId="2EE8ABD3">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担保公司履约担保书金额为人民币       元。</w:t>
            </w:r>
          </w:p>
          <w:p w14:paraId="337CBBC4">
            <w:pPr>
              <w:keepNext w:val="0"/>
              <w:keepLines w:val="0"/>
              <w:suppressLineNumbers w:val="0"/>
              <w:snapToGrid/>
              <w:spacing w:before="0" w:beforeAutospacing="0" w:after="0" w:afterAutospacing="0" w:line="360" w:lineRule="auto"/>
              <w:ind w:left="0" w:right="0" w:firstLine="420" w:firstLineChars="200"/>
              <w:contextualSpacing w:val="0"/>
              <w:outlineLvl w:val="9"/>
              <w:rPr>
                <w:rFonts w:hint="eastAsia" w:ascii="宋体" w:hAnsi="宋体" w:eastAsia="宋体" w:cs="宋体"/>
                <w:color w:val="auto"/>
                <w:szCs w:val="21"/>
                <w:highlight w:val="none"/>
              </w:rPr>
            </w:pPr>
            <w:r>
              <w:rPr>
                <w:rFonts w:hint="eastAsia" w:ascii="宋体" w:hAnsi="宋体" w:eastAsia="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rPr>
              <w:t>合同履行过程中，</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给</w:t>
            </w:r>
            <w:r>
              <w:rPr>
                <w:rFonts w:hint="eastAsia" w:ascii="宋体" w:hAnsi="宋体" w:eastAsia="宋体" w:cs="宋体"/>
                <w:b w:val="0"/>
                <w:bCs w:val="0"/>
                <w:color w:val="auto"/>
                <w:kern w:val="2"/>
                <w:sz w:val="21"/>
                <w:szCs w:val="21"/>
                <w:highlight w:val="none"/>
                <w:lang w:eastAsia="zh-CN"/>
              </w:rPr>
              <w:t>甲方</w:t>
            </w:r>
            <w:r>
              <w:rPr>
                <w:rFonts w:hint="eastAsia" w:ascii="宋体" w:hAnsi="宋体" w:eastAsia="宋体" w:cs="宋体"/>
                <w:b w:val="0"/>
                <w:bCs w:val="0"/>
                <w:color w:val="auto"/>
                <w:kern w:val="2"/>
                <w:sz w:val="21"/>
                <w:szCs w:val="21"/>
                <w:highlight w:val="none"/>
              </w:rPr>
              <w:t>造成的损失超过履约担保数额的，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还应当对超过部分予以赔偿，</w:t>
            </w:r>
            <w:r>
              <w:rPr>
                <w:rFonts w:hint="eastAsia" w:ascii="宋体" w:hAnsi="宋体" w:eastAsia="宋体" w:cs="宋体"/>
                <w:b w:val="0"/>
                <w:bCs w:val="0"/>
                <w:color w:val="auto"/>
                <w:kern w:val="2"/>
                <w:sz w:val="21"/>
                <w:szCs w:val="21"/>
                <w:highlight w:val="none"/>
                <w:lang w:eastAsia="zh-CN"/>
              </w:rPr>
              <w:t>甲方</w:t>
            </w:r>
            <w:r>
              <w:rPr>
                <w:rFonts w:hint="eastAsia" w:ascii="宋体" w:hAnsi="宋体" w:eastAsia="宋体" w:cs="宋体"/>
                <w:b w:val="0"/>
                <w:bCs w:val="0"/>
                <w:color w:val="auto"/>
                <w:kern w:val="2"/>
                <w:sz w:val="21"/>
                <w:szCs w:val="21"/>
                <w:highlight w:val="none"/>
              </w:rPr>
              <w:t>并依法追究</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的相应责任。</w:t>
            </w:r>
          </w:p>
          <w:p w14:paraId="10BCAFE1">
            <w:pPr>
              <w:keepNext w:val="0"/>
              <w:keepLines w:val="0"/>
              <w:numPr>
                <w:ilvl w:val="-1"/>
                <w:numId w:val="0"/>
              </w:numPr>
              <w:suppressLineNumbers w:val="0"/>
              <w:autoSpaceDE/>
              <w:autoSpaceDN/>
              <w:snapToGrid/>
              <w:spacing w:before="0" w:beforeAutospacing="0" w:after="0" w:afterAutospacing="0" w:line="360" w:lineRule="auto"/>
              <w:ind w:left="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履约担保用于补偿甲方因乙方不能完成其合同义务而蒙受的损失或其他合同约定的事项。如发生下列任一情况时，甲方有权依合同追究违约责任外，同时有权提取履约担保并进行相应处理：</w:t>
            </w:r>
          </w:p>
          <w:p w14:paraId="697EA755">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287ED3F2">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14:paraId="382D8E01">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与其所雇用员工发生劳资纠纷、上访、闹事或其他影响甲方生产经营等情况而其未及时妥善处理的，甲方有权使用履约担保予以支付或作出相应处理，由此产生的一切法律后果由乙方承担。</w:t>
            </w:r>
          </w:p>
          <w:p w14:paraId="7F2A4F70">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251719C0">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27DB64DB">
            <w:pPr>
              <w:keepNext w:val="0"/>
              <w:keepLines w:val="0"/>
              <w:suppressLineNumbers w:val="0"/>
              <w:snapToGrid/>
              <w:spacing w:before="0" w:beforeAutospacing="0" w:after="0" w:afterAutospacing="0" w:line="360" w:lineRule="auto"/>
              <w:ind w:left="0" w:right="0" w:firstLine="420" w:firstLineChars="200"/>
              <w:contextualSpacing w:val="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51DBF50A">
            <w:pPr>
              <w:keepNext w:val="0"/>
              <w:keepLines w:val="0"/>
              <w:numPr>
                <w:ilvl w:val="-1"/>
                <w:numId w:val="0"/>
              </w:numPr>
              <w:suppressLineNumbers w:val="0"/>
              <w:autoSpaceDE/>
              <w:autoSpaceDN/>
              <w:snapToGrid/>
              <w:spacing w:before="0" w:beforeAutospacing="0" w:after="0" w:afterAutospacing="0" w:line="360" w:lineRule="auto"/>
              <w:ind w:left="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以履约保证金（银行转账形式）提供履约担保的，在合同期限届满并且乙方完成本合同及本合同下所有补充协议的全部服务义务，甲方向乙方支付全部款项后二十八(28)日后经甲方确认，乙方可向甲方提交退回履约担保的申请。甲方审核无异议后，办理履约担保退还手续，履约担保金余额无息退还乙方。</w:t>
            </w:r>
          </w:p>
          <w:p w14:paraId="03FAE6FE">
            <w:pPr>
              <w:keepNext w:val="0"/>
              <w:keepLines w:val="0"/>
              <w:numPr>
                <w:ilvl w:val="-1"/>
                <w:numId w:val="0"/>
              </w:numPr>
              <w:suppressLineNumbers w:val="0"/>
              <w:autoSpaceDE/>
              <w:autoSpaceDN/>
              <w:snapToGrid/>
              <w:spacing w:before="0" w:beforeAutospacing="0" w:after="0" w:afterAutospacing="0" w:line="360" w:lineRule="auto"/>
              <w:ind w:left="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如乙方提供</w:t>
            </w:r>
            <w:r>
              <w:rPr>
                <w:rFonts w:hint="eastAsia" w:ascii="宋体" w:hAnsi="宋体" w:eastAsia="宋体" w:cs="宋体"/>
                <w:color w:val="auto"/>
                <w:kern w:val="2"/>
                <w:szCs w:val="21"/>
                <w:highlight w:val="none"/>
              </w:rPr>
              <w:t>不可撤销银行履约保函（或履约保证保险或担保公司履约担保书）</w:t>
            </w:r>
            <w:r>
              <w:rPr>
                <w:rFonts w:hint="eastAsia" w:ascii="宋体" w:hAnsi="宋体" w:eastAsia="宋体" w:cs="宋体"/>
                <w:color w:val="auto"/>
                <w:sz w:val="21"/>
                <w:szCs w:val="21"/>
                <w:highlight w:val="none"/>
              </w:rPr>
              <w:t>作为履约担保的，</w:t>
            </w:r>
            <w:r>
              <w:rPr>
                <w:rFonts w:hint="eastAsia" w:ascii="宋体" w:hAnsi="宋体" w:eastAsia="宋体" w:cs="宋体"/>
                <w:color w:val="auto"/>
                <w:kern w:val="2"/>
                <w:szCs w:val="21"/>
                <w:highlight w:val="none"/>
              </w:rPr>
              <w:t>不可撤销银行履约保函（或履约保证保险或担保公司履约担保书）</w:t>
            </w:r>
            <w:r>
              <w:rPr>
                <w:rFonts w:hint="eastAsia" w:ascii="宋体" w:hAnsi="宋体" w:eastAsia="宋体" w:cs="宋体"/>
                <w:color w:val="auto"/>
                <w:sz w:val="21"/>
                <w:szCs w:val="21"/>
                <w:highlight w:val="none"/>
              </w:rPr>
              <w:t>应从合同签订之日起(或签订合同前)至合同期限届满并完成合同及补充协议项下全部服务义务，甲方向乙方支付全部款项后二十八(28)日内保持有效。如</w:t>
            </w:r>
            <w:r>
              <w:rPr>
                <w:rFonts w:hint="eastAsia" w:ascii="宋体" w:hAnsi="宋体" w:eastAsia="宋体" w:cs="宋体"/>
                <w:color w:val="auto"/>
                <w:kern w:val="2"/>
                <w:szCs w:val="21"/>
                <w:highlight w:val="none"/>
              </w:rPr>
              <w:t>不可撤销银行履约保函（或履约保证保险或担保公司履约担保书）</w:t>
            </w:r>
            <w:r>
              <w:rPr>
                <w:rFonts w:hint="eastAsia" w:ascii="宋体" w:hAnsi="宋体" w:eastAsia="宋体" w:cs="宋体"/>
                <w:color w:val="auto"/>
                <w:sz w:val="21"/>
                <w:szCs w:val="21"/>
                <w:highlight w:val="none"/>
              </w:rPr>
              <w:t>到期时乙方尚未完成合同及补充协议项下全部服务义务或甲方未支付全部款项,乙方必须在</w:t>
            </w:r>
            <w:r>
              <w:rPr>
                <w:rFonts w:hint="eastAsia" w:ascii="宋体" w:hAnsi="宋体" w:eastAsia="宋体" w:cs="宋体"/>
                <w:color w:val="auto"/>
                <w:kern w:val="2"/>
                <w:szCs w:val="21"/>
                <w:highlight w:val="none"/>
              </w:rPr>
              <w:t>不可撤销银行履约保函（或履约保证保险或担保公司履约担保书）</w:t>
            </w:r>
            <w:r>
              <w:rPr>
                <w:rFonts w:hint="eastAsia" w:ascii="宋体" w:hAnsi="宋体" w:eastAsia="宋体" w:cs="宋体"/>
                <w:color w:val="auto"/>
                <w:sz w:val="21"/>
                <w:szCs w:val="21"/>
                <w:highlight w:val="none"/>
              </w:rPr>
              <w:t>到期15日前无条件办理办妥符合甲方要求的延期手续或重新提供</w:t>
            </w:r>
            <w:r>
              <w:rPr>
                <w:rFonts w:hint="eastAsia" w:ascii="宋体" w:hAnsi="宋体" w:eastAsia="宋体" w:cs="宋体"/>
                <w:color w:val="auto"/>
                <w:kern w:val="2"/>
                <w:szCs w:val="21"/>
                <w:highlight w:val="none"/>
              </w:rPr>
              <w:t>不可撤销银行履约保函（或履约保证保险或担保公司履约担保书）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否则视为乙方违约，甲方有权在</w:t>
            </w:r>
            <w:r>
              <w:rPr>
                <w:rFonts w:hint="eastAsia" w:ascii="宋体" w:hAnsi="宋体" w:eastAsia="宋体" w:cs="宋体"/>
                <w:color w:val="auto"/>
                <w:kern w:val="2"/>
                <w:szCs w:val="21"/>
                <w:highlight w:val="none"/>
              </w:rPr>
              <w:t>不可撤销银行履约保函（或履约保证保险或担保公司履约担保书）</w:t>
            </w:r>
            <w:r>
              <w:rPr>
                <w:rFonts w:hint="eastAsia" w:ascii="宋体" w:hAnsi="宋体" w:eastAsia="宋体" w:cs="宋体"/>
                <w:color w:val="auto"/>
                <w:sz w:val="21"/>
                <w:szCs w:val="21"/>
                <w:highlight w:val="none"/>
              </w:rPr>
              <w:t>到期前向出具履约担保的机构提取履约担保金。在</w:t>
            </w:r>
            <w:r>
              <w:rPr>
                <w:rFonts w:hint="eastAsia" w:ascii="宋体" w:hAnsi="宋体" w:eastAsia="宋体" w:cs="宋体"/>
                <w:color w:val="auto"/>
                <w:kern w:val="2"/>
                <w:szCs w:val="21"/>
                <w:highlight w:val="none"/>
              </w:rPr>
              <w:t>不可撤销银行履约保函（或履约保证保险或担保公司履约担保书）</w:t>
            </w:r>
            <w:r>
              <w:rPr>
                <w:rFonts w:hint="eastAsia" w:ascii="宋体" w:hAnsi="宋体" w:eastAsia="宋体" w:cs="宋体"/>
                <w:color w:val="auto"/>
                <w:sz w:val="21"/>
                <w:szCs w:val="21"/>
                <w:highlight w:val="none"/>
              </w:rPr>
              <w:t>到期后乙方未按甲方要求重新提供的，甲方有权要求乙方以履约担保金额为限承担违约金</w:t>
            </w:r>
            <w:r>
              <w:rPr>
                <w:rFonts w:hint="eastAsia" w:ascii="宋体" w:hAnsi="宋体" w:eastAsia="宋体" w:cs="宋体"/>
                <w:color w:val="auto"/>
                <w:szCs w:val="21"/>
                <w:highlight w:val="none"/>
              </w:rPr>
              <w:t>，违约金可直接从未付费用中扣除</w:t>
            </w:r>
            <w:r>
              <w:rPr>
                <w:rFonts w:hint="eastAsia" w:ascii="宋体" w:hAnsi="宋体" w:eastAsia="宋体" w:cs="宋体"/>
                <w:color w:val="auto"/>
                <w:sz w:val="21"/>
                <w:szCs w:val="21"/>
                <w:highlight w:val="none"/>
              </w:rPr>
              <w:t>。</w:t>
            </w:r>
          </w:p>
          <w:p w14:paraId="68D60734">
            <w:pPr>
              <w:keepNext w:val="0"/>
              <w:keepLines w:val="0"/>
              <w:widowControl/>
              <w:numPr>
                <w:ilvl w:val="0"/>
                <w:numId w:val="0"/>
              </w:numPr>
              <w:suppressLineNumbers w:val="0"/>
              <w:spacing w:before="0" w:beforeLines="-2147483648" w:beforeAutospacing="0" w:after="0" w:afterAutospacing="0" w:line="360" w:lineRule="auto"/>
              <w:ind w:left="0" w:right="0" w:firstLine="420" w:firstLineChars="200"/>
              <w:jc w:val="both"/>
              <w:outlineLvl w:val="9"/>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266C1B32">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第五条 甲方权利与义务</w:t>
            </w:r>
          </w:p>
          <w:p w14:paraId="4EDB764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1、甲方有权要求乙方按合同约定提供相关的咨询服务，对乙方不符合本合同约定的行为要求限期整改。</w:t>
            </w:r>
          </w:p>
          <w:p w14:paraId="60A6949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2、甲方应向乙方提供履行本合同范围内所必需的信息和内部相关资料，对所提供资料的真实性、准确性、合法性与完善性负责，并且甲方需要为乙方提供必要人员安排、场地等现场工作支持。</w:t>
            </w:r>
          </w:p>
          <w:p w14:paraId="7057DF6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3、为保证项目执行的有效性及连续性，甲方应设置固定的项目负责人。</w:t>
            </w:r>
          </w:p>
          <w:p w14:paraId="1A7486C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4、甲方的项目负责人为：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0769F3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5、甲方有义务协调和组织各有关方面人员，对乙方项目服务及成果文件予以审核。</w:t>
            </w:r>
          </w:p>
          <w:p w14:paraId="28DC05E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6、甲方有权要求乙方对其所提交的成果文件进行解释、说明或解答甲方提出的质询等。</w:t>
            </w:r>
          </w:p>
          <w:p w14:paraId="2D03171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7、在合同履行期间，根据实际需要，甲方有权对服务内容、要求等进行调整，乙方应当遵守执行。</w:t>
            </w:r>
          </w:p>
          <w:p w14:paraId="3A497826">
            <w:pPr>
              <w:keepNext w:val="0"/>
              <w:keepLines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8、如果甲方对乙方项目成员的工作不满意，有权单方要求乙方在指定期限内更换符合要求的项目人员，乙方应遵照执行。</w:t>
            </w:r>
          </w:p>
          <w:p w14:paraId="276017D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val="en-US" w:eastAsia="zh-CN" w:bidi="ar"/>
              </w:rPr>
              <w:t>9、甲方有权根据附件所列《考核表》的标准对乙方提供服务的情况进行考核，造价定稿金额400万（含）以上，按项目考核；造价定稿金额400万以下，按季度考核。合同履行期间，甲方有权对附件所列《考核表》进行调整，经双方认可后实施。</w:t>
            </w:r>
          </w:p>
          <w:p w14:paraId="3349DA63">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第六条 乙方权利与义务</w:t>
            </w:r>
          </w:p>
          <w:p w14:paraId="530687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需根据本合同约定的服务内容为甲方提供相应的咨询服务，但因实际情况发生变化导致服务范围有所变更的，乙方亦应予以履行，如由于服务范围变化导致与合同约定的工作内容发生重大变化，双方应协商确定相应的服务费用，在协商一致前乙方有权暂缓该项目。</w:t>
            </w:r>
          </w:p>
          <w:p w14:paraId="7B34F7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2、为保证项目执行的有效性及连续性，乙方应设置固定的项目负责人，其中乙方承诺保障咨询服务的整体高质量与高水平。</w:t>
            </w:r>
          </w:p>
          <w:p w14:paraId="6DD801B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3、乙方的项目负责人为：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2F31B43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4、乙方承诺不诱使甲方员工离开甲方或成为乙方雇员。未经甲方事先同意，乙方承诺在甲方场所不开展与本项目无关的工作，不探听、不传播与项目无关的信息，不干扰甲方业务的正常进行。 </w:t>
            </w:r>
          </w:p>
          <w:p w14:paraId="6B7677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5、乙方有义务在合同约定的时间内完成并交付合同约定的各项工作和成果。 </w:t>
            </w:r>
          </w:p>
          <w:p w14:paraId="7E0AE57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乙方有义务妥善保管好甲方提供的相关资料（包括书面和电子形式），不得向乙方内部无关人员以及任何第三方泄露有关内容。合同解除/终止后，乙方依然要对上述资料承担保密义务，直至相关信息被依法公开为止。</w:t>
            </w:r>
          </w:p>
          <w:p w14:paraId="46580C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7、乙方有义务及时回复甲方所提出的与项目有关的问题。</w:t>
            </w:r>
          </w:p>
          <w:p w14:paraId="5419C99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8、乙方人员在甲方公司内活动时，需听从有关人员的安排和引导。</w:t>
            </w:r>
          </w:p>
          <w:p w14:paraId="28C758A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9、乙方应对咨询服务的工作量、正确性、完整性、合法性和及时性负责。</w:t>
            </w:r>
          </w:p>
          <w:p w14:paraId="3522A2D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10、未经甲方书面同意，乙方不得将本合同或合同项下服务内容全部或部分委托给第三方。</w:t>
            </w:r>
          </w:p>
          <w:p w14:paraId="443313B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11、乙方对服务成果文件出现的遗漏或错误应无条件负责修改或补充。</w:t>
            </w:r>
          </w:p>
          <w:p w14:paraId="23B7108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乙方保证所提供的造价咨询服务均为采用优质的服务资源及工作流程，内容及质量完全符合相关规范、标准及甲方要求。由于乙方的主观原因而造成的差错，如错套定额，点错小数点、重项、漏项、工程量计算错误、高估冒算导致造价失实等，应当向甲方进行赔偿。由于甲方委托资料不完善、不准确而导致的造价偏差，不可算作乙方咨询成果的质量问题。</w:t>
            </w:r>
          </w:p>
          <w:p w14:paraId="5D00D5E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13、乙方须承诺无条件接受甲方的指导、检查、监督及协调。</w:t>
            </w:r>
          </w:p>
          <w:p w14:paraId="7C1672E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在本合同执行过程中，无论何种原因，乙方均不得消极怠工或拒不履行合同义务（包括但不限于修改成果文件、技术支持、解答释疑、事故处理等），如有违反，甲方有权就违约事宜提出改正，如乙方仍拒不改正的，甲方有权选择解除本服务合同，并追究乙方违约责任，同时有权依法委托有资质的第三方继续履行本合同义务。</w:t>
            </w:r>
          </w:p>
          <w:p w14:paraId="7BBC57A2">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第七条 成果文件交付期限及要求</w:t>
            </w:r>
          </w:p>
          <w:p w14:paraId="59CC290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1、单项造价咨询服务完成时间要求，具体如下：</w:t>
            </w:r>
          </w:p>
          <w:tbl>
            <w:tblPr>
              <w:tblStyle w:val="3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2"/>
              <w:gridCol w:w="1556"/>
              <w:gridCol w:w="1240"/>
              <w:gridCol w:w="1240"/>
              <w:gridCol w:w="1240"/>
              <w:gridCol w:w="2545"/>
              <w:gridCol w:w="851"/>
              <w:gridCol w:w="851"/>
            </w:tblGrid>
            <w:tr w14:paraId="7E99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59D266A7">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序号</w:t>
                  </w:r>
                </w:p>
              </w:tc>
              <w:tc>
                <w:tcPr>
                  <w:tcW w:w="1556" w:type="dxa"/>
                  <w:tcBorders>
                    <w:top w:val="single" w:color="auto" w:sz="4" w:space="0"/>
                    <w:left w:val="nil"/>
                    <w:bottom w:val="single" w:color="auto" w:sz="4" w:space="0"/>
                    <w:right w:val="single" w:color="auto" w:sz="4" w:space="0"/>
                  </w:tcBorders>
                  <w:shd w:val="clear" w:color="auto" w:fill="auto"/>
                  <w:vAlign w:val="center"/>
                </w:tcPr>
                <w:p w14:paraId="24D9C65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金额（万元）</w:t>
                  </w:r>
                </w:p>
              </w:tc>
              <w:tc>
                <w:tcPr>
                  <w:tcW w:w="1240" w:type="dxa"/>
                  <w:tcBorders>
                    <w:top w:val="single" w:color="auto" w:sz="4" w:space="0"/>
                    <w:left w:val="nil"/>
                    <w:bottom w:val="single" w:color="auto" w:sz="4" w:space="0"/>
                    <w:right w:val="single" w:color="auto" w:sz="4" w:space="0"/>
                  </w:tcBorders>
                  <w:shd w:val="clear" w:color="auto" w:fill="auto"/>
                  <w:vAlign w:val="center"/>
                </w:tcPr>
                <w:p w14:paraId="65DA362F">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投资估算审核</w:t>
                  </w:r>
                </w:p>
              </w:tc>
              <w:tc>
                <w:tcPr>
                  <w:tcW w:w="1240" w:type="dxa"/>
                  <w:tcBorders>
                    <w:top w:val="single" w:color="auto" w:sz="4" w:space="0"/>
                    <w:left w:val="nil"/>
                    <w:bottom w:val="single" w:color="auto" w:sz="4" w:space="0"/>
                    <w:right w:val="single" w:color="auto" w:sz="4" w:space="0"/>
                  </w:tcBorders>
                  <w:shd w:val="clear" w:color="auto" w:fill="auto"/>
                  <w:vAlign w:val="center"/>
                </w:tcPr>
                <w:p w14:paraId="0D9E389A">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初设概算审核</w:t>
                  </w:r>
                </w:p>
              </w:tc>
              <w:tc>
                <w:tcPr>
                  <w:tcW w:w="1240" w:type="dxa"/>
                  <w:tcBorders>
                    <w:top w:val="single" w:color="auto" w:sz="4" w:space="0"/>
                    <w:left w:val="nil"/>
                    <w:bottom w:val="single" w:color="auto" w:sz="4" w:space="0"/>
                    <w:right w:val="single" w:color="auto" w:sz="4" w:space="0"/>
                  </w:tcBorders>
                  <w:shd w:val="clear" w:color="auto" w:fill="auto"/>
                  <w:vAlign w:val="center"/>
                </w:tcPr>
                <w:p w14:paraId="5F8BED6F">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招标控制价编制</w:t>
                  </w:r>
                </w:p>
              </w:tc>
              <w:tc>
                <w:tcPr>
                  <w:tcW w:w="2545" w:type="dxa"/>
                  <w:tcBorders>
                    <w:top w:val="single" w:color="auto" w:sz="4" w:space="0"/>
                    <w:left w:val="nil"/>
                    <w:bottom w:val="single" w:color="auto" w:sz="4" w:space="0"/>
                    <w:right w:val="single" w:color="auto" w:sz="4" w:space="0"/>
                  </w:tcBorders>
                  <w:shd w:val="clear" w:color="auto" w:fill="auto"/>
                  <w:vAlign w:val="center"/>
                </w:tcPr>
                <w:p w14:paraId="3358F4AE">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施工图预算、变更预算、工程结算审核（或编制）</w:t>
                  </w:r>
                </w:p>
              </w:tc>
              <w:tc>
                <w:tcPr>
                  <w:tcW w:w="851" w:type="dxa"/>
                  <w:tcBorders>
                    <w:top w:val="single" w:color="auto" w:sz="4" w:space="0"/>
                    <w:left w:val="nil"/>
                    <w:bottom w:val="single" w:color="auto" w:sz="4" w:space="0"/>
                    <w:right w:val="single" w:color="auto" w:sz="4" w:space="0"/>
                  </w:tcBorders>
                  <w:shd w:val="clear" w:color="auto" w:fill="auto"/>
                  <w:vAlign w:val="center"/>
                </w:tcPr>
                <w:p w14:paraId="678DFDFA">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工程款支付审核</w:t>
                  </w:r>
                </w:p>
              </w:tc>
              <w:tc>
                <w:tcPr>
                  <w:tcW w:w="851" w:type="dxa"/>
                  <w:tcBorders>
                    <w:top w:val="single" w:color="auto" w:sz="4" w:space="0"/>
                    <w:left w:val="nil"/>
                    <w:bottom w:val="single" w:color="auto" w:sz="4" w:space="0"/>
                    <w:right w:val="single" w:color="auto" w:sz="4" w:space="0"/>
                  </w:tcBorders>
                  <w:shd w:val="clear" w:color="auto" w:fill="auto"/>
                  <w:vAlign w:val="center"/>
                </w:tcPr>
                <w:p w14:paraId="216CE9E9">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货物采购、服务类项目预算编审</w:t>
                  </w:r>
                </w:p>
              </w:tc>
            </w:tr>
            <w:tr w14:paraId="4333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43F984D">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w:t>
                  </w:r>
                </w:p>
              </w:tc>
              <w:tc>
                <w:tcPr>
                  <w:tcW w:w="1556" w:type="dxa"/>
                  <w:tcBorders>
                    <w:top w:val="single" w:color="auto" w:sz="4" w:space="0"/>
                    <w:left w:val="nil"/>
                    <w:bottom w:val="single" w:color="auto" w:sz="4" w:space="0"/>
                    <w:right w:val="single" w:color="auto" w:sz="4" w:space="0"/>
                  </w:tcBorders>
                  <w:shd w:val="clear" w:color="auto" w:fill="auto"/>
                  <w:vAlign w:val="center"/>
                </w:tcPr>
                <w:p w14:paraId="4FC7A5F3">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500以内</w:t>
                  </w:r>
                </w:p>
              </w:tc>
              <w:tc>
                <w:tcPr>
                  <w:tcW w:w="1240" w:type="dxa"/>
                  <w:tcBorders>
                    <w:top w:val="nil"/>
                    <w:left w:val="nil"/>
                    <w:bottom w:val="single" w:color="auto" w:sz="4" w:space="0"/>
                    <w:right w:val="single" w:color="auto" w:sz="4" w:space="0"/>
                  </w:tcBorders>
                  <w:shd w:val="clear" w:color="auto" w:fill="auto"/>
                  <w:vAlign w:val="center"/>
                </w:tcPr>
                <w:p w14:paraId="65A1850B">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5工作日</w:t>
                  </w:r>
                </w:p>
              </w:tc>
              <w:tc>
                <w:tcPr>
                  <w:tcW w:w="1240" w:type="dxa"/>
                  <w:tcBorders>
                    <w:top w:val="single" w:color="auto" w:sz="4" w:space="0"/>
                    <w:left w:val="nil"/>
                    <w:bottom w:val="single" w:color="auto" w:sz="4" w:space="0"/>
                    <w:right w:val="single" w:color="auto" w:sz="4" w:space="0"/>
                  </w:tcBorders>
                  <w:shd w:val="clear" w:color="auto" w:fill="auto"/>
                  <w:vAlign w:val="center"/>
                </w:tcPr>
                <w:p w14:paraId="23E3CC34">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5工作日</w:t>
                  </w:r>
                </w:p>
              </w:tc>
              <w:tc>
                <w:tcPr>
                  <w:tcW w:w="1240" w:type="dxa"/>
                  <w:tcBorders>
                    <w:top w:val="single" w:color="auto" w:sz="4" w:space="0"/>
                    <w:left w:val="nil"/>
                    <w:bottom w:val="single" w:color="auto" w:sz="4" w:space="0"/>
                    <w:right w:val="single" w:color="auto" w:sz="4" w:space="0"/>
                  </w:tcBorders>
                  <w:shd w:val="clear" w:color="auto" w:fill="auto"/>
                  <w:vAlign w:val="center"/>
                </w:tcPr>
                <w:p w14:paraId="459FEAEE">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10工作日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2CA88619">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5工作日</w:t>
                  </w:r>
                </w:p>
              </w:tc>
              <w:tc>
                <w:tcPr>
                  <w:tcW w:w="851" w:type="dxa"/>
                  <w:vMerge w:val="restart"/>
                  <w:tcBorders>
                    <w:top w:val="nil"/>
                    <w:left w:val="nil"/>
                    <w:bottom w:val="single" w:color="auto" w:sz="4" w:space="0"/>
                    <w:right w:val="single" w:color="auto" w:sz="4" w:space="0"/>
                  </w:tcBorders>
                  <w:shd w:val="clear" w:color="auto" w:fill="auto"/>
                  <w:vAlign w:val="center"/>
                </w:tcPr>
                <w:p w14:paraId="21430F49">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2工作日</w:t>
                  </w:r>
                </w:p>
              </w:tc>
              <w:tc>
                <w:tcPr>
                  <w:tcW w:w="851" w:type="dxa"/>
                  <w:vMerge w:val="restart"/>
                  <w:tcBorders>
                    <w:top w:val="nil"/>
                    <w:left w:val="nil"/>
                    <w:bottom w:val="single" w:color="auto" w:sz="4" w:space="0"/>
                    <w:right w:val="single" w:color="auto" w:sz="4" w:space="0"/>
                  </w:tcBorders>
                  <w:shd w:val="clear" w:color="auto" w:fill="auto"/>
                  <w:vAlign w:val="center"/>
                </w:tcPr>
                <w:p w14:paraId="219AD112">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10工作日</w:t>
                  </w:r>
                </w:p>
              </w:tc>
            </w:tr>
            <w:tr w14:paraId="0B30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C792B09">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w:t>
                  </w:r>
                </w:p>
              </w:tc>
              <w:tc>
                <w:tcPr>
                  <w:tcW w:w="1556" w:type="dxa"/>
                  <w:tcBorders>
                    <w:top w:val="single" w:color="auto" w:sz="4" w:space="0"/>
                    <w:left w:val="nil"/>
                    <w:bottom w:val="single" w:color="auto" w:sz="4" w:space="0"/>
                    <w:right w:val="single" w:color="auto" w:sz="4" w:space="0"/>
                  </w:tcBorders>
                  <w:shd w:val="clear" w:color="auto" w:fill="auto"/>
                  <w:vAlign w:val="center"/>
                </w:tcPr>
                <w:p w14:paraId="4FD183A1">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500-2500</w:t>
                  </w:r>
                </w:p>
              </w:tc>
              <w:tc>
                <w:tcPr>
                  <w:tcW w:w="1240" w:type="dxa"/>
                  <w:vMerge w:val="restart"/>
                  <w:tcBorders>
                    <w:top w:val="nil"/>
                    <w:left w:val="nil"/>
                    <w:bottom w:val="single" w:color="auto" w:sz="4" w:space="0"/>
                    <w:right w:val="single" w:color="auto" w:sz="4" w:space="0"/>
                  </w:tcBorders>
                  <w:shd w:val="clear" w:color="auto" w:fill="auto"/>
                  <w:vAlign w:val="center"/>
                </w:tcPr>
                <w:p w14:paraId="382DCE4B">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10工作日</w:t>
                  </w:r>
                </w:p>
              </w:tc>
              <w:tc>
                <w:tcPr>
                  <w:tcW w:w="1240" w:type="dxa"/>
                  <w:vMerge w:val="restart"/>
                  <w:tcBorders>
                    <w:top w:val="nil"/>
                    <w:left w:val="nil"/>
                    <w:bottom w:val="single" w:color="auto" w:sz="4" w:space="0"/>
                    <w:right w:val="single" w:color="auto" w:sz="4" w:space="0"/>
                  </w:tcBorders>
                  <w:shd w:val="clear" w:color="auto" w:fill="auto"/>
                  <w:vAlign w:val="center"/>
                </w:tcPr>
                <w:p w14:paraId="003ED41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15工作日</w:t>
                  </w:r>
                </w:p>
              </w:tc>
              <w:tc>
                <w:tcPr>
                  <w:tcW w:w="1240" w:type="dxa"/>
                  <w:tcBorders>
                    <w:top w:val="single" w:color="auto" w:sz="4" w:space="0"/>
                    <w:left w:val="nil"/>
                    <w:bottom w:val="single" w:color="auto" w:sz="4" w:space="0"/>
                    <w:right w:val="single" w:color="auto" w:sz="4" w:space="0"/>
                  </w:tcBorders>
                  <w:shd w:val="clear" w:color="auto" w:fill="auto"/>
                  <w:vAlign w:val="center"/>
                </w:tcPr>
                <w:p w14:paraId="7B2D2184">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10工作日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46D8381D">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18工作日</w:t>
                  </w:r>
                </w:p>
              </w:tc>
              <w:tc>
                <w:tcPr>
                  <w:tcW w:w="851" w:type="dxa"/>
                  <w:vMerge w:val="continue"/>
                  <w:tcBorders>
                    <w:top w:val="nil"/>
                    <w:left w:val="nil"/>
                    <w:bottom w:val="single" w:color="auto" w:sz="4" w:space="0"/>
                    <w:right w:val="single" w:color="auto" w:sz="4" w:space="0"/>
                  </w:tcBorders>
                  <w:shd w:val="clear" w:color="auto" w:fill="auto"/>
                  <w:vAlign w:val="center"/>
                </w:tcPr>
                <w:p w14:paraId="22ED28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51" w:type="dxa"/>
                  <w:vMerge w:val="continue"/>
                  <w:tcBorders>
                    <w:top w:val="nil"/>
                    <w:left w:val="nil"/>
                    <w:bottom w:val="single" w:color="auto" w:sz="4" w:space="0"/>
                    <w:right w:val="single" w:color="auto" w:sz="4" w:space="0"/>
                  </w:tcBorders>
                  <w:shd w:val="clear" w:color="auto" w:fill="auto"/>
                  <w:vAlign w:val="center"/>
                </w:tcPr>
                <w:p w14:paraId="691FAC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3220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E1C2BEB">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3</w:t>
                  </w:r>
                </w:p>
              </w:tc>
              <w:tc>
                <w:tcPr>
                  <w:tcW w:w="1556" w:type="dxa"/>
                  <w:tcBorders>
                    <w:top w:val="single" w:color="auto" w:sz="4" w:space="0"/>
                    <w:left w:val="nil"/>
                    <w:bottom w:val="single" w:color="auto" w:sz="4" w:space="0"/>
                    <w:right w:val="single" w:color="auto" w:sz="4" w:space="0"/>
                  </w:tcBorders>
                  <w:shd w:val="clear" w:color="auto" w:fill="auto"/>
                  <w:vAlign w:val="center"/>
                </w:tcPr>
                <w:p w14:paraId="0E9CD791">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2500-5000</w:t>
                  </w:r>
                </w:p>
              </w:tc>
              <w:tc>
                <w:tcPr>
                  <w:tcW w:w="1240" w:type="dxa"/>
                  <w:vMerge w:val="continue"/>
                  <w:tcBorders>
                    <w:top w:val="nil"/>
                    <w:left w:val="nil"/>
                    <w:bottom w:val="single" w:color="auto" w:sz="4" w:space="0"/>
                    <w:right w:val="single" w:color="auto" w:sz="4" w:space="0"/>
                  </w:tcBorders>
                  <w:shd w:val="clear" w:color="auto" w:fill="auto"/>
                  <w:vAlign w:val="center"/>
                </w:tcPr>
                <w:p w14:paraId="4486BD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40" w:type="dxa"/>
                  <w:vMerge w:val="continue"/>
                  <w:tcBorders>
                    <w:top w:val="nil"/>
                    <w:left w:val="nil"/>
                    <w:bottom w:val="single" w:color="auto" w:sz="4" w:space="0"/>
                    <w:right w:val="single" w:color="auto" w:sz="4" w:space="0"/>
                  </w:tcBorders>
                  <w:shd w:val="clear" w:color="auto" w:fill="auto"/>
                  <w:vAlign w:val="center"/>
                </w:tcPr>
                <w:p w14:paraId="40A5D0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6C9B0A1A">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12工作日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623C1FC5">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20工作日</w:t>
                  </w:r>
                </w:p>
              </w:tc>
              <w:tc>
                <w:tcPr>
                  <w:tcW w:w="851" w:type="dxa"/>
                  <w:vMerge w:val="continue"/>
                  <w:tcBorders>
                    <w:top w:val="nil"/>
                    <w:left w:val="nil"/>
                    <w:bottom w:val="single" w:color="auto" w:sz="4" w:space="0"/>
                    <w:right w:val="single" w:color="auto" w:sz="4" w:space="0"/>
                  </w:tcBorders>
                  <w:shd w:val="clear" w:color="auto" w:fill="auto"/>
                  <w:vAlign w:val="center"/>
                </w:tcPr>
                <w:p w14:paraId="41D2FD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51" w:type="dxa"/>
                  <w:vMerge w:val="continue"/>
                  <w:tcBorders>
                    <w:top w:val="nil"/>
                    <w:left w:val="nil"/>
                    <w:bottom w:val="single" w:color="auto" w:sz="4" w:space="0"/>
                    <w:right w:val="single" w:color="auto" w:sz="4" w:space="0"/>
                  </w:tcBorders>
                  <w:shd w:val="clear" w:color="auto" w:fill="auto"/>
                  <w:vAlign w:val="center"/>
                </w:tcPr>
                <w:p w14:paraId="61821B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39D3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B183193">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4</w:t>
                  </w:r>
                </w:p>
              </w:tc>
              <w:tc>
                <w:tcPr>
                  <w:tcW w:w="1556" w:type="dxa"/>
                  <w:tcBorders>
                    <w:top w:val="single" w:color="auto" w:sz="4" w:space="0"/>
                    <w:left w:val="nil"/>
                    <w:bottom w:val="single" w:color="auto" w:sz="4" w:space="0"/>
                    <w:right w:val="single" w:color="auto" w:sz="4" w:space="0"/>
                  </w:tcBorders>
                  <w:shd w:val="clear" w:color="auto" w:fill="auto"/>
                  <w:vAlign w:val="center"/>
                </w:tcPr>
                <w:p w14:paraId="6FB23086">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5000-10000</w:t>
                  </w:r>
                </w:p>
              </w:tc>
              <w:tc>
                <w:tcPr>
                  <w:tcW w:w="1240" w:type="dxa"/>
                  <w:vMerge w:val="continue"/>
                  <w:tcBorders>
                    <w:top w:val="nil"/>
                    <w:left w:val="nil"/>
                    <w:bottom w:val="single" w:color="auto" w:sz="4" w:space="0"/>
                    <w:right w:val="single" w:color="auto" w:sz="4" w:space="0"/>
                  </w:tcBorders>
                  <w:shd w:val="clear" w:color="auto" w:fill="auto"/>
                  <w:vAlign w:val="center"/>
                </w:tcPr>
                <w:p w14:paraId="07AEAA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40" w:type="dxa"/>
                  <w:vMerge w:val="continue"/>
                  <w:tcBorders>
                    <w:top w:val="nil"/>
                    <w:left w:val="nil"/>
                    <w:bottom w:val="single" w:color="auto" w:sz="4" w:space="0"/>
                    <w:right w:val="single" w:color="auto" w:sz="4" w:space="0"/>
                  </w:tcBorders>
                  <w:shd w:val="clear" w:color="auto" w:fill="auto"/>
                  <w:vAlign w:val="center"/>
                </w:tcPr>
                <w:p w14:paraId="32328C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073FDF30">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16工作日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714B845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26工作日</w:t>
                  </w:r>
                </w:p>
              </w:tc>
              <w:tc>
                <w:tcPr>
                  <w:tcW w:w="851" w:type="dxa"/>
                  <w:vMerge w:val="continue"/>
                  <w:tcBorders>
                    <w:top w:val="nil"/>
                    <w:left w:val="nil"/>
                    <w:bottom w:val="single" w:color="auto" w:sz="4" w:space="0"/>
                    <w:right w:val="single" w:color="auto" w:sz="4" w:space="0"/>
                  </w:tcBorders>
                  <w:shd w:val="clear" w:color="auto" w:fill="auto"/>
                  <w:vAlign w:val="center"/>
                </w:tcPr>
                <w:p w14:paraId="577009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51" w:type="dxa"/>
                  <w:vMerge w:val="continue"/>
                  <w:tcBorders>
                    <w:top w:val="nil"/>
                    <w:left w:val="nil"/>
                    <w:bottom w:val="single" w:color="auto" w:sz="4" w:space="0"/>
                    <w:right w:val="single" w:color="auto" w:sz="4" w:space="0"/>
                  </w:tcBorders>
                  <w:shd w:val="clear" w:color="auto" w:fill="auto"/>
                  <w:vAlign w:val="center"/>
                </w:tcPr>
                <w:p w14:paraId="55693A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76BD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1DE6F67">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5</w:t>
                  </w:r>
                </w:p>
              </w:tc>
              <w:tc>
                <w:tcPr>
                  <w:tcW w:w="1556" w:type="dxa"/>
                  <w:tcBorders>
                    <w:top w:val="single" w:color="auto" w:sz="4" w:space="0"/>
                    <w:left w:val="nil"/>
                    <w:bottom w:val="single" w:color="auto" w:sz="4" w:space="0"/>
                    <w:right w:val="single" w:color="auto" w:sz="4" w:space="0"/>
                  </w:tcBorders>
                  <w:shd w:val="clear" w:color="auto" w:fill="auto"/>
                  <w:vAlign w:val="center"/>
                </w:tcPr>
                <w:p w14:paraId="40EA191D">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&gt;10000</w:t>
                  </w:r>
                </w:p>
              </w:tc>
              <w:tc>
                <w:tcPr>
                  <w:tcW w:w="1240" w:type="dxa"/>
                  <w:vMerge w:val="continue"/>
                  <w:tcBorders>
                    <w:top w:val="nil"/>
                    <w:left w:val="nil"/>
                    <w:bottom w:val="single" w:color="auto" w:sz="4" w:space="0"/>
                    <w:right w:val="single" w:color="auto" w:sz="4" w:space="0"/>
                  </w:tcBorders>
                  <w:shd w:val="clear" w:color="auto" w:fill="auto"/>
                  <w:vAlign w:val="center"/>
                </w:tcPr>
                <w:p w14:paraId="4B8955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40" w:type="dxa"/>
                  <w:vMerge w:val="continue"/>
                  <w:tcBorders>
                    <w:top w:val="nil"/>
                    <w:left w:val="nil"/>
                    <w:bottom w:val="single" w:color="auto" w:sz="4" w:space="0"/>
                    <w:right w:val="single" w:color="auto" w:sz="4" w:space="0"/>
                  </w:tcBorders>
                  <w:shd w:val="clear" w:color="auto" w:fill="auto"/>
                  <w:vAlign w:val="center"/>
                </w:tcPr>
                <w:p w14:paraId="0016EB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556461D7">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18工作日</w:t>
                  </w:r>
                </w:p>
              </w:tc>
              <w:tc>
                <w:tcPr>
                  <w:tcW w:w="2545" w:type="dxa"/>
                  <w:tcBorders>
                    <w:top w:val="single" w:color="auto" w:sz="4" w:space="0"/>
                    <w:left w:val="nil"/>
                    <w:bottom w:val="single" w:color="auto" w:sz="4" w:space="0"/>
                    <w:right w:val="single" w:color="auto" w:sz="4" w:space="0"/>
                  </w:tcBorders>
                  <w:shd w:val="clear" w:color="auto" w:fill="auto"/>
                  <w:vAlign w:val="center"/>
                </w:tcPr>
                <w:p w14:paraId="0278A50C">
                  <w:pPr>
                    <w:keepNext w:val="0"/>
                    <w:keepLines w:val="0"/>
                    <w:widowControl/>
                    <w:suppressLineNumbers w:val="0"/>
                    <w:topLinePunct/>
                    <w:autoSpaceDE w:val="0"/>
                    <w:autoSpaceDN/>
                    <w:adjustRightInd w:val="0"/>
                    <w:snapToGrid w:val="0"/>
                    <w:spacing w:before="0" w:beforeAutospacing="0" w:after="0" w:afterAutospacing="0"/>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28工作日</w:t>
                  </w:r>
                </w:p>
              </w:tc>
              <w:tc>
                <w:tcPr>
                  <w:tcW w:w="851" w:type="dxa"/>
                  <w:vMerge w:val="continue"/>
                  <w:tcBorders>
                    <w:top w:val="nil"/>
                    <w:left w:val="nil"/>
                    <w:bottom w:val="single" w:color="auto" w:sz="4" w:space="0"/>
                    <w:right w:val="single" w:color="auto" w:sz="4" w:space="0"/>
                  </w:tcBorders>
                  <w:shd w:val="clear" w:color="auto" w:fill="auto"/>
                  <w:vAlign w:val="center"/>
                </w:tcPr>
                <w:p w14:paraId="186A02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51" w:type="dxa"/>
                  <w:vMerge w:val="continue"/>
                  <w:tcBorders>
                    <w:top w:val="nil"/>
                    <w:left w:val="nil"/>
                    <w:bottom w:val="single" w:color="auto" w:sz="4" w:space="0"/>
                    <w:right w:val="single" w:color="auto" w:sz="4" w:space="0"/>
                  </w:tcBorders>
                  <w:shd w:val="clear" w:color="auto" w:fill="auto"/>
                  <w:vAlign w:val="center"/>
                </w:tcPr>
                <w:p w14:paraId="0C4E16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20A1C42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2、以上时限为乙方完成单项工程造价咨询服务并向甲方正式报出初稿成果文件的时间。甲方有权根据单项工作实际情况，要求乙方加快完成相关工作，乙方应予以配合。</w:t>
            </w:r>
          </w:p>
          <w:p w14:paraId="651252B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3、在履约期间，如甲方的委托资料不齐全或甲方对乙方所提出的问题不能及时核对或答复，则乙方的服务期限可相应顺延，并不因此承担违约责任。</w:t>
            </w:r>
          </w:p>
          <w:p w14:paraId="083FB7F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4、成果文件的交付数量及要求。</w:t>
            </w:r>
          </w:p>
          <w:p w14:paraId="16B54F43">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（1）结算审核业务的成果文件需包含《项目造价审核表》、《结算审核书》、《审核说明》及项目报表。</w:t>
            </w:r>
          </w:p>
          <w:p w14:paraId="48B38A2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（2）估算编审、概算编审、预算编审业务的成果文件需包含封面、编制说明及项目报表。如根据图纸算量需提供工程量计算底稿电子版。</w:t>
            </w:r>
          </w:p>
          <w:p w14:paraId="650BD067">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（3）通过询价方式编制的货物采购、服务类招标控制价，需提供询价过程资料、询价单位清单、招标控制价编制情况说明等资料。</w:t>
            </w:r>
          </w:p>
          <w:p w14:paraId="5E17BA36">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（4）乙方向甲方提交的初稿成果文件，需包含电子版（包括广联达、Excel、Word等可编辑格式）及成果扫描版一套，无需提交纸质版。</w:t>
            </w:r>
          </w:p>
          <w:p w14:paraId="6EF56BD0">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（5）乙方向甲方提交的终稿成果文件，需包含电子版（包括广联达、Excel、Word等可编辑格式）及经甲方审核确认的成果扫描版一套，纸质成果文件三套。</w:t>
            </w:r>
          </w:p>
          <w:p w14:paraId="3827808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5、成果验收</w:t>
            </w:r>
          </w:p>
          <w:p w14:paraId="1F5078C3">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（1）验收标准：甲方按照本合同约定的服务内容对终稿成果文件进行验收。乙方提交的终稿成果文件须符合本合同约定的要求，且须经甲方确认后即视为验收合格。</w:t>
            </w:r>
          </w:p>
          <w:p w14:paraId="13A77366">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（2）甲方对服务成果的验收不能免除乙方应承担的质量责任。</w:t>
            </w:r>
          </w:p>
          <w:p w14:paraId="42E91720">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第八条 服务要求</w:t>
            </w:r>
          </w:p>
          <w:p w14:paraId="0F2DC205">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国家和省、市有关工程造价的法规、政策、文件、以及基建财务管理的有关规定，本着为甲方节约投资的原则，科学、客观、公正地开展工程造价咨询服务工作；应按甲方的要求，按时按质按量提供咨询报告，对成果报告的真实性、准确性、完整性、合法性、合理性负责，并负有保密责任。</w:t>
            </w:r>
          </w:p>
          <w:p w14:paraId="609AC3D5">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根据甲方的委托，编制和审核的工程概预算(含最高限价)、招标工程量清单应确保结果完整、科学、准确，符合工程项目的实际情况和国家有关工程计价规范；招标工程量清单设置要科学、合理，不得有高估冒算、虚列项目，也不得有漏项漏量、重项错量等错误，如有上述错误，应负相应的责任。</w:t>
            </w:r>
          </w:p>
          <w:p w14:paraId="42382C7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3、在编制和审核工程概预算(含最高限价)、招标工程量清单时，如甲方有相关需求，乙方须对项目的设计方案作出技术经济分析，并向甲方提出优化方案和合理化建议。</w:t>
            </w:r>
          </w:p>
          <w:p w14:paraId="0AAEF043">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要坚持科学准确、客观真实、公平公正、合理合法、廉洁高效的原则，审核工程竣工结算。必须及时配合甲方解决结算审核中存在的技术问题，在服务过程中，如发现计价原则方法的确定、重大的签证审核以及工程管理中存在违规行为要及时向甲方反映，不得擅自作出处理，要对项目的全过程管理依法作出正确的评价。</w:t>
            </w:r>
          </w:p>
          <w:p w14:paraId="6D61653A">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5、对存有疑问的地方，应配合甲方深入现场调查取证，逐一核实，按实际情况调整，保证工程造价咨询服务成果文件的合理性和真实性。重要的材料或设备价格，应及时与甲方沟通，协商确定合理的价格。</w:t>
            </w:r>
          </w:p>
          <w:p w14:paraId="6A8F98C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6、配合甲方做好编审依据的收集及取证工作，所有的编审依据必须是有效的书面资料， 并妥善保存。</w:t>
            </w:r>
          </w:p>
          <w:p w14:paraId="4795FBBE">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7、不得接受同一项目不同委托人的造价咨询服务委托，即就同一项目既接受招标人的委托，又接受项目投标供应商、承包单位等相对利益关系人的委托。</w:t>
            </w:r>
          </w:p>
          <w:p w14:paraId="05E4FF1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8、项目的结果未经甲方许可，不得泄露给他人。乙方应对受托任务涉及的有关资料、内容、成果以及结论承担保密的义务。</w:t>
            </w:r>
          </w:p>
          <w:p w14:paraId="411D25B2">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9、对于甲方要求乙方驻场服务的项目，乙方有义务派出专业的人员驻场服务，服务场地由甲方提供。</w:t>
            </w:r>
          </w:p>
          <w:p w14:paraId="0842EF1C">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10、人员要求</w:t>
            </w:r>
          </w:p>
          <w:p w14:paraId="6CD6695B">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szCs w:val="21"/>
                <w:highlight w:val="none"/>
                <w:lang w:val="en-US" w:eastAsia="zh-CN" w:bidi="ar"/>
              </w:rPr>
              <w:t>拟投入本项目的技术负责人(仅一人)须具有一级造价工程师注册证书，并具有工程类相关高级专业技术职称</w:t>
            </w:r>
            <w:r>
              <w:rPr>
                <w:rFonts w:hint="eastAsia" w:ascii="宋体" w:hAnsi="宋体" w:eastAsia="宋体" w:cs="宋体"/>
                <w:color w:val="auto"/>
                <w:kern w:val="2"/>
                <w:sz w:val="21"/>
                <w:szCs w:val="21"/>
                <w:highlight w:val="none"/>
                <w:lang w:val="en-US" w:eastAsia="zh-CN" w:bidi="ar"/>
              </w:rPr>
              <w:t>。</w:t>
            </w:r>
          </w:p>
          <w:p w14:paraId="52D0F5C4">
            <w:pPr>
              <w:pStyle w:val="16"/>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highlight w:val="none"/>
                <w:lang w:val="en-US" w:eastAsia="zh-CN"/>
              </w:rPr>
              <w:t>拟投入本项目的服务团队(除技术负责人外)取得二级或以上造价工程师注册证书的人员应不少于6人。</w:t>
            </w:r>
          </w:p>
          <w:p w14:paraId="7848541B">
            <w:pPr>
              <w:keepNext w:val="0"/>
              <w:keepLines w:val="0"/>
              <w:widowControl w:val="0"/>
              <w:suppressLineNumbers w:val="0"/>
              <w:tabs>
                <w:tab w:val="left" w:pos="304"/>
              </w:tabs>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p>
          <w:p w14:paraId="597C3D01">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第九条 知识产权</w:t>
            </w:r>
          </w:p>
          <w:p w14:paraId="3744A2F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在提供造价咨询服务过程中，涉及所承接项目的相关技术资料、图表、服务成果所有权及知识产权均属于甲方，且乙方保证，甲方在使用本合同项下由乙方提供的造价咨询服务成果时，免受第三方提出的侵犯其专利权、商标权、著作权或其他知识产权的起诉，否则，乙方应向甲方支付违约金</w:t>
            </w:r>
            <w:r>
              <w:rPr>
                <w:rFonts w:hint="eastAsia" w:ascii="宋体" w:hAnsi="宋体" w:eastAsia="宋体" w:cs="宋体"/>
                <w:color w:val="auto"/>
                <w:highlight w:val="none"/>
                <w:lang w:val="en-US" w:eastAsia="zh-CN"/>
              </w:rPr>
              <w:t>20,000.00</w:t>
            </w:r>
            <w:r>
              <w:rPr>
                <w:rFonts w:hint="eastAsia" w:ascii="宋体" w:hAnsi="宋体" w:eastAsia="宋体" w:cs="宋体"/>
                <w:color w:val="auto"/>
                <w:kern w:val="2"/>
                <w:sz w:val="21"/>
                <w:szCs w:val="21"/>
                <w:highlight w:val="none"/>
                <w:lang w:val="en-US" w:eastAsia="zh-CN" w:bidi="ar"/>
              </w:rPr>
              <w:t>元，同时还应由乙方负责处理并承担相应的责任，并赔偿甲方因此遭受的损失（包括但不限于律师费、诉讼费、执行费、保全费、公证费、鉴定费等）。如因此导致甲方无法使用服务成果的，乙方应退还甲方已支付的全部费用。在不侵犯双方利益的情况下，双方可保留相关技术资料文件以及成果文件等，以备主管部门核查。</w:t>
            </w:r>
          </w:p>
          <w:p w14:paraId="30389A9A">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第十条  违约责任</w:t>
            </w:r>
          </w:p>
          <w:p w14:paraId="337DC29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在本合同履行期间，甲方因实际情况发生变化，需取消已委派的项目时，若乙方还未开展实际咨询工作的，甲方无需向乙方支付咨询费用；若乙方已开展实际咨询工作的，甲方应按乙方实际完成并经甲方审核确认的工作量支付咨询费用，具体费用由双方协商确定。</w:t>
            </w:r>
          </w:p>
          <w:p w14:paraId="5DD0D44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2、合同履行期间，甲方有权根据《考核表》扣分情况，累计出现3次单个项目扣分达到20分或单次考核扣分达到40分时甲方有权解除本合同，给甲方造成损失的，乙方还应足额赔偿甲方。</w:t>
            </w:r>
          </w:p>
          <w:p w14:paraId="1070241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本合同履行期间，乙方违反本合同或单项合同等约定的，甲方有权就违约事宜提出改正，如乙方拒不改正的，甲方有权要求乙方承担人民币20,000.00元的违约金，同时保留解除本合同或单项合同的权利。如甲方选择解除本合同或单项合同的，乙方还应按具体单项项目相应服务费用的20%向甲方支付违约金。如违约金不足以弥补甲方损失的，甲方有权另行追偿。</w:t>
            </w:r>
          </w:p>
          <w:p w14:paraId="3DA595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4、在本合同履行期间，无特殊情况，乙方不得拒绝接受任务，否则，甲方有权解除本合同。</w:t>
            </w:r>
          </w:p>
          <w:p w14:paraId="6F5EADD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乙方对项目成果出现的遗漏或错误，应无条件负责修改或补充。乙方怠于修改、补充或经修订仍不符合甲方要求的，不能通过甲方验收确认的，甲方有权不予支付该项目的咨询费用，并要求乙方支付相当于该项目造价咨询服务费20%的违约金。</w:t>
            </w:r>
          </w:p>
          <w:p w14:paraId="16269B8B">
            <w:pPr>
              <w:pStyle w:val="33"/>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合同履行期间，乙方存在如下情形之一的，甲方有权书面通知乙方单方解除本合同，取消乙方服务资格，并要求乙方承担人民币20,000.00元的违约金，给甲方造成损失的，乙方还应足额赔偿甲方。甲方有权按相关法律法规追究其相应责任：</w:t>
            </w:r>
          </w:p>
          <w:p w14:paraId="69534954">
            <w:pPr>
              <w:pStyle w:val="33"/>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（1）提供虚假信息、误导或欺骗甲方或相关用户单位，以谋取非法利益的；</w:t>
            </w:r>
          </w:p>
          <w:p w14:paraId="7295AFEC">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（2）违反诚信信用原则，没有严格执行相关质量、服务和收费标准，损害甲方或相关用户单位的利益的；</w:t>
            </w:r>
          </w:p>
          <w:p w14:paraId="1FDCA478">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（3）违反有关法律法规以及本合同的约定，损害甲方利益的；</w:t>
            </w:r>
          </w:p>
          <w:p w14:paraId="167C2FB5">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（4）拒绝接受甲方及相关部门监督、检查的；</w:t>
            </w:r>
          </w:p>
          <w:p w14:paraId="73C56AE1">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（5）出现信用危机、财务危机、生产经营危机甚至破产、倒闭，无法继续履行本合同的；</w:t>
            </w:r>
          </w:p>
          <w:p w14:paraId="74BEB91C">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（6）采用非法手段进行不正当竞争的，构成恶劣影响；</w:t>
            </w:r>
          </w:p>
          <w:p w14:paraId="0066BEEA">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（7）资质被降或者吊销的；</w:t>
            </w:r>
          </w:p>
          <w:p w14:paraId="73515568">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（8）因违法国家有关法律法规，被相关行政部门或甲方通报的；</w:t>
            </w:r>
          </w:p>
          <w:p w14:paraId="36CE58A4">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（9）泄露服务项目内容的；</w:t>
            </w:r>
          </w:p>
          <w:p w14:paraId="4EEB2C32">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（10）未经甲方书面同意，将本合同或项下服务合同全部或部分转让给第三方的。</w:t>
            </w:r>
          </w:p>
          <w:p w14:paraId="35E817E7">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7、乙方因违约所产生的违约金、赔偿金等乙方应支付的所有费用，甲方有权从应付服务费用中直接抵扣。</w:t>
            </w:r>
          </w:p>
          <w:p w14:paraId="2C0B282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第十一条 合同变更与终止</w:t>
            </w:r>
          </w:p>
          <w:p w14:paraId="643984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1、一方要求变更或解除合同时，应当至少提前5个工作日通知对方，因变更或解除合同使一方遭受损失的，应由责任方负责赔偿。</w:t>
            </w:r>
          </w:p>
          <w:p w14:paraId="1BA6B48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2、变更或解除合同的通知或协议应当采取书面形式。</w:t>
            </w:r>
          </w:p>
          <w:p w14:paraId="2FE1A820">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第十二条 不可抗力</w:t>
            </w:r>
          </w:p>
          <w:p w14:paraId="3E8B1D68">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1、由于不可抗力因素（指疫情、火灾、地震、洪水、战争等）使乙方不能在合同规定的期限内提供服务时，乙方必须立即以书面形式通知甲方，并向甲方提供有关政府机关所出具的不可抗力因素证明。</w:t>
            </w:r>
          </w:p>
          <w:p w14:paraId="28057BB0">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完全不能履约，并在30天内不能恢复履约，则任何一方可提出终止合同，互不承担违约责任。</w:t>
            </w:r>
          </w:p>
          <w:p w14:paraId="3B17C5A3">
            <w:pPr>
              <w:keepNext w:val="0"/>
              <w:keepLines w:val="0"/>
              <w:widowControl w:val="0"/>
              <w:suppressLineNumbers w:val="0"/>
              <w:spacing w:before="156" w:beforeLines="50" w:beforeAutospacing="0" w:after="0" w:afterAutospacing="0" w:line="360" w:lineRule="auto"/>
              <w:ind w:left="0" w:right="0" w:firstLine="422" w:firstLineChars="200"/>
              <w:jc w:val="both"/>
              <w:outlineLvl w:val="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第十三条 其他</w:t>
            </w:r>
          </w:p>
          <w:p w14:paraId="03F139B3">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1、本合同自双方法定代表人或负责人签字并盖章之日起生效至合同项下全部义务履行完毕时终止。</w:t>
            </w:r>
          </w:p>
          <w:p w14:paraId="2FDF470B">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2、本合同签订前乙方已根据甲方要求开展的造价咨询服务，经甲方审核无误后可纳入本合同约定的服务范围并按本合同约定计算服务费用。</w:t>
            </w:r>
          </w:p>
          <w:p w14:paraId="72F8A46C">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3、合同期内，甲方可根据委托项目实际情况与乙方签订单项服务合同，合同约定按单项服务合同为准。</w:t>
            </w:r>
          </w:p>
          <w:p w14:paraId="1599F148">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4、因签订及履行本合同发生的争议，双方应当协商解决；如未能达成一致，可提交有关主管部门调解；协商或调解不成的，任何一方均可向甲方所在地有管辖权的人民法院提起诉讼。</w:t>
            </w:r>
          </w:p>
          <w:p w14:paraId="0DC52749">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5、本合同仅作为乙方在本合同期限内取得甲方分配具体单项造价项目的资格，但并不代表乙方必然取得具体单项造价项目服务的权利。</w:t>
            </w:r>
          </w:p>
          <w:p w14:paraId="7949E4FA">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6、本合同如有未尽事宜，由甲、乙双方订立补充协议，补充协议与本合同同具法律效力。</w:t>
            </w:r>
          </w:p>
          <w:p w14:paraId="3C50D2B6">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7、本合同所列之附件，均与本合同同具法律效力，</w:t>
            </w:r>
          </w:p>
          <w:p w14:paraId="218B3B18">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8、本合同一式陆份，甲方肆份、乙方贰份，具有同等法律效力。</w:t>
            </w:r>
          </w:p>
          <w:p w14:paraId="379B1535">
            <w:pPr>
              <w:pStyle w:val="3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 </w:t>
            </w:r>
          </w:p>
          <w:p w14:paraId="7EE043ED">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合同附件：</w:t>
            </w:r>
          </w:p>
          <w:p w14:paraId="498ABF64">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1、《广东省建设工程造价咨询服务收费标准》(粤价函(2011)742号)</w:t>
            </w:r>
          </w:p>
          <w:p w14:paraId="18CD26B5">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2、考核表</w:t>
            </w:r>
          </w:p>
          <w:p w14:paraId="79574924">
            <w:pPr>
              <w:keepNext w:val="0"/>
              <w:keepLines w:val="0"/>
              <w:suppressLineNumbers w:val="0"/>
              <w:spacing w:before="0" w:beforeAutospacing="0" w:after="0" w:afterAutospacing="0" w:line="360" w:lineRule="auto"/>
              <w:ind w:left="0" w:right="0" w:firstLine="420" w:firstLineChars="200"/>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3、阳光合作告知函 </w:t>
            </w:r>
          </w:p>
          <w:p w14:paraId="3DA0A819">
            <w:pPr>
              <w:keepNext w:val="0"/>
              <w:keepLines w:val="0"/>
              <w:suppressLineNumbers w:val="0"/>
              <w:spacing w:before="0" w:beforeAutospacing="0" w:after="0" w:afterAutospacing="0" w:line="360" w:lineRule="auto"/>
              <w:ind w:left="0" w:right="0" w:firstLine="420" w:firstLineChars="200"/>
              <w:outlineLvl w:val="0"/>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4、廉洁协议书</w:t>
            </w:r>
          </w:p>
          <w:p w14:paraId="47D9C47C">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CF97D77">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545AB39">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b/>
                <w:bCs/>
                <w:color w:val="auto"/>
                <w:spacing w:val="2"/>
                <w:kern w:val="2"/>
                <w:sz w:val="21"/>
                <w:szCs w:val="21"/>
                <w:highlight w:val="none"/>
              </w:rPr>
            </w:pPr>
            <w:r>
              <w:rPr>
                <w:rFonts w:hint="eastAsia" w:ascii="宋体" w:hAnsi="宋体" w:eastAsia="宋体" w:cs="宋体"/>
                <w:b/>
                <w:bCs/>
                <w:color w:val="auto"/>
                <w:spacing w:val="2"/>
                <w:kern w:val="2"/>
                <w:sz w:val="21"/>
                <w:szCs w:val="21"/>
                <w:highlight w:val="none"/>
                <w:lang w:val="en-US" w:eastAsia="zh-CN" w:bidi="ar"/>
              </w:rPr>
              <w:t>（以下无正文，为本合同的签署页/栏）</w:t>
            </w:r>
          </w:p>
          <w:p w14:paraId="5D963FFF">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      方：（盖章）</w:t>
            </w:r>
          </w:p>
          <w:p w14:paraId="5271599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法定代表人（或授权代表）：</w:t>
            </w:r>
          </w:p>
          <w:p w14:paraId="558BA88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电      话：                       </w:t>
            </w:r>
          </w:p>
          <w:p w14:paraId="1498DBB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      址：    </w:t>
            </w:r>
          </w:p>
          <w:p w14:paraId="3196330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 订 日期：   年   月   日              </w:t>
            </w:r>
          </w:p>
          <w:p w14:paraId="6BCAB46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E3119BC">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      方：（盖章）</w:t>
            </w:r>
          </w:p>
          <w:p w14:paraId="4024DDA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法定代表人（或授权代表）：</w:t>
            </w:r>
          </w:p>
          <w:p w14:paraId="70AB0CB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p>
          <w:p w14:paraId="1E9CD23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w:t>
            </w:r>
          </w:p>
          <w:p w14:paraId="4C80B45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kern w:val="2"/>
                <w:sz w:val="21"/>
                <w:szCs w:val="21"/>
                <w:highlight w:val="none"/>
                <w:lang w:val="en-US" w:eastAsia="zh-CN" w:bidi="ar"/>
              </w:rPr>
              <w:t>签 订 日 期：   年   月   日</w:t>
            </w:r>
          </w:p>
        </w:tc>
        <w:tc>
          <w:tcPr>
            <w:tcW w:w="267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7B7EE0B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1921" w:type="dxa"/>
            <w:vMerge w:val="continue"/>
            <w:tcBorders>
              <w:top w:val="inset" w:color="333333" w:sz="6" w:space="0"/>
              <w:left w:val="nil"/>
              <w:bottom w:val="inset" w:color="333333" w:sz="6" w:space="0"/>
              <w:right w:val="inset" w:color="333333" w:sz="6" w:space="0"/>
            </w:tcBorders>
            <w:shd w:val="clear" w:color="auto" w:fill="auto"/>
            <w:vAlign w:val="center"/>
          </w:tcPr>
          <w:p w14:paraId="31E8805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1374" w:type="dxa"/>
            <w:vMerge w:val="continue"/>
            <w:tcBorders>
              <w:top w:val="inset" w:color="333333" w:sz="6" w:space="0"/>
              <w:left w:val="nil"/>
              <w:bottom w:val="inset" w:color="333333" w:sz="6" w:space="0"/>
              <w:right w:val="inset" w:color="333333" w:sz="6" w:space="0"/>
            </w:tcBorders>
            <w:shd w:val="clear" w:color="auto" w:fill="auto"/>
            <w:vAlign w:val="center"/>
          </w:tcPr>
          <w:p w14:paraId="02F8658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801" w:type="dxa"/>
            <w:tcBorders>
              <w:top w:val="inset" w:color="333333" w:sz="6" w:space="0"/>
              <w:left w:val="nil"/>
              <w:bottom w:val="inset" w:color="333333" w:sz="6" w:space="0"/>
              <w:right w:val="inset" w:color="333333" w:sz="6" w:space="0"/>
            </w:tcBorders>
            <w:shd w:val="clear" w:color="auto" w:fill="auto"/>
            <w:vAlign w:val="center"/>
          </w:tcPr>
          <w:p w14:paraId="3E0D09E4">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100万元以内</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0932A0D8">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101-500</w:t>
            </w:r>
            <w:r>
              <w:rPr>
                <w:rFonts w:hint="eastAsia" w:ascii="宋体" w:hAnsi="宋体" w:eastAsia="宋体" w:cs="宋体"/>
                <w:color w:val="auto"/>
                <w:kern w:val="2"/>
                <w:sz w:val="18"/>
                <w:szCs w:val="18"/>
                <w:highlight w:val="none"/>
                <w:vertAlign w:val="baseline"/>
                <w:lang w:val="en-US" w:eastAsia="zh-CN" w:bidi="ar"/>
              </w:rPr>
              <w:br w:type="textWrapping"/>
            </w:r>
            <w:r>
              <w:rPr>
                <w:rFonts w:hint="eastAsia" w:ascii="宋体" w:hAnsi="宋体" w:eastAsia="宋体" w:cs="宋体"/>
                <w:color w:val="auto"/>
                <w:kern w:val="2"/>
                <w:sz w:val="18"/>
                <w:szCs w:val="18"/>
                <w:highlight w:val="none"/>
                <w:vertAlign w:val="baseline"/>
                <w:lang w:val="en-US" w:eastAsia="zh-CN" w:bidi="ar"/>
              </w:rPr>
              <w:t>万元</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79D5ED31">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501-1000</w:t>
            </w:r>
            <w:r>
              <w:rPr>
                <w:rFonts w:hint="eastAsia" w:ascii="宋体" w:hAnsi="宋体" w:eastAsia="宋体" w:cs="宋体"/>
                <w:color w:val="auto"/>
                <w:kern w:val="2"/>
                <w:sz w:val="18"/>
                <w:szCs w:val="18"/>
                <w:highlight w:val="none"/>
                <w:vertAlign w:val="baseline"/>
                <w:lang w:val="en-US" w:eastAsia="zh-CN" w:bidi="ar"/>
              </w:rPr>
              <w:br w:type="textWrapping"/>
            </w:r>
            <w:r>
              <w:rPr>
                <w:rFonts w:hint="eastAsia" w:ascii="宋体" w:hAnsi="宋体" w:eastAsia="宋体" w:cs="宋体"/>
                <w:color w:val="auto"/>
                <w:kern w:val="2"/>
                <w:sz w:val="18"/>
                <w:szCs w:val="18"/>
                <w:highlight w:val="none"/>
                <w:vertAlign w:val="baseline"/>
                <w:lang w:val="en-US" w:eastAsia="zh-CN" w:bidi="ar"/>
              </w:rPr>
              <w:t>万元</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5FFC3E44">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1001-5000</w:t>
            </w:r>
            <w:r>
              <w:rPr>
                <w:rFonts w:hint="eastAsia" w:ascii="宋体" w:hAnsi="宋体" w:eastAsia="宋体" w:cs="宋体"/>
                <w:color w:val="auto"/>
                <w:kern w:val="2"/>
                <w:sz w:val="18"/>
                <w:szCs w:val="18"/>
                <w:highlight w:val="none"/>
                <w:vertAlign w:val="baseline"/>
                <w:lang w:val="en-US" w:eastAsia="zh-CN" w:bidi="ar"/>
              </w:rPr>
              <w:br w:type="textWrapping"/>
            </w:r>
            <w:r>
              <w:rPr>
                <w:rFonts w:hint="eastAsia" w:ascii="宋体" w:hAnsi="宋体" w:eastAsia="宋体" w:cs="宋体"/>
                <w:color w:val="auto"/>
                <w:kern w:val="2"/>
                <w:sz w:val="18"/>
                <w:szCs w:val="18"/>
                <w:highlight w:val="none"/>
                <w:vertAlign w:val="baseline"/>
                <w:lang w:val="en-US" w:eastAsia="zh-CN" w:bidi="ar"/>
              </w:rPr>
              <w:t>万元</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5AE2A61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5001万元-1</w:t>
            </w:r>
            <w:r>
              <w:rPr>
                <w:rFonts w:hint="eastAsia" w:ascii="宋体" w:hAnsi="宋体" w:eastAsia="宋体" w:cs="宋体"/>
                <w:color w:val="auto"/>
                <w:kern w:val="2"/>
                <w:sz w:val="18"/>
                <w:szCs w:val="18"/>
                <w:highlight w:val="none"/>
                <w:vertAlign w:val="baseline"/>
                <w:lang w:val="en-US" w:eastAsia="zh-CN" w:bidi="ar"/>
              </w:rPr>
              <w:br w:type="textWrapping"/>
            </w:r>
            <w:r>
              <w:rPr>
                <w:rFonts w:hint="eastAsia" w:ascii="宋体" w:hAnsi="宋体" w:eastAsia="宋体" w:cs="宋体"/>
                <w:color w:val="auto"/>
                <w:kern w:val="2"/>
                <w:sz w:val="18"/>
                <w:szCs w:val="18"/>
                <w:highlight w:val="none"/>
                <w:vertAlign w:val="baseline"/>
                <w:lang w:val="en-US" w:eastAsia="zh-CN" w:bidi="ar"/>
              </w:rPr>
              <w:t>亿元</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2211CB2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1亿元以上</w:t>
            </w:r>
          </w:p>
        </w:tc>
        <w:tc>
          <w:tcPr>
            <w:tcW w:w="1209" w:type="dxa"/>
            <w:vMerge w:val="continue"/>
            <w:tcBorders>
              <w:top w:val="inset" w:color="333333" w:sz="6" w:space="0"/>
              <w:left w:val="nil"/>
              <w:bottom w:val="inset" w:color="333333" w:sz="6" w:space="0"/>
              <w:right w:val="inset" w:color="333333" w:sz="6" w:space="0"/>
            </w:tcBorders>
            <w:shd w:val="clear" w:color="auto" w:fill="auto"/>
            <w:vAlign w:val="center"/>
          </w:tcPr>
          <w:p w14:paraId="65BE7B8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r>
      <w:tr w14:paraId="7CF5F739">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1065" w:hRule="atLeast"/>
        </w:trPr>
        <w:tc>
          <w:tcPr>
            <w:tcW w:w="570" w:type="dxa"/>
            <w:tcBorders>
              <w:top w:val="single" w:color="auto" w:sz="4" w:space="0"/>
              <w:left w:val="inset" w:color="333333" w:sz="6" w:space="0"/>
              <w:bottom w:val="inset" w:color="333333" w:sz="6" w:space="0"/>
              <w:right w:val="inset" w:color="333333" w:sz="6" w:space="0"/>
            </w:tcBorders>
            <w:shd w:val="clear" w:color="auto" w:fill="auto"/>
            <w:vAlign w:val="center"/>
          </w:tcPr>
          <w:p w14:paraId="1B7612E0">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w:t>
            </w:r>
          </w:p>
        </w:tc>
        <w:tc>
          <w:tcPr>
            <w:tcW w:w="2678" w:type="dxa"/>
            <w:gridSpan w:val="3"/>
            <w:tcBorders>
              <w:top w:val="single" w:color="auto" w:sz="4" w:space="0"/>
              <w:left w:val="nil"/>
              <w:bottom w:val="inset" w:color="333333" w:sz="6" w:space="0"/>
              <w:right w:val="inset" w:color="333333" w:sz="6" w:space="0"/>
            </w:tcBorders>
            <w:shd w:val="clear" w:color="auto" w:fill="auto"/>
            <w:vAlign w:val="center"/>
          </w:tcPr>
          <w:p w14:paraId="68F70A4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投资估算的编制或审核</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749A192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依据建设项目可行性研究方案编制或核对项目投资估算，出具投资估算报告或审核报告</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4F8C386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估算价</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1DF6E27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1.3‰</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3FB5F16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1.1‰</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3E6B139F">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0.9‰</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708F918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0.7‰</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3C3420C8">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0.5‰</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5147411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0.4‰</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67428AA8">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差额定率累进计费</w:t>
            </w:r>
          </w:p>
        </w:tc>
      </w:tr>
      <w:tr w14:paraId="48CF11FF">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780" w:hRule="atLeast"/>
        </w:trPr>
        <w:tc>
          <w:tcPr>
            <w:tcW w:w="570" w:type="dxa"/>
            <w:tcBorders>
              <w:top w:val="inset" w:color="333333" w:sz="6" w:space="0"/>
              <w:left w:val="inset" w:color="333333" w:sz="6" w:space="0"/>
              <w:bottom w:val="inset" w:color="333333" w:sz="6" w:space="0"/>
              <w:right w:val="inset" w:color="333333" w:sz="6" w:space="0"/>
            </w:tcBorders>
            <w:shd w:val="clear" w:color="auto" w:fill="auto"/>
            <w:vAlign w:val="center"/>
          </w:tcPr>
          <w:p w14:paraId="51F154F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w:t>
            </w:r>
          </w:p>
        </w:tc>
        <w:tc>
          <w:tcPr>
            <w:tcW w:w="2678" w:type="dxa"/>
            <w:gridSpan w:val="3"/>
            <w:tcBorders>
              <w:top w:val="inset" w:color="333333" w:sz="6" w:space="0"/>
              <w:left w:val="nil"/>
              <w:bottom w:val="inset" w:color="333333" w:sz="6" w:space="0"/>
              <w:right w:val="inset" w:color="333333" w:sz="6" w:space="0"/>
            </w:tcBorders>
            <w:shd w:val="clear" w:color="auto" w:fill="auto"/>
            <w:vAlign w:val="center"/>
          </w:tcPr>
          <w:p w14:paraId="710586EB">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工程概算的编制或审核</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2DC0161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依据初步设计图纸计算或复核工程量，出具工程概算书或审核报告</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1AE2CD67">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概算价</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4694AB0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4CDAFF1C">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1.8‰</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467C655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1.6‰</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2BE402B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1.3‰</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39A5BF23">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1.2‰</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5DF0775F">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1.1‰</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7927148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差额定率累进计费</w:t>
            </w:r>
          </w:p>
        </w:tc>
      </w:tr>
      <w:tr w14:paraId="6B5D584A">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810" w:hRule="atLeast"/>
        </w:trPr>
        <w:tc>
          <w:tcPr>
            <w:tcW w:w="570" w:type="dxa"/>
            <w:vMerge w:val="restart"/>
            <w:tcBorders>
              <w:top w:val="nil"/>
              <w:left w:val="inset" w:color="333333" w:sz="6" w:space="0"/>
              <w:bottom w:val="inset" w:color="333333" w:sz="6" w:space="0"/>
              <w:right w:val="inset" w:color="333333" w:sz="6" w:space="0"/>
            </w:tcBorders>
            <w:shd w:val="clear" w:color="auto" w:fill="auto"/>
            <w:vAlign w:val="center"/>
          </w:tcPr>
          <w:p w14:paraId="78457863">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3</w:t>
            </w:r>
          </w:p>
        </w:tc>
        <w:tc>
          <w:tcPr>
            <w:tcW w:w="666" w:type="dxa"/>
            <w:vMerge w:val="restart"/>
            <w:tcBorders>
              <w:top w:val="nil"/>
              <w:left w:val="nil"/>
              <w:bottom w:val="inset" w:color="333333" w:sz="6" w:space="0"/>
              <w:right w:val="inset" w:color="333333" w:sz="6" w:space="0"/>
            </w:tcBorders>
            <w:shd w:val="clear" w:color="auto" w:fill="auto"/>
            <w:vAlign w:val="center"/>
          </w:tcPr>
          <w:p w14:paraId="552E350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工程预算的编制或审核</w:t>
            </w:r>
          </w:p>
        </w:tc>
        <w:tc>
          <w:tcPr>
            <w:tcW w:w="684" w:type="dxa"/>
            <w:vMerge w:val="restart"/>
            <w:tcBorders>
              <w:top w:val="nil"/>
              <w:left w:val="nil"/>
              <w:bottom w:val="inset" w:color="333333" w:sz="6" w:space="0"/>
              <w:right w:val="inset" w:color="333333" w:sz="6" w:space="0"/>
            </w:tcBorders>
            <w:shd w:val="clear" w:color="auto" w:fill="auto"/>
            <w:vAlign w:val="center"/>
          </w:tcPr>
          <w:p w14:paraId="4E0E72EC">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清单计价法</w:t>
            </w:r>
          </w:p>
        </w:tc>
        <w:tc>
          <w:tcPr>
            <w:tcW w:w="1328" w:type="dxa"/>
            <w:tcBorders>
              <w:top w:val="inset" w:color="333333" w:sz="6" w:space="0"/>
              <w:left w:val="nil"/>
              <w:bottom w:val="inset" w:color="333333" w:sz="6" w:space="0"/>
              <w:right w:val="inset" w:color="333333" w:sz="6" w:space="0"/>
            </w:tcBorders>
            <w:shd w:val="clear" w:color="auto" w:fill="auto"/>
            <w:vAlign w:val="center"/>
          </w:tcPr>
          <w:p w14:paraId="49957A30">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单独编制或审核工程量清单</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3A4D62AB">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依据施工图编制或审核工程量清单，出具工程量清单书或审核报告</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682BD8A4">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预算造价（预算价、招标控制价）</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13B321C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3‰</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75306601">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2.5‰</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524987C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2.4‰</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4E440FD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2.2‰</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2D9E1630">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2C69420F">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1.8‰</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4CF6F70B">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差额定率累进计费</w:t>
            </w:r>
          </w:p>
        </w:tc>
      </w:tr>
      <w:tr w14:paraId="4B45D9F6">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870" w:hRule="atLeast"/>
        </w:trPr>
        <w:tc>
          <w:tcPr>
            <w:tcW w:w="570" w:type="dxa"/>
            <w:vMerge w:val="continue"/>
            <w:tcBorders>
              <w:top w:val="nil"/>
              <w:left w:val="inset" w:color="333333" w:sz="6" w:space="0"/>
              <w:bottom w:val="inset" w:color="333333" w:sz="6" w:space="0"/>
              <w:right w:val="inset" w:color="333333" w:sz="6" w:space="0"/>
            </w:tcBorders>
            <w:shd w:val="clear" w:color="auto" w:fill="auto"/>
            <w:vAlign w:val="center"/>
          </w:tcPr>
          <w:p w14:paraId="2456CF9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666" w:type="dxa"/>
            <w:vMerge w:val="continue"/>
            <w:tcBorders>
              <w:top w:val="nil"/>
              <w:left w:val="nil"/>
              <w:bottom w:val="inset" w:color="333333" w:sz="6" w:space="0"/>
              <w:right w:val="inset" w:color="333333" w:sz="6" w:space="0"/>
            </w:tcBorders>
            <w:shd w:val="clear" w:color="auto" w:fill="auto"/>
            <w:vAlign w:val="center"/>
          </w:tcPr>
          <w:p w14:paraId="7C148BF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684" w:type="dxa"/>
            <w:vMerge w:val="continue"/>
            <w:tcBorders>
              <w:top w:val="nil"/>
              <w:left w:val="nil"/>
              <w:bottom w:val="inset" w:color="333333" w:sz="6" w:space="0"/>
              <w:right w:val="inset" w:color="333333" w:sz="6" w:space="0"/>
            </w:tcBorders>
            <w:shd w:val="clear" w:color="auto" w:fill="auto"/>
            <w:vAlign w:val="center"/>
          </w:tcPr>
          <w:p w14:paraId="5209BBA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1328" w:type="dxa"/>
            <w:tcBorders>
              <w:top w:val="inset" w:color="333333" w:sz="6" w:space="0"/>
              <w:left w:val="nil"/>
              <w:bottom w:val="inset" w:color="333333" w:sz="6" w:space="0"/>
              <w:right w:val="inset" w:color="333333" w:sz="6" w:space="0"/>
            </w:tcBorders>
            <w:shd w:val="clear" w:color="auto" w:fill="auto"/>
            <w:vAlign w:val="center"/>
          </w:tcPr>
          <w:p w14:paraId="0B74192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单独编制或审核预算造价</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213EC433">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依据施工图、工程量清单编制或审核工程量清单报价，出具工程报价书或审核报告</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449DFB98">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预算造价（预算价、招标控制价、投标报价）</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1DC17DF3">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1.8‰</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152A9FE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1.6‰</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1E2465F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1.4‰</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05E94934">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1.2‰</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54B7242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0.9‰</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6990798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0.8‰</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3D398EE8">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差额定率累进计费</w:t>
            </w:r>
          </w:p>
        </w:tc>
      </w:tr>
      <w:tr w14:paraId="009BB03E">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750" w:hRule="atLeast"/>
        </w:trPr>
        <w:tc>
          <w:tcPr>
            <w:tcW w:w="570" w:type="dxa"/>
            <w:vMerge w:val="continue"/>
            <w:tcBorders>
              <w:top w:val="nil"/>
              <w:left w:val="inset" w:color="333333" w:sz="6" w:space="0"/>
              <w:bottom w:val="inset" w:color="333333" w:sz="6" w:space="0"/>
              <w:right w:val="inset" w:color="333333" w:sz="6" w:space="0"/>
            </w:tcBorders>
            <w:shd w:val="clear" w:color="auto" w:fill="auto"/>
            <w:vAlign w:val="center"/>
          </w:tcPr>
          <w:p w14:paraId="20F4EC1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666" w:type="dxa"/>
            <w:vMerge w:val="continue"/>
            <w:tcBorders>
              <w:top w:val="nil"/>
              <w:left w:val="nil"/>
              <w:bottom w:val="inset" w:color="333333" w:sz="6" w:space="0"/>
              <w:right w:val="inset" w:color="333333" w:sz="6" w:space="0"/>
            </w:tcBorders>
            <w:shd w:val="clear" w:color="auto" w:fill="auto"/>
            <w:vAlign w:val="center"/>
          </w:tcPr>
          <w:p w14:paraId="66D083D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684" w:type="dxa"/>
            <w:tcBorders>
              <w:top w:val="inset" w:color="333333" w:sz="6" w:space="0"/>
              <w:left w:val="nil"/>
              <w:bottom w:val="inset" w:color="333333" w:sz="6" w:space="0"/>
              <w:right w:val="inset" w:color="333333" w:sz="6" w:space="0"/>
            </w:tcBorders>
            <w:shd w:val="clear" w:color="auto" w:fill="auto"/>
            <w:vAlign w:val="center"/>
          </w:tcPr>
          <w:p w14:paraId="6A07532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定额计价法</w:t>
            </w:r>
          </w:p>
        </w:tc>
        <w:tc>
          <w:tcPr>
            <w:tcW w:w="1328" w:type="dxa"/>
            <w:tcBorders>
              <w:top w:val="inset" w:color="333333" w:sz="6" w:space="0"/>
              <w:left w:val="nil"/>
              <w:bottom w:val="inset" w:color="333333" w:sz="6" w:space="0"/>
              <w:right w:val="inset" w:color="333333" w:sz="6" w:space="0"/>
            </w:tcBorders>
            <w:shd w:val="clear" w:color="auto" w:fill="auto"/>
            <w:vAlign w:val="center"/>
          </w:tcPr>
          <w:p w14:paraId="493B1A5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编制或审核预算造价</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00EDF30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依据施工图编制或审核工程预算，出具工程预算书或审核报告</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613079D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预算造价（预算价、招标控制价、投标报价）</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5B042AB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3.5‰</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52CF77B1">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3‰</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143306F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2.8‰</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61E1FC4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2.7‰</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2503C556">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2.4‰</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3D3DB73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55AD42B0">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差额定率累进计费</w:t>
            </w:r>
          </w:p>
        </w:tc>
      </w:tr>
      <w:tr w14:paraId="21A156B9">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675" w:hRule="atLeast"/>
        </w:trPr>
        <w:tc>
          <w:tcPr>
            <w:tcW w:w="570" w:type="dxa"/>
            <w:tcBorders>
              <w:top w:val="inset" w:color="333333" w:sz="6" w:space="0"/>
              <w:left w:val="inset" w:color="333333" w:sz="6" w:space="0"/>
              <w:bottom w:val="inset" w:color="333333" w:sz="6" w:space="0"/>
              <w:right w:val="inset" w:color="333333" w:sz="6" w:space="0"/>
            </w:tcBorders>
            <w:shd w:val="clear" w:color="auto" w:fill="auto"/>
            <w:vAlign w:val="center"/>
          </w:tcPr>
          <w:p w14:paraId="664BFC9F">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4</w:t>
            </w:r>
          </w:p>
        </w:tc>
        <w:tc>
          <w:tcPr>
            <w:tcW w:w="2678" w:type="dxa"/>
            <w:gridSpan w:val="3"/>
            <w:tcBorders>
              <w:top w:val="inset" w:color="333333" w:sz="6" w:space="0"/>
              <w:left w:val="nil"/>
              <w:bottom w:val="inset" w:color="333333" w:sz="6" w:space="0"/>
              <w:right w:val="inset" w:color="333333" w:sz="6" w:space="0"/>
            </w:tcBorders>
            <w:shd w:val="clear" w:color="auto" w:fill="auto"/>
            <w:vAlign w:val="center"/>
          </w:tcPr>
          <w:p w14:paraId="634F2143">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工程结算的编制</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26A1232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依据竣工图等竣工资料编制工程结算，出具工程结算书</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4D1D7BE8">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结算价</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2546BA1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4.5‰</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337B4833">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4‰</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318E5D2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3.5‰</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38649D21">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3.3‰</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6FDA84D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3‰</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195A613B">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2.5‰</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5ED4EEB0">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差额定率累进计费</w:t>
            </w:r>
          </w:p>
        </w:tc>
      </w:tr>
      <w:tr w14:paraId="7D3B8803">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735" w:hRule="atLeast"/>
        </w:trPr>
        <w:tc>
          <w:tcPr>
            <w:tcW w:w="570" w:type="dxa"/>
            <w:vMerge w:val="restart"/>
            <w:tcBorders>
              <w:top w:val="nil"/>
              <w:left w:val="inset" w:color="333333" w:sz="6" w:space="0"/>
              <w:bottom w:val="inset" w:color="333333" w:sz="6" w:space="0"/>
              <w:right w:val="inset" w:color="333333" w:sz="6" w:space="0"/>
            </w:tcBorders>
            <w:shd w:val="clear" w:color="auto" w:fill="auto"/>
            <w:vAlign w:val="center"/>
          </w:tcPr>
          <w:p w14:paraId="6C7A747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5</w:t>
            </w:r>
          </w:p>
        </w:tc>
        <w:tc>
          <w:tcPr>
            <w:tcW w:w="1350" w:type="dxa"/>
            <w:gridSpan w:val="2"/>
            <w:vMerge w:val="restart"/>
            <w:tcBorders>
              <w:top w:val="nil"/>
              <w:left w:val="nil"/>
              <w:bottom w:val="inset" w:color="333333" w:sz="6" w:space="0"/>
              <w:right w:val="inset" w:color="333333" w:sz="6" w:space="0"/>
            </w:tcBorders>
            <w:shd w:val="clear" w:color="auto" w:fill="auto"/>
            <w:vAlign w:val="center"/>
          </w:tcPr>
          <w:p w14:paraId="45FBF1E4">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工程结算审核</w:t>
            </w:r>
          </w:p>
        </w:tc>
        <w:tc>
          <w:tcPr>
            <w:tcW w:w="1328" w:type="dxa"/>
            <w:tcBorders>
              <w:top w:val="inset" w:color="333333" w:sz="6" w:space="0"/>
              <w:left w:val="nil"/>
              <w:bottom w:val="inset" w:color="333333" w:sz="6" w:space="0"/>
              <w:right w:val="inset" w:color="333333" w:sz="6" w:space="0"/>
            </w:tcBorders>
            <w:shd w:val="clear" w:color="auto" w:fill="auto"/>
            <w:vAlign w:val="center"/>
          </w:tcPr>
          <w:p w14:paraId="6CB902C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（1）基本收费</w:t>
            </w:r>
          </w:p>
        </w:tc>
        <w:tc>
          <w:tcPr>
            <w:tcW w:w="1921" w:type="dxa"/>
            <w:vMerge w:val="restart"/>
            <w:tcBorders>
              <w:top w:val="nil"/>
              <w:left w:val="nil"/>
              <w:bottom w:val="inset" w:color="333333" w:sz="6" w:space="0"/>
              <w:right w:val="inset" w:color="333333" w:sz="6" w:space="0"/>
            </w:tcBorders>
            <w:shd w:val="clear" w:color="auto" w:fill="auto"/>
            <w:vAlign w:val="center"/>
          </w:tcPr>
          <w:p w14:paraId="0197C327">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依据竣工图、签证资料、工程结算书等进行审核，出具工程结算审核报告</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2B10B386">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送审结算价</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48F9BC91">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2.8‰</w:t>
            </w:r>
          </w:p>
        </w:tc>
        <w:tc>
          <w:tcPr>
            <w:tcW w:w="1025" w:type="dxa"/>
            <w:tcBorders>
              <w:top w:val="inset" w:color="333333" w:sz="6" w:space="0"/>
              <w:left w:val="nil"/>
              <w:bottom w:val="nil"/>
              <w:right w:val="inset" w:color="333333" w:sz="6" w:space="0"/>
            </w:tcBorders>
            <w:shd w:val="clear" w:color="auto" w:fill="auto"/>
            <w:vAlign w:val="center"/>
          </w:tcPr>
          <w:p w14:paraId="75B2C3AB">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2.5‰</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63E32551">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2.2‰</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085FDB6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1.6‰</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4D25EDC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1.3‰</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0818C76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w:t>
            </w:r>
          </w:p>
        </w:tc>
        <w:tc>
          <w:tcPr>
            <w:tcW w:w="1209" w:type="dxa"/>
            <w:vMerge w:val="restart"/>
            <w:tcBorders>
              <w:top w:val="inset" w:color="333333" w:sz="6" w:space="0"/>
              <w:left w:val="nil"/>
              <w:bottom w:val="inset" w:color="333333" w:sz="6" w:space="0"/>
              <w:right w:val="inset" w:color="333333" w:sz="6" w:space="0"/>
            </w:tcBorders>
            <w:shd w:val="clear" w:color="auto" w:fill="auto"/>
            <w:vAlign w:val="center"/>
          </w:tcPr>
          <w:p w14:paraId="52596C56">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基本收费为差额定率累进计费；总收费=基本收费+效益收费</w:t>
            </w:r>
          </w:p>
        </w:tc>
      </w:tr>
      <w:tr w14:paraId="336945F6">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660" w:hRule="atLeast"/>
        </w:trPr>
        <w:tc>
          <w:tcPr>
            <w:tcW w:w="570" w:type="dxa"/>
            <w:vMerge w:val="continue"/>
            <w:tcBorders>
              <w:top w:val="nil"/>
              <w:left w:val="inset" w:color="333333" w:sz="6" w:space="0"/>
              <w:bottom w:val="inset" w:color="333333" w:sz="6" w:space="0"/>
              <w:right w:val="inset" w:color="333333" w:sz="6" w:space="0"/>
            </w:tcBorders>
            <w:shd w:val="clear" w:color="auto" w:fill="auto"/>
            <w:vAlign w:val="center"/>
          </w:tcPr>
          <w:p w14:paraId="1EEA34E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1350" w:type="dxa"/>
            <w:gridSpan w:val="2"/>
            <w:vMerge w:val="continue"/>
            <w:tcBorders>
              <w:top w:val="nil"/>
              <w:left w:val="nil"/>
              <w:bottom w:val="inset" w:color="333333" w:sz="6" w:space="0"/>
              <w:right w:val="inset" w:color="333333" w:sz="6" w:space="0"/>
            </w:tcBorders>
            <w:shd w:val="clear" w:color="auto" w:fill="auto"/>
            <w:vAlign w:val="center"/>
          </w:tcPr>
          <w:p w14:paraId="54271A3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1328" w:type="dxa"/>
            <w:tcBorders>
              <w:top w:val="inset" w:color="333333" w:sz="6" w:space="0"/>
              <w:left w:val="nil"/>
              <w:bottom w:val="inset" w:color="333333" w:sz="6" w:space="0"/>
              <w:right w:val="inset" w:color="333333" w:sz="6" w:space="0"/>
            </w:tcBorders>
            <w:shd w:val="clear" w:color="auto" w:fill="auto"/>
            <w:vAlign w:val="center"/>
          </w:tcPr>
          <w:p w14:paraId="6696733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（2）效益收费</w:t>
            </w:r>
          </w:p>
        </w:tc>
        <w:tc>
          <w:tcPr>
            <w:tcW w:w="1921" w:type="dxa"/>
            <w:vMerge w:val="continue"/>
            <w:tcBorders>
              <w:top w:val="nil"/>
              <w:left w:val="nil"/>
              <w:bottom w:val="inset" w:color="333333" w:sz="6" w:space="0"/>
              <w:right w:val="inset" w:color="333333" w:sz="6" w:space="0"/>
            </w:tcBorders>
            <w:shd w:val="clear" w:color="auto" w:fill="auto"/>
            <w:vAlign w:val="center"/>
          </w:tcPr>
          <w:p w14:paraId="31B29EA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1374" w:type="dxa"/>
            <w:tcBorders>
              <w:top w:val="inset" w:color="333333" w:sz="6" w:space="0"/>
              <w:left w:val="nil"/>
              <w:bottom w:val="inset" w:color="333333" w:sz="6" w:space="0"/>
              <w:right w:val="inset" w:color="333333" w:sz="6" w:space="0"/>
            </w:tcBorders>
            <w:shd w:val="clear" w:color="auto" w:fill="auto"/>
            <w:vAlign w:val="center"/>
          </w:tcPr>
          <w:p w14:paraId="0E7E308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|核减额|+|核增额|</w:t>
            </w:r>
          </w:p>
        </w:tc>
        <w:tc>
          <w:tcPr>
            <w:tcW w:w="6236" w:type="dxa"/>
            <w:gridSpan w:val="6"/>
            <w:tcBorders>
              <w:top w:val="inset" w:color="333333" w:sz="6" w:space="0"/>
              <w:left w:val="nil"/>
              <w:bottom w:val="inset" w:color="333333" w:sz="6" w:space="0"/>
              <w:right w:val="inset" w:color="333333" w:sz="6" w:space="0"/>
            </w:tcBorders>
            <w:shd w:val="clear" w:color="auto" w:fill="auto"/>
            <w:vAlign w:val="center"/>
          </w:tcPr>
          <w:p w14:paraId="6576758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5%</w:t>
            </w:r>
          </w:p>
        </w:tc>
        <w:tc>
          <w:tcPr>
            <w:tcW w:w="1209" w:type="dxa"/>
            <w:vMerge w:val="continue"/>
            <w:tcBorders>
              <w:top w:val="inset" w:color="333333" w:sz="6" w:space="0"/>
              <w:left w:val="nil"/>
              <w:bottom w:val="inset" w:color="333333" w:sz="6" w:space="0"/>
              <w:right w:val="inset" w:color="333333" w:sz="6" w:space="0"/>
            </w:tcBorders>
            <w:shd w:val="clear" w:color="auto" w:fill="auto"/>
            <w:vAlign w:val="center"/>
          </w:tcPr>
          <w:p w14:paraId="01E6492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r>
      <w:tr w14:paraId="2330393C">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1230" w:hRule="atLeast"/>
        </w:trPr>
        <w:tc>
          <w:tcPr>
            <w:tcW w:w="570" w:type="dxa"/>
            <w:tcBorders>
              <w:top w:val="inset" w:color="333333" w:sz="6" w:space="0"/>
              <w:left w:val="inset" w:color="333333" w:sz="6" w:space="0"/>
              <w:bottom w:val="inset" w:color="333333" w:sz="6" w:space="0"/>
              <w:right w:val="inset" w:color="333333" w:sz="6" w:space="0"/>
            </w:tcBorders>
            <w:shd w:val="clear" w:color="auto" w:fill="auto"/>
            <w:vAlign w:val="center"/>
          </w:tcPr>
          <w:p w14:paraId="028EE15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6</w:t>
            </w:r>
          </w:p>
        </w:tc>
        <w:tc>
          <w:tcPr>
            <w:tcW w:w="2678" w:type="dxa"/>
            <w:gridSpan w:val="3"/>
            <w:tcBorders>
              <w:top w:val="inset" w:color="333333" w:sz="6" w:space="0"/>
              <w:left w:val="nil"/>
              <w:bottom w:val="inset" w:color="333333" w:sz="6" w:space="0"/>
              <w:right w:val="inset" w:color="333333" w:sz="6" w:space="0"/>
            </w:tcBorders>
            <w:shd w:val="clear" w:color="auto" w:fill="auto"/>
            <w:vAlign w:val="center"/>
          </w:tcPr>
          <w:p w14:paraId="6CF04D40">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施工阶段全过程造价控制</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6C164E3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工程量清单编制开始到工程结算审核的造价咨询服务</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15D67446">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概算价</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73873D3C">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12‰</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256AC32B">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11‰</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0A3D190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10‰</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55BB64C1">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9‰</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5E004DB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8‰</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61C1FDD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7‰</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76173696">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差额定率累进计费；不包驻场人员的费用</w:t>
            </w:r>
          </w:p>
        </w:tc>
      </w:tr>
      <w:tr w14:paraId="6743CC50">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990" w:hRule="atLeast"/>
        </w:trPr>
        <w:tc>
          <w:tcPr>
            <w:tcW w:w="570" w:type="dxa"/>
            <w:vMerge w:val="restart"/>
            <w:tcBorders>
              <w:top w:val="nil"/>
              <w:left w:val="inset" w:color="333333" w:sz="6" w:space="0"/>
              <w:bottom w:val="inset" w:color="333333" w:sz="6" w:space="0"/>
              <w:right w:val="inset" w:color="333333" w:sz="6" w:space="0"/>
            </w:tcBorders>
            <w:shd w:val="clear" w:color="auto" w:fill="auto"/>
            <w:vAlign w:val="center"/>
          </w:tcPr>
          <w:p w14:paraId="710ED3C7">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7</w:t>
            </w:r>
          </w:p>
        </w:tc>
        <w:tc>
          <w:tcPr>
            <w:tcW w:w="2678" w:type="dxa"/>
            <w:gridSpan w:val="3"/>
            <w:vMerge w:val="restart"/>
            <w:tcBorders>
              <w:top w:val="nil"/>
              <w:left w:val="nil"/>
              <w:bottom w:val="inset" w:color="333333" w:sz="6" w:space="0"/>
              <w:right w:val="inset" w:color="333333" w:sz="6" w:space="0"/>
            </w:tcBorders>
            <w:shd w:val="clear" w:color="auto" w:fill="auto"/>
            <w:vAlign w:val="center"/>
          </w:tcPr>
          <w:p w14:paraId="2B851533">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工程造价纠纷鉴证</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5E9F6C3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受委托进行鉴证</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1F3DFFA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鉴证后标的额</w:t>
            </w:r>
          </w:p>
        </w:tc>
        <w:tc>
          <w:tcPr>
            <w:tcW w:w="801" w:type="dxa"/>
            <w:tcBorders>
              <w:top w:val="inset" w:color="333333" w:sz="6" w:space="0"/>
              <w:left w:val="nil"/>
              <w:bottom w:val="inset" w:color="333333" w:sz="6" w:space="0"/>
              <w:right w:val="inset" w:color="333333" w:sz="6" w:space="0"/>
            </w:tcBorders>
            <w:shd w:val="clear" w:color="auto" w:fill="auto"/>
            <w:vAlign w:val="center"/>
          </w:tcPr>
          <w:p w14:paraId="5F0E389C">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12‰</w:t>
            </w:r>
          </w:p>
        </w:tc>
        <w:tc>
          <w:tcPr>
            <w:tcW w:w="1025" w:type="dxa"/>
            <w:tcBorders>
              <w:top w:val="inset" w:color="333333" w:sz="6" w:space="0"/>
              <w:left w:val="nil"/>
              <w:bottom w:val="inset" w:color="333333" w:sz="6" w:space="0"/>
              <w:right w:val="inset" w:color="333333" w:sz="6" w:space="0"/>
            </w:tcBorders>
            <w:shd w:val="clear" w:color="auto" w:fill="auto"/>
            <w:vAlign w:val="center"/>
          </w:tcPr>
          <w:p w14:paraId="185738F3">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10‰</w:t>
            </w:r>
          </w:p>
        </w:tc>
        <w:tc>
          <w:tcPr>
            <w:tcW w:w="1216" w:type="dxa"/>
            <w:tcBorders>
              <w:top w:val="inset" w:color="333333" w:sz="6" w:space="0"/>
              <w:left w:val="nil"/>
              <w:bottom w:val="inset" w:color="333333" w:sz="6" w:space="0"/>
              <w:right w:val="inset" w:color="333333" w:sz="6" w:space="0"/>
            </w:tcBorders>
            <w:shd w:val="clear" w:color="auto" w:fill="auto"/>
            <w:vAlign w:val="center"/>
          </w:tcPr>
          <w:p w14:paraId="15973ADF">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8‰</w:t>
            </w:r>
          </w:p>
        </w:tc>
        <w:tc>
          <w:tcPr>
            <w:tcW w:w="1278" w:type="dxa"/>
            <w:tcBorders>
              <w:top w:val="inset" w:color="333333" w:sz="6" w:space="0"/>
              <w:left w:val="nil"/>
              <w:bottom w:val="inset" w:color="333333" w:sz="6" w:space="0"/>
              <w:right w:val="inset" w:color="333333" w:sz="6" w:space="0"/>
            </w:tcBorders>
            <w:shd w:val="clear" w:color="auto" w:fill="auto"/>
            <w:vAlign w:val="center"/>
          </w:tcPr>
          <w:p w14:paraId="219871DF">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7‰</w:t>
            </w:r>
          </w:p>
        </w:tc>
        <w:tc>
          <w:tcPr>
            <w:tcW w:w="972" w:type="dxa"/>
            <w:tcBorders>
              <w:top w:val="inset" w:color="333333" w:sz="6" w:space="0"/>
              <w:left w:val="nil"/>
              <w:bottom w:val="inset" w:color="333333" w:sz="6" w:space="0"/>
              <w:right w:val="inset" w:color="333333" w:sz="6" w:space="0"/>
            </w:tcBorders>
            <w:shd w:val="clear" w:color="auto" w:fill="auto"/>
            <w:vAlign w:val="center"/>
          </w:tcPr>
          <w:p w14:paraId="08E91B17">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6‰</w:t>
            </w:r>
          </w:p>
        </w:tc>
        <w:tc>
          <w:tcPr>
            <w:tcW w:w="944" w:type="dxa"/>
            <w:tcBorders>
              <w:top w:val="inset" w:color="333333" w:sz="6" w:space="0"/>
              <w:left w:val="nil"/>
              <w:bottom w:val="inset" w:color="333333" w:sz="6" w:space="0"/>
              <w:right w:val="inset" w:color="333333" w:sz="6" w:space="0"/>
            </w:tcBorders>
            <w:shd w:val="clear" w:color="auto" w:fill="auto"/>
            <w:vAlign w:val="center"/>
          </w:tcPr>
          <w:p w14:paraId="64A2E13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5‰</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4F8EEEE8">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差额定率累进计费；原被告单方有造价或双方均无造价</w:t>
            </w:r>
          </w:p>
        </w:tc>
      </w:tr>
      <w:tr w14:paraId="03EFB6B8">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615" w:hRule="atLeast"/>
        </w:trPr>
        <w:tc>
          <w:tcPr>
            <w:tcW w:w="570" w:type="dxa"/>
            <w:vMerge w:val="continue"/>
            <w:tcBorders>
              <w:top w:val="nil"/>
              <w:left w:val="inset" w:color="333333" w:sz="6" w:space="0"/>
              <w:bottom w:val="inset" w:color="333333" w:sz="6" w:space="0"/>
              <w:right w:val="inset" w:color="333333" w:sz="6" w:space="0"/>
            </w:tcBorders>
            <w:shd w:val="clear" w:color="auto" w:fill="auto"/>
            <w:vAlign w:val="center"/>
          </w:tcPr>
          <w:p w14:paraId="426C905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2678" w:type="dxa"/>
            <w:gridSpan w:val="3"/>
            <w:vMerge w:val="continue"/>
            <w:tcBorders>
              <w:top w:val="nil"/>
              <w:left w:val="nil"/>
              <w:bottom w:val="inset" w:color="333333" w:sz="6" w:space="0"/>
              <w:right w:val="inset" w:color="333333" w:sz="6" w:space="0"/>
            </w:tcBorders>
            <w:shd w:val="clear" w:color="auto" w:fill="auto"/>
            <w:vAlign w:val="center"/>
          </w:tcPr>
          <w:p w14:paraId="0E58E62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0"/>
                <w:szCs w:val="20"/>
                <w:highlight w:val="none"/>
              </w:rPr>
            </w:pPr>
          </w:p>
        </w:tc>
        <w:tc>
          <w:tcPr>
            <w:tcW w:w="1921" w:type="dxa"/>
            <w:tcBorders>
              <w:top w:val="inset" w:color="333333" w:sz="6" w:space="0"/>
              <w:left w:val="nil"/>
              <w:bottom w:val="inset" w:color="333333" w:sz="6" w:space="0"/>
              <w:right w:val="inset" w:color="333333" w:sz="6" w:space="0"/>
            </w:tcBorders>
            <w:shd w:val="clear" w:color="auto" w:fill="auto"/>
            <w:vAlign w:val="center"/>
          </w:tcPr>
          <w:p w14:paraId="7C69E78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受委托进行鉴证</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78D5A88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争议差额</w:t>
            </w:r>
          </w:p>
        </w:tc>
        <w:tc>
          <w:tcPr>
            <w:tcW w:w="6236" w:type="dxa"/>
            <w:gridSpan w:val="6"/>
            <w:tcBorders>
              <w:top w:val="inset" w:color="333333" w:sz="6" w:space="0"/>
              <w:left w:val="nil"/>
              <w:bottom w:val="inset" w:color="333333" w:sz="6" w:space="0"/>
              <w:right w:val="inset" w:color="333333" w:sz="6" w:space="0"/>
            </w:tcBorders>
            <w:shd w:val="clear" w:color="auto" w:fill="auto"/>
            <w:vAlign w:val="center"/>
          </w:tcPr>
          <w:p w14:paraId="33377F87">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争议差额在1000万以下（含1000万）按5%收取，1000万以上按4%收取</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58EF76F7">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双方各有造价</w:t>
            </w:r>
          </w:p>
        </w:tc>
      </w:tr>
      <w:tr w14:paraId="01825316">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1170" w:hRule="atLeast"/>
        </w:trPr>
        <w:tc>
          <w:tcPr>
            <w:tcW w:w="570" w:type="dxa"/>
            <w:tcBorders>
              <w:top w:val="inset" w:color="333333" w:sz="6" w:space="0"/>
              <w:left w:val="inset" w:color="333333" w:sz="6" w:space="0"/>
              <w:bottom w:val="inset" w:color="333333" w:sz="6" w:space="0"/>
              <w:right w:val="inset" w:color="333333" w:sz="6" w:space="0"/>
            </w:tcBorders>
            <w:shd w:val="clear" w:color="auto" w:fill="auto"/>
            <w:vAlign w:val="center"/>
          </w:tcPr>
          <w:p w14:paraId="1806192F">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8</w:t>
            </w:r>
          </w:p>
        </w:tc>
        <w:tc>
          <w:tcPr>
            <w:tcW w:w="2678" w:type="dxa"/>
            <w:gridSpan w:val="3"/>
            <w:tcBorders>
              <w:top w:val="inset" w:color="333333" w:sz="6" w:space="0"/>
              <w:left w:val="nil"/>
              <w:bottom w:val="inset" w:color="333333" w:sz="6" w:space="0"/>
              <w:right w:val="inset" w:color="333333" w:sz="6" w:space="0"/>
            </w:tcBorders>
            <w:shd w:val="clear" w:color="auto" w:fill="auto"/>
            <w:vAlign w:val="center"/>
          </w:tcPr>
          <w:p w14:paraId="2F35A10C">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钢筋及预埋件计算</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44C47B5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依据施工图纸、设计标准和施工操作规程计算或审核钢筋（或铁件）重量，提供完整的钢筋（或铁件）重量计算明细表、汇总表或审核报告</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04CDFEE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按实际钢筋使用量</w:t>
            </w:r>
          </w:p>
        </w:tc>
        <w:tc>
          <w:tcPr>
            <w:tcW w:w="6236" w:type="dxa"/>
            <w:gridSpan w:val="6"/>
            <w:tcBorders>
              <w:top w:val="inset" w:color="333333" w:sz="6" w:space="0"/>
              <w:left w:val="nil"/>
              <w:bottom w:val="inset" w:color="333333" w:sz="6" w:space="0"/>
              <w:right w:val="inset" w:color="333333" w:sz="6" w:space="0"/>
            </w:tcBorders>
            <w:shd w:val="clear" w:color="auto" w:fill="auto"/>
            <w:vAlign w:val="center"/>
          </w:tcPr>
          <w:p w14:paraId="1927954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12元/吨</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67ED48D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　</w:t>
            </w:r>
          </w:p>
        </w:tc>
      </w:tr>
      <w:tr w14:paraId="0D146D93">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1170" w:hRule="atLeast"/>
        </w:trPr>
        <w:tc>
          <w:tcPr>
            <w:tcW w:w="570" w:type="dxa"/>
            <w:tcBorders>
              <w:top w:val="inset" w:color="333333" w:sz="6" w:space="0"/>
              <w:left w:val="inset" w:color="333333" w:sz="6" w:space="0"/>
              <w:bottom w:val="inset" w:color="333333" w:sz="6" w:space="0"/>
              <w:right w:val="inset" w:color="333333" w:sz="6" w:space="0"/>
            </w:tcBorders>
            <w:shd w:val="clear" w:color="auto" w:fill="auto"/>
            <w:vAlign w:val="center"/>
          </w:tcPr>
          <w:p w14:paraId="525179A6">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9</w:t>
            </w:r>
          </w:p>
        </w:tc>
        <w:tc>
          <w:tcPr>
            <w:tcW w:w="2678" w:type="dxa"/>
            <w:gridSpan w:val="3"/>
            <w:tcBorders>
              <w:top w:val="inset" w:color="333333" w:sz="6" w:space="0"/>
              <w:left w:val="nil"/>
              <w:bottom w:val="inset" w:color="333333" w:sz="6" w:space="0"/>
              <w:right w:val="inset" w:color="333333" w:sz="6" w:space="0"/>
            </w:tcBorders>
            <w:shd w:val="clear" w:color="auto" w:fill="auto"/>
            <w:vAlign w:val="center"/>
          </w:tcPr>
          <w:p w14:paraId="66159234">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工程造价咨询工日收费标准</w:t>
            </w:r>
          </w:p>
        </w:tc>
        <w:tc>
          <w:tcPr>
            <w:tcW w:w="1921" w:type="dxa"/>
            <w:tcBorders>
              <w:top w:val="inset" w:color="333333" w:sz="6" w:space="0"/>
              <w:left w:val="nil"/>
              <w:bottom w:val="inset" w:color="333333" w:sz="6" w:space="0"/>
              <w:right w:val="inset" w:color="333333" w:sz="6" w:space="0"/>
            </w:tcBorders>
            <w:shd w:val="clear" w:color="auto" w:fill="auto"/>
            <w:vAlign w:val="center"/>
          </w:tcPr>
          <w:p w14:paraId="6D6C312A">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受委托派出专业人员从事工程造价咨询服务</w:t>
            </w:r>
          </w:p>
        </w:tc>
        <w:tc>
          <w:tcPr>
            <w:tcW w:w="1374" w:type="dxa"/>
            <w:tcBorders>
              <w:top w:val="inset" w:color="333333" w:sz="6" w:space="0"/>
              <w:left w:val="nil"/>
              <w:bottom w:val="inset" w:color="333333" w:sz="6" w:space="0"/>
              <w:right w:val="inset" w:color="333333" w:sz="6" w:space="0"/>
            </w:tcBorders>
            <w:shd w:val="clear" w:color="auto" w:fill="auto"/>
            <w:vAlign w:val="center"/>
          </w:tcPr>
          <w:p w14:paraId="1FC19DBB">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工时</w:t>
            </w:r>
          </w:p>
        </w:tc>
        <w:tc>
          <w:tcPr>
            <w:tcW w:w="6236" w:type="dxa"/>
            <w:gridSpan w:val="6"/>
            <w:tcBorders>
              <w:top w:val="inset" w:color="333333" w:sz="6" w:space="0"/>
              <w:left w:val="nil"/>
              <w:bottom w:val="inset" w:color="333333" w:sz="6" w:space="0"/>
              <w:right w:val="inset" w:color="333333" w:sz="6" w:space="0"/>
            </w:tcBorders>
            <w:shd w:val="clear" w:color="auto" w:fill="auto"/>
            <w:vAlign w:val="center"/>
          </w:tcPr>
          <w:p w14:paraId="5DDDCDC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具有高级工程师职称的注册造价师：190元/人·工作小时；注册造价师或高级职称的咨询人员：150元/人·工作小时；工程造价中级资格专业人员：100元/人·工作小时；工程造价初级资格专业人员：60元/人·工作小时</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128DBD04">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　</w:t>
            </w:r>
          </w:p>
        </w:tc>
      </w:tr>
      <w:tr w14:paraId="78A4C696">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525" w:hRule="atLeast"/>
        </w:trPr>
        <w:tc>
          <w:tcPr>
            <w:tcW w:w="570" w:type="dxa"/>
            <w:vMerge w:val="restart"/>
            <w:tcBorders>
              <w:top w:val="inset" w:color="333333" w:sz="6" w:space="0"/>
              <w:left w:val="inset" w:color="333333" w:sz="6" w:space="0"/>
              <w:right w:val="inset" w:color="333333" w:sz="6" w:space="0"/>
            </w:tcBorders>
            <w:shd w:val="clear" w:color="auto" w:fill="auto"/>
            <w:vAlign w:val="center"/>
          </w:tcPr>
          <w:p w14:paraId="3737BD18">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说明：</w:t>
            </w:r>
          </w:p>
        </w:tc>
        <w:tc>
          <w:tcPr>
            <w:tcW w:w="12209" w:type="dxa"/>
            <w:gridSpan w:val="11"/>
            <w:tcBorders>
              <w:top w:val="inset" w:color="333333" w:sz="6" w:space="0"/>
              <w:left w:val="nil"/>
              <w:bottom w:val="inset" w:color="333333" w:sz="6" w:space="0"/>
              <w:right w:val="inset" w:color="333333" w:sz="6" w:space="0"/>
            </w:tcBorders>
            <w:shd w:val="clear" w:color="auto" w:fill="auto"/>
            <w:vAlign w:val="center"/>
          </w:tcPr>
          <w:p w14:paraId="760798D5">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1.以上收费标准为最高收费标准，委托双方可在最高收费标准范围内协商确定具体收费标准。</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40F70D8B">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p>
        </w:tc>
      </w:tr>
      <w:tr w14:paraId="3F2F5AB3">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390" w:hRule="atLeast"/>
        </w:trPr>
        <w:tc>
          <w:tcPr>
            <w:tcW w:w="570" w:type="dxa"/>
            <w:vMerge w:val="continue"/>
            <w:tcBorders>
              <w:left w:val="inset" w:color="333333" w:sz="6" w:space="0"/>
              <w:right w:val="inset" w:color="333333" w:sz="6" w:space="0"/>
            </w:tcBorders>
            <w:shd w:val="clear" w:color="auto" w:fill="auto"/>
            <w:vAlign w:val="center"/>
          </w:tcPr>
          <w:p w14:paraId="2696E29C">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p>
        </w:tc>
        <w:tc>
          <w:tcPr>
            <w:tcW w:w="12209" w:type="dxa"/>
            <w:gridSpan w:val="11"/>
            <w:tcBorders>
              <w:top w:val="inset" w:color="333333" w:sz="6" w:space="0"/>
              <w:left w:val="nil"/>
              <w:bottom w:val="inset" w:color="333333" w:sz="6" w:space="0"/>
              <w:right w:val="inset" w:color="333333" w:sz="6" w:space="0"/>
            </w:tcBorders>
            <w:shd w:val="clear" w:color="auto" w:fill="auto"/>
            <w:vAlign w:val="center"/>
          </w:tcPr>
          <w:p w14:paraId="080E83BD">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2.造价咨询费不足2000元的按2000元收取。</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6F94165F">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p>
        </w:tc>
      </w:tr>
      <w:tr w14:paraId="3A3935FD">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390" w:hRule="atLeast"/>
        </w:trPr>
        <w:tc>
          <w:tcPr>
            <w:tcW w:w="570" w:type="dxa"/>
            <w:vMerge w:val="continue"/>
            <w:tcBorders>
              <w:left w:val="inset" w:color="333333" w:sz="6" w:space="0"/>
              <w:right w:val="inset" w:color="333333" w:sz="6" w:space="0"/>
            </w:tcBorders>
            <w:shd w:val="clear" w:color="auto" w:fill="auto"/>
            <w:vAlign w:val="center"/>
          </w:tcPr>
          <w:p w14:paraId="3BB9D147">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p>
        </w:tc>
        <w:tc>
          <w:tcPr>
            <w:tcW w:w="12209" w:type="dxa"/>
            <w:gridSpan w:val="11"/>
            <w:tcBorders>
              <w:top w:val="inset" w:color="333333" w:sz="6" w:space="0"/>
              <w:left w:val="nil"/>
              <w:bottom w:val="inset" w:color="333333" w:sz="6" w:space="0"/>
              <w:right w:val="inset" w:color="333333" w:sz="6" w:space="0"/>
            </w:tcBorders>
            <w:shd w:val="clear" w:color="auto" w:fill="auto"/>
            <w:vAlign w:val="center"/>
          </w:tcPr>
          <w:p w14:paraId="0BF6D5D9">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3.工程主材无论是否计入工程造价，均应计入取费基数。合同包干价加签证项目，包干价部分应计入取费基数。</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5F58323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p>
        </w:tc>
      </w:tr>
      <w:tr w14:paraId="21C94933">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auto"/>
          <w:tblCellMar>
            <w:top w:w="0" w:type="dxa"/>
            <w:left w:w="0" w:type="dxa"/>
            <w:bottom w:w="0" w:type="dxa"/>
            <w:right w:w="0" w:type="dxa"/>
          </w:tblCellMar>
        </w:tblPrEx>
        <w:trPr>
          <w:trHeight w:val="435" w:hRule="atLeast"/>
        </w:trPr>
        <w:tc>
          <w:tcPr>
            <w:tcW w:w="570" w:type="dxa"/>
            <w:vMerge w:val="continue"/>
            <w:tcBorders>
              <w:left w:val="inset" w:color="333333" w:sz="6" w:space="0"/>
              <w:bottom w:val="inset" w:color="333333" w:sz="6" w:space="0"/>
              <w:right w:val="inset" w:color="333333" w:sz="6" w:space="0"/>
            </w:tcBorders>
            <w:shd w:val="clear" w:color="auto" w:fill="auto"/>
            <w:vAlign w:val="center"/>
          </w:tcPr>
          <w:p w14:paraId="3191B9CE">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p>
        </w:tc>
        <w:tc>
          <w:tcPr>
            <w:tcW w:w="12209" w:type="dxa"/>
            <w:gridSpan w:val="11"/>
            <w:tcBorders>
              <w:top w:val="inset" w:color="333333" w:sz="6" w:space="0"/>
              <w:left w:val="nil"/>
              <w:bottom w:val="inset" w:color="333333" w:sz="6" w:space="0"/>
              <w:right w:val="inset" w:color="333333" w:sz="6" w:space="0"/>
            </w:tcBorders>
            <w:shd w:val="clear" w:color="auto" w:fill="auto"/>
            <w:vAlign w:val="center"/>
          </w:tcPr>
          <w:p w14:paraId="4589D1A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kern w:val="2"/>
                <w:sz w:val="18"/>
                <w:szCs w:val="18"/>
                <w:highlight w:val="none"/>
                <w:vertAlign w:val="baseline"/>
              </w:rPr>
            </w:pPr>
            <w:r>
              <w:rPr>
                <w:rFonts w:hint="eastAsia" w:ascii="宋体" w:hAnsi="宋体" w:eastAsia="宋体" w:cs="宋体"/>
                <w:color w:val="auto"/>
                <w:kern w:val="2"/>
                <w:sz w:val="18"/>
                <w:szCs w:val="18"/>
                <w:highlight w:val="none"/>
                <w:vertAlign w:val="baseline"/>
                <w:lang w:val="en-US" w:eastAsia="zh-CN" w:bidi="ar"/>
              </w:rPr>
              <w:t>4.工程预算的编制或审核、工程结算的编制或审核的收费标准不包括钢筋及预埋件计算，凡要求钢筋及预埋件计算的按相对应的收费标准另行收费。</w:t>
            </w:r>
          </w:p>
        </w:tc>
        <w:tc>
          <w:tcPr>
            <w:tcW w:w="1209" w:type="dxa"/>
            <w:tcBorders>
              <w:top w:val="inset" w:color="333333" w:sz="6" w:space="0"/>
              <w:left w:val="nil"/>
              <w:bottom w:val="inset" w:color="333333" w:sz="6" w:space="0"/>
              <w:right w:val="inset" w:color="333333" w:sz="6" w:space="0"/>
            </w:tcBorders>
            <w:shd w:val="clear" w:color="auto" w:fill="auto"/>
            <w:vAlign w:val="center"/>
          </w:tcPr>
          <w:p w14:paraId="49434542">
            <w:pPr>
              <w:keepNext w:val="0"/>
              <w:keepLines w:val="0"/>
              <w:widowControl/>
              <w:suppressLineNumbers w:val="0"/>
              <w:topLinePunct/>
              <w:autoSpaceDE w:val="0"/>
              <w:autoSpaceDN/>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2"/>
                <w:sz w:val="18"/>
                <w:szCs w:val="18"/>
                <w:highlight w:val="none"/>
                <w:vertAlign w:val="baseline"/>
              </w:rPr>
            </w:pPr>
          </w:p>
        </w:tc>
      </w:tr>
    </w:tbl>
    <w:p w14:paraId="58596595">
      <w:pPr>
        <w:rPr>
          <w:rFonts w:hint="eastAsia" w:ascii="宋体" w:hAnsi="宋体" w:eastAsia="宋体" w:cs="宋体"/>
          <w:color w:val="auto"/>
          <w:spacing w:val="7"/>
          <w:kern w:val="2"/>
          <w:sz w:val="21"/>
          <w:szCs w:val="21"/>
          <w:highlight w:val="none"/>
        </w:rPr>
        <w:sectPr>
          <w:pgSz w:w="16838" w:h="11906" w:orient="landscape"/>
          <w:pgMar w:top="1380" w:right="1440" w:bottom="1463" w:left="1440" w:header="851" w:footer="992" w:gutter="0"/>
          <w:cols w:space="720" w:num="1"/>
          <w:titlePg/>
          <w:docGrid w:type="lines" w:linePitch="312" w:charSpace="0"/>
        </w:sectPr>
      </w:pPr>
    </w:p>
    <w:p w14:paraId="4F9B920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spacing w:val="7"/>
          <w:kern w:val="2"/>
          <w:sz w:val="21"/>
          <w:szCs w:val="21"/>
          <w:highlight w:val="none"/>
          <w:lang w:val="en-US" w:eastAsia="zh-CN" w:bidi="ar"/>
        </w:rPr>
        <w:t>附件2.</w:t>
      </w:r>
      <w:r>
        <w:rPr>
          <w:rFonts w:hint="eastAsia" w:ascii="宋体" w:hAnsi="宋体" w:eastAsia="宋体" w:cs="宋体"/>
          <w:b w:val="0"/>
          <w:bCs w:val="0"/>
          <w:color w:val="auto"/>
          <w:kern w:val="2"/>
          <w:sz w:val="21"/>
          <w:szCs w:val="21"/>
          <w:highlight w:val="none"/>
          <w:lang w:val="en-US" w:eastAsia="zh-CN" w:bidi="ar"/>
        </w:rPr>
        <w:t>考核表</w:t>
      </w:r>
    </w:p>
    <w:p w14:paraId="21834B70">
      <w:pPr>
        <w:jc w:val="center"/>
        <w:rPr>
          <w:rFonts w:hint="eastAsia" w:ascii="宋体" w:hAnsi="宋体" w:eastAsia="宋体" w:cs="宋体"/>
          <w:b/>
          <w:color w:val="auto"/>
          <w:sz w:val="32"/>
          <w:szCs w:val="32"/>
          <w:highlight w:val="none"/>
          <w:lang w:bidi="ar"/>
        </w:rPr>
      </w:pPr>
      <w:r>
        <w:rPr>
          <w:rFonts w:hint="eastAsia" w:ascii="宋体" w:hAnsi="宋体" w:eastAsia="宋体" w:cs="宋体"/>
          <w:b/>
          <w:bCs w:val="0"/>
          <w:color w:val="auto"/>
          <w:kern w:val="2"/>
          <w:sz w:val="32"/>
          <w:szCs w:val="32"/>
          <w:highlight w:val="none"/>
          <w:lang w:val="en-US" w:eastAsia="zh-CN" w:bidi="ar"/>
        </w:rPr>
        <w:t>考核表</w:t>
      </w:r>
    </w:p>
    <w:p w14:paraId="433E27D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考核单位：                       被考核单位：                             日期：</w:t>
      </w:r>
    </w:p>
    <w:p w14:paraId="003FFB8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color w:val="auto"/>
          <w:kern w:val="2"/>
          <w:sz w:val="21"/>
          <w:szCs w:val="21"/>
          <w:highlight w:val="none"/>
          <w:lang w:val="en-US"/>
        </w:rPr>
      </w:pPr>
      <w:r>
        <w:rPr>
          <w:rFonts w:hint="eastAsia" w:ascii="宋体" w:hAnsi="宋体" w:eastAsia="宋体" w:cs="宋体"/>
          <w:b/>
          <w:bCs w:val="0"/>
          <w:color w:val="auto"/>
          <w:kern w:val="2"/>
          <w:sz w:val="21"/>
          <w:szCs w:val="21"/>
          <w:highlight w:val="none"/>
          <w:lang w:val="en-US" w:eastAsia="zh-CN" w:bidi="ar"/>
        </w:rPr>
        <w:t xml:space="preserve">项目名称： </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7"/>
        <w:gridCol w:w="623"/>
        <w:gridCol w:w="617"/>
        <w:gridCol w:w="896"/>
        <w:gridCol w:w="2495"/>
        <w:gridCol w:w="2495"/>
        <w:gridCol w:w="1740"/>
        <w:gridCol w:w="739"/>
      </w:tblGrid>
      <w:tr w14:paraId="7A4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 w:type="pct"/>
            <w:tcBorders>
              <w:top w:val="single" w:color="auto" w:sz="4" w:space="0"/>
              <w:left w:val="single" w:color="auto" w:sz="4" w:space="0"/>
              <w:bottom w:val="single" w:color="auto" w:sz="4" w:space="0"/>
              <w:right w:val="single" w:color="auto" w:sz="4" w:space="0"/>
            </w:tcBorders>
            <w:shd w:val="clear" w:color="auto" w:fill="auto"/>
            <w:vAlign w:val="center"/>
          </w:tcPr>
          <w:p w14:paraId="724AFCA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序号</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4507364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评价内容</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6B2A365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各项分值</w:t>
            </w: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7A6A5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具体内容</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1EF1976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综合分值</w:t>
            </w:r>
          </w:p>
        </w:tc>
      </w:tr>
      <w:tr w14:paraId="3C6E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163" w:type="pct"/>
            <w:vMerge w:val="restart"/>
            <w:tcBorders>
              <w:top w:val="nil"/>
              <w:left w:val="single" w:color="auto" w:sz="4" w:space="0"/>
              <w:bottom w:val="single" w:color="auto" w:sz="4" w:space="0"/>
              <w:right w:val="single" w:color="auto" w:sz="4" w:space="0"/>
            </w:tcBorders>
            <w:shd w:val="clear" w:color="auto" w:fill="auto"/>
            <w:vAlign w:val="center"/>
          </w:tcPr>
          <w:p w14:paraId="51EEB8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18" w:type="pct"/>
            <w:vMerge w:val="restart"/>
            <w:tcBorders>
              <w:top w:val="nil"/>
              <w:left w:val="single" w:color="auto" w:sz="4" w:space="0"/>
              <w:bottom w:val="single" w:color="auto" w:sz="4" w:space="0"/>
              <w:right w:val="single" w:color="auto" w:sz="4" w:space="0"/>
            </w:tcBorders>
            <w:shd w:val="clear" w:color="auto" w:fill="auto"/>
            <w:vAlign w:val="center"/>
          </w:tcPr>
          <w:p w14:paraId="55A924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业务水平</w:t>
            </w:r>
          </w:p>
        </w:tc>
        <w:tc>
          <w:tcPr>
            <w:tcW w:w="315" w:type="pct"/>
            <w:vMerge w:val="restart"/>
            <w:tcBorders>
              <w:top w:val="nil"/>
              <w:left w:val="single" w:color="auto" w:sz="4" w:space="0"/>
              <w:bottom w:val="single" w:color="auto" w:sz="4" w:space="0"/>
              <w:right w:val="single" w:color="auto" w:sz="4" w:space="0"/>
            </w:tcBorders>
            <w:shd w:val="clear" w:color="auto" w:fill="auto"/>
            <w:vAlign w:val="center"/>
          </w:tcPr>
          <w:p w14:paraId="441D319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168C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在从事造价咨询服务过程中，项目配置的相应专业人员与合同中第七条第10款约定不符，且业务能力较差的扣6分；每一人不符合扣1分，最高扣6分。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011A4F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2B91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7EEE3A21">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621DB494">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292FFC90">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A067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未在规定时间内全面熟悉施工图纸，未对项目所采用的技术、工艺、设备等详细了解的最高扣3分；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320BB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F86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trPr>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14D8F44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634CA83E">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5E35E7C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02DF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未能及时踏勘现场，踏勘现场未留取照片或录像且不清晰的最高扣3分；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1DB8F9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03F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2E501E59">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7C85D29B">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21F933C4">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31E80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未能积极主动就图纸中的设计缺陷（图纸与现状不符、前后矛盾、影响工程量计算、影响清单编制、措施费用计取等有关问题）在踏勘完工程现场后两天内提出书面意见的最高扣3分；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3133D9A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74E6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6692116C">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58976A6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3E14ADBB">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979A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未开展市场调查，了解价格信息，对于非常规项目未能作工料单价分析的扣最高扣3分。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4E4265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7069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 w:type="pct"/>
            <w:vMerge w:val="restart"/>
            <w:tcBorders>
              <w:top w:val="nil"/>
              <w:left w:val="single" w:color="auto" w:sz="4" w:space="0"/>
              <w:bottom w:val="single" w:color="auto" w:sz="4" w:space="0"/>
              <w:right w:val="single" w:color="auto" w:sz="4" w:space="0"/>
            </w:tcBorders>
            <w:shd w:val="clear" w:color="auto" w:fill="auto"/>
            <w:vAlign w:val="center"/>
          </w:tcPr>
          <w:p w14:paraId="6CD38A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18" w:type="pct"/>
            <w:vMerge w:val="restart"/>
            <w:tcBorders>
              <w:top w:val="nil"/>
              <w:left w:val="single" w:color="auto" w:sz="4" w:space="0"/>
              <w:bottom w:val="single" w:color="auto" w:sz="4" w:space="0"/>
              <w:right w:val="single" w:color="auto" w:sz="4" w:space="0"/>
            </w:tcBorders>
            <w:shd w:val="clear" w:color="auto" w:fill="auto"/>
            <w:vAlign w:val="center"/>
          </w:tcPr>
          <w:p w14:paraId="6AFB6BD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完成质量</w:t>
            </w:r>
          </w:p>
        </w:tc>
        <w:tc>
          <w:tcPr>
            <w:tcW w:w="315" w:type="pct"/>
            <w:vMerge w:val="restart"/>
            <w:tcBorders>
              <w:top w:val="nil"/>
              <w:left w:val="single" w:color="auto" w:sz="4" w:space="0"/>
              <w:bottom w:val="single" w:color="auto" w:sz="4" w:space="0"/>
              <w:right w:val="single" w:color="auto" w:sz="4" w:space="0"/>
            </w:tcBorders>
            <w:shd w:val="clear" w:color="auto" w:fill="auto"/>
            <w:vAlign w:val="center"/>
          </w:tcPr>
          <w:p w14:paraId="6BE995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w:t>
            </w: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9C0B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未按规范计算工程量且计算错误的扣3分；未有工程量计算式的扣3分；未采用图形算量或CAD算量；未汇总成Excel表格且表格之间沟稽关系不正确等扣1～3分；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F1B5B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404F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0581A8ED">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014817E2">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5F0661F8">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DD520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成果文件不符合计价规范，计价单位有误，套用定额有误（如定额工程量有误，擅自修改工料机含量等），项目特征描述内容不全面、不准确，与设计图纸不符等，导致委托人与项目承包单位发生争议，或造成委托人经济损失的最高扣10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550CFD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77C5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6346EB17">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55423341">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7BC5DBD5">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EA7D2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图纸中有措施项目设计内容，漏计措施项目费，费用超10万元（含），扣2分；费用超50万元（含），扣4分；费用超100万元（含），扣8分；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27A9D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60A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79F779CE">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5A42D7B2">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10E539B2">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40BD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未根据工程位置、委托人的工期要求、常规的施工组织设计（施工方案）等考虑措施费用，措施费计算错误或漏计的，费用超10万元（含），扣2分；费用超50万元（含），扣4分；费用超100万元，扣8分；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927E1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A48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2D323C7D">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7CD64489">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5A2A9413">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FB88D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成果文件编制说明不严谨、不详细、范围不完整，并因此导致施工过程产生合同纠纷每出现一次扣1分,最高扣5分；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4389F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4435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3396D88C">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3A720EC3">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61AE697C">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B59C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材料价需询价的，未询三家或三家以上(特殊材料除外)（须记录厂家、联系人、联系电话信息）最高扣3分；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1B2DE9A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4BDD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01FCE072">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207F80C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52E4135E">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6FDE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非《东莞市工程造价信息》中材料价，因不询价而导致单价错误的，每出现一次扣1分，最高扣3分；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23BA4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26EC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24CBA686">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28F13681">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2001A80B">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E416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未按要求整理并提交成果文件最高扣4分；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3B2FAE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DC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restart"/>
            <w:tcBorders>
              <w:top w:val="nil"/>
              <w:left w:val="single" w:color="auto" w:sz="4" w:space="0"/>
              <w:bottom w:val="single" w:color="auto" w:sz="4" w:space="0"/>
              <w:right w:val="single" w:color="auto" w:sz="4" w:space="0"/>
            </w:tcBorders>
            <w:shd w:val="clear" w:color="auto" w:fill="auto"/>
            <w:vAlign w:val="center"/>
          </w:tcPr>
          <w:p w14:paraId="43D9FF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18" w:type="pct"/>
            <w:vMerge w:val="restart"/>
            <w:tcBorders>
              <w:top w:val="nil"/>
              <w:left w:val="single" w:color="auto" w:sz="4" w:space="0"/>
              <w:bottom w:val="single" w:color="auto" w:sz="4" w:space="0"/>
              <w:right w:val="single" w:color="auto" w:sz="4" w:space="0"/>
            </w:tcBorders>
            <w:shd w:val="clear" w:color="auto" w:fill="auto"/>
            <w:vAlign w:val="center"/>
          </w:tcPr>
          <w:p w14:paraId="40EF925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工作效率</w:t>
            </w:r>
          </w:p>
        </w:tc>
        <w:tc>
          <w:tcPr>
            <w:tcW w:w="315" w:type="pct"/>
            <w:vMerge w:val="restart"/>
            <w:tcBorders>
              <w:top w:val="nil"/>
              <w:left w:val="single" w:color="auto" w:sz="4" w:space="0"/>
              <w:bottom w:val="single" w:color="auto" w:sz="4" w:space="0"/>
              <w:right w:val="single" w:color="auto" w:sz="4" w:space="0"/>
            </w:tcBorders>
            <w:shd w:val="clear" w:color="auto" w:fill="auto"/>
            <w:vAlign w:val="center"/>
          </w:tcPr>
          <w:p w14:paraId="035788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0815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未按操作规程及时进行对数、现场查勘的最高扣2分；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55A748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785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323D85AD">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279FB730">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33470803">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71D1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对数后未做到及时修改，对反馈意见及时核实的最高扣2分；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32C840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7014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36DE09FB">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7CE6FC23">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30F7A6E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0123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对数后需要补充资料而未及时通知委托人补充相关资料，澄清有关疑问的最高扣4分；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1D935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5591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34CAD02E">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1D2B0257">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4A9AFF9E">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FD737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未能严格按委托人的计划时间完成咨询任务的最高扣4分。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0DAF282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041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restart"/>
            <w:tcBorders>
              <w:top w:val="nil"/>
              <w:left w:val="single" w:color="auto" w:sz="4" w:space="0"/>
              <w:bottom w:val="single" w:color="auto" w:sz="4" w:space="0"/>
              <w:right w:val="single" w:color="auto" w:sz="4" w:space="0"/>
            </w:tcBorders>
            <w:shd w:val="clear" w:color="auto" w:fill="auto"/>
            <w:vAlign w:val="center"/>
          </w:tcPr>
          <w:p w14:paraId="2E36CE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318" w:type="pct"/>
            <w:vMerge w:val="restart"/>
            <w:tcBorders>
              <w:top w:val="nil"/>
              <w:left w:val="single" w:color="auto" w:sz="4" w:space="0"/>
              <w:bottom w:val="single" w:color="auto" w:sz="4" w:space="0"/>
              <w:right w:val="single" w:color="auto" w:sz="4" w:space="0"/>
            </w:tcBorders>
            <w:shd w:val="clear" w:color="auto" w:fill="auto"/>
            <w:vAlign w:val="center"/>
          </w:tcPr>
          <w:p w14:paraId="662FDA1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规范服务</w:t>
            </w:r>
          </w:p>
        </w:tc>
        <w:tc>
          <w:tcPr>
            <w:tcW w:w="315" w:type="pct"/>
            <w:vMerge w:val="restart"/>
            <w:tcBorders>
              <w:top w:val="nil"/>
              <w:left w:val="single" w:color="auto" w:sz="4" w:space="0"/>
              <w:bottom w:val="single" w:color="auto" w:sz="4" w:space="0"/>
              <w:right w:val="single" w:color="auto" w:sz="4" w:space="0"/>
            </w:tcBorders>
            <w:shd w:val="clear" w:color="auto" w:fill="auto"/>
            <w:vAlign w:val="center"/>
          </w:tcPr>
          <w:p w14:paraId="484EA5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50E83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未严格按有关行业规范、工作规程和水务集团管理要求开展咨询活动的最高扣4分；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16F27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7CBF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40426C9D">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3AA7EA52">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0297CC55">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0653A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未认真执行对数操作规程、现场查勘操作规程的最高扣4分；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990786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3D8D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16756DE9">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38D0E723">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6AFB595A">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B929C9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对非常规的设备、材料的价格选定，以及非常规的工艺、技术的定额计价，未能跟委托人协商确定的最高扣2分；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1FA62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0641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6A0DC46A">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33738676">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455F590B">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D1EAB3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未能实行二或三级复核制度的最高扣3分。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5018BF0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6810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 w:type="pct"/>
            <w:vMerge w:val="restart"/>
            <w:tcBorders>
              <w:top w:val="nil"/>
              <w:left w:val="single" w:color="auto" w:sz="4" w:space="0"/>
              <w:bottom w:val="single" w:color="auto" w:sz="4" w:space="0"/>
              <w:right w:val="single" w:color="auto" w:sz="4" w:space="0"/>
            </w:tcBorders>
            <w:shd w:val="clear" w:color="auto" w:fill="auto"/>
            <w:vAlign w:val="center"/>
          </w:tcPr>
          <w:p w14:paraId="0A2C78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318" w:type="pct"/>
            <w:vMerge w:val="restart"/>
            <w:tcBorders>
              <w:top w:val="nil"/>
              <w:left w:val="single" w:color="auto" w:sz="4" w:space="0"/>
              <w:bottom w:val="single" w:color="auto" w:sz="4" w:space="0"/>
              <w:right w:val="single" w:color="auto" w:sz="4" w:space="0"/>
            </w:tcBorders>
            <w:shd w:val="clear" w:color="auto" w:fill="auto"/>
            <w:vAlign w:val="center"/>
          </w:tcPr>
          <w:p w14:paraId="62E3BB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职业道德评价</w:t>
            </w:r>
          </w:p>
        </w:tc>
        <w:tc>
          <w:tcPr>
            <w:tcW w:w="315" w:type="pct"/>
            <w:vMerge w:val="restart"/>
            <w:tcBorders>
              <w:top w:val="nil"/>
              <w:left w:val="single" w:color="auto" w:sz="4" w:space="0"/>
              <w:bottom w:val="single" w:color="auto" w:sz="4" w:space="0"/>
              <w:right w:val="single" w:color="auto" w:sz="4" w:space="0"/>
            </w:tcBorders>
            <w:shd w:val="clear" w:color="auto" w:fill="auto"/>
            <w:vAlign w:val="center"/>
          </w:tcPr>
          <w:p w14:paraId="7308406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6AA04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未独立完成咨询任务，擅自委托第三方从事咨询活动的扣4分；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4D6A9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722F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3" w:type="pct"/>
            <w:vMerge w:val="continue"/>
            <w:tcBorders>
              <w:top w:val="nil"/>
              <w:left w:val="single" w:color="auto" w:sz="4" w:space="0"/>
              <w:bottom w:val="single" w:color="auto" w:sz="4" w:space="0"/>
              <w:right w:val="single" w:color="auto" w:sz="4" w:space="0"/>
            </w:tcBorders>
            <w:shd w:val="clear" w:color="auto" w:fill="auto"/>
            <w:vAlign w:val="center"/>
          </w:tcPr>
          <w:p w14:paraId="1089F6D9">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8" w:type="pct"/>
            <w:vMerge w:val="continue"/>
            <w:tcBorders>
              <w:top w:val="nil"/>
              <w:left w:val="single" w:color="auto" w:sz="4" w:space="0"/>
              <w:bottom w:val="single" w:color="auto" w:sz="4" w:space="0"/>
              <w:right w:val="single" w:color="auto" w:sz="4" w:space="0"/>
            </w:tcBorders>
            <w:shd w:val="clear" w:color="auto" w:fill="auto"/>
            <w:vAlign w:val="center"/>
          </w:tcPr>
          <w:p w14:paraId="3645060C">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15" w:type="pct"/>
            <w:vMerge w:val="continue"/>
            <w:tcBorders>
              <w:top w:val="nil"/>
              <w:left w:val="single" w:color="auto" w:sz="4" w:space="0"/>
              <w:bottom w:val="single" w:color="auto" w:sz="4" w:space="0"/>
              <w:right w:val="single" w:color="auto" w:sz="4" w:space="0"/>
            </w:tcBorders>
            <w:shd w:val="clear" w:color="auto" w:fill="auto"/>
            <w:vAlign w:val="center"/>
          </w:tcPr>
          <w:p w14:paraId="34567BD0">
            <w:pPr>
              <w:keepNext w:val="0"/>
              <w:keepLines w:val="0"/>
              <w:pageBreakBefore w:val="0"/>
              <w:suppressLineNumbers w:val="0"/>
              <w:kinsoku/>
              <w:wordWrap/>
              <w:overflowPunct/>
              <w:topLinePunct w:val="0"/>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DA12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擅自与委托人的利益相对人联系工作事宜的扣3分。</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1D25938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1DC4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8" w:hRule="atLeast"/>
        </w:trPr>
        <w:tc>
          <w:tcPr>
            <w:tcW w:w="4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369D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合计</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1BCB4C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c>
          <w:tcPr>
            <w:tcW w:w="38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857D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43E98D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r w14:paraId="6777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8" w:hRule="atLeast"/>
        </w:trPr>
        <w:tc>
          <w:tcPr>
            <w:tcW w:w="125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B9624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考核单位审批人员</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568474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05B466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firstLine="210" w:firstLineChars="1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被考核单位经办人</w:t>
            </w:r>
          </w:p>
        </w:tc>
        <w:tc>
          <w:tcPr>
            <w:tcW w:w="12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9341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r>
    </w:tbl>
    <w:p w14:paraId="5FB4B5A4">
      <w:pPr>
        <w:pStyle w:val="3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 </w:t>
      </w:r>
    </w:p>
    <w:p w14:paraId="3E4A0200">
      <w:pPr>
        <w:pageBreakBefore/>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廉洁协议书</w:t>
      </w:r>
    </w:p>
    <w:p w14:paraId="4FDB0C2C">
      <w:pPr>
        <w:spacing w:line="360" w:lineRule="auto"/>
        <w:ind w:right="31" w:rightChars="15"/>
        <w:contextualSpacing/>
        <w:jc w:val="center"/>
        <w:outlineLvl w:val="1"/>
        <w:rPr>
          <w:rFonts w:hint="eastAsia" w:ascii="宋体" w:hAnsi="宋体" w:eastAsia="宋体" w:cs="宋体"/>
          <w:b/>
          <w:color w:val="auto"/>
          <w:sz w:val="28"/>
          <w:szCs w:val="44"/>
          <w:highlight w:val="none"/>
        </w:rPr>
      </w:pPr>
      <w:bookmarkStart w:id="462" w:name="_Toc27037"/>
      <w:bookmarkStart w:id="463" w:name="_Toc76971796"/>
      <w:bookmarkStart w:id="464" w:name="_Toc20563"/>
      <w:bookmarkStart w:id="465" w:name="_Toc45110767"/>
      <w:bookmarkStart w:id="466" w:name="_Toc45110891"/>
      <w:r>
        <w:rPr>
          <w:rFonts w:hint="eastAsia" w:ascii="宋体" w:hAnsi="宋体" w:eastAsia="宋体" w:cs="宋体"/>
          <w:b/>
          <w:color w:val="auto"/>
          <w:sz w:val="28"/>
          <w:szCs w:val="44"/>
          <w:highlight w:val="none"/>
        </w:rPr>
        <w:t>廉洁协议书</w:t>
      </w:r>
      <w:bookmarkEnd w:id="462"/>
      <w:bookmarkEnd w:id="463"/>
      <w:bookmarkEnd w:id="464"/>
      <w:bookmarkEnd w:id="465"/>
      <w:bookmarkEnd w:id="466"/>
    </w:p>
    <w:p w14:paraId="6B954B91">
      <w:pPr>
        <w:spacing w:line="360" w:lineRule="auto"/>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b/>
          <w:bCs/>
          <w:color w:val="auto"/>
          <w:kern w:val="2"/>
          <w:sz w:val="21"/>
          <w:szCs w:val="21"/>
          <w:highlight w:val="none"/>
          <w:lang w:val="en-US" w:eastAsia="zh-CN" w:bidi="ar"/>
        </w:rPr>
        <w:t>东莞市水务集团供水有限公司2024-2025年造价咨询服务项目</w:t>
      </w:r>
      <w:r>
        <w:rPr>
          <w:rFonts w:hint="eastAsia" w:ascii="宋体" w:hAnsi="宋体" w:eastAsia="宋体" w:cs="宋体"/>
          <w:b/>
          <w:bCs/>
          <w:color w:val="auto"/>
          <w:szCs w:val="21"/>
          <w:highlight w:val="none"/>
        </w:rPr>
        <w:t>（招标编号：</w:t>
      </w:r>
      <w:r>
        <w:rPr>
          <w:rFonts w:hint="eastAsia" w:ascii="宋体" w:hAnsi="宋体" w:eastAsia="宋体" w:cs="宋体"/>
          <w:b/>
          <w:bCs/>
          <w:color w:val="auto"/>
          <w:szCs w:val="21"/>
          <w:highlight w:val="none"/>
          <w:lang w:val="zh-CN"/>
        </w:rPr>
        <w:t>YDZB24DGQY0144</w:t>
      </w:r>
      <w:r>
        <w:rPr>
          <w:rFonts w:hint="eastAsia" w:ascii="宋体" w:hAnsi="宋体" w:eastAsia="宋体" w:cs="宋体"/>
          <w:b/>
          <w:bCs/>
          <w:color w:val="auto"/>
          <w:szCs w:val="21"/>
          <w:highlight w:val="none"/>
        </w:rPr>
        <w:t>）</w:t>
      </w:r>
    </w:p>
    <w:p w14:paraId="0095516E">
      <w:pPr>
        <w:spacing w:line="360" w:lineRule="auto"/>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甲方（业主单位）：</w:t>
      </w:r>
    </w:p>
    <w:p w14:paraId="094194FB">
      <w:pPr>
        <w:spacing w:line="360" w:lineRule="auto"/>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w:t>
      </w:r>
    </w:p>
    <w:p w14:paraId="3F460E1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516DDED6">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第一条  甲乙双方的权利和义务</w:t>
      </w:r>
    </w:p>
    <w:p w14:paraId="645604C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（一）严格遵守党和国家有关法律法规等有关廉洁从业规定。</w:t>
      </w:r>
    </w:p>
    <w:p w14:paraId="5B2D7BD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（二）严格执行本项目的合同文件，自觉按合同办事。</w:t>
      </w:r>
    </w:p>
    <w:p w14:paraId="0BDEF9C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14:paraId="04F4324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（四）建立健全廉洁制度，开展廉洁教育，设立廉洁监督公示牌，公布举报电话，监督并认真查处违法违纪行为。</w:t>
      </w:r>
    </w:p>
    <w:p w14:paraId="127B795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（五）发现对方在业务活动中有违反廉洁规定的行为，有及时提醒对方纠正的权利和义务。</w:t>
      </w:r>
    </w:p>
    <w:p w14:paraId="3BFEF97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（六）发现对方严重违反本协议义务条款的行为，有向其上级有关部门举报、建议给予处理并要求告知处理结果的权利。</w:t>
      </w:r>
    </w:p>
    <w:p w14:paraId="6D421B9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甲方的义务</w:t>
      </w:r>
    </w:p>
    <w:p w14:paraId="004B018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（一）甲方及其工作人员不得索要或接受乙方的礼金、有价证券和贵重物品，不得在乙方报销任何应由甲方或个人支付的费用。</w:t>
      </w:r>
    </w:p>
    <w:p w14:paraId="3F8EBD6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（二）甲方工作人员不得参加乙方安排的高消费宴请和娱乐活动；不得接受乙方提供的通讯工具、交通工具和高档办公用品。</w:t>
      </w:r>
    </w:p>
    <w:p w14:paraId="1770D1F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（三）甲方及其工作人员不得要求或者接受乙方为其住房装修、婚丧嫁娶活动、家属或亲友的工作安排以及出国出境、旅游等提供方便。</w:t>
      </w:r>
    </w:p>
    <w:p w14:paraId="10242DE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（四）甲方工作人员不得向乙方介绍其家属或者亲友（包括家属或亲友开办的公司企业）从事于本项目涉及的经济业务活动。</w:t>
      </w:r>
    </w:p>
    <w:p w14:paraId="542BCBC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（五）甲方及其工作人员不得以任何理由向乙方推荐分包单位，不得要求乙方购买合同规定外的材料和设备。</w:t>
      </w:r>
    </w:p>
    <w:p w14:paraId="4188619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（六）甲方及其工作人员不得进行违反廉洁规定的其他活动。</w:t>
      </w:r>
    </w:p>
    <w:p w14:paraId="678E89F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574D912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乙方义务</w:t>
      </w:r>
    </w:p>
    <w:p w14:paraId="06338E0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（一）乙方不得以任何理由向甲方及其工作人员馈赠礼金、有价证券、贵重礼品，或报销应由甲方单位或个人支付的任何费用。</w:t>
      </w:r>
    </w:p>
    <w:p w14:paraId="44DE10C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（二）乙方及其工作人员不得以考察、参观、洽谈业务、签订合同等的借口邀请甲方及其工作人员参加高消费的宴请、娱乐和健身等活动。</w:t>
      </w:r>
    </w:p>
    <w:p w14:paraId="0BB39A1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（三）乙方不得为甲方单位和个人购置或提供通讯工具、交通工具和高档办公用品等。</w:t>
      </w:r>
    </w:p>
    <w:p w14:paraId="786DA6E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（四）乙方及其工作人员不得为甲方工作人员购买、装修、维修私人住房、汽车等。</w:t>
      </w:r>
    </w:p>
    <w:p w14:paraId="4A4BD55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（五）乙方及其工作人员不得为甲方工作人员的婚丧嫁娶、家属或亲友的工作安排，及出国出境提供方便以及报销任何私人消费的费用。</w:t>
      </w:r>
    </w:p>
    <w:p w14:paraId="75A8F60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（六）乙方及其工作人员不得进行影响甲方及其工作人员公正执行合同和履行职务的其他活动。</w:t>
      </w:r>
    </w:p>
    <w:p w14:paraId="34D409E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0E5BF3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违约责任</w:t>
      </w:r>
    </w:p>
    <w:p w14:paraId="1261904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（一）甲方违反本协议第一、第二条给乙方单位造成经济损失的，应予以赔偿。</w:t>
      </w:r>
    </w:p>
    <w:p w14:paraId="2FE142F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（二）乙方违反本协议第一、第三条给甲方单位造成经济损失的，应予以赔偿。</w:t>
      </w:r>
    </w:p>
    <w:p w14:paraId="0CC6341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监督检查</w:t>
      </w:r>
    </w:p>
    <w:p w14:paraId="377D424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甲乙双方的廉洁从业行为由双方或双方上级单位的纪检、监察部门负责监督，对本协议履行情况进行检查。</w:t>
      </w:r>
    </w:p>
    <w:p w14:paraId="6687462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举报信访受理</w:t>
      </w:r>
    </w:p>
    <w:p w14:paraId="0362F01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（一）举报受理部门：东莞市水务集团有限公司纪检监察部。</w:t>
      </w:r>
    </w:p>
    <w:p w14:paraId="2DACA1B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（二）举报电话：（0769）23076092。</w:t>
      </w:r>
    </w:p>
    <w:p w14:paraId="0DD1077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1"/>
          <w:highlight w:val="none"/>
        </w:rPr>
        <w:t>jcsj@dgswjt.cn。</w:t>
      </w:r>
      <w:r>
        <w:rPr>
          <w:rFonts w:hint="eastAsia" w:ascii="宋体" w:hAnsi="宋体" w:eastAsia="宋体" w:cs="宋体"/>
          <w:bCs/>
          <w:color w:val="auto"/>
          <w:szCs w:val="21"/>
          <w:highlight w:val="none"/>
        </w:rPr>
        <w:fldChar w:fldCharType="end"/>
      </w:r>
    </w:p>
    <w:p w14:paraId="4F31ECC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（四）信访地址：广东省东莞市东城街道育华路1号。</w:t>
      </w:r>
    </w:p>
    <w:p w14:paraId="2D80DB9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其他</w:t>
      </w:r>
    </w:p>
    <w:p w14:paraId="01C3106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本协议有效期为甲乙双方签字并加盖公章之日起至该工程/采购项目竣工验收完毕，质保期/服务期满后止。本协议一式   份，甲、乙双方各执   份，甲、乙双方上级主管部门各执   份。</w:t>
      </w:r>
    </w:p>
    <w:p w14:paraId="2176CE8E">
      <w:pPr>
        <w:spacing w:line="360" w:lineRule="auto"/>
        <w:rPr>
          <w:rFonts w:hint="eastAsia" w:ascii="宋体" w:hAnsi="宋体" w:eastAsia="宋体" w:cs="宋体"/>
          <w:bCs/>
          <w:color w:val="auto"/>
          <w:szCs w:val="21"/>
          <w:highlight w:val="none"/>
        </w:rPr>
      </w:pPr>
    </w:p>
    <w:p w14:paraId="21D216DB">
      <w:pPr>
        <w:spacing w:line="360" w:lineRule="auto"/>
        <w:rPr>
          <w:rFonts w:hint="eastAsia" w:ascii="宋体" w:hAnsi="宋体" w:eastAsia="宋体" w:cs="宋体"/>
          <w:bCs/>
          <w:color w:val="auto"/>
          <w:szCs w:val="21"/>
          <w:highlight w:val="none"/>
        </w:rPr>
      </w:pPr>
    </w:p>
    <w:p w14:paraId="0F18402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甲方（盖章）：                     乙方（盖章）： </w:t>
      </w:r>
    </w:p>
    <w:p w14:paraId="51CF8600">
      <w:pPr>
        <w:spacing w:line="360" w:lineRule="auto"/>
        <w:rPr>
          <w:rFonts w:hint="eastAsia" w:ascii="宋体" w:hAnsi="宋体" w:eastAsia="宋体" w:cs="宋体"/>
          <w:bCs/>
          <w:color w:val="auto"/>
          <w:szCs w:val="21"/>
          <w:highlight w:val="none"/>
        </w:rPr>
      </w:pPr>
    </w:p>
    <w:p w14:paraId="6D46B70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                       法定代表人：</w:t>
      </w:r>
    </w:p>
    <w:p w14:paraId="60FCA9A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甲方代表：                         乙方代表：</w:t>
      </w:r>
    </w:p>
    <w:p w14:paraId="5D611A64">
      <w:pPr>
        <w:spacing w:line="360" w:lineRule="auto"/>
        <w:rPr>
          <w:rFonts w:hint="eastAsia" w:ascii="宋体" w:hAnsi="宋体" w:eastAsia="宋体" w:cs="宋体"/>
          <w:bCs/>
          <w:color w:val="auto"/>
          <w:szCs w:val="21"/>
          <w:highlight w:val="none"/>
        </w:rPr>
      </w:pPr>
    </w:p>
    <w:p w14:paraId="41F8D76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签订日期：    年  月  日              年  月  日</w:t>
      </w:r>
    </w:p>
    <w:p w14:paraId="4011E208">
      <w:pPr>
        <w:autoSpaceDE w:val="0"/>
        <w:autoSpaceDN w:val="0"/>
        <w:adjustRightInd w:val="0"/>
        <w:snapToGrid w:val="0"/>
        <w:spacing w:line="360" w:lineRule="auto"/>
        <w:jc w:val="left"/>
        <w:rPr>
          <w:rFonts w:hint="eastAsia" w:ascii="宋体" w:hAnsi="宋体" w:eastAsia="宋体" w:cs="宋体"/>
          <w:color w:val="auto"/>
          <w:kern w:val="0"/>
          <w:szCs w:val="21"/>
          <w:highlight w:val="none"/>
          <w:lang w:eastAsia="zh-CN"/>
        </w:rPr>
      </w:pPr>
    </w:p>
    <w:p w14:paraId="23AE32E1">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467" w:name="_Toc447044479"/>
      <w:bookmarkStart w:id="468" w:name="_Toc24427_WPSOffice_Level1"/>
      <w:bookmarkStart w:id="469" w:name="_Toc142508360"/>
      <w:bookmarkStart w:id="470" w:name="_Toc447045090"/>
      <w:bookmarkStart w:id="471" w:name="_Toc447044603"/>
      <w:bookmarkStart w:id="472" w:name="_Toc25564"/>
      <w:bookmarkStart w:id="473" w:name="_Toc512353083"/>
      <w:bookmarkStart w:id="474" w:name="_Toc30025"/>
      <w:bookmarkStart w:id="475" w:name="_Toc11526"/>
      <w:bookmarkStart w:id="476" w:name="_Toc13867"/>
      <w:r>
        <w:rPr>
          <w:rFonts w:hint="eastAsia" w:ascii="宋体" w:hAnsi="宋体" w:eastAsia="宋体" w:cs="宋体"/>
          <w:b/>
          <w:bCs/>
          <w:color w:val="auto"/>
          <w:sz w:val="32"/>
          <w:szCs w:val="32"/>
          <w:highlight w:val="none"/>
          <w:lang w:val="zh-CN"/>
        </w:rPr>
        <w:t>第五篇 相关保函格式</w:t>
      </w:r>
      <w:bookmarkEnd w:id="467"/>
      <w:bookmarkEnd w:id="468"/>
      <w:bookmarkEnd w:id="469"/>
      <w:bookmarkEnd w:id="470"/>
      <w:bookmarkEnd w:id="471"/>
      <w:bookmarkEnd w:id="472"/>
      <w:bookmarkEnd w:id="473"/>
      <w:bookmarkEnd w:id="474"/>
      <w:bookmarkEnd w:id="475"/>
      <w:bookmarkEnd w:id="476"/>
      <w:bookmarkStart w:id="477" w:name="_Toc447044604"/>
      <w:bookmarkStart w:id="478" w:name="_Toc447045091"/>
      <w:bookmarkStart w:id="479" w:name="_Toc447044480"/>
    </w:p>
    <w:p w14:paraId="2C1EEB81">
      <w:pPr>
        <w:autoSpaceDE w:val="0"/>
        <w:autoSpaceDN w:val="0"/>
        <w:adjustRightInd w:val="0"/>
        <w:spacing w:after="120" w:afterLines="50" w:line="360" w:lineRule="auto"/>
        <w:jc w:val="left"/>
        <w:outlineLvl w:val="1"/>
        <w:rPr>
          <w:rFonts w:hint="eastAsia" w:ascii="宋体" w:hAnsi="宋体" w:eastAsia="宋体" w:cs="宋体"/>
          <w:b/>
          <w:color w:val="auto"/>
          <w:kern w:val="0"/>
          <w:sz w:val="28"/>
          <w:szCs w:val="28"/>
          <w:highlight w:val="none"/>
        </w:rPr>
      </w:pPr>
      <w:bookmarkStart w:id="480" w:name="_Toc26521_WPSOffice_Level2"/>
      <w:bookmarkStart w:id="481" w:name="_Toc27125"/>
      <w:r>
        <w:rPr>
          <w:rFonts w:hint="eastAsia" w:ascii="宋体" w:hAnsi="宋体" w:eastAsia="宋体" w:cs="宋体"/>
          <w:b/>
          <w:color w:val="auto"/>
          <w:kern w:val="0"/>
          <w:sz w:val="28"/>
          <w:szCs w:val="28"/>
          <w:highlight w:val="none"/>
        </w:rPr>
        <w:t>一、不可撤销银行履约保函格式</w:t>
      </w:r>
      <w:bookmarkEnd w:id="477"/>
      <w:bookmarkEnd w:id="478"/>
      <w:bookmarkEnd w:id="479"/>
      <w:bookmarkEnd w:id="480"/>
      <w:bookmarkEnd w:id="481"/>
    </w:p>
    <w:p w14:paraId="10530722">
      <w:pPr>
        <w:autoSpaceDE w:val="0"/>
        <w:autoSpaceDN w:val="0"/>
        <w:adjustRightInd w:val="0"/>
        <w:jc w:val="center"/>
        <w:outlineLvl w:val="2"/>
        <w:rPr>
          <w:rFonts w:hint="eastAsia" w:ascii="宋体" w:hAnsi="宋体" w:eastAsia="宋体" w:cs="宋体"/>
          <w:b/>
          <w:color w:val="auto"/>
          <w:kern w:val="0"/>
          <w:sz w:val="30"/>
          <w:szCs w:val="30"/>
          <w:highlight w:val="none"/>
        </w:rPr>
      </w:pPr>
      <w:bookmarkStart w:id="482" w:name="_Toc6322"/>
      <w:r>
        <w:rPr>
          <w:rFonts w:hint="eastAsia" w:ascii="宋体" w:hAnsi="宋体" w:eastAsia="宋体" w:cs="宋体"/>
          <w:b/>
          <w:color w:val="auto"/>
          <w:kern w:val="0"/>
          <w:sz w:val="30"/>
          <w:szCs w:val="30"/>
          <w:highlight w:val="none"/>
        </w:rPr>
        <w:t>不可撤销银行履约保函</w:t>
      </w:r>
      <w:bookmarkEnd w:id="482"/>
    </w:p>
    <w:p w14:paraId="014153AD">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4B933AD6">
      <w:pPr>
        <w:autoSpaceDE w:val="0"/>
        <w:autoSpaceDN w:val="0"/>
        <w:adjustRightInd w:val="0"/>
        <w:spacing w:line="360" w:lineRule="auto"/>
        <w:ind w:firstLine="6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48F3FEEC">
      <w:pPr>
        <w:widowControl/>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047B6F9">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272FBF74">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286952CA">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0B88BE67">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23FECA09">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4A2BDBA0">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本保函应从合同签订之日起至合同期限届满并且中标人完成本合同及本合同下所有补充协议的全部服务义务后二十八（28）日内保持有效。</w:t>
      </w:r>
    </w:p>
    <w:p w14:paraId="2CD1B618">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p>
    <w:p w14:paraId="2B1B8022">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23CBCE3A">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7FCE483D">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0AAF4F95">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35C2EC2B">
      <w:pPr>
        <w:autoSpaceDE w:val="0"/>
        <w:autoSpaceDN w:val="0"/>
        <w:adjustRightInd w:val="0"/>
        <w:spacing w:line="360" w:lineRule="auto"/>
        <w:ind w:left="84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B1B3CCF">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75D01C04">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4992A4E5">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sectPr>
          <w:pgSz w:w="11906" w:h="16838"/>
          <w:pgMar w:top="1191" w:right="1043" w:bottom="1191" w:left="1043" w:header="720" w:footer="720" w:gutter="0"/>
          <w:cols w:space="720" w:num="1"/>
          <w:titlePg/>
          <w:docGrid w:linePitch="326" w:charSpace="0"/>
        </w:sectPr>
      </w:pPr>
    </w:p>
    <w:p w14:paraId="3842098C">
      <w:pPr>
        <w:numPr>
          <w:ilvl w:val="0"/>
          <w:numId w:val="0"/>
        </w:numPr>
        <w:outlineLvl w:val="1"/>
        <w:rPr>
          <w:rFonts w:hint="eastAsia" w:ascii="宋体" w:hAnsi="宋体" w:eastAsia="宋体" w:cs="宋体"/>
          <w:b/>
          <w:color w:val="auto"/>
          <w:kern w:val="0"/>
          <w:sz w:val="28"/>
          <w:szCs w:val="28"/>
          <w:highlight w:val="none"/>
          <w:lang w:val="en-US" w:eastAsia="zh-CN"/>
        </w:rPr>
      </w:pPr>
      <w:bookmarkStart w:id="483" w:name="_Toc7047"/>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bookmarkEnd w:id="483"/>
    </w:p>
    <w:p w14:paraId="70EBABB8">
      <w:pPr>
        <w:autoSpaceDE w:val="0"/>
        <w:autoSpaceDN w:val="0"/>
        <w:adjustRightInd w:val="0"/>
        <w:jc w:val="center"/>
        <w:rPr>
          <w:rFonts w:hint="eastAsia" w:ascii="宋体" w:hAnsi="宋体" w:eastAsia="宋体" w:cs="宋体"/>
          <w:b/>
          <w:color w:val="auto"/>
          <w:kern w:val="0"/>
          <w:sz w:val="30"/>
          <w:szCs w:val="30"/>
          <w:highlight w:val="none"/>
          <w:lang w:val="en-US" w:eastAsia="zh-CN"/>
        </w:rPr>
      </w:pPr>
    </w:p>
    <w:p w14:paraId="4F294402">
      <w:pPr>
        <w:autoSpaceDE w:val="0"/>
        <w:autoSpaceDN w:val="0"/>
        <w:adjustRightInd w:val="0"/>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3930005C">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6DEAB66D">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3DC3E11E">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0D8A03AB">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1A9B3BB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25CD1D5E">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84" w:name="_Toc26327"/>
      <w:r>
        <w:rPr>
          <w:rFonts w:hint="eastAsia" w:ascii="宋体" w:hAnsi="宋体" w:eastAsia="宋体" w:cs="宋体"/>
          <w:color w:val="auto"/>
          <w:kern w:val="0"/>
          <w:szCs w:val="21"/>
          <w:highlight w:val="none"/>
          <w:lang w:val="en-US" w:eastAsia="zh-CN"/>
        </w:rPr>
        <w:t>一、保证保险金额</w:t>
      </w:r>
      <w:bookmarkEnd w:id="484"/>
      <w:r>
        <w:rPr>
          <w:rFonts w:hint="eastAsia" w:ascii="宋体" w:hAnsi="宋体" w:eastAsia="宋体" w:cs="宋体"/>
          <w:color w:val="auto"/>
          <w:kern w:val="0"/>
          <w:szCs w:val="21"/>
          <w:highlight w:val="none"/>
          <w:lang w:val="en-US" w:eastAsia="zh-CN"/>
        </w:rPr>
        <w:t xml:space="preserve"> </w:t>
      </w:r>
    </w:p>
    <w:p w14:paraId="04E64E6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2EEE154E">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85" w:name="_Toc18095"/>
      <w:r>
        <w:rPr>
          <w:rFonts w:hint="eastAsia" w:ascii="宋体" w:hAnsi="宋体" w:eastAsia="宋体" w:cs="宋体"/>
          <w:color w:val="auto"/>
          <w:kern w:val="0"/>
          <w:szCs w:val="21"/>
          <w:highlight w:val="none"/>
          <w:lang w:val="en-US" w:eastAsia="zh-CN"/>
        </w:rPr>
        <w:t>二、保证保险的责任范围</w:t>
      </w:r>
      <w:bookmarkEnd w:id="485"/>
      <w:r>
        <w:rPr>
          <w:rFonts w:hint="eastAsia" w:ascii="宋体" w:hAnsi="宋体" w:eastAsia="宋体" w:cs="宋体"/>
          <w:color w:val="auto"/>
          <w:kern w:val="0"/>
          <w:szCs w:val="21"/>
          <w:highlight w:val="none"/>
          <w:lang w:val="en-US" w:eastAsia="zh-CN"/>
        </w:rPr>
        <w:t xml:space="preserve"> </w:t>
      </w:r>
    </w:p>
    <w:p w14:paraId="08F8B82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371D3542">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86" w:name="_Toc27200"/>
      <w:r>
        <w:rPr>
          <w:rFonts w:hint="eastAsia" w:ascii="宋体" w:hAnsi="宋体" w:eastAsia="宋体" w:cs="宋体"/>
          <w:color w:val="auto"/>
          <w:kern w:val="0"/>
          <w:szCs w:val="21"/>
          <w:highlight w:val="none"/>
          <w:lang w:val="en-US" w:eastAsia="zh-CN"/>
        </w:rPr>
        <w:t>三、代偿的安排</w:t>
      </w:r>
      <w:bookmarkEnd w:id="486"/>
      <w:r>
        <w:rPr>
          <w:rFonts w:hint="eastAsia" w:ascii="宋体" w:hAnsi="宋体" w:eastAsia="宋体" w:cs="宋体"/>
          <w:color w:val="auto"/>
          <w:kern w:val="0"/>
          <w:szCs w:val="21"/>
          <w:highlight w:val="none"/>
          <w:lang w:val="en-US" w:eastAsia="zh-CN"/>
        </w:rPr>
        <w:t xml:space="preserve"> </w:t>
      </w:r>
    </w:p>
    <w:p w14:paraId="7D7A29C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0CCCC71C">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87" w:name="_Toc23791"/>
      <w:r>
        <w:rPr>
          <w:rFonts w:hint="eastAsia" w:ascii="宋体" w:hAnsi="宋体" w:eastAsia="宋体" w:cs="宋体"/>
          <w:color w:val="auto"/>
          <w:kern w:val="0"/>
          <w:szCs w:val="21"/>
          <w:highlight w:val="none"/>
          <w:lang w:val="en-US" w:eastAsia="zh-CN"/>
        </w:rPr>
        <w:t>四、生效时间</w:t>
      </w:r>
      <w:bookmarkEnd w:id="487"/>
      <w:r>
        <w:rPr>
          <w:rFonts w:hint="eastAsia" w:ascii="宋体" w:hAnsi="宋体" w:eastAsia="宋体" w:cs="宋体"/>
          <w:color w:val="auto"/>
          <w:kern w:val="0"/>
          <w:szCs w:val="21"/>
          <w:highlight w:val="none"/>
          <w:lang w:val="en-US" w:eastAsia="zh-CN"/>
        </w:rPr>
        <w:t xml:space="preserve"> </w:t>
      </w:r>
    </w:p>
    <w:p w14:paraId="4E345F0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7AE0D0EC">
      <w:pPr>
        <w:numPr>
          <w:ilvl w:val="0"/>
          <w:numId w:val="0"/>
        </w:numPr>
        <w:autoSpaceDE w:val="0"/>
        <w:autoSpaceDN w:val="0"/>
        <w:adjustRightInd w:val="0"/>
        <w:spacing w:line="360" w:lineRule="auto"/>
        <w:ind w:firstLine="437" w:firstLineChars="0"/>
        <w:jc w:val="left"/>
        <w:outlineLvl w:val="1"/>
        <w:rPr>
          <w:rFonts w:hint="eastAsia" w:ascii="宋体" w:hAnsi="宋体" w:eastAsia="宋体" w:cs="宋体"/>
          <w:color w:val="auto"/>
          <w:kern w:val="0"/>
          <w:szCs w:val="21"/>
          <w:highlight w:val="none"/>
          <w:lang w:val="en-US" w:eastAsia="zh-CN"/>
        </w:rPr>
      </w:pPr>
      <w:bookmarkStart w:id="488" w:name="_Toc14508"/>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bookmarkEnd w:id="488"/>
    </w:p>
    <w:p w14:paraId="790CFB2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应从合同签订之日起至合同期限届满并且中标人完成本合同及本合同下所有补充协议的全部服务义务后二十八（28）日内保持有效。</w:t>
      </w:r>
    </w:p>
    <w:p w14:paraId="080401DB">
      <w:pPr>
        <w:pStyle w:val="4"/>
        <w:numPr>
          <w:ilvl w:val="0"/>
          <w:numId w:val="0"/>
        </w:numPr>
        <w:outlineLvl w:val="9"/>
        <w:rPr>
          <w:rFonts w:hint="eastAsia" w:ascii="宋体" w:hAnsi="宋体" w:eastAsia="宋体" w:cs="宋体"/>
          <w:color w:val="auto"/>
          <w:highlight w:val="none"/>
          <w:lang w:val="en-US" w:eastAsia="zh-CN"/>
        </w:rPr>
      </w:pPr>
    </w:p>
    <w:p w14:paraId="12ECD97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3A34381D">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6686F447">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5C7F656B">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14:paraId="7F8F0E6B">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05E15674">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26FD010F">
      <w:pPr>
        <w:autoSpaceDE w:val="0"/>
        <w:autoSpaceDN w:val="0"/>
        <w:adjustRightInd w:val="0"/>
        <w:spacing w:after="120" w:afterLines="50" w:line="360" w:lineRule="auto"/>
        <w:jc w:val="left"/>
        <w:outlineLvl w:val="1"/>
        <w:rPr>
          <w:rFonts w:hint="eastAsia" w:ascii="宋体" w:hAnsi="宋体" w:eastAsia="宋体" w:cs="宋体"/>
          <w:b/>
          <w:color w:val="auto"/>
          <w:kern w:val="0"/>
          <w:sz w:val="28"/>
          <w:szCs w:val="28"/>
          <w:highlight w:val="none"/>
        </w:rPr>
      </w:pPr>
      <w:bookmarkStart w:id="489" w:name="_Toc26186"/>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bookmarkEnd w:id="489"/>
    </w:p>
    <w:p w14:paraId="039C3590">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461471B1">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2534BF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4D5383B2">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05F04BF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53C83A8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3B97EC2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本保函应从合同签订之日起至合同期限届满并且中标人完成本合同及本合同下所有补充协议的全部服务义务后二十八（28）日内保持有效。</w:t>
      </w:r>
    </w:p>
    <w:p w14:paraId="58165163">
      <w:pPr>
        <w:autoSpaceDE w:val="0"/>
        <w:autoSpaceDN w:val="0"/>
        <w:adjustRightInd w:val="0"/>
        <w:spacing w:line="360" w:lineRule="auto"/>
        <w:jc w:val="left"/>
        <w:rPr>
          <w:rFonts w:hint="eastAsia" w:ascii="宋体" w:hAnsi="宋体" w:eastAsia="宋体" w:cs="宋体"/>
          <w:color w:val="auto"/>
          <w:kern w:val="0"/>
          <w:szCs w:val="21"/>
          <w:highlight w:val="none"/>
        </w:rPr>
      </w:pPr>
    </w:p>
    <w:p w14:paraId="2B4F1A0F">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208E3A07">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1F5EC12F">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0A1C312C">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1835C69F">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FCE36E5">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pPr>
    </w:p>
    <w:p w14:paraId="319D297F">
      <w:pPr>
        <w:autoSpaceDE w:val="0"/>
        <w:autoSpaceDN w:val="0"/>
        <w:adjustRightInd w:val="0"/>
        <w:spacing w:line="360" w:lineRule="auto"/>
        <w:jc w:val="left"/>
        <w:rPr>
          <w:rFonts w:hint="eastAsia" w:ascii="宋体" w:hAnsi="宋体" w:eastAsia="宋体" w:cs="宋体"/>
          <w:color w:val="auto"/>
          <w:kern w:val="0"/>
          <w:szCs w:val="21"/>
          <w:highlight w:val="none"/>
        </w:rPr>
      </w:pPr>
    </w:p>
    <w:p w14:paraId="1C7CEE93">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3CE7F985">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6014D23C">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7EB38482">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6107A457">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095601C9">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291C1CB3">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7288CC7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0C22ED37">
      <w:pPr>
        <w:pageBreakBefore/>
        <w:tabs>
          <w:tab w:val="left" w:pos="1080"/>
        </w:tabs>
        <w:autoSpaceDE w:val="0"/>
        <w:autoSpaceDN w:val="0"/>
        <w:adjustRightInd w:val="0"/>
        <w:spacing w:line="360" w:lineRule="auto"/>
        <w:ind w:left="357" w:leftChars="-100" w:hanging="567"/>
        <w:jc w:val="center"/>
        <w:outlineLvl w:val="2"/>
        <w:rPr>
          <w:rFonts w:hint="eastAsia" w:ascii="宋体" w:hAnsi="宋体" w:eastAsia="宋体" w:cs="宋体"/>
          <w:b/>
          <w:bCs/>
          <w:color w:val="auto"/>
          <w:kern w:val="44"/>
          <w:sz w:val="32"/>
          <w:szCs w:val="32"/>
          <w:highlight w:val="none"/>
        </w:rPr>
      </w:pPr>
      <w:bookmarkStart w:id="490" w:name="_Toc9840"/>
      <w:bookmarkStart w:id="491" w:name="_Toc486167708"/>
      <w:bookmarkStart w:id="492" w:name="_Toc14958"/>
      <w:bookmarkStart w:id="493" w:name="_Toc32761_WPSOffice_Level1"/>
      <w:bookmarkStart w:id="494" w:name="_Toc18018"/>
      <w:bookmarkStart w:id="495" w:name="_Toc15817"/>
      <w:bookmarkStart w:id="496" w:name="_Toc450662895"/>
      <w:bookmarkStart w:id="497" w:name="_Toc142508361"/>
      <w:r>
        <w:rPr>
          <w:rFonts w:hint="eastAsia" w:ascii="宋体" w:hAnsi="宋体" w:eastAsia="宋体" w:cs="宋体"/>
          <w:b/>
          <w:bCs/>
          <w:color w:val="auto"/>
          <w:kern w:val="44"/>
          <w:sz w:val="32"/>
          <w:szCs w:val="32"/>
          <w:highlight w:val="none"/>
          <w:lang w:val="zh-CN"/>
        </w:rPr>
        <w:t>第六篇 投标文件格式</w:t>
      </w:r>
      <w:bookmarkEnd w:id="490"/>
      <w:bookmarkEnd w:id="491"/>
      <w:bookmarkEnd w:id="492"/>
      <w:bookmarkEnd w:id="493"/>
      <w:bookmarkEnd w:id="494"/>
      <w:bookmarkEnd w:id="495"/>
      <w:bookmarkEnd w:id="496"/>
      <w:bookmarkEnd w:id="497"/>
    </w:p>
    <w:p w14:paraId="08ED0261">
      <w:pPr>
        <w:rPr>
          <w:rFonts w:hint="eastAsia" w:ascii="宋体" w:hAnsi="宋体" w:eastAsia="宋体" w:cs="宋体"/>
          <w:color w:val="auto"/>
          <w:sz w:val="84"/>
          <w:highlight w:val="none"/>
        </w:rPr>
      </w:pPr>
      <w:bookmarkStart w:id="498" w:name="_Toc104991868"/>
      <w:bookmarkStart w:id="499" w:name="_Toc102860067"/>
      <w:bookmarkStart w:id="500" w:name="_Toc102860411"/>
      <w:bookmarkStart w:id="501" w:name="_Toc142508362"/>
      <w:bookmarkStart w:id="502" w:name="_Toc1977721"/>
      <w:bookmarkStart w:id="503" w:name="_Toc94107202"/>
      <w:bookmarkStart w:id="504" w:name="_Toc486167709"/>
      <w:bookmarkStart w:id="505" w:name="_Toc533708121"/>
      <w:bookmarkStart w:id="506" w:name="_Toc21133_WPSOffice_Level2"/>
      <w:bookmarkStart w:id="507" w:name="_Toc140596921"/>
      <w:r>
        <w:rPr>
          <w:rFonts w:hint="eastAsia" w:ascii="宋体" w:hAnsi="宋体" w:eastAsia="宋体" w:cs="宋体"/>
          <w:b/>
          <w:color w:val="auto"/>
          <w:kern w:val="0"/>
          <w:sz w:val="32"/>
          <w:szCs w:val="32"/>
          <w:highlight w:val="none"/>
        </w:rPr>
        <w:br w:type="page"/>
      </w:r>
    </w:p>
    <w:p w14:paraId="46D9D636">
      <w:pPr>
        <w:pStyle w:val="19"/>
        <w:spacing w:line="360" w:lineRule="auto"/>
        <w:jc w:val="center"/>
        <w:rPr>
          <w:rFonts w:hint="eastAsia" w:ascii="宋体" w:hAnsi="宋体" w:eastAsia="宋体" w:cs="宋体"/>
          <w:color w:val="auto"/>
          <w:sz w:val="84"/>
          <w:highlight w:val="none"/>
        </w:rPr>
      </w:pPr>
    </w:p>
    <w:p w14:paraId="648DAEB7">
      <w:pPr>
        <w:pStyle w:val="19"/>
        <w:spacing w:line="360" w:lineRule="auto"/>
        <w:jc w:val="center"/>
        <w:rPr>
          <w:rFonts w:hint="eastAsia" w:ascii="宋体" w:hAnsi="宋体" w:eastAsia="宋体" w:cs="宋体"/>
          <w:color w:val="auto"/>
          <w:sz w:val="84"/>
          <w:highlight w:val="none"/>
        </w:rPr>
      </w:pPr>
    </w:p>
    <w:p w14:paraId="3EDE38D8">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1118650">
      <w:pPr>
        <w:pStyle w:val="19"/>
        <w:spacing w:line="360" w:lineRule="auto"/>
        <w:rPr>
          <w:rFonts w:hint="eastAsia" w:ascii="宋体" w:hAnsi="宋体" w:eastAsia="宋体" w:cs="宋体"/>
          <w:color w:val="auto"/>
          <w:highlight w:val="none"/>
        </w:rPr>
      </w:pPr>
    </w:p>
    <w:p w14:paraId="21DA4969">
      <w:pPr>
        <w:pStyle w:val="19"/>
        <w:spacing w:line="360" w:lineRule="auto"/>
        <w:rPr>
          <w:rFonts w:hint="eastAsia" w:ascii="宋体" w:hAnsi="宋体" w:eastAsia="宋体" w:cs="宋体"/>
          <w:color w:val="auto"/>
          <w:highlight w:val="none"/>
        </w:rPr>
      </w:pPr>
    </w:p>
    <w:p w14:paraId="63D071D5">
      <w:pPr>
        <w:pStyle w:val="19"/>
        <w:spacing w:line="360" w:lineRule="auto"/>
        <w:rPr>
          <w:rFonts w:hint="eastAsia" w:ascii="宋体" w:hAnsi="宋体" w:eastAsia="宋体" w:cs="宋体"/>
          <w:color w:val="auto"/>
          <w:highlight w:val="none"/>
        </w:rPr>
      </w:pPr>
    </w:p>
    <w:p w14:paraId="5C2F4E21">
      <w:pPr>
        <w:pStyle w:val="19"/>
        <w:spacing w:line="360" w:lineRule="auto"/>
        <w:rPr>
          <w:rFonts w:hint="eastAsia" w:ascii="宋体" w:hAnsi="宋体" w:eastAsia="宋体" w:cs="宋体"/>
          <w:color w:val="auto"/>
          <w:highlight w:val="none"/>
        </w:rPr>
      </w:pPr>
    </w:p>
    <w:p w14:paraId="66FE751E">
      <w:pPr>
        <w:pStyle w:val="19"/>
        <w:spacing w:line="360" w:lineRule="auto"/>
        <w:rPr>
          <w:rFonts w:hint="eastAsia" w:ascii="宋体" w:hAnsi="宋体" w:eastAsia="宋体" w:cs="宋体"/>
          <w:color w:val="auto"/>
          <w:highlight w:val="none"/>
        </w:rPr>
      </w:pPr>
    </w:p>
    <w:p w14:paraId="27AAD8F4">
      <w:pPr>
        <w:pStyle w:val="19"/>
        <w:spacing w:line="360" w:lineRule="auto"/>
        <w:rPr>
          <w:rFonts w:hint="eastAsia" w:ascii="宋体" w:hAnsi="宋体" w:eastAsia="宋体" w:cs="宋体"/>
          <w:color w:val="auto"/>
          <w:highlight w:val="none"/>
        </w:rPr>
      </w:pPr>
    </w:p>
    <w:p w14:paraId="46256D73">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1A695F2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B3AE8AC">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370E09C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04882FF7">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12160C1">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359159A5">
      <w:pPr>
        <w:pStyle w:val="19"/>
        <w:spacing w:line="360" w:lineRule="auto"/>
        <w:rPr>
          <w:rFonts w:hint="eastAsia" w:ascii="宋体" w:hAnsi="宋体" w:eastAsia="宋体" w:cs="宋体"/>
          <w:color w:val="auto"/>
          <w:highlight w:val="none"/>
        </w:rPr>
      </w:pPr>
    </w:p>
    <w:p w14:paraId="1739E1A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5ADA9B">
      <w:pPr>
        <w:pStyle w:val="19"/>
        <w:spacing w:line="360" w:lineRule="auto"/>
        <w:rPr>
          <w:rFonts w:hint="eastAsia" w:ascii="宋体" w:hAnsi="宋体" w:eastAsia="宋体" w:cs="宋体"/>
          <w:color w:val="auto"/>
          <w:highlight w:val="none"/>
        </w:rPr>
      </w:pPr>
    </w:p>
    <w:p w14:paraId="253A2A8B">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35"/>
        <w:gridCol w:w="2684"/>
        <w:gridCol w:w="2087"/>
        <w:gridCol w:w="3928"/>
      </w:tblGrid>
      <w:tr w14:paraId="34D690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45BA1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62B0BA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41172C4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3F94C6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D2EF4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E334A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61613A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0" w:type="pct"/>
            <w:vAlign w:val="center"/>
          </w:tcPr>
          <w:p w14:paraId="2D85AA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20A5A3F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1AE2E8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7EFA8EA">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6797163A">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0" w:type="pct"/>
            <w:vAlign w:val="center"/>
          </w:tcPr>
          <w:p w14:paraId="2A70C527">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FEB4AE4">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277E4C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454E7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2C78BC7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vAlign w:val="center"/>
          </w:tcPr>
          <w:p w14:paraId="6E397C5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1E568B42">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5745F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B6510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E1CC9E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0CDD3EC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1B9C13C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7158CF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01B41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601BDFA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563B7A5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383B129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B0E36E">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bookmarkStart w:id="508" w:name="_Toc27679"/>
      <w:bookmarkStart w:id="509" w:name="_Toc13281"/>
      <w:bookmarkStart w:id="510" w:name="_Toc10478"/>
      <w:bookmarkStart w:id="511" w:name="_Toc23782"/>
      <w:r>
        <w:rPr>
          <w:rFonts w:hint="eastAsia" w:ascii="宋体" w:hAnsi="宋体" w:eastAsia="宋体" w:cs="宋体"/>
          <w:b/>
          <w:color w:val="auto"/>
          <w:kern w:val="0"/>
          <w:sz w:val="32"/>
          <w:szCs w:val="32"/>
          <w:highlight w:val="none"/>
        </w:rPr>
        <w:t>一、投标函格式</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7AEA8FD">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512" w:name="_Toc16695_WPSOffice_Level3"/>
      <w:r>
        <w:rPr>
          <w:rFonts w:hint="eastAsia" w:ascii="宋体" w:hAnsi="宋体" w:eastAsia="宋体" w:cs="宋体"/>
          <w:b/>
          <w:bCs/>
          <w:color w:val="auto"/>
          <w:sz w:val="30"/>
          <w:szCs w:val="30"/>
          <w:highlight w:val="none"/>
          <w:lang w:val="zh-CN"/>
        </w:rPr>
        <w:t>投 标 函</w:t>
      </w:r>
      <w:bookmarkEnd w:id="512"/>
    </w:p>
    <w:p w14:paraId="7DBCC0EE">
      <w:pPr>
        <w:autoSpaceDE w:val="0"/>
        <w:autoSpaceDN w:val="0"/>
        <w:adjustRightInd w:val="0"/>
        <w:spacing w:line="360" w:lineRule="auto"/>
        <w:rPr>
          <w:rFonts w:hint="eastAsia" w:ascii="宋体" w:hAnsi="宋体" w:eastAsia="宋体" w:cs="宋体"/>
          <w:color w:val="auto"/>
          <w:szCs w:val="21"/>
          <w:highlight w:val="none"/>
          <w:lang w:val="zh-CN"/>
        </w:rPr>
      </w:pPr>
    </w:p>
    <w:p w14:paraId="685A8444">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14:paraId="651D9C6D">
      <w:pPr>
        <w:autoSpaceDE w:val="0"/>
        <w:autoSpaceDN w:val="0"/>
        <w:adjustRightInd w:val="0"/>
        <w:spacing w:line="360" w:lineRule="auto"/>
        <w:rPr>
          <w:rFonts w:hint="eastAsia" w:ascii="宋体" w:hAnsi="宋体" w:eastAsia="宋体" w:cs="宋体"/>
          <w:color w:val="auto"/>
          <w:szCs w:val="21"/>
          <w:highlight w:val="none"/>
        </w:rPr>
      </w:pPr>
    </w:p>
    <w:p w14:paraId="073FEBAA">
      <w:pPr>
        <w:wordWrap w:val="0"/>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东莞市水务集团供水有限公司2024-2025年造价咨询服务项目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YDZB24DGQY0144</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DBF9891">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E09CE7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2BE8AD9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34EFF7B9">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1D46BB1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w:t>
      </w:r>
      <w:r>
        <w:rPr>
          <w:rFonts w:hint="eastAsia" w:ascii="宋体" w:hAnsi="宋体" w:eastAsia="宋体" w:cs="宋体"/>
          <w:color w:val="auto"/>
          <w:szCs w:val="21"/>
          <w:highlight w:val="none"/>
          <w:u w:val="single"/>
          <w:lang w:val="zh-CN"/>
        </w:rPr>
        <w:t>YDZB24DGQY0144</w:t>
      </w:r>
      <w:r>
        <w:rPr>
          <w:rFonts w:hint="eastAsia" w:ascii="宋体" w:hAnsi="宋体" w:eastAsia="宋体" w:cs="宋体"/>
          <w:color w:val="auto"/>
          <w:szCs w:val="21"/>
          <w:highlight w:val="none"/>
          <w:lang w:val="zh-CN"/>
        </w:rPr>
        <w:t>的投标；</w:t>
      </w:r>
    </w:p>
    <w:p w14:paraId="5BCF5439">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314C9DF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03AD1F1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6E4E2119">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1C7739F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963376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73B8D6E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740404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6B6F5B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2225EDED">
      <w:pPr>
        <w:autoSpaceDE w:val="0"/>
        <w:autoSpaceDN w:val="0"/>
        <w:adjustRightInd w:val="0"/>
        <w:spacing w:line="360" w:lineRule="auto"/>
        <w:ind w:firstLine="315" w:firstLineChars="150"/>
        <w:outlineLvl w:val="2"/>
        <w:rPr>
          <w:rFonts w:hint="eastAsia" w:ascii="宋体" w:hAnsi="宋体" w:eastAsia="宋体" w:cs="宋体"/>
          <w:color w:val="auto"/>
          <w:szCs w:val="21"/>
          <w:highlight w:val="none"/>
          <w:lang w:val="zh-CN"/>
        </w:rPr>
      </w:pPr>
      <w:bookmarkStart w:id="513" w:name="_Toc32700"/>
      <w:r>
        <w:rPr>
          <w:rFonts w:hint="eastAsia" w:ascii="宋体" w:hAnsi="宋体" w:eastAsia="宋体" w:cs="宋体"/>
          <w:color w:val="auto"/>
          <w:szCs w:val="21"/>
          <w:highlight w:val="none"/>
          <w:lang w:val="zh-CN"/>
        </w:rPr>
        <w:t>（十一）所有与本投标有关的函件请发往下列地址：</w:t>
      </w:r>
      <w:bookmarkEnd w:id="513"/>
    </w:p>
    <w:p w14:paraId="2887E651">
      <w:pPr>
        <w:autoSpaceDE w:val="0"/>
        <w:autoSpaceDN w:val="0"/>
        <w:adjustRightInd w:val="0"/>
        <w:spacing w:line="360" w:lineRule="auto"/>
        <w:ind w:left="395" w:leftChars="-12" w:hanging="420" w:hangingChars="200"/>
        <w:rPr>
          <w:rFonts w:hint="eastAsia" w:ascii="宋体" w:hAnsi="宋体" w:eastAsia="宋体" w:cs="宋体"/>
          <w:color w:val="auto"/>
          <w:szCs w:val="21"/>
          <w:highlight w:val="none"/>
          <w:u w:val="single"/>
          <w:lang w:val="zh-CN"/>
        </w:rPr>
      </w:pPr>
    </w:p>
    <w:p w14:paraId="4F281B70">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D4C2118">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6200399D">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2072DF83">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6B7B912">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0BF34E99">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610646F">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4388D7F">
      <w:pPr>
        <w:autoSpaceDE w:val="0"/>
        <w:autoSpaceDN w:val="0"/>
        <w:adjustRightInd w:val="0"/>
        <w:spacing w:line="360" w:lineRule="auto"/>
        <w:ind w:firstLine="4960" w:firstLineChars="236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57C4F53D">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14" w:name="_Toc12417"/>
      <w:bookmarkStart w:id="515" w:name="_Toc486167710"/>
      <w:bookmarkStart w:id="516" w:name="_Toc28613_WPSOffice_Level2"/>
      <w:bookmarkStart w:id="517" w:name="_Toc142508363"/>
      <w:bookmarkStart w:id="518" w:name="_Toc94107203"/>
      <w:bookmarkStart w:id="519" w:name="_Toc104991869"/>
      <w:bookmarkStart w:id="520" w:name="_Toc11057"/>
      <w:bookmarkStart w:id="521" w:name="_Toc3104"/>
      <w:bookmarkStart w:id="522" w:name="_Toc102860412"/>
      <w:bookmarkStart w:id="523" w:name="_Toc140596922"/>
      <w:bookmarkStart w:id="524" w:name="_Toc30995"/>
      <w:bookmarkStart w:id="525" w:name="_Toc102860068"/>
      <w:bookmarkStart w:id="526" w:name="_Toc533708122"/>
      <w:bookmarkStart w:id="527" w:name="_Toc1977722"/>
      <w:r>
        <w:rPr>
          <w:rFonts w:hint="eastAsia" w:ascii="宋体" w:hAnsi="宋体" w:eastAsia="宋体" w:cs="宋体"/>
          <w:b/>
          <w:color w:val="auto"/>
          <w:kern w:val="0"/>
          <w:sz w:val="32"/>
          <w:szCs w:val="32"/>
          <w:highlight w:val="none"/>
        </w:rPr>
        <w:t>二、投标承诺书格式</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1D79782D">
      <w:pPr>
        <w:autoSpaceDE w:val="0"/>
        <w:autoSpaceDN w:val="0"/>
        <w:adjustRightInd w:val="0"/>
        <w:spacing w:line="360" w:lineRule="auto"/>
        <w:jc w:val="center"/>
        <w:outlineLvl w:val="2"/>
        <w:rPr>
          <w:rFonts w:hint="eastAsia" w:ascii="宋体" w:hAnsi="宋体" w:eastAsia="宋体" w:cs="宋体"/>
          <w:b/>
          <w:bCs/>
          <w:color w:val="auto"/>
          <w:sz w:val="30"/>
          <w:szCs w:val="30"/>
          <w:highlight w:val="none"/>
          <w:lang w:val="zh-CN"/>
        </w:rPr>
      </w:pPr>
      <w:bookmarkStart w:id="528" w:name="_Toc22443"/>
      <w:r>
        <w:rPr>
          <w:rFonts w:hint="eastAsia" w:ascii="宋体" w:hAnsi="宋体" w:eastAsia="宋体" w:cs="宋体"/>
          <w:b/>
          <w:bCs/>
          <w:color w:val="auto"/>
          <w:sz w:val="30"/>
          <w:szCs w:val="30"/>
          <w:highlight w:val="none"/>
          <w:lang w:val="zh-CN"/>
        </w:rPr>
        <w:t>投标承诺书</w:t>
      </w:r>
      <w:bookmarkEnd w:id="528"/>
    </w:p>
    <w:p w14:paraId="2BA86F8A">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4452FC5A">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u w:val="single"/>
          <w:lang w:eastAsia="zh-CN"/>
        </w:rPr>
        <w:t>东莞市水务集团供水有限公司2024-2025年造价咨询服务项目</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YDZB24DGQY0144</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71A865F6">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46874C9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3DD3D25">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12D5B109">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4A78DC3D">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3615C275">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25E349D3">
      <w:pPr>
        <w:autoSpaceDE w:val="0"/>
        <w:autoSpaceDN w:val="0"/>
        <w:adjustRightInd w:val="0"/>
        <w:spacing w:line="360" w:lineRule="auto"/>
        <w:ind w:firstLine="5040"/>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45F1E04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14:paraId="2C3D06A7">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26A7D3DB">
      <w:pPr>
        <w:autoSpaceDE w:val="0"/>
        <w:autoSpaceDN w:val="0"/>
        <w:adjustRightInd w:val="0"/>
        <w:spacing w:line="360" w:lineRule="auto"/>
        <w:jc w:val="left"/>
        <w:rPr>
          <w:rFonts w:hint="eastAsia" w:ascii="宋体" w:hAnsi="宋体" w:eastAsia="宋体" w:cs="宋体"/>
          <w:color w:val="auto"/>
          <w:kern w:val="0"/>
          <w:sz w:val="24"/>
          <w:szCs w:val="24"/>
          <w:highlight w:val="none"/>
        </w:rPr>
      </w:pPr>
      <w:bookmarkStart w:id="529" w:name="_Toc326768876"/>
      <w:bookmarkStart w:id="530" w:name="_Toc316896755"/>
      <w:bookmarkStart w:id="531" w:name="_Toc311032584"/>
    </w:p>
    <w:p w14:paraId="001D42F4">
      <w:pPr>
        <w:pageBreakBefore/>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rPr>
      </w:pPr>
      <w:bookmarkStart w:id="532" w:name="_Toc29910"/>
      <w:bookmarkStart w:id="533" w:name="_Toc102860413"/>
      <w:bookmarkStart w:id="534" w:name="_Toc5075"/>
      <w:bookmarkStart w:id="535" w:name="_Toc86764083"/>
      <w:bookmarkStart w:id="536" w:name="_Toc82182546"/>
      <w:bookmarkStart w:id="537" w:name="_Toc142508364"/>
      <w:bookmarkStart w:id="538" w:name="_Toc19041"/>
      <w:bookmarkStart w:id="539" w:name="_Toc140596923"/>
      <w:bookmarkStart w:id="540" w:name="_Toc104991870"/>
      <w:bookmarkStart w:id="541" w:name="_Toc94107204"/>
      <w:bookmarkStart w:id="542" w:name="_Toc102860069"/>
      <w:bookmarkStart w:id="543" w:name="_Toc24336"/>
      <w:bookmarkStart w:id="544" w:name="_Toc486167711"/>
      <w:bookmarkStart w:id="545" w:name="_Toc1977723"/>
      <w:bookmarkStart w:id="546" w:name="_Toc533708123"/>
      <w:bookmarkStart w:id="547" w:name="_Toc7024_WPSOffice_Level2"/>
      <w:r>
        <w:rPr>
          <w:rFonts w:hint="eastAsia" w:ascii="宋体" w:hAnsi="宋体" w:eastAsia="宋体" w:cs="宋体"/>
          <w:b/>
          <w:color w:val="auto"/>
          <w:kern w:val="44"/>
          <w:sz w:val="32"/>
          <w:szCs w:val="32"/>
          <w:highlight w:val="none"/>
        </w:rPr>
        <w:t>三、供货及/或提供服务过程承诺函格式</w:t>
      </w:r>
      <w:bookmarkEnd w:id="532"/>
      <w:bookmarkEnd w:id="533"/>
      <w:bookmarkEnd w:id="534"/>
      <w:bookmarkEnd w:id="535"/>
      <w:bookmarkEnd w:id="536"/>
      <w:bookmarkEnd w:id="537"/>
      <w:bookmarkEnd w:id="538"/>
      <w:bookmarkEnd w:id="539"/>
      <w:bookmarkEnd w:id="540"/>
      <w:bookmarkEnd w:id="541"/>
      <w:bookmarkEnd w:id="542"/>
      <w:bookmarkEnd w:id="543"/>
    </w:p>
    <w:p w14:paraId="54C8BA9E">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424947D2">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6A06FBE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东莞市水务集团供水有限公司2024-2025年造价咨询服务项目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YDZB24DGQY0144</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1EF0E24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1486772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567BEB8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6CF66A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49EEEE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66E1A9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E13C20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6B783C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0F06564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328C1B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1B0A607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4FBD9ED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085DB6F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41D1314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64BC91FA">
      <w:pPr>
        <w:autoSpaceDE w:val="0"/>
        <w:autoSpaceDN w:val="0"/>
        <w:adjustRightInd w:val="0"/>
        <w:spacing w:line="360" w:lineRule="auto"/>
        <w:ind w:firstLine="420" w:firstLineChars="200"/>
        <w:jc w:val="left"/>
        <w:outlineLvl w:val="2"/>
        <w:rPr>
          <w:rFonts w:hint="eastAsia" w:ascii="宋体" w:hAnsi="宋体" w:eastAsia="宋体" w:cs="宋体"/>
          <w:color w:val="auto"/>
          <w:kern w:val="0"/>
          <w:szCs w:val="21"/>
          <w:highlight w:val="none"/>
        </w:rPr>
      </w:pPr>
      <w:bookmarkStart w:id="548" w:name="_Toc15299"/>
      <w:r>
        <w:rPr>
          <w:rFonts w:hint="eastAsia" w:ascii="宋体" w:hAnsi="宋体" w:eastAsia="宋体" w:cs="宋体"/>
          <w:color w:val="auto"/>
          <w:kern w:val="0"/>
          <w:szCs w:val="21"/>
          <w:highlight w:val="none"/>
        </w:rPr>
        <w:t>③我方承诺不在厂内道路、消防通道内搭建临时建筑或堆放物资。</w:t>
      </w:r>
      <w:bookmarkEnd w:id="548"/>
    </w:p>
    <w:p w14:paraId="5920D17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8DE635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1FDA3A37">
      <w:pPr>
        <w:autoSpaceDE w:val="0"/>
        <w:autoSpaceDN w:val="0"/>
        <w:adjustRightInd w:val="0"/>
        <w:spacing w:line="360" w:lineRule="auto"/>
        <w:ind w:firstLine="420" w:firstLineChars="200"/>
        <w:jc w:val="left"/>
        <w:outlineLvl w:val="2"/>
        <w:rPr>
          <w:rFonts w:hint="eastAsia" w:ascii="宋体" w:hAnsi="宋体" w:eastAsia="宋体" w:cs="宋体"/>
          <w:color w:val="auto"/>
          <w:kern w:val="0"/>
          <w:szCs w:val="21"/>
          <w:highlight w:val="none"/>
        </w:rPr>
      </w:pPr>
      <w:bookmarkStart w:id="549" w:name="_Toc13630"/>
      <w:r>
        <w:rPr>
          <w:rFonts w:hint="eastAsia" w:ascii="宋体" w:hAnsi="宋体" w:eastAsia="宋体" w:cs="宋体"/>
          <w:color w:val="auto"/>
          <w:kern w:val="0"/>
          <w:szCs w:val="21"/>
          <w:highlight w:val="none"/>
        </w:rPr>
        <w:t>⑥我方承诺防雷、防静电设施及用电设施有良好接地。</w:t>
      </w:r>
      <w:bookmarkEnd w:id="549"/>
    </w:p>
    <w:p w14:paraId="3405328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E88218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167554C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5D62226F">
      <w:pPr>
        <w:autoSpaceDE w:val="0"/>
        <w:autoSpaceDN w:val="0"/>
        <w:adjustRightInd w:val="0"/>
        <w:spacing w:line="360" w:lineRule="auto"/>
        <w:ind w:firstLine="504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41B622C">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2C787DEF">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7E118142">
      <w:pPr>
        <w:autoSpaceDE w:val="0"/>
        <w:autoSpaceDN w:val="0"/>
        <w:adjustRightInd w:val="0"/>
        <w:spacing w:line="360" w:lineRule="auto"/>
        <w:ind w:right="420" w:firstLine="5040" w:firstLineChars="2400"/>
        <w:jc w:val="left"/>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2919F7F1">
      <w:pPr>
        <w:pageBreakBefore/>
        <w:autoSpaceDE w:val="0"/>
        <w:autoSpaceDN w:val="0"/>
        <w:adjustRightInd w:val="0"/>
        <w:spacing w:line="360" w:lineRule="auto"/>
        <w:jc w:val="left"/>
        <w:outlineLvl w:val="1"/>
        <w:rPr>
          <w:rFonts w:hint="eastAsia" w:ascii="宋体" w:hAnsi="宋体" w:eastAsia="宋体" w:cs="宋体"/>
          <w:b/>
          <w:color w:val="auto"/>
          <w:kern w:val="0"/>
          <w:sz w:val="32"/>
          <w:szCs w:val="32"/>
          <w:highlight w:val="none"/>
        </w:rPr>
      </w:pPr>
      <w:bookmarkStart w:id="550" w:name="_Toc104991872"/>
      <w:bookmarkStart w:id="551" w:name="_Toc13416"/>
      <w:bookmarkStart w:id="552" w:name="_Toc1140"/>
      <w:bookmarkStart w:id="553" w:name="_Toc140596925"/>
      <w:bookmarkStart w:id="554" w:name="_Toc142508366"/>
      <w:bookmarkStart w:id="555" w:name="_Toc102860071"/>
      <w:bookmarkStart w:id="556" w:name="_Toc8537"/>
      <w:bookmarkStart w:id="557" w:name="_Toc18346"/>
      <w:bookmarkStart w:id="558" w:name="_Toc94107206"/>
      <w:bookmarkStart w:id="559" w:name="_Toc102860415"/>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44"/>
      <w:bookmarkEnd w:id="545"/>
      <w:bookmarkEnd w:id="546"/>
      <w:bookmarkEnd w:id="547"/>
      <w:bookmarkEnd w:id="550"/>
      <w:bookmarkEnd w:id="551"/>
      <w:bookmarkEnd w:id="552"/>
      <w:bookmarkEnd w:id="553"/>
      <w:bookmarkEnd w:id="554"/>
      <w:bookmarkEnd w:id="555"/>
      <w:bookmarkEnd w:id="556"/>
      <w:bookmarkEnd w:id="557"/>
      <w:bookmarkEnd w:id="558"/>
      <w:bookmarkEnd w:id="559"/>
    </w:p>
    <w:p w14:paraId="5701AE89">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55E49AF7">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东莞市水务集团供水有限公司2024-2025年造价咨询服务项目</w:t>
      </w:r>
    </w:p>
    <w:p w14:paraId="336B41C7">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YDZB24DGQY0144</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4"/>
        <w:gridCol w:w="4576"/>
        <w:gridCol w:w="3167"/>
        <w:gridCol w:w="1289"/>
      </w:tblGrid>
      <w:tr w14:paraId="3A643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39DE262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201254F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36AFFC3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lang w:val="zh-CN"/>
              </w:rPr>
              <w:t>投标折扣系数</w:t>
            </w:r>
          </w:p>
        </w:tc>
        <w:tc>
          <w:tcPr>
            <w:tcW w:w="642" w:type="pct"/>
            <w:tcBorders>
              <w:top w:val="single" w:color="auto" w:sz="4" w:space="0"/>
              <w:left w:val="single" w:color="auto" w:sz="4" w:space="0"/>
              <w:bottom w:val="single" w:color="auto" w:sz="4" w:space="0"/>
              <w:right w:val="single" w:color="auto" w:sz="4" w:space="0"/>
            </w:tcBorders>
            <w:vAlign w:val="center"/>
          </w:tcPr>
          <w:p w14:paraId="2DF49E7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2B12F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6E305DE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6F870B7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东莞市水务集团供水有限公司2024-2025年造价咨询服务项目</w:t>
            </w:r>
          </w:p>
        </w:tc>
        <w:tc>
          <w:tcPr>
            <w:tcW w:w="1578" w:type="pct"/>
            <w:tcBorders>
              <w:top w:val="single" w:color="auto" w:sz="4" w:space="0"/>
              <w:left w:val="single" w:color="auto" w:sz="4" w:space="0"/>
              <w:right w:val="single" w:color="auto" w:sz="4" w:space="0"/>
            </w:tcBorders>
            <w:vAlign w:val="center"/>
          </w:tcPr>
          <w:p w14:paraId="6DB13C15">
            <w:pPr>
              <w:keepNext w:val="0"/>
              <w:keepLines w:val="0"/>
              <w:suppressLineNumbers w:val="0"/>
              <w:tabs>
                <w:tab w:val="left" w:pos="8610"/>
              </w:tabs>
              <w:spacing w:before="0" w:beforeAutospacing="0" w:after="0" w:afterAutospacing="0" w:line="360" w:lineRule="auto"/>
              <w:ind w:left="0" w:right="0"/>
              <w:rPr>
                <w:rFonts w:hint="eastAsia" w:ascii="宋体" w:hAnsi="宋体" w:eastAsia="宋体" w:cs="宋体"/>
                <w:color w:val="auto"/>
                <w:kern w:val="0"/>
                <w:szCs w:val="21"/>
                <w:highlight w:val="none"/>
              </w:rPr>
            </w:pPr>
          </w:p>
        </w:tc>
        <w:tc>
          <w:tcPr>
            <w:tcW w:w="642" w:type="pct"/>
            <w:tcBorders>
              <w:top w:val="single" w:color="auto" w:sz="4" w:space="0"/>
              <w:left w:val="single" w:color="auto" w:sz="4" w:space="0"/>
              <w:right w:val="single" w:color="auto" w:sz="4" w:space="0"/>
            </w:tcBorders>
            <w:vAlign w:val="center"/>
          </w:tcPr>
          <w:p w14:paraId="4804E465">
            <w:pPr>
              <w:keepNext w:val="0"/>
              <w:keepLines w:val="0"/>
              <w:suppressLineNumbers w:val="0"/>
              <w:tabs>
                <w:tab w:val="left" w:pos="8610"/>
              </w:tabs>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bl>
    <w:p w14:paraId="73C4DACA">
      <w:pPr>
        <w:rPr>
          <w:rFonts w:hint="eastAsia" w:ascii="宋体" w:hAnsi="宋体" w:eastAsia="宋体" w:cs="宋体"/>
          <w:color w:val="auto"/>
          <w:kern w:val="0"/>
          <w:sz w:val="20"/>
          <w:szCs w:val="21"/>
          <w:highlight w:val="none"/>
        </w:rPr>
      </w:pPr>
    </w:p>
    <w:p w14:paraId="4C6C60D0">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B919451">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14:paraId="26DB634A">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color w:val="auto"/>
          <w:szCs w:val="21"/>
          <w:highlight w:val="none"/>
          <w:u w:val="single"/>
          <w:lang w:val="zh-CN"/>
        </w:rPr>
        <w:t>投标人的折扣系数报价不得超过0.80（保留小数点后两位），且不能为0.00或负数，投标人未按招标文件要求进行折扣系数报价的，该投标人的投标文件被视为无效投标。</w:t>
      </w:r>
    </w:p>
    <w:p w14:paraId="0F4A1E26">
      <w:pPr>
        <w:autoSpaceDE w:val="0"/>
        <w:autoSpaceDN w:val="0"/>
        <w:adjustRightInd w:val="0"/>
        <w:snapToGrid w:val="0"/>
        <w:spacing w:line="360" w:lineRule="auto"/>
        <w:ind w:left="605" w:leftChars="18" w:hanging="567" w:hangingChars="270"/>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b w:val="0"/>
          <w:bCs w:val="0"/>
          <w:color w:val="auto"/>
          <w:kern w:val="0"/>
          <w:szCs w:val="21"/>
          <w:highlight w:val="none"/>
          <w:u w:val="none"/>
          <w:lang w:val="zh-CN"/>
        </w:rPr>
        <w:t>本表一式二份，一份随唱标信封一起提交，一份编入投标文件商务文件。</w:t>
      </w:r>
    </w:p>
    <w:p w14:paraId="65C989E2">
      <w:pPr>
        <w:autoSpaceDE w:val="0"/>
        <w:autoSpaceDN w:val="0"/>
        <w:adjustRightInd w:val="0"/>
        <w:snapToGrid w:val="0"/>
        <w:spacing w:line="360" w:lineRule="auto"/>
        <w:ind w:left="605" w:leftChars="18" w:hanging="567" w:hangingChars="27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报价保留小数点后两位。</w:t>
      </w:r>
    </w:p>
    <w:p w14:paraId="451EC52D">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D460644">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51FA2CE">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2EFAF84E">
      <w:pPr>
        <w:autoSpaceDE w:val="0"/>
        <w:autoSpaceDN w:val="0"/>
        <w:adjustRightInd w:val="0"/>
        <w:spacing w:line="360" w:lineRule="auto"/>
        <w:ind w:right="275" w:rightChars="131"/>
        <w:jc w:val="righ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br w:type="page"/>
      </w:r>
    </w:p>
    <w:p w14:paraId="600EE469">
      <w:pPr>
        <w:tabs>
          <w:tab w:val="left" w:pos="567"/>
        </w:tabs>
        <w:autoSpaceDE w:val="0"/>
        <w:autoSpaceDN w:val="0"/>
        <w:adjustRightInd w:val="0"/>
        <w:spacing w:line="360" w:lineRule="auto"/>
        <w:jc w:val="left"/>
        <w:outlineLvl w:val="1"/>
        <w:rPr>
          <w:rFonts w:hint="eastAsia" w:ascii="宋体" w:hAnsi="宋体" w:eastAsia="宋体" w:cs="宋体"/>
          <w:b/>
          <w:color w:val="auto"/>
          <w:kern w:val="0"/>
          <w:sz w:val="32"/>
          <w:szCs w:val="32"/>
          <w:highlight w:val="none"/>
        </w:rPr>
      </w:pPr>
      <w:bookmarkStart w:id="560" w:name="_Toc26831"/>
      <w:bookmarkStart w:id="561" w:name="_Toc102860418"/>
      <w:bookmarkStart w:id="562" w:name="_Toc140596928"/>
      <w:bookmarkStart w:id="563" w:name="_Toc142508369"/>
      <w:bookmarkStart w:id="564" w:name="_Toc104991875"/>
      <w:bookmarkStart w:id="565" w:name="_Toc94107209"/>
      <w:bookmarkStart w:id="566" w:name="_Toc23083"/>
      <w:bookmarkStart w:id="567" w:name="_Toc102860074"/>
      <w:bookmarkStart w:id="568" w:name="_Toc1977725"/>
      <w:bookmarkStart w:id="569" w:name="_Toc26516"/>
      <w:bookmarkStart w:id="570" w:name="_Toc6190"/>
      <w:bookmarkStart w:id="571" w:name="_Toc486167712"/>
      <w:bookmarkStart w:id="572" w:name="_Toc533708124"/>
      <w:bookmarkStart w:id="573" w:name="_Toc20759_WPSOffice_Level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60"/>
      <w:bookmarkEnd w:id="561"/>
      <w:bookmarkEnd w:id="562"/>
      <w:bookmarkEnd w:id="563"/>
      <w:bookmarkEnd w:id="564"/>
      <w:bookmarkEnd w:id="565"/>
      <w:bookmarkEnd w:id="566"/>
      <w:bookmarkEnd w:id="567"/>
      <w:bookmarkEnd w:id="568"/>
      <w:bookmarkEnd w:id="569"/>
      <w:bookmarkEnd w:id="570"/>
    </w:p>
    <w:p w14:paraId="7B2865AD">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574" w:name="_Toc104991876"/>
      <w:bookmarkStart w:id="575" w:name="_Toc102860075"/>
      <w:bookmarkStart w:id="576" w:name="_Toc29874"/>
      <w:bookmarkStart w:id="577" w:name="_Toc94107210"/>
      <w:bookmarkStart w:id="578" w:name="_Toc14883"/>
      <w:bookmarkStart w:id="579" w:name="_Toc102860419"/>
      <w:bookmarkStart w:id="580" w:name="_Toc17358"/>
      <w:bookmarkStart w:id="581" w:name="_Toc140596929"/>
      <w:bookmarkStart w:id="582" w:name="_Toc25267"/>
      <w:bookmarkStart w:id="583" w:name="_Toc142508370"/>
      <w:bookmarkStart w:id="584"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74"/>
      <w:bookmarkEnd w:id="575"/>
      <w:bookmarkEnd w:id="576"/>
      <w:bookmarkEnd w:id="577"/>
      <w:bookmarkEnd w:id="578"/>
      <w:bookmarkEnd w:id="579"/>
      <w:bookmarkEnd w:id="580"/>
      <w:bookmarkEnd w:id="581"/>
      <w:bookmarkEnd w:id="582"/>
      <w:bookmarkEnd w:id="583"/>
    </w:p>
    <w:p w14:paraId="01611063">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4833CD6A">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pgSz w:w="11906" w:h="16838"/>
          <w:pgMar w:top="1191" w:right="1043" w:bottom="1191" w:left="1043" w:header="720" w:footer="720" w:gutter="0"/>
          <w:cols w:space="720" w:num="1"/>
          <w:titlePg/>
          <w:docGrid w:linePitch="326" w:charSpace="0"/>
        </w:sectPr>
      </w:pPr>
    </w:p>
    <w:p w14:paraId="30F4A241">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585" w:name="_Toc25013"/>
      <w:bookmarkStart w:id="586" w:name="_Toc140596930"/>
      <w:bookmarkStart w:id="587" w:name="_Toc142508371"/>
      <w:bookmarkStart w:id="588" w:name="_Toc27861"/>
      <w:bookmarkStart w:id="589" w:name="_Toc7756"/>
      <w:bookmarkStart w:id="590" w:name="_Toc102860076"/>
      <w:bookmarkStart w:id="591" w:name="_Toc94107211"/>
      <w:bookmarkStart w:id="592" w:name="_Toc102860420"/>
      <w:bookmarkStart w:id="593" w:name="_Toc104991877"/>
      <w:bookmarkStart w:id="594" w:name="_Toc26494"/>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85"/>
      <w:bookmarkEnd w:id="586"/>
      <w:bookmarkEnd w:id="587"/>
      <w:bookmarkEnd w:id="588"/>
      <w:bookmarkEnd w:id="589"/>
      <w:bookmarkEnd w:id="590"/>
      <w:bookmarkEnd w:id="591"/>
      <w:bookmarkEnd w:id="592"/>
      <w:bookmarkEnd w:id="593"/>
      <w:bookmarkEnd w:id="594"/>
    </w:p>
    <w:p w14:paraId="6203BFFC">
      <w:pPr>
        <w:tabs>
          <w:tab w:val="left" w:pos="567"/>
        </w:tabs>
        <w:autoSpaceDE w:val="0"/>
        <w:autoSpaceDN w:val="0"/>
        <w:adjustRightInd w:val="0"/>
        <w:spacing w:line="360" w:lineRule="auto"/>
        <w:jc w:val="left"/>
        <w:outlineLvl w:val="2"/>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595" w:name="_Toc142508372"/>
      <w:bookmarkStart w:id="596" w:name="_Toc9132"/>
      <w:bookmarkStart w:id="597" w:name="_Toc104991878"/>
      <w:bookmarkStart w:id="598" w:name="_Toc102860077"/>
      <w:bookmarkStart w:id="599" w:name="_Toc94107212"/>
      <w:bookmarkStart w:id="600" w:name="_Toc21341"/>
      <w:bookmarkStart w:id="601" w:name="_Toc140596931"/>
      <w:bookmarkStart w:id="602" w:name="_Toc17499"/>
      <w:bookmarkStart w:id="603" w:name="_Toc7441"/>
      <w:bookmarkStart w:id="604" w:name="_Toc10286042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95"/>
      <w:bookmarkEnd w:id="596"/>
      <w:bookmarkEnd w:id="597"/>
      <w:bookmarkEnd w:id="598"/>
      <w:bookmarkEnd w:id="599"/>
      <w:bookmarkEnd w:id="600"/>
      <w:bookmarkEnd w:id="601"/>
      <w:bookmarkEnd w:id="602"/>
      <w:bookmarkEnd w:id="603"/>
      <w:bookmarkEnd w:id="604"/>
    </w:p>
    <w:p w14:paraId="06891E98">
      <w:pPr>
        <w:spacing w:before="120" w:after="120" w:line="360" w:lineRule="auto"/>
        <w:ind w:firstLine="426" w:firstLineChars="20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71"/>
      <w:bookmarkEnd w:id="572"/>
      <w:bookmarkEnd w:id="573"/>
      <w:bookmarkEnd w:id="584"/>
    </w:p>
    <w:p w14:paraId="1515199D">
      <w:pPr>
        <w:spacing w:before="120" w:after="120" w:line="360" w:lineRule="auto"/>
        <w:ind w:firstLine="608" w:firstLineChars="202"/>
        <w:jc w:val="center"/>
        <w:rPr>
          <w:rFonts w:hint="eastAsia" w:ascii="宋体" w:hAnsi="宋体" w:eastAsia="宋体" w:cs="宋体"/>
          <w:b/>
          <w:color w:val="auto"/>
          <w:sz w:val="30"/>
          <w:szCs w:val="30"/>
          <w:highlight w:val="none"/>
        </w:rPr>
      </w:pPr>
    </w:p>
    <w:p w14:paraId="60BCA3C8">
      <w:pPr>
        <w:spacing w:before="120" w:after="120" w:line="360" w:lineRule="auto"/>
        <w:ind w:firstLine="608" w:firstLineChars="202"/>
        <w:jc w:val="center"/>
        <w:rPr>
          <w:rFonts w:hint="eastAsia" w:ascii="宋体" w:hAnsi="宋体" w:eastAsia="宋体" w:cs="宋体"/>
          <w:b/>
          <w:bCs/>
          <w:color w:val="auto"/>
          <w:sz w:val="30"/>
          <w:szCs w:val="30"/>
          <w:highlight w:val="none"/>
        </w:rPr>
      </w:pPr>
      <w:bookmarkStart w:id="605" w:name="_Toc11033_WPSOffice_Level3"/>
      <w:r>
        <w:rPr>
          <w:rFonts w:hint="eastAsia" w:ascii="宋体" w:hAnsi="宋体" w:eastAsia="宋体" w:cs="宋体"/>
          <w:b/>
          <w:color w:val="auto"/>
          <w:sz w:val="30"/>
          <w:szCs w:val="30"/>
          <w:highlight w:val="none"/>
        </w:rPr>
        <w:t>法定代</w:t>
      </w:r>
      <w:bookmarkStart w:id="606" w:name="_Toc45995270"/>
      <w:bookmarkStart w:id="607" w:name="_Toc36971359"/>
      <w:r>
        <w:rPr>
          <w:rFonts w:hint="eastAsia" w:ascii="宋体" w:hAnsi="宋体" w:eastAsia="宋体" w:cs="宋体"/>
          <w:b/>
          <w:color w:val="auto"/>
          <w:sz w:val="30"/>
          <w:szCs w:val="30"/>
          <w:highlight w:val="none"/>
        </w:rPr>
        <w:t>表人身份证明书</w:t>
      </w:r>
      <w:bookmarkEnd w:id="605"/>
    </w:p>
    <w:bookmarkEnd w:id="606"/>
    <w:bookmarkEnd w:id="607"/>
    <w:p w14:paraId="5B8F88CE">
      <w:pPr>
        <w:spacing w:before="120" w:after="12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3AB801A6">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7CB581F1">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1EF5A8E5">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2D0565D2">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651E04BE">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6D85A81F">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661C394">
      <w:pPr>
        <w:spacing w:before="120" w:after="120" w:line="360" w:lineRule="auto"/>
        <w:ind w:left="340" w:leftChars="162" w:firstLine="474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18AF3F3A">
      <w:pPr>
        <w:autoSpaceDE w:val="0"/>
        <w:autoSpaceDN w:val="0"/>
        <w:adjustRightInd w:val="0"/>
        <w:spacing w:line="360" w:lineRule="auto"/>
        <w:ind w:right="1010" w:rightChars="481" w:firstLine="6090" w:firstLineChars="2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1BC8F59B">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F75A9A9"/>
                          <w:p w14:paraId="089684A9"/>
                          <w:p w14:paraId="62114CFE"/>
                          <w:p w14:paraId="01ED1A93"/>
                          <w:p w14:paraId="2F7F4F86">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F75A9A9"/>
                    <w:p w14:paraId="089684A9"/>
                    <w:p w14:paraId="62114CFE"/>
                    <w:p w14:paraId="01ED1A93"/>
                    <w:p w14:paraId="2F7F4F86">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EBB59B6"/>
                          <w:p w14:paraId="22DD770C"/>
                          <w:p w14:paraId="43D41BC6"/>
                          <w:p w14:paraId="1782B011"/>
                          <w:p w14:paraId="41A911C8">
                            <w:pPr>
                              <w:jc w:val="center"/>
                              <w:rPr>
                                <w:szCs w:val="21"/>
                              </w:rPr>
                            </w:pPr>
                            <w:r>
                              <w:rPr>
                                <w:rFonts w:hint="eastAsia"/>
                                <w:szCs w:val="21"/>
                              </w:rPr>
                              <w:t>法定代表人身份证反面</w:t>
                            </w:r>
                          </w:p>
                          <w:p w14:paraId="0A10AD98">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3EBB59B6"/>
                    <w:p w14:paraId="22DD770C"/>
                    <w:p w14:paraId="43D41BC6"/>
                    <w:p w14:paraId="1782B011"/>
                    <w:p w14:paraId="41A911C8">
                      <w:pPr>
                        <w:jc w:val="center"/>
                        <w:rPr>
                          <w:szCs w:val="21"/>
                        </w:rPr>
                      </w:pPr>
                      <w:r>
                        <w:rPr>
                          <w:rFonts w:hint="eastAsia"/>
                          <w:szCs w:val="21"/>
                        </w:rPr>
                        <w:t>法定代表人身份证反面</w:t>
                      </w:r>
                    </w:p>
                    <w:p w14:paraId="0A10AD98">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124CCD8"/>
                          <w:p w14:paraId="22F9C6A9"/>
                          <w:p w14:paraId="16645BCC"/>
                          <w:p w14:paraId="3A78F66B"/>
                          <w:p w14:paraId="54364F8F">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124CCD8"/>
                    <w:p w14:paraId="22F9C6A9"/>
                    <w:p w14:paraId="16645BCC"/>
                    <w:p w14:paraId="3A78F66B"/>
                    <w:p w14:paraId="54364F8F">
                      <w:pPr>
                        <w:jc w:val="center"/>
                      </w:pPr>
                      <w:r>
                        <w:rPr>
                          <w:rFonts w:hint="eastAsia"/>
                        </w:rPr>
                        <w:t>身份证正面</w:t>
                      </w:r>
                    </w:p>
                  </w:txbxContent>
                </v:textbox>
              </v:shape>
            </w:pict>
          </mc:Fallback>
        </mc:AlternateContent>
      </w:r>
    </w:p>
    <w:p w14:paraId="06DBA4DE">
      <w:pPr>
        <w:autoSpaceDE w:val="0"/>
        <w:autoSpaceDN w:val="0"/>
        <w:adjustRightInd w:val="0"/>
        <w:jc w:val="left"/>
        <w:rPr>
          <w:rFonts w:hint="eastAsia" w:ascii="宋体" w:hAnsi="宋体" w:eastAsia="宋体" w:cs="宋体"/>
          <w:color w:val="auto"/>
          <w:kern w:val="0"/>
          <w:sz w:val="24"/>
          <w:szCs w:val="24"/>
          <w:highlight w:val="none"/>
        </w:rPr>
      </w:pPr>
    </w:p>
    <w:p w14:paraId="6CD26E2B">
      <w:pPr>
        <w:autoSpaceDE w:val="0"/>
        <w:autoSpaceDN w:val="0"/>
        <w:adjustRightInd w:val="0"/>
        <w:jc w:val="left"/>
        <w:rPr>
          <w:rFonts w:hint="eastAsia" w:ascii="宋体" w:hAnsi="宋体" w:eastAsia="宋体" w:cs="宋体"/>
          <w:color w:val="auto"/>
          <w:kern w:val="0"/>
          <w:sz w:val="24"/>
          <w:szCs w:val="24"/>
          <w:highlight w:val="none"/>
        </w:rPr>
      </w:pPr>
    </w:p>
    <w:p w14:paraId="3D24ACCE">
      <w:pPr>
        <w:autoSpaceDE w:val="0"/>
        <w:autoSpaceDN w:val="0"/>
        <w:adjustRightInd w:val="0"/>
        <w:jc w:val="left"/>
        <w:rPr>
          <w:rFonts w:hint="eastAsia" w:ascii="宋体" w:hAnsi="宋体" w:eastAsia="宋体" w:cs="宋体"/>
          <w:color w:val="auto"/>
          <w:kern w:val="0"/>
          <w:sz w:val="24"/>
          <w:szCs w:val="24"/>
          <w:highlight w:val="none"/>
        </w:rPr>
      </w:pPr>
    </w:p>
    <w:p w14:paraId="4FB95719">
      <w:pPr>
        <w:autoSpaceDE w:val="0"/>
        <w:autoSpaceDN w:val="0"/>
        <w:adjustRightInd w:val="0"/>
        <w:jc w:val="left"/>
        <w:rPr>
          <w:rFonts w:hint="eastAsia" w:ascii="宋体" w:hAnsi="宋体" w:eastAsia="宋体" w:cs="宋体"/>
          <w:color w:val="auto"/>
          <w:kern w:val="0"/>
          <w:sz w:val="24"/>
          <w:szCs w:val="24"/>
          <w:highlight w:val="none"/>
        </w:rPr>
      </w:pPr>
    </w:p>
    <w:p w14:paraId="1FBB08E4">
      <w:pPr>
        <w:autoSpaceDE w:val="0"/>
        <w:autoSpaceDN w:val="0"/>
        <w:adjustRightInd w:val="0"/>
        <w:jc w:val="left"/>
        <w:rPr>
          <w:rFonts w:hint="eastAsia" w:ascii="宋体" w:hAnsi="宋体" w:eastAsia="宋体" w:cs="宋体"/>
          <w:color w:val="auto"/>
          <w:kern w:val="0"/>
          <w:sz w:val="24"/>
          <w:szCs w:val="24"/>
          <w:highlight w:val="none"/>
        </w:rPr>
      </w:pPr>
    </w:p>
    <w:p w14:paraId="3586F677">
      <w:pPr>
        <w:autoSpaceDE w:val="0"/>
        <w:autoSpaceDN w:val="0"/>
        <w:adjustRightInd w:val="0"/>
        <w:jc w:val="left"/>
        <w:rPr>
          <w:rFonts w:hint="eastAsia" w:ascii="宋体" w:hAnsi="宋体" w:eastAsia="宋体" w:cs="宋体"/>
          <w:color w:val="auto"/>
          <w:kern w:val="0"/>
          <w:sz w:val="24"/>
          <w:szCs w:val="24"/>
          <w:highlight w:val="none"/>
        </w:rPr>
      </w:pPr>
    </w:p>
    <w:p w14:paraId="29BF43CA">
      <w:pPr>
        <w:autoSpaceDE w:val="0"/>
        <w:autoSpaceDN w:val="0"/>
        <w:adjustRightInd w:val="0"/>
        <w:jc w:val="left"/>
        <w:rPr>
          <w:rFonts w:hint="eastAsia" w:ascii="宋体" w:hAnsi="宋体" w:eastAsia="宋体" w:cs="宋体"/>
          <w:color w:val="auto"/>
          <w:kern w:val="0"/>
          <w:sz w:val="24"/>
          <w:szCs w:val="24"/>
          <w:highlight w:val="none"/>
        </w:rPr>
      </w:pPr>
    </w:p>
    <w:p w14:paraId="02E8E5C3">
      <w:pPr>
        <w:autoSpaceDE w:val="0"/>
        <w:autoSpaceDN w:val="0"/>
        <w:adjustRightInd w:val="0"/>
        <w:jc w:val="left"/>
        <w:rPr>
          <w:rFonts w:hint="eastAsia" w:ascii="宋体" w:hAnsi="宋体" w:eastAsia="宋体" w:cs="宋体"/>
          <w:color w:val="auto"/>
          <w:kern w:val="0"/>
          <w:sz w:val="24"/>
          <w:szCs w:val="24"/>
          <w:highlight w:val="none"/>
        </w:rPr>
      </w:pPr>
    </w:p>
    <w:p w14:paraId="57153BB1">
      <w:pPr>
        <w:autoSpaceDE w:val="0"/>
        <w:autoSpaceDN w:val="0"/>
        <w:adjustRightInd w:val="0"/>
        <w:jc w:val="left"/>
        <w:rPr>
          <w:rFonts w:hint="eastAsia" w:ascii="宋体" w:hAnsi="宋体" w:eastAsia="宋体" w:cs="宋体"/>
          <w:color w:val="auto"/>
          <w:kern w:val="0"/>
          <w:sz w:val="24"/>
          <w:szCs w:val="24"/>
          <w:highlight w:val="none"/>
        </w:rPr>
      </w:pPr>
    </w:p>
    <w:p w14:paraId="45D8DF6B">
      <w:pPr>
        <w:autoSpaceDE w:val="0"/>
        <w:autoSpaceDN w:val="0"/>
        <w:adjustRightInd w:val="0"/>
        <w:jc w:val="left"/>
        <w:rPr>
          <w:rFonts w:hint="eastAsia" w:ascii="宋体" w:hAnsi="宋体" w:eastAsia="宋体" w:cs="宋体"/>
          <w:b/>
          <w:color w:val="auto"/>
          <w:kern w:val="0"/>
          <w:szCs w:val="21"/>
          <w:highlight w:val="none"/>
        </w:rPr>
      </w:pPr>
    </w:p>
    <w:p w14:paraId="200C41AE">
      <w:pPr>
        <w:autoSpaceDE w:val="0"/>
        <w:autoSpaceDN w:val="0"/>
        <w:adjustRightInd w:val="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143FAB20">
      <w:pPr>
        <w:autoSpaceDE w:val="0"/>
        <w:autoSpaceDN w:val="0"/>
        <w:adjustRightInd w:val="0"/>
        <w:jc w:val="left"/>
        <w:rPr>
          <w:rFonts w:hint="eastAsia" w:ascii="宋体" w:hAnsi="宋体" w:eastAsia="宋体" w:cs="宋体"/>
          <w:color w:val="auto"/>
          <w:kern w:val="0"/>
          <w:szCs w:val="21"/>
          <w:highlight w:val="none"/>
        </w:rPr>
      </w:pPr>
    </w:p>
    <w:p w14:paraId="36B3D99F">
      <w:pPr>
        <w:spacing w:before="120" w:after="120" w:line="360" w:lineRule="auto"/>
        <w:ind w:firstLine="424" w:firstLineChars="202"/>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29"/>
      <w:bookmarkEnd w:id="530"/>
      <w:bookmarkEnd w:id="531"/>
      <w:bookmarkStart w:id="608" w:name="_Toc1977727"/>
      <w:bookmarkStart w:id="609" w:name="_Toc533708125"/>
      <w:bookmarkStart w:id="610" w:name="_Toc6240_WPSOffice_Level2"/>
      <w:bookmarkStart w:id="611" w:name="_Toc486167713"/>
      <w:r>
        <w:rPr>
          <w:rFonts w:hint="eastAsia" w:ascii="宋体" w:hAnsi="宋体" w:eastAsia="宋体" w:cs="宋体"/>
          <w:b/>
          <w:color w:val="auto"/>
          <w:szCs w:val="24"/>
          <w:highlight w:val="none"/>
        </w:rPr>
        <w:t>（2）法定代表人授权书格式</w:t>
      </w:r>
      <w:bookmarkEnd w:id="608"/>
      <w:bookmarkEnd w:id="609"/>
      <w:bookmarkEnd w:id="610"/>
      <w:bookmarkEnd w:id="611"/>
    </w:p>
    <w:p w14:paraId="1F9C4BEB">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p>
    <w:p w14:paraId="2B7ED19F">
      <w:pPr>
        <w:autoSpaceDE w:val="0"/>
        <w:autoSpaceDN w:val="0"/>
        <w:adjustRightInd w:val="0"/>
        <w:spacing w:line="360" w:lineRule="auto"/>
        <w:jc w:val="center"/>
        <w:outlineLvl w:val="2"/>
        <w:rPr>
          <w:rFonts w:hint="eastAsia" w:ascii="宋体" w:hAnsi="宋体" w:eastAsia="宋体" w:cs="宋体"/>
          <w:b/>
          <w:bCs/>
          <w:color w:val="auto"/>
          <w:sz w:val="30"/>
          <w:szCs w:val="30"/>
          <w:highlight w:val="none"/>
          <w:lang w:val="zh-CN"/>
        </w:rPr>
      </w:pPr>
      <w:bookmarkStart w:id="612" w:name="_Toc29146_WPSOffice_Level3"/>
      <w:bookmarkStart w:id="613" w:name="_Toc27677"/>
      <w:r>
        <w:rPr>
          <w:rFonts w:hint="eastAsia" w:ascii="宋体" w:hAnsi="宋体" w:eastAsia="宋体" w:cs="宋体"/>
          <w:b/>
          <w:bCs/>
          <w:color w:val="auto"/>
          <w:sz w:val="30"/>
          <w:szCs w:val="30"/>
          <w:highlight w:val="none"/>
          <w:lang w:val="zh-CN"/>
        </w:rPr>
        <w:t>法定代表人授权书</w:t>
      </w:r>
      <w:bookmarkEnd w:id="612"/>
      <w:bookmarkEnd w:id="613"/>
    </w:p>
    <w:p w14:paraId="4970EFE2">
      <w:pPr>
        <w:autoSpaceDE w:val="0"/>
        <w:autoSpaceDN w:val="0"/>
        <w:adjustRightInd w:val="0"/>
        <w:spacing w:line="360" w:lineRule="auto"/>
        <w:jc w:val="center"/>
        <w:rPr>
          <w:rFonts w:hint="eastAsia" w:ascii="宋体" w:hAnsi="宋体" w:eastAsia="宋体" w:cs="宋体"/>
          <w:color w:val="auto"/>
          <w:szCs w:val="28"/>
          <w:highlight w:val="none"/>
          <w:lang w:val="zh-CN"/>
        </w:rPr>
      </w:pPr>
    </w:p>
    <w:p w14:paraId="107AE4A1">
      <w:pPr>
        <w:spacing w:before="120" w:after="120"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464179E3">
      <w:pPr>
        <w:spacing w:before="120" w:after="120"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东莞市水务集团供水有限公司2024-2025年造价咨询服务项目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YDZB24DGQY0144</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36B4D482">
      <w:pPr>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901A3CE">
      <w:pPr>
        <w:spacing w:before="120" w:after="120" w:line="360" w:lineRule="auto"/>
        <w:ind w:left="348" w:leftChars="136" w:hanging="62"/>
        <w:rPr>
          <w:rFonts w:hint="eastAsia" w:ascii="宋体" w:hAnsi="宋体" w:eastAsia="宋体" w:cs="宋体"/>
          <w:color w:val="auto"/>
          <w:szCs w:val="24"/>
          <w:highlight w:val="none"/>
        </w:rPr>
      </w:pPr>
    </w:p>
    <w:p w14:paraId="19BAAF71">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090D8C47">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16B7CBA4">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21C4A1A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A2362C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C6402BC">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20A95E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63D5278F">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306B7329">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220F38AD">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65C67B9"/>
                          <w:p w14:paraId="52A521BC"/>
                          <w:p w14:paraId="7A499651"/>
                          <w:p w14:paraId="4F1FE1E2"/>
                          <w:p w14:paraId="2080328D">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565C67B9"/>
                    <w:p w14:paraId="52A521BC"/>
                    <w:p w14:paraId="7A499651"/>
                    <w:p w14:paraId="4F1FE1E2"/>
                    <w:p w14:paraId="2080328D">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E353713"/>
                          <w:p w14:paraId="6BC75420"/>
                          <w:p w14:paraId="4711A4A6"/>
                          <w:p w14:paraId="3795A0AE"/>
                          <w:p w14:paraId="34D772C7">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E353713"/>
                    <w:p w14:paraId="6BC75420"/>
                    <w:p w14:paraId="4711A4A6"/>
                    <w:p w14:paraId="3795A0AE"/>
                    <w:p w14:paraId="34D772C7">
                      <w:pPr>
                        <w:jc w:val="center"/>
                        <w:rPr>
                          <w:rFonts w:hAnsi="宋体"/>
                        </w:rPr>
                      </w:pPr>
                      <w:r>
                        <w:rPr>
                          <w:rFonts w:hint="eastAsia" w:hAnsi="宋体"/>
                        </w:rPr>
                        <w:t>法定代表人身份证正面</w:t>
                      </w:r>
                    </w:p>
                  </w:txbxContent>
                </v:textbox>
              </v:shape>
            </w:pict>
          </mc:Fallback>
        </mc:AlternateContent>
      </w:r>
    </w:p>
    <w:p w14:paraId="5BE6468C">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21CA0232">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3C8CD048">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0D59ED9E">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524C2890">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161EE403">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792F0575">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0A5E09B7">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5720BA85">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BE6BCA6"/>
                          <w:p w14:paraId="4C0F08CB">
                            <w:pPr>
                              <w:jc w:val="center"/>
                              <w:rPr>
                                <w:rFonts w:hAnsi="宋体"/>
                                <w:color w:val="FF0000"/>
                              </w:rPr>
                            </w:pPr>
                          </w:p>
                          <w:p w14:paraId="4D29AA51">
                            <w:pPr>
                              <w:jc w:val="center"/>
                              <w:rPr>
                                <w:rFonts w:hAnsi="宋体"/>
                                <w:color w:val="FF0000"/>
                              </w:rPr>
                            </w:pPr>
                          </w:p>
                          <w:p w14:paraId="35BF0973">
                            <w:pPr>
                              <w:jc w:val="center"/>
                              <w:rPr>
                                <w:rFonts w:hAnsi="宋体"/>
                                <w:color w:val="FF0000"/>
                              </w:rPr>
                            </w:pPr>
                          </w:p>
                          <w:p w14:paraId="05FB5EEF">
                            <w:pPr>
                              <w:jc w:val="center"/>
                            </w:pPr>
                            <w:r>
                              <w:rPr>
                                <w:rFonts w:hint="eastAsia" w:hAnsi="宋体"/>
                              </w:rPr>
                              <w:t>被授权人身份证反面</w:t>
                            </w:r>
                          </w:p>
                          <w:p w14:paraId="1A679AA4"/>
                          <w:p w14:paraId="502C7A0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BE6BCA6"/>
                    <w:p w14:paraId="4C0F08CB">
                      <w:pPr>
                        <w:jc w:val="center"/>
                        <w:rPr>
                          <w:rFonts w:hAnsi="宋体"/>
                          <w:color w:val="FF0000"/>
                        </w:rPr>
                      </w:pPr>
                    </w:p>
                    <w:p w14:paraId="4D29AA51">
                      <w:pPr>
                        <w:jc w:val="center"/>
                        <w:rPr>
                          <w:rFonts w:hAnsi="宋体"/>
                          <w:color w:val="FF0000"/>
                        </w:rPr>
                      </w:pPr>
                    </w:p>
                    <w:p w14:paraId="35BF0973">
                      <w:pPr>
                        <w:jc w:val="center"/>
                        <w:rPr>
                          <w:rFonts w:hAnsi="宋体"/>
                          <w:color w:val="FF0000"/>
                        </w:rPr>
                      </w:pPr>
                    </w:p>
                    <w:p w14:paraId="05FB5EEF">
                      <w:pPr>
                        <w:jc w:val="center"/>
                      </w:pPr>
                      <w:r>
                        <w:rPr>
                          <w:rFonts w:hint="eastAsia" w:hAnsi="宋体"/>
                        </w:rPr>
                        <w:t>被授权人身份证反面</w:t>
                      </w:r>
                    </w:p>
                    <w:p w14:paraId="1A679AA4"/>
                    <w:p w14:paraId="502C7A00"/>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5D0AD51"/>
                          <w:p w14:paraId="6599B2AE">
                            <w:pPr>
                              <w:jc w:val="center"/>
                              <w:rPr>
                                <w:rFonts w:hAnsi="宋体"/>
                                <w:color w:val="FF0000"/>
                              </w:rPr>
                            </w:pPr>
                          </w:p>
                          <w:p w14:paraId="7062702C">
                            <w:pPr>
                              <w:jc w:val="center"/>
                              <w:rPr>
                                <w:rFonts w:hAnsi="宋体"/>
                                <w:color w:val="FF0000"/>
                              </w:rPr>
                            </w:pPr>
                          </w:p>
                          <w:p w14:paraId="01205586">
                            <w:pPr>
                              <w:jc w:val="center"/>
                              <w:rPr>
                                <w:rFonts w:hAnsi="宋体"/>
                                <w:color w:val="FF0000"/>
                              </w:rPr>
                            </w:pPr>
                          </w:p>
                          <w:p w14:paraId="71122DA3">
                            <w:pPr>
                              <w:jc w:val="center"/>
                            </w:pPr>
                            <w:r>
                              <w:rPr>
                                <w:rFonts w:hint="eastAsia" w:hAnsi="宋体"/>
                              </w:rPr>
                              <w:t>被授权人身份证正面</w:t>
                            </w:r>
                          </w:p>
                          <w:p w14:paraId="21A18043"/>
                          <w:p w14:paraId="0F7CA4A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5D0AD51"/>
                    <w:p w14:paraId="6599B2AE">
                      <w:pPr>
                        <w:jc w:val="center"/>
                        <w:rPr>
                          <w:rFonts w:hAnsi="宋体"/>
                          <w:color w:val="FF0000"/>
                        </w:rPr>
                      </w:pPr>
                    </w:p>
                    <w:p w14:paraId="7062702C">
                      <w:pPr>
                        <w:jc w:val="center"/>
                        <w:rPr>
                          <w:rFonts w:hAnsi="宋体"/>
                          <w:color w:val="FF0000"/>
                        </w:rPr>
                      </w:pPr>
                    </w:p>
                    <w:p w14:paraId="01205586">
                      <w:pPr>
                        <w:jc w:val="center"/>
                        <w:rPr>
                          <w:rFonts w:hAnsi="宋体"/>
                          <w:color w:val="FF0000"/>
                        </w:rPr>
                      </w:pPr>
                    </w:p>
                    <w:p w14:paraId="71122DA3">
                      <w:pPr>
                        <w:jc w:val="center"/>
                      </w:pPr>
                      <w:r>
                        <w:rPr>
                          <w:rFonts w:hint="eastAsia" w:hAnsi="宋体"/>
                        </w:rPr>
                        <w:t>被授权人身份证正面</w:t>
                      </w:r>
                    </w:p>
                    <w:p w14:paraId="21A18043"/>
                    <w:p w14:paraId="0F7CA4AB"/>
                  </w:txbxContent>
                </v:textbox>
              </v:shape>
            </w:pict>
          </mc:Fallback>
        </mc:AlternateContent>
      </w:r>
    </w:p>
    <w:p w14:paraId="339DB5E7">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0146C5EA">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65BCEAC8">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299ABCCE">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5E4E806C">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14:paraId="505C2787">
      <w:pPr>
        <w:widowControl/>
        <w:autoSpaceDE w:val="0"/>
        <w:autoSpaceDN w:val="0"/>
        <w:spacing w:before="120" w:after="120" w:line="360" w:lineRule="auto"/>
        <w:ind w:right="781" w:rightChars="372" w:firstLine="422" w:firstLineChars="200"/>
        <w:textAlignment w:val="bottom"/>
        <w:rPr>
          <w:rFonts w:hint="eastAsia" w:ascii="宋体" w:hAnsi="宋体" w:eastAsia="宋体" w:cs="宋体"/>
          <w:b/>
          <w:color w:val="auto"/>
          <w:szCs w:val="24"/>
          <w:highlight w:val="none"/>
        </w:rPr>
        <w:sectPr>
          <w:footerReference r:id="rId6" w:type="first"/>
          <w:footerReference r:id="rId5" w:type="default"/>
          <w:pgSz w:w="11906" w:h="16838"/>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75D8461E">
      <w:pPr>
        <w:pStyle w:val="4"/>
        <w:pageBreakBefore/>
        <w:spacing w:line="360" w:lineRule="auto"/>
        <w:rPr>
          <w:rFonts w:hint="eastAsia" w:ascii="宋体" w:hAnsi="宋体" w:eastAsia="宋体" w:cs="宋体"/>
          <w:b/>
          <w:color w:val="auto"/>
          <w:sz w:val="30"/>
          <w:szCs w:val="30"/>
          <w:highlight w:val="none"/>
          <w:lang w:val="zh-CN" w:eastAsia="zh-CN"/>
        </w:rPr>
      </w:pPr>
      <w:bookmarkStart w:id="614" w:name="_Toc12400"/>
      <w:bookmarkStart w:id="615" w:name="_Toc9266"/>
      <w:bookmarkStart w:id="616" w:name="_Toc32328"/>
      <w:bookmarkStart w:id="617" w:name="_Toc15716"/>
      <w:bookmarkStart w:id="618" w:name="_Toc140596933"/>
      <w:bookmarkStart w:id="619" w:name="_Toc1977730"/>
      <w:bookmarkStart w:id="620" w:name="_Toc104991880"/>
      <w:bookmarkStart w:id="621" w:name="_Toc142508373"/>
      <w:bookmarkStart w:id="622" w:name="_Toc94107214"/>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2021年1月1日以来具有一份造价咨询概算编审业绩和一份造价咨询预算(或招标控制价)编审业绩和一份造价咨询结算编审业绩（或同一合同内同时包括造价咨询概、预(或招标控制价)、结算编审业绩）（合同签订日期为2021年1月1日或以后）</w:t>
      </w:r>
      <w:bookmarkEnd w:id="614"/>
      <w:bookmarkEnd w:id="615"/>
      <w:bookmarkEnd w:id="616"/>
      <w:bookmarkEnd w:id="617"/>
      <w:r>
        <w:rPr>
          <w:rFonts w:hint="eastAsia" w:ascii="宋体" w:hAnsi="宋体" w:eastAsia="宋体" w:cs="宋体"/>
          <w:b/>
          <w:bCs/>
          <w:color w:val="auto"/>
          <w:sz w:val="32"/>
          <w:szCs w:val="32"/>
          <w:highlight w:val="none"/>
          <w:lang w:eastAsia="zh-CN"/>
        </w:rPr>
        <w:t>】</w:t>
      </w:r>
    </w:p>
    <w:p w14:paraId="4B7BA345">
      <w:pPr>
        <w:spacing w:line="360" w:lineRule="auto"/>
        <w:rPr>
          <w:rFonts w:hint="eastAsia" w:ascii="宋体" w:hAnsi="宋体" w:eastAsia="宋体" w:cs="宋体"/>
          <w:b/>
          <w:color w:val="auto"/>
          <w:szCs w:val="21"/>
          <w:highlight w:val="none"/>
          <w:lang w:val="zh-CN"/>
        </w:rPr>
      </w:pP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20"/>
        <w:gridCol w:w="1187"/>
        <w:gridCol w:w="1280"/>
        <w:gridCol w:w="2318"/>
        <w:gridCol w:w="844"/>
        <w:gridCol w:w="873"/>
        <w:gridCol w:w="1118"/>
        <w:gridCol w:w="686"/>
      </w:tblGrid>
      <w:tr w14:paraId="00F9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30" w:hRule="exact"/>
          <w:jc w:val="center"/>
        </w:trPr>
        <w:tc>
          <w:tcPr>
            <w:tcW w:w="449" w:type="pct"/>
            <w:noWrap w:val="0"/>
            <w:vAlign w:val="center"/>
          </w:tcPr>
          <w:p w14:paraId="199373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序号</w:t>
            </w:r>
          </w:p>
        </w:tc>
        <w:tc>
          <w:tcPr>
            <w:tcW w:w="650" w:type="pct"/>
            <w:noWrap w:val="0"/>
            <w:vAlign w:val="center"/>
          </w:tcPr>
          <w:p w14:paraId="042A548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1" w:type="pct"/>
            <w:noWrap w:val="0"/>
            <w:vAlign w:val="center"/>
          </w:tcPr>
          <w:p w14:paraId="7017C90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业主方名称</w:t>
            </w:r>
          </w:p>
        </w:tc>
        <w:tc>
          <w:tcPr>
            <w:tcW w:w="1269" w:type="pct"/>
            <w:noWrap w:val="0"/>
            <w:vAlign w:val="center"/>
          </w:tcPr>
          <w:p w14:paraId="75F897A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合同类型</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概/预(或招标控制价)/结算编审</w:t>
            </w:r>
            <w:r>
              <w:rPr>
                <w:rFonts w:hint="eastAsia" w:ascii="宋体" w:hAnsi="宋体" w:eastAsia="宋体" w:cs="宋体"/>
                <w:color w:val="auto"/>
                <w:szCs w:val="21"/>
                <w:highlight w:val="none"/>
                <w:lang w:eastAsia="zh-CN"/>
              </w:rPr>
              <w:t>】</w:t>
            </w:r>
          </w:p>
        </w:tc>
        <w:tc>
          <w:tcPr>
            <w:tcW w:w="462" w:type="pct"/>
            <w:noWrap w:val="0"/>
            <w:vAlign w:val="center"/>
          </w:tcPr>
          <w:p w14:paraId="5E8E076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478" w:type="pct"/>
            <w:noWrap w:val="0"/>
            <w:vAlign w:val="center"/>
          </w:tcPr>
          <w:p w14:paraId="74391FE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服务完成情况</w:t>
            </w:r>
          </w:p>
        </w:tc>
        <w:tc>
          <w:tcPr>
            <w:tcW w:w="612" w:type="pct"/>
            <w:noWrap w:val="0"/>
            <w:vAlign w:val="center"/>
          </w:tcPr>
          <w:p w14:paraId="3F3F82C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业主联系人及电话</w:t>
            </w:r>
          </w:p>
        </w:tc>
        <w:tc>
          <w:tcPr>
            <w:tcW w:w="375" w:type="pct"/>
            <w:noWrap w:val="0"/>
            <w:vAlign w:val="center"/>
          </w:tcPr>
          <w:p w14:paraId="4AFBC9A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84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49" w:type="pct"/>
            <w:noWrap w:val="0"/>
            <w:vAlign w:val="center"/>
          </w:tcPr>
          <w:p w14:paraId="5AD524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0" w:type="pct"/>
            <w:noWrap w:val="0"/>
            <w:vAlign w:val="center"/>
          </w:tcPr>
          <w:p w14:paraId="132F47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1" w:type="pct"/>
            <w:noWrap w:val="0"/>
            <w:vAlign w:val="center"/>
          </w:tcPr>
          <w:p w14:paraId="7A344C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69" w:type="pct"/>
            <w:noWrap w:val="0"/>
            <w:vAlign w:val="center"/>
          </w:tcPr>
          <w:p w14:paraId="4F4BD9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2" w:type="pct"/>
            <w:noWrap w:val="0"/>
            <w:vAlign w:val="center"/>
          </w:tcPr>
          <w:p w14:paraId="557EF1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8" w:type="pct"/>
            <w:noWrap w:val="0"/>
            <w:vAlign w:val="top"/>
          </w:tcPr>
          <w:p w14:paraId="02023B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12" w:type="pct"/>
            <w:noWrap w:val="0"/>
            <w:vAlign w:val="center"/>
          </w:tcPr>
          <w:p w14:paraId="77F423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5" w:type="pct"/>
            <w:noWrap w:val="0"/>
            <w:vAlign w:val="center"/>
          </w:tcPr>
          <w:p w14:paraId="04373E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AE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49" w:type="pct"/>
            <w:noWrap w:val="0"/>
            <w:vAlign w:val="center"/>
          </w:tcPr>
          <w:p w14:paraId="6D2A35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50" w:type="pct"/>
            <w:noWrap w:val="0"/>
            <w:vAlign w:val="center"/>
          </w:tcPr>
          <w:p w14:paraId="481E7F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1" w:type="pct"/>
            <w:noWrap w:val="0"/>
            <w:vAlign w:val="center"/>
          </w:tcPr>
          <w:p w14:paraId="7E9BC0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69" w:type="pct"/>
            <w:noWrap w:val="0"/>
            <w:vAlign w:val="center"/>
          </w:tcPr>
          <w:p w14:paraId="279D7E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2" w:type="pct"/>
            <w:noWrap w:val="0"/>
            <w:vAlign w:val="center"/>
          </w:tcPr>
          <w:p w14:paraId="6B6C9D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8" w:type="pct"/>
            <w:noWrap w:val="0"/>
            <w:vAlign w:val="top"/>
          </w:tcPr>
          <w:p w14:paraId="0C6E67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12" w:type="pct"/>
            <w:noWrap w:val="0"/>
            <w:vAlign w:val="center"/>
          </w:tcPr>
          <w:p w14:paraId="25E508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5" w:type="pct"/>
            <w:noWrap w:val="0"/>
            <w:vAlign w:val="center"/>
          </w:tcPr>
          <w:p w14:paraId="00E3E9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72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49" w:type="pct"/>
            <w:noWrap w:val="0"/>
            <w:vAlign w:val="center"/>
          </w:tcPr>
          <w:p w14:paraId="02C233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50" w:type="pct"/>
            <w:noWrap w:val="0"/>
            <w:vAlign w:val="center"/>
          </w:tcPr>
          <w:p w14:paraId="681F29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1" w:type="pct"/>
            <w:noWrap w:val="0"/>
            <w:vAlign w:val="center"/>
          </w:tcPr>
          <w:p w14:paraId="6D2707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69" w:type="pct"/>
            <w:noWrap w:val="0"/>
            <w:vAlign w:val="center"/>
          </w:tcPr>
          <w:p w14:paraId="713660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2" w:type="pct"/>
            <w:noWrap w:val="0"/>
            <w:vAlign w:val="center"/>
          </w:tcPr>
          <w:p w14:paraId="2E6A35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8" w:type="pct"/>
            <w:noWrap w:val="0"/>
            <w:vAlign w:val="top"/>
          </w:tcPr>
          <w:p w14:paraId="4B6DA3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12" w:type="pct"/>
            <w:noWrap w:val="0"/>
            <w:vAlign w:val="center"/>
          </w:tcPr>
          <w:p w14:paraId="29166A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5" w:type="pct"/>
            <w:noWrap w:val="0"/>
            <w:vAlign w:val="center"/>
          </w:tcPr>
          <w:p w14:paraId="6FF2A9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B0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49" w:type="pct"/>
            <w:noWrap w:val="0"/>
            <w:vAlign w:val="center"/>
          </w:tcPr>
          <w:p w14:paraId="3F8551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650" w:type="pct"/>
            <w:noWrap w:val="0"/>
            <w:vAlign w:val="center"/>
          </w:tcPr>
          <w:p w14:paraId="391582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1" w:type="pct"/>
            <w:noWrap w:val="0"/>
            <w:vAlign w:val="center"/>
          </w:tcPr>
          <w:p w14:paraId="037475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69" w:type="pct"/>
            <w:noWrap w:val="0"/>
            <w:vAlign w:val="center"/>
          </w:tcPr>
          <w:p w14:paraId="67FE0F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2" w:type="pct"/>
            <w:noWrap w:val="0"/>
            <w:vAlign w:val="center"/>
          </w:tcPr>
          <w:p w14:paraId="258BA7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8" w:type="pct"/>
            <w:noWrap w:val="0"/>
            <w:vAlign w:val="top"/>
          </w:tcPr>
          <w:p w14:paraId="07763E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12" w:type="pct"/>
            <w:noWrap w:val="0"/>
            <w:vAlign w:val="center"/>
          </w:tcPr>
          <w:p w14:paraId="2D9EF9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5" w:type="pct"/>
            <w:noWrap w:val="0"/>
            <w:vAlign w:val="center"/>
          </w:tcPr>
          <w:p w14:paraId="79737B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09079519">
      <w:pPr>
        <w:spacing w:line="360" w:lineRule="auto"/>
        <w:ind w:left="424" w:hanging="424" w:hangingChars="201"/>
        <w:rPr>
          <w:rFonts w:hint="eastAsia" w:ascii="宋体" w:hAnsi="宋体" w:eastAsia="宋体" w:cs="宋体"/>
          <w:b/>
          <w:color w:val="auto"/>
          <w:szCs w:val="21"/>
          <w:highlight w:val="none"/>
          <w:lang w:val="zh-CN"/>
        </w:rPr>
      </w:pPr>
    </w:p>
    <w:p w14:paraId="6716B735">
      <w:pPr>
        <w:spacing w:line="360" w:lineRule="auto"/>
        <w:ind w:left="424" w:hanging="424" w:hangingChars="20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6F0F6C0B">
      <w:pPr>
        <w:spacing w:line="360" w:lineRule="auto"/>
        <w:ind w:left="422" w:hanging="422" w:hangingChars="20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3783B30C">
      <w:pPr>
        <w:spacing w:line="360" w:lineRule="auto"/>
        <w:ind w:left="422" w:hanging="422" w:hangingChars="20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b/>
          <w:bCs/>
          <w:color w:val="auto"/>
          <w:sz w:val="21"/>
          <w:szCs w:val="21"/>
          <w:highlight w:val="none"/>
          <w:lang w:val="zh-CN"/>
        </w:rPr>
        <w:t>业绩须附合同及项目的相关成果文件关键页复印件加盖投标人公章</w:t>
      </w:r>
      <w:r>
        <w:rPr>
          <w:rFonts w:hint="eastAsia" w:ascii="宋体" w:hAnsi="宋体" w:eastAsia="宋体" w:cs="宋体"/>
          <w:color w:val="auto"/>
          <w:szCs w:val="21"/>
          <w:highlight w:val="none"/>
          <w:lang w:val="zh-CN"/>
        </w:rPr>
        <w:t>；</w:t>
      </w:r>
    </w:p>
    <w:p w14:paraId="12510D4B">
      <w:pPr>
        <w:spacing w:line="360" w:lineRule="auto"/>
        <w:ind w:left="422" w:hanging="422" w:hangingChars="201"/>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宋体"/>
          <w:b/>
          <w:color w:val="auto"/>
          <w:sz w:val="21"/>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color w:val="auto"/>
          <w:sz w:val="21"/>
          <w:szCs w:val="21"/>
          <w:highlight w:val="none"/>
        </w:rPr>
        <w:t>条件[合同签订日期为202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年1月1日或以后，合同标的必须为概</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预(或招标控制价)</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结算编审业绩]</w:t>
      </w:r>
      <w:r>
        <w:rPr>
          <w:rFonts w:hint="eastAsia" w:ascii="宋体" w:hAnsi="宋体" w:eastAsia="宋体" w:cs="宋体"/>
          <w:b/>
          <w:color w:val="auto"/>
          <w:sz w:val="21"/>
          <w:szCs w:val="21"/>
          <w:highlight w:val="none"/>
          <w:lang w:val="en-US"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出具的书面补充情况说明文件复印件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补充情况说明文件复印件能显示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w:t>
      </w:r>
    </w:p>
    <w:p w14:paraId="31D3F805">
      <w:pPr>
        <w:tabs>
          <w:tab w:val="left" w:pos="567"/>
        </w:tabs>
        <w:autoSpaceDE w:val="0"/>
        <w:autoSpaceDN w:val="0"/>
        <w:adjustRightInd w:val="0"/>
        <w:spacing w:line="360" w:lineRule="auto"/>
        <w:ind w:left="422" w:hanging="422" w:hangingChars="200"/>
        <w:jc w:val="left"/>
        <w:outlineLvl w:val="2"/>
        <w:rPr>
          <w:rFonts w:hint="eastAsia" w:ascii="宋体" w:hAnsi="宋体" w:eastAsia="宋体" w:cs="宋体"/>
          <w:b/>
          <w:color w:val="auto"/>
          <w:kern w:val="0"/>
          <w:sz w:val="30"/>
          <w:szCs w:val="30"/>
          <w:highlight w:val="none"/>
        </w:rPr>
      </w:pPr>
      <w:bookmarkStart w:id="623" w:name="_Toc20010"/>
      <w:bookmarkStart w:id="624" w:name="_Toc24862"/>
      <w:bookmarkStart w:id="625" w:name="_Toc12931"/>
      <w:bookmarkStart w:id="626" w:name="_Toc28331"/>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623"/>
      <w:bookmarkEnd w:id="624"/>
      <w:bookmarkEnd w:id="625"/>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26"/>
    </w:p>
    <w:p w14:paraId="13E2614D">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0B076D40">
      <w:pPr>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val="zh-CN"/>
        </w:rPr>
      </w:pPr>
      <w:bookmarkStart w:id="627" w:name="_Toc2568"/>
      <w:bookmarkStart w:id="628" w:name="_Toc8121"/>
      <w:bookmarkStart w:id="629" w:name="_Toc21843"/>
      <w:bookmarkStart w:id="630" w:name="_Toc7508"/>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618"/>
      <w:bookmarkEnd w:id="619"/>
      <w:bookmarkEnd w:id="620"/>
      <w:bookmarkEnd w:id="621"/>
      <w:bookmarkEnd w:id="622"/>
      <w:bookmarkEnd w:id="627"/>
      <w:bookmarkEnd w:id="628"/>
      <w:bookmarkEnd w:id="629"/>
      <w:bookmarkEnd w:id="630"/>
    </w:p>
    <w:p w14:paraId="58C0CCF8">
      <w:pPr>
        <w:autoSpaceDE w:val="0"/>
        <w:autoSpaceDN w:val="0"/>
        <w:adjustRightInd w:val="0"/>
        <w:spacing w:line="360" w:lineRule="auto"/>
        <w:jc w:val="center"/>
        <w:outlineLvl w:val="1"/>
        <w:rPr>
          <w:rFonts w:hint="eastAsia" w:ascii="宋体" w:hAnsi="宋体" w:eastAsia="宋体" w:cs="宋体"/>
          <w:color w:val="auto"/>
          <w:kern w:val="0"/>
          <w:sz w:val="24"/>
          <w:szCs w:val="24"/>
          <w:highlight w:val="none"/>
        </w:rPr>
      </w:pPr>
      <w:bookmarkStart w:id="631" w:name="_Toc3785"/>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bookmarkEnd w:id="631"/>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288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4253" w:type="dxa"/>
            <w:vAlign w:val="center"/>
          </w:tcPr>
          <w:p w14:paraId="6DDEF38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614AA5B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4827B0F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7C64A6D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C7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C81B86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26BBEA8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268" w:type="dxa"/>
            <w:vAlign w:val="center"/>
          </w:tcPr>
          <w:p w14:paraId="01BB47D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276" w:type="dxa"/>
            <w:vAlign w:val="center"/>
          </w:tcPr>
          <w:p w14:paraId="5EF37E1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14:paraId="7526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4253" w:type="dxa"/>
            <w:vAlign w:val="center"/>
          </w:tcPr>
          <w:p w14:paraId="6C26F9B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464C8EF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268" w:type="dxa"/>
            <w:vAlign w:val="center"/>
          </w:tcPr>
          <w:p w14:paraId="42D3A10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276" w:type="dxa"/>
            <w:vAlign w:val="center"/>
          </w:tcPr>
          <w:p w14:paraId="390908E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14:paraId="2A50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4642D8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13DCEBC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268" w:type="dxa"/>
            <w:vAlign w:val="center"/>
          </w:tcPr>
          <w:p w14:paraId="12ACC8D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276" w:type="dxa"/>
            <w:vAlign w:val="center"/>
          </w:tcPr>
          <w:p w14:paraId="114518D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bl>
    <w:p w14:paraId="5A5F3509">
      <w:pPr>
        <w:autoSpaceDE w:val="0"/>
        <w:autoSpaceDN w:val="0"/>
        <w:adjustRightInd w:val="0"/>
        <w:spacing w:line="360" w:lineRule="auto"/>
        <w:jc w:val="left"/>
        <w:rPr>
          <w:rFonts w:hint="eastAsia" w:ascii="宋体" w:hAnsi="宋体" w:eastAsia="宋体" w:cs="宋体"/>
          <w:color w:val="auto"/>
          <w:kern w:val="0"/>
          <w:szCs w:val="21"/>
          <w:highlight w:val="none"/>
        </w:rPr>
      </w:pPr>
    </w:p>
    <w:p w14:paraId="703D2572">
      <w:pPr>
        <w:autoSpaceDE w:val="0"/>
        <w:autoSpaceDN w:val="0"/>
        <w:adjustRightInd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7513D12C">
      <w:pPr>
        <w:autoSpaceDE w:val="0"/>
        <w:autoSpaceDN w:val="0"/>
        <w:adjustRightInd w:val="0"/>
        <w:ind w:right="-23" w:rightChars="-11"/>
        <w:jc w:val="left"/>
        <w:rPr>
          <w:rFonts w:hint="eastAsia" w:ascii="宋体" w:hAnsi="宋体" w:eastAsia="宋体" w:cs="宋体"/>
          <w:b/>
          <w:bCs/>
          <w:color w:val="auto"/>
          <w:kern w:val="0"/>
          <w:szCs w:val="21"/>
          <w:highlight w:val="none"/>
          <w:lang w:val="zh-CN"/>
        </w:rPr>
      </w:pPr>
    </w:p>
    <w:p w14:paraId="5E06F21B">
      <w:pPr>
        <w:autoSpaceDE w:val="0"/>
        <w:autoSpaceDN w:val="0"/>
        <w:adjustRightInd w:val="0"/>
        <w:spacing w:line="360" w:lineRule="auto"/>
        <w:jc w:val="center"/>
        <w:rPr>
          <w:rFonts w:hint="eastAsia" w:ascii="宋体" w:hAnsi="宋体" w:eastAsia="宋体" w:cs="宋体"/>
          <w:color w:val="auto"/>
          <w:kern w:val="0"/>
          <w:sz w:val="24"/>
          <w:szCs w:val="24"/>
          <w:highlight w:val="none"/>
        </w:rPr>
      </w:pPr>
    </w:p>
    <w:p w14:paraId="4AA89740">
      <w:pPr>
        <w:spacing w:line="360" w:lineRule="auto"/>
        <w:ind w:firstLine="494" w:firstLineChars="206"/>
        <w:rPr>
          <w:rFonts w:hint="eastAsia" w:ascii="宋体" w:hAnsi="宋体" w:eastAsia="宋体" w:cs="宋体"/>
          <w:color w:val="auto"/>
          <w:kern w:val="0"/>
          <w:sz w:val="24"/>
          <w:szCs w:val="24"/>
          <w:highlight w:val="none"/>
        </w:rPr>
      </w:pPr>
    </w:p>
    <w:p w14:paraId="614EC975">
      <w:pPr>
        <w:spacing w:line="360" w:lineRule="auto"/>
        <w:ind w:firstLine="494" w:firstLineChars="206"/>
        <w:rPr>
          <w:rFonts w:hint="eastAsia" w:ascii="宋体" w:hAnsi="宋体" w:eastAsia="宋体" w:cs="宋体"/>
          <w:color w:val="auto"/>
          <w:kern w:val="0"/>
          <w:sz w:val="24"/>
          <w:szCs w:val="24"/>
          <w:highlight w:val="none"/>
        </w:rPr>
      </w:pPr>
    </w:p>
    <w:p w14:paraId="3365D6D7">
      <w:pPr>
        <w:spacing w:line="360" w:lineRule="auto"/>
        <w:ind w:firstLine="494" w:firstLineChars="206"/>
        <w:rPr>
          <w:rFonts w:hint="eastAsia" w:ascii="宋体" w:hAnsi="宋体" w:eastAsia="宋体" w:cs="宋体"/>
          <w:color w:val="auto"/>
          <w:kern w:val="0"/>
          <w:sz w:val="24"/>
          <w:szCs w:val="24"/>
          <w:highlight w:val="none"/>
        </w:rPr>
      </w:pPr>
    </w:p>
    <w:p w14:paraId="51646DCD">
      <w:pPr>
        <w:spacing w:line="360" w:lineRule="auto"/>
        <w:ind w:right="368" w:rightChars="175" w:firstLine="5460" w:firstLineChars="26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08C63684">
      <w:pPr>
        <w:autoSpaceDE w:val="0"/>
        <w:autoSpaceDN w:val="0"/>
        <w:adjustRightInd w:val="0"/>
        <w:spacing w:line="360" w:lineRule="auto"/>
        <w:ind w:right="781" w:rightChars="372" w:firstLine="2811" w:firstLineChars="133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0EA2C8DA">
      <w:pPr>
        <w:rPr>
          <w:rFonts w:hint="eastAsia" w:ascii="宋体" w:hAnsi="宋体" w:eastAsia="宋体" w:cs="宋体"/>
          <w:color w:val="auto"/>
          <w:szCs w:val="24"/>
          <w:highlight w:val="none"/>
          <w:lang w:val="zh-CN"/>
        </w:rPr>
      </w:pPr>
      <w:bookmarkStart w:id="632" w:name="_Toc94107215"/>
      <w:bookmarkStart w:id="633" w:name="_Toc104991881"/>
      <w:bookmarkStart w:id="634" w:name="_Toc102860079"/>
      <w:bookmarkStart w:id="635" w:name="_Toc142508374"/>
      <w:bookmarkStart w:id="636" w:name="_Toc486167714"/>
      <w:bookmarkStart w:id="637" w:name="_Toc140596934"/>
      <w:bookmarkStart w:id="638" w:name="_Toc533708126"/>
      <w:bookmarkStart w:id="639" w:name="_Toc30939"/>
      <w:bookmarkStart w:id="640" w:name="_Toc2031_WPSOffice_Level2"/>
      <w:bookmarkStart w:id="641" w:name="_Toc1977731"/>
      <w:bookmarkStart w:id="642" w:name="_Toc6412"/>
      <w:bookmarkStart w:id="643" w:name="_Toc102860423"/>
      <w:r>
        <w:rPr>
          <w:rFonts w:hint="eastAsia" w:ascii="宋体" w:hAnsi="宋体" w:eastAsia="宋体" w:cs="宋体"/>
          <w:color w:val="auto"/>
          <w:szCs w:val="24"/>
          <w:highlight w:val="none"/>
          <w:lang w:val="zh-CN"/>
        </w:rPr>
        <w:br w:type="page"/>
      </w:r>
    </w:p>
    <w:p w14:paraId="46FF3D93">
      <w:pPr>
        <w:tabs>
          <w:tab w:val="left" w:pos="567"/>
        </w:tabs>
        <w:autoSpaceDE w:val="0"/>
        <w:autoSpaceDN w:val="0"/>
        <w:adjustRightInd w:val="0"/>
        <w:spacing w:line="360" w:lineRule="auto"/>
        <w:jc w:val="left"/>
        <w:outlineLvl w:val="1"/>
        <w:rPr>
          <w:rFonts w:hint="eastAsia" w:ascii="宋体" w:hAnsi="宋体" w:eastAsia="宋体" w:cs="宋体"/>
          <w:color w:val="auto"/>
          <w:kern w:val="0"/>
          <w:szCs w:val="21"/>
          <w:highlight w:val="none"/>
          <w:u w:val="single"/>
        </w:rPr>
      </w:pPr>
      <w:bookmarkStart w:id="644" w:name="_Toc17508"/>
      <w:bookmarkStart w:id="645" w:name="_Toc26221"/>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468D0143">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bookmarkStart w:id="646" w:name="_Toc11897"/>
      <w:bookmarkStart w:id="647" w:name="_Toc2773_WPSOffice_Level3"/>
      <w:r>
        <w:rPr>
          <w:rFonts w:hint="eastAsia" w:ascii="宋体" w:hAnsi="宋体" w:eastAsia="宋体" w:cs="宋体"/>
          <w:b/>
          <w:bCs/>
          <w:color w:val="auto"/>
          <w:sz w:val="30"/>
          <w:szCs w:val="30"/>
          <w:highlight w:val="none"/>
          <w:lang w:val="zh-CN"/>
        </w:rPr>
        <w:t>投标人基本情况一览表</w:t>
      </w:r>
      <w:bookmarkEnd w:id="646"/>
      <w:bookmarkEnd w:id="647"/>
    </w:p>
    <w:p w14:paraId="3DC60A5B">
      <w:pPr>
        <w:autoSpaceDE w:val="0"/>
        <w:autoSpaceDN w:val="0"/>
        <w:adjustRightInd w:val="0"/>
        <w:spacing w:line="360" w:lineRule="auto"/>
        <w:ind w:firstLine="420"/>
        <w:outlineLvl w:val="0"/>
        <w:rPr>
          <w:rFonts w:hint="eastAsia" w:ascii="宋体" w:hAnsi="宋体" w:eastAsia="宋体" w:cs="宋体"/>
          <w:color w:val="auto"/>
          <w:szCs w:val="21"/>
          <w:highlight w:val="none"/>
        </w:rPr>
      </w:pPr>
      <w:bookmarkStart w:id="648" w:name="_Toc10080"/>
      <w:r>
        <w:rPr>
          <w:rFonts w:hint="eastAsia" w:ascii="宋体" w:hAnsi="宋体" w:eastAsia="宋体" w:cs="宋体"/>
          <w:color w:val="auto"/>
          <w:szCs w:val="21"/>
          <w:highlight w:val="none"/>
          <w:lang w:val="zh-CN"/>
        </w:rPr>
        <w:t>1．名称及概况：</w:t>
      </w:r>
      <w:bookmarkEnd w:id="648"/>
    </w:p>
    <w:p w14:paraId="32D6C871">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59765DE2">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1D52266">
      <w:pPr>
        <w:autoSpaceDE w:val="0"/>
        <w:autoSpaceDN w:val="0"/>
        <w:adjustRightInd w:val="0"/>
        <w:spacing w:line="360" w:lineRule="auto"/>
        <w:ind w:firstLine="66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559D766">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4E6D71EF">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5D930997">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4669BCF3">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53E1129">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65E7F661">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0A82EACB">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891D2D1">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7F9B1DCB">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61558C5A">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07AFE4E">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33F8CAF4">
      <w:pPr>
        <w:autoSpaceDE w:val="0"/>
        <w:autoSpaceDN w:val="0"/>
        <w:adjustRightIn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450E6A6D">
      <w:pPr>
        <w:autoSpaceDE w:val="0"/>
        <w:autoSpaceDN w:val="0"/>
        <w:adjustRightInd w:val="0"/>
        <w:spacing w:line="360" w:lineRule="auto"/>
        <w:ind w:firstLine="420"/>
        <w:outlineLvl w:val="0"/>
        <w:rPr>
          <w:rFonts w:hint="eastAsia" w:ascii="宋体" w:hAnsi="宋体" w:eastAsia="宋体" w:cs="宋体"/>
          <w:color w:val="auto"/>
          <w:szCs w:val="24"/>
          <w:highlight w:val="none"/>
        </w:rPr>
      </w:pPr>
      <w:bookmarkStart w:id="649" w:name="_Toc20408"/>
      <w:r>
        <w:rPr>
          <w:rFonts w:hint="eastAsia" w:ascii="宋体" w:hAnsi="宋体" w:eastAsia="宋体" w:cs="宋体"/>
          <w:color w:val="auto"/>
          <w:szCs w:val="24"/>
          <w:highlight w:val="none"/>
          <w:lang w:val="zh-CN"/>
        </w:rPr>
        <w:t>4. 提交资料（包括但不限于组织架构、公司简介等）：</w:t>
      </w:r>
      <w:bookmarkEnd w:id="649"/>
    </w:p>
    <w:p w14:paraId="4F776FC2">
      <w:pPr>
        <w:autoSpaceDE w:val="0"/>
        <w:autoSpaceDN w:val="0"/>
        <w:adjustRightInd w:val="0"/>
        <w:spacing w:line="360" w:lineRule="auto"/>
        <w:ind w:firstLine="630" w:firstLineChars="300"/>
        <w:outlineLvl w:val="1"/>
        <w:rPr>
          <w:rFonts w:hint="eastAsia" w:ascii="宋体" w:hAnsi="宋体" w:eastAsia="宋体" w:cs="宋体"/>
          <w:color w:val="auto"/>
          <w:szCs w:val="24"/>
          <w:highlight w:val="none"/>
          <w:lang w:val="zh-CN"/>
        </w:rPr>
      </w:pPr>
      <w:bookmarkStart w:id="650" w:name="_Toc19193"/>
      <w:r>
        <w:rPr>
          <w:rFonts w:hint="eastAsia" w:ascii="宋体" w:hAnsi="宋体" w:eastAsia="宋体" w:cs="宋体"/>
          <w:color w:val="auto"/>
          <w:szCs w:val="24"/>
          <w:highlight w:val="none"/>
          <w:lang w:val="zh-CN"/>
        </w:rPr>
        <w:t>（1）公司简介；</w:t>
      </w:r>
      <w:bookmarkEnd w:id="650"/>
    </w:p>
    <w:p w14:paraId="634863BE">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6F02D57C">
      <w:pPr>
        <w:autoSpaceDE w:val="0"/>
        <w:autoSpaceDN w:val="0"/>
        <w:adjustRightInd w:val="0"/>
        <w:spacing w:line="360" w:lineRule="auto"/>
        <w:ind w:firstLine="630" w:firstLineChars="300"/>
        <w:outlineLvl w:val="1"/>
        <w:rPr>
          <w:rFonts w:hint="eastAsia" w:ascii="宋体" w:hAnsi="宋体" w:eastAsia="宋体" w:cs="宋体"/>
          <w:color w:val="auto"/>
          <w:szCs w:val="24"/>
          <w:highlight w:val="none"/>
          <w:lang w:val="zh-CN"/>
        </w:rPr>
      </w:pPr>
      <w:bookmarkStart w:id="651" w:name="_Toc13319"/>
      <w:r>
        <w:rPr>
          <w:rFonts w:hint="eastAsia" w:ascii="宋体" w:hAnsi="宋体" w:eastAsia="宋体" w:cs="宋体"/>
          <w:color w:val="auto"/>
          <w:szCs w:val="24"/>
          <w:highlight w:val="none"/>
          <w:lang w:val="zh-CN"/>
        </w:rPr>
        <w:t>（2）公司组织架构；</w:t>
      </w:r>
      <w:bookmarkEnd w:id="651"/>
    </w:p>
    <w:p w14:paraId="35BE1CE5">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1A339D22">
      <w:pPr>
        <w:autoSpaceDE w:val="0"/>
        <w:autoSpaceDN w:val="0"/>
        <w:adjustRightInd w:val="0"/>
        <w:spacing w:line="360" w:lineRule="auto"/>
        <w:ind w:left="836" w:leftChars="137" w:hanging="548" w:hangingChars="26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1B11AE0C">
      <w:pPr>
        <w:autoSpaceDE w:val="0"/>
        <w:autoSpaceDN w:val="0"/>
        <w:adjustRightInd w:val="0"/>
        <w:spacing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6B3018D2">
      <w:pPr>
        <w:autoSpaceDE w:val="0"/>
        <w:autoSpaceDN w:val="0"/>
        <w:adjustRightInd w:val="0"/>
        <w:spacing w:line="360" w:lineRule="auto"/>
        <w:ind w:firstLine="420" w:firstLineChars="200"/>
        <w:rPr>
          <w:rFonts w:hint="eastAsia" w:ascii="宋体" w:hAnsi="宋体" w:eastAsia="宋体" w:cs="宋体"/>
          <w:color w:val="auto"/>
          <w:szCs w:val="24"/>
          <w:highlight w:val="none"/>
        </w:rPr>
      </w:pPr>
    </w:p>
    <w:p w14:paraId="43FA9D97">
      <w:pPr>
        <w:autoSpaceDE w:val="0"/>
        <w:autoSpaceDN w:val="0"/>
        <w:adjustRightInd w:val="0"/>
        <w:spacing w:line="360" w:lineRule="auto"/>
        <w:ind w:right="368" w:rightChars="175"/>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0859CB1">
      <w:pPr>
        <w:autoSpaceDE w:val="0"/>
        <w:autoSpaceDN w:val="0"/>
        <w:adjustRightInd w:val="0"/>
        <w:spacing w:line="360" w:lineRule="auto"/>
        <w:ind w:right="368" w:rightChars="175" w:firstLine="6237"/>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016B53E3">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52" w:name="_Toc142508375"/>
      <w:bookmarkStart w:id="653" w:name="_Toc102860424"/>
      <w:bookmarkStart w:id="654" w:name="_Toc104991882"/>
      <w:bookmarkStart w:id="655" w:name="_Toc29014"/>
      <w:bookmarkStart w:id="656" w:name="_Toc140596935"/>
      <w:bookmarkStart w:id="657" w:name="_Toc4023"/>
      <w:bookmarkStart w:id="658" w:name="_Toc94107216"/>
      <w:bookmarkStart w:id="659" w:name="_Toc102860080"/>
      <w:bookmarkStart w:id="660" w:name="_Toc10443"/>
      <w:bookmarkStart w:id="661" w:name="_Toc345"/>
      <w:bookmarkStart w:id="662" w:name="_Toc533708128"/>
      <w:bookmarkStart w:id="663" w:name="_Toc1977733"/>
      <w:bookmarkStart w:id="664" w:name="_Toc9051_WPSOffice_Level2"/>
      <w:bookmarkStart w:id="665"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52"/>
      <w:bookmarkEnd w:id="653"/>
      <w:bookmarkEnd w:id="654"/>
      <w:bookmarkEnd w:id="655"/>
      <w:bookmarkEnd w:id="656"/>
      <w:bookmarkEnd w:id="657"/>
      <w:bookmarkEnd w:id="658"/>
      <w:bookmarkEnd w:id="659"/>
      <w:bookmarkEnd w:id="660"/>
      <w:bookmarkEnd w:id="661"/>
    </w:p>
    <w:p w14:paraId="4FDCC54E">
      <w:pPr>
        <w:autoSpaceDE w:val="0"/>
        <w:autoSpaceDN w:val="0"/>
        <w:adjustRightInd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911ABAD">
      <w:pPr>
        <w:autoSpaceDE w:val="0"/>
        <w:autoSpaceDN w:val="0"/>
        <w:adjustRightInd w:val="0"/>
        <w:spacing w:line="36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3F96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38FEA8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7D24020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7542BA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1C7D02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1EF6B5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7286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1F27A6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33F72BC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946" w:type="dxa"/>
            <w:vAlign w:val="center"/>
          </w:tcPr>
          <w:p w14:paraId="7DCD694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713" w:type="dxa"/>
            <w:vAlign w:val="center"/>
          </w:tcPr>
          <w:p w14:paraId="2D9849A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060" w:type="dxa"/>
            <w:vAlign w:val="center"/>
          </w:tcPr>
          <w:p w14:paraId="097CEE1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14:paraId="175CE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0F8105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7B5AEAC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946" w:type="dxa"/>
            <w:vAlign w:val="center"/>
          </w:tcPr>
          <w:p w14:paraId="17C26DA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713" w:type="dxa"/>
          </w:tcPr>
          <w:p w14:paraId="0F31D0E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060" w:type="dxa"/>
            <w:vAlign w:val="center"/>
          </w:tcPr>
          <w:p w14:paraId="2284185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14:paraId="2B5D5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6AAE88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2023</w:t>
            </w:r>
          </w:p>
        </w:tc>
        <w:tc>
          <w:tcPr>
            <w:tcW w:w="1944" w:type="dxa"/>
            <w:vAlign w:val="center"/>
          </w:tcPr>
          <w:p w14:paraId="78D0D7A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946" w:type="dxa"/>
            <w:vAlign w:val="center"/>
          </w:tcPr>
          <w:p w14:paraId="13EBA0E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713" w:type="dxa"/>
          </w:tcPr>
          <w:p w14:paraId="5405949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060" w:type="dxa"/>
            <w:vAlign w:val="center"/>
          </w:tcPr>
          <w:p w14:paraId="5AE4BB3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14:paraId="707C4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00F108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75BA1C0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060" w:type="dxa"/>
            <w:vAlign w:val="center"/>
          </w:tcPr>
          <w:p w14:paraId="6DD09EF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bl>
    <w:p w14:paraId="3ED92308">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51EAAF71">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14:paraId="4C17007C">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14:paraId="4E89B0EF">
      <w:pPr>
        <w:autoSpaceDE w:val="0"/>
        <w:autoSpaceDN w:val="0"/>
        <w:adjustRightInd w:val="0"/>
        <w:spacing w:line="360" w:lineRule="auto"/>
        <w:ind w:firstLine="5409" w:firstLineChars="2576"/>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FD9321E">
      <w:pPr>
        <w:autoSpaceDE w:val="0"/>
        <w:autoSpaceDN w:val="0"/>
        <w:adjustRightInd w:val="0"/>
        <w:spacing w:line="360" w:lineRule="auto"/>
        <w:ind w:firstLine="6249" w:firstLineChars="2976"/>
        <w:rPr>
          <w:rFonts w:hint="eastAsia"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62"/>
    <w:bookmarkEnd w:id="663"/>
    <w:bookmarkEnd w:id="664"/>
    <w:bookmarkEnd w:id="665"/>
    <w:p w14:paraId="2B8ADE25">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666" w:name="_Toc94107217"/>
      <w:bookmarkStart w:id="667" w:name="_Toc26821"/>
      <w:bookmarkStart w:id="668" w:name="_Toc1977736"/>
      <w:bookmarkStart w:id="669" w:name="_Toc533708130"/>
      <w:bookmarkStart w:id="670" w:name="_Toc739_WPSOffice_Level2"/>
      <w:bookmarkStart w:id="671" w:name="_Toc29985"/>
      <w:bookmarkStart w:id="672" w:name="_Toc333"/>
      <w:bookmarkStart w:id="673" w:name="_Toc486167716"/>
      <w:bookmarkStart w:id="674" w:name="_Toc142508376"/>
      <w:bookmarkStart w:id="675" w:name="_Toc17995"/>
      <w:bookmarkStart w:id="676" w:name="_Toc104991883"/>
      <w:bookmarkStart w:id="677" w:name="_Toc102860425"/>
      <w:bookmarkStart w:id="678" w:name="_Toc140596936"/>
      <w:bookmarkStart w:id="679" w:name="_Toc102860081"/>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7147AC7C">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680" w:name="_Toc26412_WPSOffice_Level3"/>
      <w:r>
        <w:rPr>
          <w:rFonts w:hint="eastAsia" w:ascii="宋体" w:hAnsi="宋体" w:eastAsia="宋体" w:cs="宋体"/>
          <w:b/>
          <w:bCs/>
          <w:color w:val="auto"/>
          <w:kern w:val="0"/>
          <w:sz w:val="28"/>
          <w:szCs w:val="30"/>
          <w:highlight w:val="none"/>
          <w:lang w:val="zh-CN"/>
        </w:rPr>
        <w:t>东莞市水务集团供水有限公司2024-2025年造价咨询服务项目合同条款偏离表</w:t>
      </w:r>
      <w:bookmarkEnd w:id="680"/>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38"/>
        <w:gridCol w:w="3232"/>
        <w:gridCol w:w="1256"/>
        <w:gridCol w:w="3524"/>
      </w:tblGrid>
      <w:tr w14:paraId="2DA1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D4B60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570" w:type="dxa"/>
            <w:gridSpan w:val="2"/>
            <w:vAlign w:val="center"/>
          </w:tcPr>
          <w:p w14:paraId="389CB4A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780" w:type="dxa"/>
            <w:gridSpan w:val="2"/>
            <w:vAlign w:val="center"/>
          </w:tcPr>
          <w:p w14:paraId="1685A2B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A42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20B812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338" w:type="dxa"/>
            <w:vAlign w:val="center"/>
          </w:tcPr>
          <w:p w14:paraId="4F8C5DB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232" w:type="dxa"/>
            <w:vAlign w:val="center"/>
          </w:tcPr>
          <w:p w14:paraId="4B63841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256" w:type="dxa"/>
            <w:vAlign w:val="center"/>
          </w:tcPr>
          <w:p w14:paraId="7C98BDE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5B0D341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5D74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60BEB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338" w:type="dxa"/>
            <w:vAlign w:val="center"/>
          </w:tcPr>
          <w:p w14:paraId="295665A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232" w:type="dxa"/>
            <w:vAlign w:val="center"/>
          </w:tcPr>
          <w:p w14:paraId="46E15C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服务内容</w:t>
            </w:r>
          </w:p>
        </w:tc>
        <w:tc>
          <w:tcPr>
            <w:tcW w:w="1256" w:type="dxa"/>
            <w:vAlign w:val="center"/>
          </w:tcPr>
          <w:p w14:paraId="4383CE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5D5DC52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2731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vAlign w:val="center"/>
          </w:tcPr>
          <w:p w14:paraId="13DAD53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338" w:type="dxa"/>
            <w:vAlign w:val="center"/>
          </w:tcPr>
          <w:p w14:paraId="2F68DAC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第二条</w:t>
            </w:r>
          </w:p>
        </w:tc>
        <w:tc>
          <w:tcPr>
            <w:tcW w:w="3232" w:type="dxa"/>
            <w:vAlign w:val="center"/>
          </w:tcPr>
          <w:p w14:paraId="48B8938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服务期限</w:t>
            </w:r>
          </w:p>
        </w:tc>
        <w:tc>
          <w:tcPr>
            <w:tcW w:w="1256" w:type="dxa"/>
            <w:vAlign w:val="center"/>
          </w:tcPr>
          <w:p w14:paraId="645DCD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61A4E67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6D06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57479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338" w:type="dxa"/>
            <w:vAlign w:val="center"/>
          </w:tcPr>
          <w:p w14:paraId="4D0C08F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第三条</w:t>
            </w:r>
          </w:p>
        </w:tc>
        <w:tc>
          <w:tcPr>
            <w:tcW w:w="3232" w:type="dxa"/>
            <w:vAlign w:val="center"/>
          </w:tcPr>
          <w:p w14:paraId="48FB3D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服务费的计算与支付</w:t>
            </w:r>
          </w:p>
        </w:tc>
        <w:tc>
          <w:tcPr>
            <w:tcW w:w="1256" w:type="dxa"/>
            <w:vAlign w:val="center"/>
          </w:tcPr>
          <w:p w14:paraId="270016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2E95A01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6BAC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0153D1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338" w:type="dxa"/>
            <w:vAlign w:val="center"/>
          </w:tcPr>
          <w:p w14:paraId="40A7232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第四条</w:t>
            </w:r>
          </w:p>
        </w:tc>
        <w:tc>
          <w:tcPr>
            <w:tcW w:w="3232" w:type="dxa"/>
            <w:vAlign w:val="center"/>
          </w:tcPr>
          <w:p w14:paraId="6A9C92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履约担保</w:t>
            </w:r>
          </w:p>
        </w:tc>
        <w:tc>
          <w:tcPr>
            <w:tcW w:w="1256" w:type="dxa"/>
            <w:vAlign w:val="center"/>
          </w:tcPr>
          <w:p w14:paraId="4D96CD0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768FF17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4369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2D903EB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5</w:t>
            </w:r>
          </w:p>
        </w:tc>
        <w:tc>
          <w:tcPr>
            <w:tcW w:w="1338" w:type="dxa"/>
            <w:shd w:val="clear" w:color="auto" w:fill="auto"/>
            <w:vAlign w:val="center"/>
          </w:tcPr>
          <w:p w14:paraId="45A6A532">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第五条</w:t>
            </w:r>
          </w:p>
        </w:tc>
        <w:tc>
          <w:tcPr>
            <w:tcW w:w="3232" w:type="dxa"/>
            <w:vAlign w:val="center"/>
          </w:tcPr>
          <w:p w14:paraId="1FAC411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甲方权利与义务</w:t>
            </w:r>
          </w:p>
        </w:tc>
        <w:tc>
          <w:tcPr>
            <w:tcW w:w="1256" w:type="dxa"/>
            <w:vAlign w:val="center"/>
          </w:tcPr>
          <w:p w14:paraId="054A0BD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5C8F8A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25A5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715216BD">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6</w:t>
            </w:r>
          </w:p>
        </w:tc>
        <w:tc>
          <w:tcPr>
            <w:tcW w:w="1338" w:type="dxa"/>
            <w:shd w:val="clear" w:color="auto" w:fill="auto"/>
            <w:vAlign w:val="center"/>
          </w:tcPr>
          <w:p w14:paraId="006961C2">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第六条</w:t>
            </w:r>
          </w:p>
        </w:tc>
        <w:tc>
          <w:tcPr>
            <w:tcW w:w="3232" w:type="dxa"/>
            <w:vAlign w:val="center"/>
          </w:tcPr>
          <w:p w14:paraId="2801136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乙方权利与义务</w:t>
            </w:r>
          </w:p>
        </w:tc>
        <w:tc>
          <w:tcPr>
            <w:tcW w:w="1256" w:type="dxa"/>
            <w:vAlign w:val="center"/>
          </w:tcPr>
          <w:p w14:paraId="6981672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7C96AA2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7D77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BB64AD7">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7</w:t>
            </w:r>
          </w:p>
        </w:tc>
        <w:tc>
          <w:tcPr>
            <w:tcW w:w="1338" w:type="dxa"/>
            <w:shd w:val="clear" w:color="auto" w:fill="auto"/>
            <w:vAlign w:val="center"/>
          </w:tcPr>
          <w:p w14:paraId="02FCAA16">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第七条</w:t>
            </w:r>
          </w:p>
        </w:tc>
        <w:tc>
          <w:tcPr>
            <w:tcW w:w="3232" w:type="dxa"/>
            <w:vAlign w:val="center"/>
          </w:tcPr>
          <w:p w14:paraId="092922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成果文件交付期限及要求</w:t>
            </w:r>
          </w:p>
        </w:tc>
        <w:tc>
          <w:tcPr>
            <w:tcW w:w="1256" w:type="dxa"/>
            <w:vAlign w:val="center"/>
          </w:tcPr>
          <w:p w14:paraId="4FF1A9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65ADB42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6EB0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1867D895">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8</w:t>
            </w:r>
          </w:p>
        </w:tc>
        <w:tc>
          <w:tcPr>
            <w:tcW w:w="1338" w:type="dxa"/>
            <w:shd w:val="clear" w:color="auto" w:fill="auto"/>
            <w:vAlign w:val="center"/>
          </w:tcPr>
          <w:p w14:paraId="283D9A7C">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第八条</w:t>
            </w:r>
          </w:p>
        </w:tc>
        <w:tc>
          <w:tcPr>
            <w:tcW w:w="3232" w:type="dxa"/>
            <w:vAlign w:val="center"/>
          </w:tcPr>
          <w:p w14:paraId="0C427E9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服务要求</w:t>
            </w:r>
          </w:p>
        </w:tc>
        <w:tc>
          <w:tcPr>
            <w:tcW w:w="1256" w:type="dxa"/>
            <w:vAlign w:val="center"/>
          </w:tcPr>
          <w:p w14:paraId="7033966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53B66AE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5F52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284197CD">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9</w:t>
            </w:r>
          </w:p>
        </w:tc>
        <w:tc>
          <w:tcPr>
            <w:tcW w:w="1338" w:type="dxa"/>
            <w:shd w:val="clear" w:color="auto" w:fill="auto"/>
            <w:vAlign w:val="center"/>
          </w:tcPr>
          <w:p w14:paraId="46137BFC">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第九条</w:t>
            </w:r>
          </w:p>
        </w:tc>
        <w:tc>
          <w:tcPr>
            <w:tcW w:w="3232" w:type="dxa"/>
            <w:vAlign w:val="center"/>
          </w:tcPr>
          <w:p w14:paraId="5EDB831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知识产权</w:t>
            </w:r>
          </w:p>
        </w:tc>
        <w:tc>
          <w:tcPr>
            <w:tcW w:w="1256" w:type="dxa"/>
            <w:vAlign w:val="center"/>
          </w:tcPr>
          <w:p w14:paraId="11ADF5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43D3357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619D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13135726">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10</w:t>
            </w:r>
          </w:p>
        </w:tc>
        <w:tc>
          <w:tcPr>
            <w:tcW w:w="1338" w:type="dxa"/>
            <w:shd w:val="clear" w:color="auto" w:fill="auto"/>
            <w:vAlign w:val="center"/>
          </w:tcPr>
          <w:p w14:paraId="0BB4C7E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第十条</w:t>
            </w:r>
          </w:p>
        </w:tc>
        <w:tc>
          <w:tcPr>
            <w:tcW w:w="3232" w:type="dxa"/>
            <w:vAlign w:val="center"/>
          </w:tcPr>
          <w:p w14:paraId="0C5E2A7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违约责任</w:t>
            </w:r>
          </w:p>
        </w:tc>
        <w:tc>
          <w:tcPr>
            <w:tcW w:w="1256" w:type="dxa"/>
            <w:vAlign w:val="center"/>
          </w:tcPr>
          <w:p w14:paraId="5192035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14AC4E6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0D61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5A034AA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11</w:t>
            </w:r>
          </w:p>
        </w:tc>
        <w:tc>
          <w:tcPr>
            <w:tcW w:w="1338" w:type="dxa"/>
            <w:shd w:val="clear" w:color="auto" w:fill="auto"/>
            <w:vAlign w:val="center"/>
          </w:tcPr>
          <w:p w14:paraId="73D29252">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第十一条</w:t>
            </w:r>
          </w:p>
        </w:tc>
        <w:tc>
          <w:tcPr>
            <w:tcW w:w="3232" w:type="dxa"/>
            <w:vAlign w:val="center"/>
          </w:tcPr>
          <w:p w14:paraId="4C649A8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合同变更与终止</w:t>
            </w:r>
          </w:p>
        </w:tc>
        <w:tc>
          <w:tcPr>
            <w:tcW w:w="1256" w:type="dxa"/>
            <w:vAlign w:val="center"/>
          </w:tcPr>
          <w:p w14:paraId="45626D3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024EE99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0799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42B2E2D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12</w:t>
            </w:r>
          </w:p>
        </w:tc>
        <w:tc>
          <w:tcPr>
            <w:tcW w:w="1338" w:type="dxa"/>
            <w:shd w:val="clear" w:color="auto" w:fill="auto"/>
            <w:vAlign w:val="center"/>
          </w:tcPr>
          <w:p w14:paraId="0C21125B">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第十二条</w:t>
            </w:r>
          </w:p>
        </w:tc>
        <w:tc>
          <w:tcPr>
            <w:tcW w:w="3232" w:type="dxa"/>
            <w:vAlign w:val="center"/>
          </w:tcPr>
          <w:p w14:paraId="7F2545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不可抗力</w:t>
            </w:r>
          </w:p>
        </w:tc>
        <w:tc>
          <w:tcPr>
            <w:tcW w:w="1256" w:type="dxa"/>
            <w:vAlign w:val="center"/>
          </w:tcPr>
          <w:p w14:paraId="66F4DB7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6C440C5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6329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4FB10AA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p>
        </w:tc>
        <w:tc>
          <w:tcPr>
            <w:tcW w:w="1338" w:type="dxa"/>
            <w:vAlign w:val="center"/>
          </w:tcPr>
          <w:p w14:paraId="4840B4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第十三条</w:t>
            </w:r>
          </w:p>
        </w:tc>
        <w:tc>
          <w:tcPr>
            <w:tcW w:w="3232" w:type="dxa"/>
            <w:vAlign w:val="center"/>
          </w:tcPr>
          <w:p w14:paraId="3CF092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
              </w:rPr>
              <w:t>其他</w:t>
            </w:r>
          </w:p>
        </w:tc>
        <w:tc>
          <w:tcPr>
            <w:tcW w:w="1256" w:type="dxa"/>
            <w:vAlign w:val="center"/>
          </w:tcPr>
          <w:p w14:paraId="0FADC68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0124A3D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677D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5DA512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14</w:t>
            </w:r>
          </w:p>
        </w:tc>
        <w:tc>
          <w:tcPr>
            <w:tcW w:w="1338" w:type="dxa"/>
            <w:vAlign w:val="center"/>
          </w:tcPr>
          <w:p w14:paraId="22629F1E">
            <w:pPr>
              <w:pStyle w:val="63"/>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p>
        </w:tc>
        <w:tc>
          <w:tcPr>
            <w:tcW w:w="3232" w:type="dxa"/>
            <w:vAlign w:val="center"/>
          </w:tcPr>
          <w:p w14:paraId="45492386">
            <w:pPr>
              <w:keepNext w:val="0"/>
              <w:keepLines w:val="0"/>
              <w:suppressLineNumbers w:val="0"/>
              <w:autoSpaceDE/>
              <w:autoSpaceDN/>
              <w:adjustRightInd/>
              <w:spacing w:before="0" w:beforeAutospacing="0" w:after="0" w:afterAutospacing="0" w:line="360" w:lineRule="auto"/>
              <w:ind w:left="0" w:right="0" w:firstLine="0" w:firstLineChars="0"/>
              <w:jc w:val="both"/>
              <w:outlineLvl w:val="0"/>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《广东省建设工程造价咨询服务收费标准》(粤价函(2011)742号)</w:t>
            </w:r>
          </w:p>
        </w:tc>
        <w:tc>
          <w:tcPr>
            <w:tcW w:w="1256" w:type="dxa"/>
            <w:vAlign w:val="center"/>
          </w:tcPr>
          <w:p w14:paraId="024008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00589D9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7421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shd w:val="clear" w:color="auto" w:fill="auto"/>
            <w:vAlign w:val="center"/>
          </w:tcPr>
          <w:p w14:paraId="4CCDDE1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338" w:type="dxa"/>
            <w:vAlign w:val="center"/>
          </w:tcPr>
          <w:p w14:paraId="76CFAB0D">
            <w:pPr>
              <w:pStyle w:val="63"/>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附件2</w:t>
            </w:r>
          </w:p>
        </w:tc>
        <w:tc>
          <w:tcPr>
            <w:tcW w:w="3232" w:type="dxa"/>
            <w:vAlign w:val="center"/>
          </w:tcPr>
          <w:p w14:paraId="663F71FE">
            <w:pPr>
              <w:keepNext w:val="0"/>
              <w:keepLines w:val="0"/>
              <w:suppressLineNumbers w:val="0"/>
              <w:autoSpaceDE/>
              <w:autoSpaceDN/>
              <w:adjustRightInd/>
              <w:spacing w:before="0" w:beforeAutospacing="0" w:after="0" w:afterAutospacing="0" w:line="360" w:lineRule="auto"/>
              <w:ind w:left="0" w:right="0" w:firstLine="0" w:firstLineChars="0"/>
              <w:jc w:val="center"/>
              <w:outlineLvl w:val="0"/>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考核表</w:t>
            </w:r>
          </w:p>
        </w:tc>
        <w:tc>
          <w:tcPr>
            <w:tcW w:w="1256" w:type="dxa"/>
            <w:vAlign w:val="center"/>
          </w:tcPr>
          <w:p w14:paraId="04506A0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6EB9B0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500E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7E443A97">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w:t>
            </w:r>
          </w:p>
        </w:tc>
        <w:tc>
          <w:tcPr>
            <w:tcW w:w="1338" w:type="dxa"/>
            <w:vAlign w:val="center"/>
          </w:tcPr>
          <w:p w14:paraId="01AA89F8">
            <w:pPr>
              <w:pStyle w:val="63"/>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p>
        </w:tc>
        <w:tc>
          <w:tcPr>
            <w:tcW w:w="3232" w:type="dxa"/>
            <w:vAlign w:val="center"/>
          </w:tcPr>
          <w:p w14:paraId="3825FCB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廉洁协议书</w:t>
            </w:r>
          </w:p>
        </w:tc>
        <w:tc>
          <w:tcPr>
            <w:tcW w:w="1256" w:type="dxa"/>
            <w:vAlign w:val="center"/>
          </w:tcPr>
          <w:p w14:paraId="4027FF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0D182A1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22D8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A45D625">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17</w:t>
            </w:r>
          </w:p>
        </w:tc>
        <w:tc>
          <w:tcPr>
            <w:tcW w:w="1338" w:type="dxa"/>
            <w:vAlign w:val="center"/>
          </w:tcPr>
          <w:p w14:paraId="295EC6D5">
            <w:pPr>
              <w:pStyle w:val="63"/>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3232" w:type="dxa"/>
            <w:vAlign w:val="center"/>
          </w:tcPr>
          <w:p w14:paraId="09B35620">
            <w:pPr>
              <w:pStyle w:val="63"/>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不可撤销银行履约保函</w:t>
            </w:r>
          </w:p>
        </w:tc>
        <w:tc>
          <w:tcPr>
            <w:tcW w:w="1256" w:type="dxa"/>
            <w:vAlign w:val="center"/>
          </w:tcPr>
          <w:p w14:paraId="510BF39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2312777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75CF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7458D5">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338" w:type="dxa"/>
            <w:vAlign w:val="center"/>
          </w:tcPr>
          <w:p w14:paraId="51BF452C">
            <w:pPr>
              <w:pStyle w:val="63"/>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232" w:type="dxa"/>
            <w:vAlign w:val="center"/>
          </w:tcPr>
          <w:p w14:paraId="46E29E6C">
            <w:pPr>
              <w:pStyle w:val="63"/>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rPr>
              <w:t>履约保证保险凭证</w:t>
            </w:r>
          </w:p>
        </w:tc>
        <w:tc>
          <w:tcPr>
            <w:tcW w:w="1256" w:type="dxa"/>
            <w:vAlign w:val="center"/>
          </w:tcPr>
          <w:p w14:paraId="6A2FEDC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6461FA6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14:paraId="35A9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6DCC4C">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338" w:type="dxa"/>
            <w:vAlign w:val="center"/>
          </w:tcPr>
          <w:p w14:paraId="19D7E057">
            <w:pPr>
              <w:pStyle w:val="63"/>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3232" w:type="dxa"/>
            <w:vAlign w:val="center"/>
          </w:tcPr>
          <w:p w14:paraId="7A2235B7">
            <w:pPr>
              <w:pStyle w:val="63"/>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rPr>
              <w:t>担保公司履约担保书</w:t>
            </w:r>
          </w:p>
        </w:tc>
        <w:tc>
          <w:tcPr>
            <w:tcW w:w="1256" w:type="dxa"/>
            <w:vAlign w:val="center"/>
          </w:tcPr>
          <w:p w14:paraId="1E6846C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14:paraId="15583E8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bl>
    <w:p w14:paraId="43CB2D6B">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14:paraId="6A195C20">
      <w:pPr>
        <w:autoSpaceDE w:val="0"/>
        <w:autoSpaceDN w:val="0"/>
        <w:adjustRightInd w:val="0"/>
        <w:snapToGrid w:val="0"/>
        <w:spacing w:line="360" w:lineRule="auto"/>
        <w:ind w:left="166" w:leftChars="-101" w:hanging="378" w:hangingChars="18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713C01E8">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2ADF326D">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3567A4A1">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48EDC1D8">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3048A43B">
      <w:pPr>
        <w:spacing w:line="360" w:lineRule="auto"/>
        <w:ind w:left="357" w:leftChars="-100" w:hanging="567" w:hangingChars="270"/>
        <w:rPr>
          <w:rFonts w:hint="eastAsia" w:ascii="宋体" w:hAnsi="宋体" w:eastAsia="宋体" w:cs="宋体"/>
          <w:color w:val="auto"/>
          <w:szCs w:val="21"/>
          <w:highlight w:val="none"/>
        </w:rPr>
      </w:pPr>
    </w:p>
    <w:p w14:paraId="26D931BC">
      <w:pPr>
        <w:spacing w:line="360" w:lineRule="auto"/>
        <w:ind w:left="357" w:leftChars="-100" w:hanging="567" w:hangingChars="270"/>
        <w:rPr>
          <w:rFonts w:hint="eastAsia" w:ascii="宋体" w:hAnsi="宋体" w:eastAsia="宋体" w:cs="宋体"/>
          <w:color w:val="auto"/>
          <w:szCs w:val="21"/>
          <w:highlight w:val="none"/>
        </w:rPr>
      </w:pPr>
    </w:p>
    <w:p w14:paraId="3994CFAC">
      <w:pPr>
        <w:spacing w:line="360" w:lineRule="auto"/>
        <w:ind w:left="357" w:leftChars="-100" w:hanging="567" w:hangingChars="270"/>
        <w:rPr>
          <w:rFonts w:hint="eastAsia" w:ascii="宋体" w:hAnsi="宋体" w:eastAsia="宋体" w:cs="宋体"/>
          <w:color w:val="auto"/>
          <w:szCs w:val="21"/>
          <w:highlight w:val="none"/>
        </w:rPr>
      </w:pPr>
    </w:p>
    <w:p w14:paraId="7B417DBE">
      <w:pPr>
        <w:spacing w:line="360" w:lineRule="auto"/>
        <w:ind w:right="368" w:rightChars="175" w:firstLine="5355" w:firstLineChars="25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8C8D51D">
      <w:pPr>
        <w:autoSpaceDE w:val="0"/>
        <w:autoSpaceDN w:val="0"/>
        <w:adjustRightInd w:val="0"/>
        <w:spacing w:line="360" w:lineRule="auto"/>
        <w:ind w:firstLine="5355" w:firstLineChars="2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39F1ED6">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81" w:name="_Toc94107218"/>
      <w:bookmarkStart w:id="682" w:name="_Toc29505"/>
      <w:bookmarkStart w:id="683" w:name="_Toc142508377"/>
      <w:bookmarkStart w:id="684" w:name="_Toc5473"/>
      <w:bookmarkStart w:id="685" w:name="_Toc102860082"/>
      <w:bookmarkStart w:id="686" w:name="_Toc140596937"/>
      <w:bookmarkStart w:id="687" w:name="_Toc13179"/>
      <w:bookmarkStart w:id="688" w:name="_Toc102860426"/>
      <w:bookmarkStart w:id="689" w:name="_Toc26368"/>
      <w:bookmarkStart w:id="690" w:name="_Toc104991884"/>
      <w:bookmarkStart w:id="691" w:name="_Toc486167717"/>
      <w:bookmarkStart w:id="692"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81"/>
      <w:bookmarkEnd w:id="682"/>
      <w:bookmarkEnd w:id="683"/>
      <w:bookmarkEnd w:id="684"/>
      <w:bookmarkEnd w:id="685"/>
      <w:bookmarkEnd w:id="686"/>
      <w:bookmarkEnd w:id="687"/>
      <w:bookmarkEnd w:id="688"/>
      <w:bookmarkEnd w:id="689"/>
      <w:bookmarkEnd w:id="690"/>
    </w:p>
    <w:p w14:paraId="1F8C4C81">
      <w:pPr>
        <w:autoSpaceDE w:val="0"/>
        <w:autoSpaceDN w:val="0"/>
        <w:adjustRightInd w:val="0"/>
        <w:spacing w:line="360" w:lineRule="auto"/>
        <w:jc w:val="both"/>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9.1 工程造价咨询业绩</w:t>
      </w:r>
    </w:p>
    <w:p w14:paraId="2A230812">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202</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年、202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rPr>
        <w:t>年、2022</w:t>
      </w: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lang w:val="zh-CN"/>
        </w:rPr>
        <w:t>年各年</w:t>
      </w:r>
      <w:r>
        <w:rPr>
          <w:rFonts w:hint="eastAsia" w:ascii="宋体" w:hAnsi="宋体" w:eastAsia="宋体" w:cs="宋体"/>
          <w:b/>
          <w:bCs/>
          <w:color w:val="auto"/>
          <w:sz w:val="30"/>
          <w:szCs w:val="30"/>
          <w:highlight w:val="none"/>
          <w:lang w:val="en-US" w:eastAsia="zh-CN"/>
        </w:rPr>
        <w:t>度</w:t>
      </w:r>
      <w:r>
        <w:rPr>
          <w:rFonts w:hint="eastAsia" w:ascii="宋体" w:hAnsi="宋体" w:eastAsia="宋体" w:cs="宋体"/>
          <w:b/>
          <w:bCs/>
          <w:color w:val="auto"/>
          <w:sz w:val="30"/>
          <w:szCs w:val="30"/>
          <w:highlight w:val="none"/>
          <w:lang w:val="zh-CN"/>
        </w:rPr>
        <w:t>承接的概、预(或招标控制价)、结算编审业绩</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8"/>
        <w:gridCol w:w="2170"/>
        <w:gridCol w:w="1481"/>
        <w:gridCol w:w="2138"/>
        <w:gridCol w:w="1208"/>
        <w:gridCol w:w="1008"/>
        <w:gridCol w:w="1363"/>
      </w:tblGrid>
      <w:tr w14:paraId="56B53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6B7602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序号</w:t>
            </w:r>
          </w:p>
        </w:tc>
        <w:tc>
          <w:tcPr>
            <w:tcW w:w="1081" w:type="pct"/>
            <w:tcBorders>
              <w:top w:val="single" w:color="auto" w:sz="4" w:space="0"/>
              <w:left w:val="single" w:color="auto" w:sz="4" w:space="0"/>
              <w:bottom w:val="single" w:color="auto" w:sz="4" w:space="0"/>
              <w:right w:val="single" w:color="auto" w:sz="4" w:space="0"/>
            </w:tcBorders>
            <w:vAlign w:val="center"/>
          </w:tcPr>
          <w:p w14:paraId="57C93B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项目名称</w:t>
            </w:r>
          </w:p>
        </w:tc>
        <w:tc>
          <w:tcPr>
            <w:tcW w:w="738" w:type="pct"/>
            <w:tcBorders>
              <w:top w:val="single" w:color="auto" w:sz="4" w:space="0"/>
              <w:left w:val="single" w:color="auto" w:sz="4" w:space="0"/>
              <w:bottom w:val="single" w:color="auto" w:sz="4" w:space="0"/>
              <w:right w:val="single" w:color="auto" w:sz="4" w:space="0"/>
            </w:tcBorders>
            <w:vAlign w:val="center"/>
          </w:tcPr>
          <w:p w14:paraId="68E037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业主方名称</w:t>
            </w:r>
          </w:p>
        </w:tc>
        <w:tc>
          <w:tcPr>
            <w:tcW w:w="1065" w:type="pct"/>
            <w:tcBorders>
              <w:top w:val="single" w:color="auto" w:sz="4" w:space="0"/>
              <w:left w:val="single" w:color="auto" w:sz="4" w:space="0"/>
              <w:bottom w:val="single" w:color="auto" w:sz="4" w:space="0"/>
              <w:right w:val="single" w:color="auto" w:sz="4" w:space="0"/>
            </w:tcBorders>
            <w:vAlign w:val="center"/>
          </w:tcPr>
          <w:p w14:paraId="62A60C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合同类型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概/预(或招标控制价)/结算编审</w:t>
            </w:r>
            <w:r>
              <w:rPr>
                <w:rFonts w:hint="eastAsia" w:ascii="宋体" w:hAnsi="宋体" w:eastAsia="宋体" w:cs="宋体"/>
                <w:color w:val="auto"/>
                <w:sz w:val="21"/>
                <w:szCs w:val="21"/>
                <w:highlight w:val="none"/>
                <w:lang w:eastAsia="zh-CN"/>
              </w:rPr>
              <w:t>】</w:t>
            </w:r>
          </w:p>
        </w:tc>
        <w:tc>
          <w:tcPr>
            <w:tcW w:w="602" w:type="pct"/>
            <w:tcBorders>
              <w:top w:val="single" w:color="auto" w:sz="4" w:space="0"/>
              <w:left w:val="single" w:color="auto" w:sz="4" w:space="0"/>
              <w:bottom w:val="single" w:color="auto" w:sz="4" w:space="0"/>
              <w:right w:val="single" w:color="auto" w:sz="4" w:space="0"/>
            </w:tcBorders>
            <w:vAlign w:val="center"/>
          </w:tcPr>
          <w:p w14:paraId="1E4C45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502" w:type="pct"/>
            <w:tcBorders>
              <w:top w:val="single" w:color="auto" w:sz="4" w:space="0"/>
              <w:left w:val="single" w:color="auto" w:sz="4" w:space="0"/>
              <w:bottom w:val="single" w:color="auto" w:sz="4" w:space="0"/>
              <w:right w:val="single" w:color="auto" w:sz="4" w:space="0"/>
            </w:tcBorders>
            <w:vAlign w:val="center"/>
          </w:tcPr>
          <w:p w14:paraId="649FDD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lang w:val="zh-CN"/>
              </w:rPr>
              <w:t>完成情况</w:t>
            </w:r>
          </w:p>
        </w:tc>
        <w:tc>
          <w:tcPr>
            <w:tcW w:w="676" w:type="pct"/>
            <w:tcBorders>
              <w:top w:val="single" w:color="auto" w:sz="4" w:space="0"/>
              <w:left w:val="single" w:color="auto" w:sz="4" w:space="0"/>
              <w:bottom w:val="single" w:color="auto" w:sz="4" w:space="0"/>
              <w:right w:val="single" w:color="auto" w:sz="4" w:space="0"/>
            </w:tcBorders>
            <w:vAlign w:val="center"/>
          </w:tcPr>
          <w:p w14:paraId="226D66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lang w:val="zh-CN"/>
              </w:rPr>
              <w:t>电话及联系人</w:t>
            </w:r>
          </w:p>
        </w:tc>
      </w:tr>
      <w:tr w14:paraId="4BA51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187C59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年概、预(或招标控制价)、结算编审业绩</w:t>
            </w:r>
          </w:p>
        </w:tc>
      </w:tr>
      <w:tr w14:paraId="51108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6FC906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81" w:type="pct"/>
            <w:tcBorders>
              <w:top w:val="single" w:color="auto" w:sz="4" w:space="0"/>
              <w:left w:val="single" w:color="auto" w:sz="4" w:space="0"/>
              <w:bottom w:val="single" w:color="auto" w:sz="4" w:space="0"/>
              <w:right w:val="single" w:color="auto" w:sz="4" w:space="0"/>
            </w:tcBorders>
            <w:vAlign w:val="center"/>
          </w:tcPr>
          <w:p w14:paraId="77AA18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725262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342957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6A2926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4C5672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59F69F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1BA2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4C8A5C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1" w:type="pct"/>
            <w:tcBorders>
              <w:top w:val="single" w:color="auto" w:sz="4" w:space="0"/>
              <w:left w:val="single" w:color="auto" w:sz="4" w:space="0"/>
              <w:bottom w:val="single" w:color="auto" w:sz="4" w:space="0"/>
              <w:right w:val="single" w:color="auto" w:sz="4" w:space="0"/>
            </w:tcBorders>
            <w:vAlign w:val="center"/>
          </w:tcPr>
          <w:p w14:paraId="5233C9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5605F5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173D82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F83B8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6ECD8C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2F36E4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19B5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472BB3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81" w:type="pct"/>
            <w:tcBorders>
              <w:top w:val="single" w:color="auto" w:sz="4" w:space="0"/>
              <w:left w:val="single" w:color="auto" w:sz="4" w:space="0"/>
              <w:bottom w:val="single" w:color="auto" w:sz="4" w:space="0"/>
              <w:right w:val="single" w:color="auto" w:sz="4" w:space="0"/>
            </w:tcBorders>
            <w:vAlign w:val="center"/>
          </w:tcPr>
          <w:p w14:paraId="208393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29F53E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289558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5BCC1D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728C9A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3F862A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542F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4282F6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1" w:type="pct"/>
            <w:tcBorders>
              <w:top w:val="single" w:color="auto" w:sz="4" w:space="0"/>
              <w:left w:val="single" w:color="auto" w:sz="4" w:space="0"/>
              <w:bottom w:val="single" w:color="auto" w:sz="4" w:space="0"/>
              <w:right w:val="single" w:color="auto" w:sz="4" w:space="0"/>
            </w:tcBorders>
            <w:vAlign w:val="center"/>
          </w:tcPr>
          <w:p w14:paraId="6F2210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4B49B9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7489DF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348654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66499E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1394A0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79FB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34411E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二、202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年概、预(或招标控制价)、结算编审业绩</w:t>
            </w:r>
          </w:p>
        </w:tc>
      </w:tr>
      <w:tr w14:paraId="40BE9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517F75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81" w:type="pct"/>
            <w:tcBorders>
              <w:top w:val="single" w:color="auto" w:sz="4" w:space="0"/>
              <w:left w:val="single" w:color="auto" w:sz="4" w:space="0"/>
              <w:bottom w:val="single" w:color="auto" w:sz="4" w:space="0"/>
              <w:right w:val="single" w:color="auto" w:sz="4" w:space="0"/>
            </w:tcBorders>
            <w:vAlign w:val="center"/>
          </w:tcPr>
          <w:p w14:paraId="0C0499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582EC4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68C975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4AA6D1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5A1FED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5A5F49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557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034525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081" w:type="pct"/>
            <w:tcBorders>
              <w:top w:val="single" w:color="auto" w:sz="4" w:space="0"/>
              <w:left w:val="single" w:color="auto" w:sz="4" w:space="0"/>
              <w:bottom w:val="single" w:color="auto" w:sz="4" w:space="0"/>
              <w:right w:val="single" w:color="auto" w:sz="4" w:space="0"/>
            </w:tcBorders>
            <w:vAlign w:val="center"/>
          </w:tcPr>
          <w:p w14:paraId="44C82A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5D00BD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176B50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AAE63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71DC1F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3F950D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E61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086BFA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081" w:type="pct"/>
            <w:tcBorders>
              <w:top w:val="single" w:color="auto" w:sz="4" w:space="0"/>
              <w:left w:val="single" w:color="auto" w:sz="4" w:space="0"/>
              <w:bottom w:val="single" w:color="auto" w:sz="4" w:space="0"/>
              <w:right w:val="single" w:color="auto" w:sz="4" w:space="0"/>
            </w:tcBorders>
            <w:vAlign w:val="center"/>
          </w:tcPr>
          <w:p w14:paraId="695B64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5D5D30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766273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21B221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6210C8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49C73F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C430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45DF77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1" w:type="pct"/>
            <w:tcBorders>
              <w:top w:val="single" w:color="auto" w:sz="4" w:space="0"/>
              <w:left w:val="single" w:color="auto" w:sz="4" w:space="0"/>
              <w:bottom w:val="single" w:color="auto" w:sz="4" w:space="0"/>
              <w:right w:val="single" w:color="auto" w:sz="4" w:space="0"/>
            </w:tcBorders>
            <w:vAlign w:val="center"/>
          </w:tcPr>
          <w:p w14:paraId="7465D8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2D7AF8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23247F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46CFE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6D3304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7E9704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F577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378E4A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三、202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年概、预(或招标控制价)、结算编审业绩</w:t>
            </w:r>
          </w:p>
        </w:tc>
      </w:tr>
      <w:tr w14:paraId="4BEDD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327112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81" w:type="pct"/>
            <w:tcBorders>
              <w:top w:val="single" w:color="auto" w:sz="4" w:space="0"/>
              <w:left w:val="single" w:color="auto" w:sz="4" w:space="0"/>
              <w:bottom w:val="single" w:color="auto" w:sz="4" w:space="0"/>
              <w:right w:val="single" w:color="auto" w:sz="4" w:space="0"/>
            </w:tcBorders>
            <w:vAlign w:val="center"/>
          </w:tcPr>
          <w:p w14:paraId="71231A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31E5A1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3F07E5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3880EF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254737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026958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BE7F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366202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081" w:type="pct"/>
            <w:tcBorders>
              <w:top w:val="single" w:color="auto" w:sz="4" w:space="0"/>
              <w:left w:val="single" w:color="auto" w:sz="4" w:space="0"/>
              <w:bottom w:val="single" w:color="auto" w:sz="4" w:space="0"/>
              <w:right w:val="single" w:color="auto" w:sz="4" w:space="0"/>
            </w:tcBorders>
            <w:vAlign w:val="center"/>
          </w:tcPr>
          <w:p w14:paraId="767DBE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3832F8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4B5CCA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B286A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6AAFB7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25371A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F45E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09B931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081" w:type="pct"/>
            <w:tcBorders>
              <w:top w:val="single" w:color="auto" w:sz="4" w:space="0"/>
              <w:left w:val="single" w:color="auto" w:sz="4" w:space="0"/>
              <w:bottom w:val="single" w:color="auto" w:sz="4" w:space="0"/>
              <w:right w:val="single" w:color="auto" w:sz="4" w:space="0"/>
            </w:tcBorders>
            <w:vAlign w:val="center"/>
          </w:tcPr>
          <w:p w14:paraId="033092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19A5BF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7EF90E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B15E6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189094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73F8E6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1F5C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14:paraId="3FB670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1" w:type="pct"/>
            <w:tcBorders>
              <w:top w:val="single" w:color="auto" w:sz="4" w:space="0"/>
              <w:left w:val="single" w:color="auto" w:sz="4" w:space="0"/>
              <w:bottom w:val="single" w:color="auto" w:sz="4" w:space="0"/>
              <w:right w:val="single" w:color="auto" w:sz="4" w:space="0"/>
            </w:tcBorders>
            <w:vAlign w:val="center"/>
          </w:tcPr>
          <w:p w14:paraId="282135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38" w:type="pct"/>
            <w:tcBorders>
              <w:top w:val="single" w:color="auto" w:sz="4" w:space="0"/>
              <w:left w:val="single" w:color="auto" w:sz="4" w:space="0"/>
              <w:bottom w:val="single" w:color="auto" w:sz="4" w:space="0"/>
              <w:right w:val="single" w:color="auto" w:sz="4" w:space="0"/>
            </w:tcBorders>
            <w:vAlign w:val="center"/>
          </w:tcPr>
          <w:p w14:paraId="78AAF9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pct"/>
            <w:tcBorders>
              <w:top w:val="single" w:color="auto" w:sz="4" w:space="0"/>
              <w:left w:val="single" w:color="auto" w:sz="4" w:space="0"/>
              <w:bottom w:val="single" w:color="auto" w:sz="4" w:space="0"/>
              <w:right w:val="single" w:color="auto" w:sz="4" w:space="0"/>
            </w:tcBorders>
            <w:vAlign w:val="center"/>
          </w:tcPr>
          <w:p w14:paraId="5F5E45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3F6569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01938C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121FF1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561E7D0">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14:paraId="65A6107A">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5F6F0501">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（1）同一个单项合同的业绩可以同时在资格业绩和评分业绩重复放置；</w:t>
      </w:r>
    </w:p>
    <w:p w14:paraId="0030E016">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（2）业绩须附合同及项目的相关成果文件关键页复印件加盖投标人公章，否则不得分。；</w:t>
      </w:r>
    </w:p>
    <w:p w14:paraId="549F7A44">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w:t>
      </w:r>
      <w:r>
        <w:rPr>
          <w:rFonts w:hint="eastAsia" w:ascii="宋体" w:hAnsi="宋体" w:eastAsia="宋体" w:cs="宋体"/>
          <w:b/>
          <w:color w:val="auto"/>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反映评分条件[合同签订日期为202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年1月1日或以后，合同标的必须为概</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预(或招标控制价)</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结算编审业绩]</w:t>
      </w:r>
      <w:r>
        <w:rPr>
          <w:rFonts w:hint="eastAsia" w:ascii="宋体" w:hAnsi="宋体" w:eastAsia="宋体" w:cs="宋体"/>
          <w:b/>
          <w:color w:val="auto"/>
          <w:sz w:val="21"/>
          <w:szCs w:val="21"/>
          <w:highlight w:val="none"/>
          <w:lang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出具的书面补充情况说明文件复印件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补充情况说明文件复印件能显示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），否则不得分</w:t>
      </w:r>
      <w:r>
        <w:rPr>
          <w:rFonts w:hint="eastAsia" w:ascii="宋体" w:hAnsi="宋体" w:eastAsia="宋体" w:cs="宋体"/>
          <w:color w:val="auto"/>
          <w:szCs w:val="24"/>
          <w:highlight w:val="none"/>
          <w:lang w:val="zh-CN"/>
        </w:rPr>
        <w:t>；</w:t>
      </w:r>
    </w:p>
    <w:p w14:paraId="74272ADA">
      <w:pPr>
        <w:pStyle w:val="129"/>
        <w:keepNext w:val="0"/>
        <w:keepLines w:val="0"/>
        <w:numPr>
          <w:ilvl w:val="0"/>
          <w:numId w:val="0"/>
        </w:numPr>
        <w:suppressLineNumbers w:val="0"/>
        <w:adjustRightInd/>
        <w:spacing w:before="0" w:beforeAutospacing="0" w:after="0" w:afterAutospacing="0" w:line="360" w:lineRule="auto"/>
        <w:ind w:left="436" w:leftChars="0" w:right="0" w:hanging="436" w:hangingChars="208"/>
        <w:jc w:val="both"/>
        <w:rPr>
          <w:rFonts w:hint="eastAsia" w:ascii="宋体" w:hAnsi="宋体" w:eastAsia="宋体" w:cs="宋体"/>
          <w:b/>
          <w:bCs/>
          <w:color w:val="auto"/>
          <w:sz w:val="21"/>
          <w:szCs w:val="21"/>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w:t>
      </w:r>
      <w:r>
        <w:rPr>
          <w:rFonts w:hint="eastAsia" w:ascii="宋体" w:hAnsi="宋体" w:eastAsia="宋体" w:cs="宋体"/>
          <w:b/>
          <w:bCs/>
          <w:color w:val="auto"/>
          <w:sz w:val="21"/>
          <w:szCs w:val="21"/>
          <w:highlight w:val="none"/>
          <w:lang w:val="zh-CN"/>
        </w:rPr>
        <w:t>若业绩合同为框架式协议或资格入围的，须同时提供</w:t>
      </w:r>
      <w:r>
        <w:rPr>
          <w:rFonts w:hint="eastAsia" w:ascii="宋体" w:hAnsi="宋体" w:eastAsia="宋体" w:cs="宋体"/>
          <w:b/>
          <w:bCs/>
          <w:color w:val="auto"/>
          <w:sz w:val="21"/>
          <w:szCs w:val="21"/>
          <w:highlight w:val="none"/>
          <w:lang w:val="en-US" w:eastAsia="zh-CN"/>
        </w:rPr>
        <w:t>框架协议合同（或资格入围合同）</w:t>
      </w:r>
      <w:r>
        <w:rPr>
          <w:rFonts w:hint="eastAsia" w:ascii="宋体" w:hAnsi="宋体" w:eastAsia="宋体" w:cs="宋体"/>
          <w:b/>
          <w:bCs/>
          <w:color w:val="auto"/>
          <w:sz w:val="21"/>
          <w:szCs w:val="21"/>
          <w:highlight w:val="none"/>
          <w:lang w:val="zh-CN"/>
        </w:rPr>
        <w:t>及合同期内对应的项目成果文件，按成果文件数量计算得分；</w:t>
      </w:r>
    </w:p>
    <w:p w14:paraId="26D435DA">
      <w:pPr>
        <w:autoSpaceDE w:val="0"/>
        <w:autoSpaceDN w:val="0"/>
        <w:adjustRightInd w:val="0"/>
        <w:snapToGrid w:val="0"/>
        <w:spacing w:line="360" w:lineRule="auto"/>
        <w:ind w:left="422" w:leftChars="0" w:hanging="422" w:hangingChars="200"/>
        <w:jc w:val="left"/>
        <w:rPr>
          <w:rFonts w:hint="eastAsia" w:ascii="宋体" w:hAnsi="宋体" w:eastAsia="宋体" w:cs="宋体"/>
          <w:color w:val="auto"/>
          <w:szCs w:val="24"/>
          <w:highlight w:val="none"/>
          <w:lang w:val="zh-CN"/>
        </w:rPr>
      </w:pPr>
      <w:r>
        <w:rPr>
          <w:rFonts w:hint="eastAsia" w:ascii="宋体" w:hAnsi="宋体" w:eastAsia="宋体" w:cs="宋体"/>
          <w:b/>
          <w:bCs/>
          <w:color w:val="auto"/>
          <w:sz w:val="21"/>
          <w:szCs w:val="21"/>
          <w:highlight w:val="none"/>
          <w:lang w:val="en-US" w:eastAsia="zh-CN"/>
        </w:rPr>
        <w:t>（5）每年度至少须有20项造价咨询业绩【含概、预(或招标控制价)、结算编审业绩】是指：每一个年度内投标人业绩内容必须至少涵盖1个概算编审业绩、1个预算(或招标控制价)编审业绩、1个结算编审业绩，且三者总和达20项（含20项），而非三者分别需20项业绩。若一份合同中同时包括概、预(或招标控制价)、结算编审业绩的仅按一项业绩计算；</w:t>
      </w:r>
    </w:p>
    <w:p w14:paraId="71899126">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w:t>
      </w:r>
      <w:r>
        <w:rPr>
          <w:rFonts w:hint="eastAsia" w:ascii="宋体" w:hAnsi="宋体" w:eastAsia="宋体" w:cs="宋体"/>
          <w:color w:val="auto"/>
          <w:kern w:val="2"/>
          <w:sz w:val="21"/>
          <w:szCs w:val="21"/>
          <w:highlight w:val="none"/>
        </w:rPr>
        <w:t>业绩不重复计算，由投标人自行放入对应的评分子项</w:t>
      </w:r>
      <w:r>
        <w:rPr>
          <w:rFonts w:hint="eastAsia" w:ascii="宋体" w:hAnsi="宋体" w:eastAsia="宋体" w:cs="宋体"/>
          <w:color w:val="auto"/>
          <w:kern w:val="2"/>
          <w:sz w:val="21"/>
          <w:szCs w:val="21"/>
          <w:highlight w:val="none"/>
          <w:lang w:eastAsia="zh-CN"/>
        </w:rPr>
        <w:t>；</w:t>
      </w:r>
    </w:p>
    <w:p w14:paraId="4C3B3C54">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622DBAEF">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p w14:paraId="2C1EE3F9">
      <w:pPr>
        <w:autoSpaceDE w:val="0"/>
        <w:autoSpaceDN w:val="0"/>
        <w:adjustRightInd w:val="0"/>
        <w:spacing w:line="360" w:lineRule="auto"/>
        <w:ind w:firstLine="5040" w:firstLineChars="240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51538B83">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3EF0756B">
      <w:pPr>
        <w:autoSpaceDE w:val="0"/>
        <w:autoSpaceDN w:val="0"/>
        <w:adjustRightInd w:val="0"/>
        <w:spacing w:line="360" w:lineRule="auto"/>
        <w:rPr>
          <w:rFonts w:hint="eastAsia" w:ascii="宋体" w:hAnsi="宋体" w:eastAsia="宋体" w:cs="宋体"/>
          <w:b/>
          <w:bCs/>
          <w:color w:val="auto"/>
          <w:sz w:val="30"/>
          <w:szCs w:val="30"/>
          <w:highlight w:val="none"/>
          <w:lang w:val="zh-CN"/>
        </w:rPr>
      </w:pPr>
    </w:p>
    <w:p w14:paraId="658316A4">
      <w:pPr>
        <w:keepNext w:val="0"/>
        <w:keepLines w:val="0"/>
        <w:pageBreakBefore/>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9.2不同类型工程编审业绩</w:t>
      </w:r>
    </w:p>
    <w:p w14:paraId="037494B0">
      <w:pPr>
        <w:autoSpaceDE w:val="0"/>
        <w:autoSpaceDN w:val="0"/>
        <w:adjustRightIn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eastAsia="zh-CN"/>
        </w:rPr>
        <w:t>202</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eastAsia="zh-CN"/>
        </w:rPr>
        <w:t>年1月1日至今</w:t>
      </w:r>
      <w:r>
        <w:rPr>
          <w:rFonts w:hint="eastAsia" w:ascii="宋体" w:hAnsi="宋体" w:eastAsia="宋体" w:cs="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eastAsia="zh-CN"/>
        </w:rPr>
        <w:t>的不同类型工程编审业绩情况表</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103"/>
        <w:gridCol w:w="1625"/>
        <w:gridCol w:w="1299"/>
        <w:gridCol w:w="1840"/>
        <w:gridCol w:w="924"/>
        <w:gridCol w:w="1598"/>
      </w:tblGrid>
      <w:tr w14:paraId="3562C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2390E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序号</w:t>
            </w:r>
          </w:p>
        </w:tc>
        <w:tc>
          <w:tcPr>
            <w:tcW w:w="1047" w:type="pct"/>
            <w:tcBorders>
              <w:top w:val="single" w:color="auto" w:sz="4" w:space="0"/>
              <w:left w:val="single" w:color="auto" w:sz="4" w:space="0"/>
              <w:bottom w:val="single" w:color="auto" w:sz="4" w:space="0"/>
              <w:right w:val="single" w:color="auto" w:sz="4" w:space="0"/>
            </w:tcBorders>
            <w:vAlign w:val="center"/>
          </w:tcPr>
          <w:p w14:paraId="44D3D8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项目名称</w:t>
            </w:r>
          </w:p>
        </w:tc>
        <w:tc>
          <w:tcPr>
            <w:tcW w:w="809" w:type="pct"/>
            <w:tcBorders>
              <w:top w:val="single" w:color="auto" w:sz="4" w:space="0"/>
              <w:left w:val="single" w:color="auto" w:sz="4" w:space="0"/>
              <w:bottom w:val="single" w:color="auto" w:sz="4" w:space="0"/>
              <w:right w:val="single" w:color="auto" w:sz="4" w:space="0"/>
            </w:tcBorders>
            <w:vAlign w:val="center"/>
          </w:tcPr>
          <w:p w14:paraId="393B8A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业主方名称</w:t>
            </w:r>
          </w:p>
        </w:tc>
        <w:tc>
          <w:tcPr>
            <w:tcW w:w="646" w:type="pct"/>
            <w:tcBorders>
              <w:top w:val="single" w:color="auto" w:sz="4" w:space="0"/>
              <w:left w:val="single" w:color="auto" w:sz="4" w:space="0"/>
              <w:bottom w:val="single" w:color="auto" w:sz="4" w:space="0"/>
              <w:right w:val="single" w:color="auto" w:sz="4" w:space="0"/>
            </w:tcBorders>
            <w:vAlign w:val="center"/>
          </w:tcPr>
          <w:p w14:paraId="15D28F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合同类型【概/预</w:t>
            </w:r>
            <w:r>
              <w:rPr>
                <w:rFonts w:hint="eastAsia" w:ascii="宋体" w:hAnsi="宋体" w:eastAsia="宋体" w:cs="宋体"/>
                <w:color w:val="auto"/>
                <w:kern w:val="2"/>
                <w:sz w:val="21"/>
                <w:szCs w:val="21"/>
                <w:highlight w:val="none"/>
                <w:lang w:val="zh-CN" w:eastAsia="zh-CN"/>
              </w:rPr>
              <w:t>(或招标控制价)</w:t>
            </w:r>
            <w:r>
              <w:rPr>
                <w:rFonts w:hint="eastAsia" w:ascii="宋体" w:hAnsi="宋体" w:eastAsia="宋体" w:cs="宋体"/>
                <w:color w:val="auto"/>
                <w:kern w:val="2"/>
                <w:sz w:val="21"/>
                <w:szCs w:val="21"/>
                <w:highlight w:val="none"/>
                <w:lang w:val="zh-CN"/>
              </w:rPr>
              <w:t>/结算编审】</w:t>
            </w:r>
          </w:p>
        </w:tc>
        <w:tc>
          <w:tcPr>
            <w:tcW w:w="916" w:type="pct"/>
            <w:tcBorders>
              <w:top w:val="single" w:color="auto" w:sz="4" w:space="0"/>
              <w:left w:val="single" w:color="auto" w:sz="4" w:space="0"/>
              <w:bottom w:val="single" w:color="auto" w:sz="4" w:space="0"/>
              <w:right w:val="single" w:color="auto" w:sz="4" w:space="0"/>
            </w:tcBorders>
            <w:vAlign w:val="center"/>
          </w:tcPr>
          <w:p w14:paraId="2E089B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合同签订时间</w:t>
            </w:r>
          </w:p>
        </w:tc>
        <w:tc>
          <w:tcPr>
            <w:tcW w:w="460" w:type="pct"/>
            <w:tcBorders>
              <w:top w:val="single" w:color="auto" w:sz="4" w:space="0"/>
              <w:left w:val="single" w:color="auto" w:sz="4" w:space="0"/>
              <w:bottom w:val="single" w:color="auto" w:sz="4" w:space="0"/>
              <w:right w:val="single" w:color="auto" w:sz="4" w:space="0"/>
            </w:tcBorders>
            <w:vAlign w:val="center"/>
          </w:tcPr>
          <w:p w14:paraId="33E5F0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lang w:val="zh-CN"/>
              </w:rPr>
              <w:t>完成情况</w:t>
            </w:r>
          </w:p>
        </w:tc>
        <w:tc>
          <w:tcPr>
            <w:tcW w:w="795" w:type="pct"/>
            <w:tcBorders>
              <w:top w:val="single" w:color="auto" w:sz="4" w:space="0"/>
              <w:left w:val="single" w:color="auto" w:sz="4" w:space="0"/>
              <w:bottom w:val="single" w:color="auto" w:sz="4" w:space="0"/>
              <w:right w:val="single" w:color="auto" w:sz="4" w:space="0"/>
            </w:tcBorders>
            <w:vAlign w:val="center"/>
          </w:tcPr>
          <w:p w14:paraId="1E0BBD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lang w:val="zh-CN"/>
              </w:rPr>
              <w:t>电话及联系人</w:t>
            </w:r>
          </w:p>
        </w:tc>
      </w:tr>
      <w:tr w14:paraId="5C813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12C9D2BC">
            <w:pPr>
              <w:keepNext w:val="0"/>
              <w:keepLines w:val="0"/>
              <w:suppressLineNumbers w:val="0"/>
              <w:spacing w:before="0" w:beforeAutospacing="0" w:after="0" w:afterAutospacing="0" w:line="360" w:lineRule="auto"/>
              <w:ind w:left="0" w:right="0"/>
              <w:jc w:val="center"/>
              <w:rPr>
                <w:rFonts w:hint="eastAsia"/>
                <w:color w:val="auto"/>
                <w:highlight w:val="none"/>
              </w:rPr>
            </w:pPr>
            <w:r>
              <w:rPr>
                <w:rFonts w:hint="eastAsia" w:ascii="宋体" w:hAnsi="宋体" w:eastAsia="宋体" w:cs="宋体"/>
                <w:b/>
                <w:bCs/>
                <w:color w:val="auto"/>
                <w:sz w:val="21"/>
                <w:szCs w:val="21"/>
                <w:highlight w:val="none"/>
              </w:rPr>
              <w:t>一、房建（</w:t>
            </w:r>
            <w:r>
              <w:rPr>
                <w:rFonts w:hint="eastAsia" w:ascii="宋体" w:hAnsi="宋体" w:eastAsia="宋体" w:cs="宋体"/>
                <w:b/>
                <w:bCs/>
                <w:color w:val="auto"/>
                <w:sz w:val="21"/>
                <w:szCs w:val="21"/>
                <w:highlight w:val="none"/>
                <w:lang w:val="en-US" w:eastAsia="zh-CN"/>
              </w:rPr>
              <w:t>须包含装修装饰或者房屋修缮或者房屋加固</w:t>
            </w:r>
            <w:r>
              <w:rPr>
                <w:rFonts w:hint="eastAsia" w:ascii="宋体" w:hAnsi="宋体" w:eastAsia="宋体" w:cs="宋体"/>
                <w:b/>
                <w:bCs/>
                <w:color w:val="auto"/>
                <w:sz w:val="21"/>
                <w:szCs w:val="21"/>
                <w:highlight w:val="none"/>
              </w:rPr>
              <w:t>）编审业绩</w:t>
            </w:r>
          </w:p>
        </w:tc>
      </w:tr>
      <w:tr w14:paraId="6CF3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67862F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p>
        </w:tc>
        <w:tc>
          <w:tcPr>
            <w:tcW w:w="1047" w:type="pct"/>
            <w:tcBorders>
              <w:top w:val="single" w:color="auto" w:sz="4" w:space="0"/>
              <w:left w:val="single" w:color="auto" w:sz="4" w:space="0"/>
              <w:bottom w:val="single" w:color="auto" w:sz="4" w:space="0"/>
              <w:right w:val="single" w:color="auto" w:sz="4" w:space="0"/>
            </w:tcBorders>
            <w:vAlign w:val="center"/>
          </w:tcPr>
          <w:p w14:paraId="6AC266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516A14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6" w:type="pct"/>
            <w:tcBorders>
              <w:top w:val="single" w:color="auto" w:sz="4" w:space="0"/>
              <w:left w:val="single" w:color="auto" w:sz="4" w:space="0"/>
              <w:bottom w:val="single" w:color="auto" w:sz="4" w:space="0"/>
              <w:right w:val="single" w:color="auto" w:sz="4" w:space="0"/>
            </w:tcBorders>
            <w:vAlign w:val="center"/>
          </w:tcPr>
          <w:p w14:paraId="041D56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06B4FC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492286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21C2C2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7450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DEF4D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p>
        </w:tc>
        <w:tc>
          <w:tcPr>
            <w:tcW w:w="1047" w:type="pct"/>
            <w:tcBorders>
              <w:top w:val="single" w:color="auto" w:sz="4" w:space="0"/>
              <w:left w:val="single" w:color="auto" w:sz="4" w:space="0"/>
              <w:bottom w:val="single" w:color="auto" w:sz="4" w:space="0"/>
              <w:right w:val="single" w:color="auto" w:sz="4" w:space="0"/>
            </w:tcBorders>
            <w:vAlign w:val="center"/>
          </w:tcPr>
          <w:p w14:paraId="1721F8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362291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6" w:type="pct"/>
            <w:tcBorders>
              <w:top w:val="single" w:color="auto" w:sz="4" w:space="0"/>
              <w:left w:val="single" w:color="auto" w:sz="4" w:space="0"/>
              <w:bottom w:val="single" w:color="auto" w:sz="4" w:space="0"/>
              <w:right w:val="single" w:color="auto" w:sz="4" w:space="0"/>
            </w:tcBorders>
            <w:vAlign w:val="center"/>
          </w:tcPr>
          <w:p w14:paraId="751385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6AF9C8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0571B1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0D0491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9CED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BE4CC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tc>
        <w:tc>
          <w:tcPr>
            <w:tcW w:w="1047" w:type="pct"/>
            <w:tcBorders>
              <w:top w:val="single" w:color="auto" w:sz="4" w:space="0"/>
              <w:left w:val="single" w:color="auto" w:sz="4" w:space="0"/>
              <w:bottom w:val="single" w:color="auto" w:sz="4" w:space="0"/>
              <w:right w:val="single" w:color="auto" w:sz="4" w:space="0"/>
            </w:tcBorders>
            <w:vAlign w:val="center"/>
          </w:tcPr>
          <w:p w14:paraId="05BA5E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14660F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6" w:type="pct"/>
            <w:tcBorders>
              <w:top w:val="single" w:color="auto" w:sz="4" w:space="0"/>
              <w:left w:val="single" w:color="auto" w:sz="4" w:space="0"/>
              <w:bottom w:val="single" w:color="auto" w:sz="4" w:space="0"/>
              <w:right w:val="single" w:color="auto" w:sz="4" w:space="0"/>
            </w:tcBorders>
            <w:vAlign w:val="center"/>
          </w:tcPr>
          <w:p w14:paraId="3CD375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76C118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7C4EFB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276566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955A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F57A20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二、市政工程</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须包含给水工程</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编审业绩</w:t>
            </w:r>
          </w:p>
        </w:tc>
      </w:tr>
      <w:tr w14:paraId="4F719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7F088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7" w:type="pct"/>
            <w:tcBorders>
              <w:top w:val="single" w:color="auto" w:sz="4" w:space="0"/>
              <w:left w:val="single" w:color="auto" w:sz="4" w:space="0"/>
              <w:bottom w:val="single" w:color="auto" w:sz="4" w:space="0"/>
              <w:right w:val="single" w:color="auto" w:sz="4" w:space="0"/>
            </w:tcBorders>
            <w:vAlign w:val="center"/>
          </w:tcPr>
          <w:p w14:paraId="092FDB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7D6CB2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6" w:type="pct"/>
            <w:tcBorders>
              <w:top w:val="single" w:color="auto" w:sz="4" w:space="0"/>
              <w:left w:val="single" w:color="auto" w:sz="4" w:space="0"/>
              <w:bottom w:val="single" w:color="auto" w:sz="4" w:space="0"/>
              <w:right w:val="single" w:color="auto" w:sz="4" w:space="0"/>
            </w:tcBorders>
            <w:vAlign w:val="center"/>
          </w:tcPr>
          <w:p w14:paraId="1617F4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50B8AF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0B19A9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4864C4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56EC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0C9B4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7" w:type="pct"/>
            <w:tcBorders>
              <w:top w:val="single" w:color="auto" w:sz="4" w:space="0"/>
              <w:left w:val="single" w:color="auto" w:sz="4" w:space="0"/>
              <w:bottom w:val="single" w:color="auto" w:sz="4" w:space="0"/>
              <w:right w:val="single" w:color="auto" w:sz="4" w:space="0"/>
            </w:tcBorders>
            <w:vAlign w:val="center"/>
          </w:tcPr>
          <w:p w14:paraId="4A4694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74EAA4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6" w:type="pct"/>
            <w:tcBorders>
              <w:top w:val="single" w:color="auto" w:sz="4" w:space="0"/>
              <w:left w:val="single" w:color="auto" w:sz="4" w:space="0"/>
              <w:bottom w:val="single" w:color="auto" w:sz="4" w:space="0"/>
              <w:right w:val="single" w:color="auto" w:sz="4" w:space="0"/>
            </w:tcBorders>
            <w:vAlign w:val="center"/>
          </w:tcPr>
          <w:p w14:paraId="5D5BFF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323748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7EDB03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6E7678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2D14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3F176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47" w:type="pct"/>
            <w:tcBorders>
              <w:top w:val="single" w:color="auto" w:sz="4" w:space="0"/>
              <w:left w:val="single" w:color="auto" w:sz="4" w:space="0"/>
              <w:bottom w:val="single" w:color="auto" w:sz="4" w:space="0"/>
              <w:right w:val="single" w:color="auto" w:sz="4" w:space="0"/>
            </w:tcBorders>
            <w:vAlign w:val="center"/>
          </w:tcPr>
          <w:p w14:paraId="0241F0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11F222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6" w:type="pct"/>
            <w:tcBorders>
              <w:top w:val="single" w:color="auto" w:sz="4" w:space="0"/>
              <w:left w:val="single" w:color="auto" w:sz="4" w:space="0"/>
              <w:bottom w:val="single" w:color="auto" w:sz="4" w:space="0"/>
              <w:right w:val="single" w:color="auto" w:sz="4" w:space="0"/>
            </w:tcBorders>
            <w:vAlign w:val="center"/>
          </w:tcPr>
          <w:p w14:paraId="771F18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14:paraId="6F2BED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0810C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67D56B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A3B65AA">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p>
    <w:p w14:paraId="198EF32F">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380A8DE5">
      <w:pPr>
        <w:numPr>
          <w:ilvl w:val="0"/>
          <w:numId w:val="0"/>
        </w:numPr>
        <w:snapToGrid w:val="0"/>
        <w:spacing w:line="360" w:lineRule="auto"/>
        <w:ind w:left="481" w:leftChars="-4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）同一个单项合同的业绩可以同时在资格业绩和评分业绩重复放置；</w:t>
      </w:r>
    </w:p>
    <w:p w14:paraId="667D40CF">
      <w:pPr>
        <w:snapToGrid w:val="0"/>
        <w:spacing w:line="360" w:lineRule="auto"/>
        <w:ind w:left="481" w:leftChars="-4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2"/>
          <w:sz w:val="21"/>
          <w:szCs w:val="24"/>
          <w:highlight w:val="none"/>
          <w:lang w:val="zh-CN" w:eastAsia="zh-CN" w:bidi="ar-SA"/>
        </w:rPr>
        <w:t>（2）</w:t>
      </w:r>
      <w:r>
        <w:rPr>
          <w:rFonts w:hint="eastAsia" w:ascii="宋体" w:hAnsi="宋体" w:eastAsia="宋体" w:cs="宋体"/>
          <w:color w:val="auto"/>
          <w:szCs w:val="24"/>
          <w:highlight w:val="none"/>
          <w:lang w:val="zh-CN"/>
        </w:rPr>
        <w:t>业绩须附合同及项目的相关成果文件关键页复印件加盖投标人公章，否则不得分；</w:t>
      </w:r>
    </w:p>
    <w:p w14:paraId="137C70D0">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宋体"/>
          <w:b/>
          <w:bCs/>
          <w:color w:val="auto"/>
          <w:sz w:val="21"/>
          <w:szCs w:val="21"/>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w:t>
      </w:r>
      <w:r>
        <w:rPr>
          <w:rFonts w:hint="eastAsia" w:ascii="宋体" w:hAnsi="宋体" w:eastAsia="宋体" w:cs="宋体"/>
          <w:b/>
          <w:bCs/>
          <w:color w:val="auto"/>
          <w:sz w:val="21"/>
          <w:szCs w:val="21"/>
          <w:highlight w:val="none"/>
          <w:lang w:val="zh-CN"/>
        </w:rPr>
        <w:t>若业绩合同为框架式协议或资格入围的，须同时提供</w:t>
      </w:r>
      <w:r>
        <w:rPr>
          <w:rFonts w:hint="eastAsia" w:ascii="宋体" w:hAnsi="宋体" w:eastAsia="宋体" w:cs="宋体"/>
          <w:b/>
          <w:bCs/>
          <w:color w:val="auto"/>
          <w:sz w:val="21"/>
          <w:szCs w:val="21"/>
          <w:highlight w:val="none"/>
          <w:lang w:val="en-US" w:eastAsia="zh-CN"/>
        </w:rPr>
        <w:t>框架协议合同（或资格入围合同）</w:t>
      </w:r>
      <w:r>
        <w:rPr>
          <w:rFonts w:hint="eastAsia" w:ascii="宋体" w:hAnsi="宋体" w:eastAsia="宋体" w:cs="宋体"/>
          <w:b/>
          <w:bCs/>
          <w:color w:val="auto"/>
          <w:sz w:val="21"/>
          <w:szCs w:val="21"/>
          <w:highlight w:val="none"/>
          <w:lang w:val="zh-CN"/>
        </w:rPr>
        <w:t>及合同期内对应的项目成果文件，按成果文件数量计算得分；</w:t>
      </w:r>
    </w:p>
    <w:p w14:paraId="1A05EC57">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w:t>
      </w:r>
      <w:r>
        <w:rPr>
          <w:rFonts w:hint="eastAsia" w:ascii="宋体" w:hAnsi="宋体" w:eastAsia="宋体" w:cs="宋体"/>
          <w:b/>
          <w:color w:val="auto"/>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反映评分条件[合同签订日期为202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年1月1日或以后，合同标的必须为概</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预</w:t>
      </w:r>
      <w:r>
        <w:rPr>
          <w:rFonts w:hint="eastAsia" w:ascii="宋体" w:hAnsi="宋体" w:eastAsia="宋体" w:cs="宋体"/>
          <w:b/>
          <w:bCs/>
          <w:color w:val="auto"/>
          <w:sz w:val="21"/>
          <w:szCs w:val="21"/>
          <w:highlight w:val="none"/>
          <w:lang w:val="en-US" w:eastAsia="zh-CN"/>
        </w:rPr>
        <w:t>(或招标控制价)</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结算编审业绩]</w:t>
      </w:r>
      <w:r>
        <w:rPr>
          <w:rFonts w:hint="eastAsia" w:ascii="宋体" w:hAnsi="宋体" w:eastAsia="宋体" w:cs="宋体"/>
          <w:b/>
          <w:color w:val="auto"/>
          <w:sz w:val="21"/>
          <w:szCs w:val="21"/>
          <w:highlight w:val="none"/>
          <w:lang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出具的书面补充情况说明文件复印件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补充情况说明文件复印件能显示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），否则不得分</w:t>
      </w:r>
      <w:r>
        <w:rPr>
          <w:rFonts w:hint="eastAsia" w:ascii="宋体" w:hAnsi="宋体" w:eastAsia="宋体" w:cs="宋体"/>
          <w:color w:val="auto"/>
          <w:szCs w:val="24"/>
          <w:highlight w:val="none"/>
          <w:lang w:val="zh-CN"/>
        </w:rPr>
        <w:t>；</w:t>
      </w:r>
    </w:p>
    <w:p w14:paraId="7F0D99C3">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w:t>
      </w:r>
      <w:r>
        <w:rPr>
          <w:rFonts w:hint="eastAsia" w:ascii="宋体" w:hAnsi="宋体" w:eastAsia="宋体" w:cs="宋体"/>
          <w:b/>
          <w:bCs/>
          <w:color w:val="auto"/>
          <w:sz w:val="21"/>
          <w:szCs w:val="21"/>
          <w:highlight w:val="none"/>
          <w:lang w:val="en-US" w:eastAsia="zh-CN"/>
        </w:rPr>
        <w:t>若一份合同中同时包括该对应类型的概、预(或招标控制价)、结算编审业绩则可视为满足业绩得分基础要求，但仅作为一份合同业绩计分；</w:t>
      </w:r>
    </w:p>
    <w:p w14:paraId="46540A5A">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w:t>
      </w:r>
      <w:r>
        <w:rPr>
          <w:rFonts w:hint="eastAsia" w:ascii="宋体" w:hAnsi="宋体" w:eastAsia="宋体" w:cs="宋体"/>
          <w:color w:val="auto"/>
          <w:kern w:val="2"/>
          <w:sz w:val="21"/>
          <w:szCs w:val="21"/>
          <w:highlight w:val="none"/>
        </w:rPr>
        <w:t>业绩不重复计算，由投标人自行放入对应的评分子项</w:t>
      </w:r>
      <w:r>
        <w:rPr>
          <w:rFonts w:hint="eastAsia" w:ascii="宋体" w:hAnsi="宋体" w:eastAsia="宋体" w:cs="宋体"/>
          <w:color w:val="auto"/>
          <w:kern w:val="2"/>
          <w:sz w:val="21"/>
          <w:szCs w:val="21"/>
          <w:highlight w:val="none"/>
          <w:lang w:eastAsia="zh-CN"/>
        </w:rPr>
        <w:t>；</w:t>
      </w:r>
    </w:p>
    <w:p w14:paraId="2BC474F5">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08491170">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p w14:paraId="1A6E30EE">
      <w:pPr>
        <w:autoSpaceDE w:val="0"/>
        <w:autoSpaceDN w:val="0"/>
        <w:adjustRightInd w:val="0"/>
        <w:spacing w:line="360" w:lineRule="auto"/>
        <w:ind w:firstLine="5040" w:firstLineChars="240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14C122F4">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7EB3C124">
      <w:pPr>
        <w:pStyle w:val="45"/>
        <w:rPr>
          <w:rFonts w:hint="eastAsia" w:ascii="宋体" w:hAnsi="宋体" w:eastAsia="宋体" w:cs="宋体"/>
          <w:color w:val="auto"/>
          <w:sz w:val="21"/>
          <w:szCs w:val="21"/>
          <w:highlight w:val="none"/>
          <w:lang w:val="en-US" w:eastAsia="zh-CN"/>
        </w:rPr>
      </w:pPr>
    </w:p>
    <w:bookmarkEnd w:id="691"/>
    <w:bookmarkEnd w:id="692"/>
    <w:p w14:paraId="306A54E2">
      <w:pPr>
        <w:keepNext w:val="0"/>
        <w:keepLines w:val="0"/>
        <w:pageBreakBefore/>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30"/>
          <w:szCs w:val="30"/>
          <w:highlight w:val="none"/>
          <w:lang w:val="en-US" w:eastAsia="zh-CN"/>
        </w:rPr>
      </w:pPr>
      <w:bookmarkStart w:id="693" w:name="_Toc140596938"/>
      <w:bookmarkStart w:id="694" w:name="_Toc31965"/>
      <w:bookmarkStart w:id="695" w:name="_Toc18413"/>
      <w:bookmarkStart w:id="696" w:name="_Toc18175_WPSOffice_Level2"/>
      <w:bookmarkStart w:id="697" w:name="_Toc102860427"/>
      <w:bookmarkStart w:id="698" w:name="_Toc533708132"/>
      <w:bookmarkStart w:id="699" w:name="_Toc94107220"/>
      <w:bookmarkStart w:id="700" w:name="_Toc18539"/>
      <w:bookmarkStart w:id="701" w:name="_Toc486167719"/>
      <w:bookmarkStart w:id="702" w:name="_Toc1977737"/>
      <w:bookmarkStart w:id="703" w:name="_Toc102860083"/>
      <w:bookmarkStart w:id="704" w:name="_Toc104991885"/>
      <w:bookmarkStart w:id="705" w:name="_Toc142508378"/>
      <w:bookmarkStart w:id="706" w:name="_Toc19890"/>
      <w:r>
        <w:rPr>
          <w:rFonts w:hint="eastAsia" w:ascii="宋体" w:hAnsi="宋体" w:eastAsia="宋体" w:cs="宋体"/>
          <w:b/>
          <w:bCs/>
          <w:color w:val="auto"/>
          <w:sz w:val="30"/>
          <w:szCs w:val="30"/>
          <w:highlight w:val="none"/>
          <w:lang w:val="en-US" w:eastAsia="zh-CN"/>
        </w:rPr>
        <w:t>9.3货物、服务类造价咨询业绩</w:t>
      </w:r>
    </w:p>
    <w:p w14:paraId="2252F127">
      <w:pPr>
        <w:autoSpaceDE w:val="0"/>
        <w:autoSpaceDN w:val="0"/>
        <w:adjustRightIn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eastAsia="zh-CN"/>
        </w:rPr>
        <w:t>202</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eastAsia="zh-CN"/>
        </w:rPr>
        <w:t>年1月1日至今</w:t>
      </w:r>
      <w:r>
        <w:rPr>
          <w:rFonts w:hint="eastAsia" w:ascii="宋体" w:hAnsi="宋体" w:eastAsia="宋体" w:cs="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eastAsia="zh-CN"/>
        </w:rPr>
        <w:t>的货物、服务类造价咨询业绩情况表</w:t>
      </w:r>
    </w:p>
    <w:tbl>
      <w:tblPr>
        <w:tblStyle w:val="3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2412"/>
        <w:gridCol w:w="1862"/>
        <w:gridCol w:w="2109"/>
        <w:gridCol w:w="1059"/>
        <w:gridCol w:w="1850"/>
      </w:tblGrid>
      <w:tr w14:paraId="25729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7FCF2C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序号</w:t>
            </w:r>
          </w:p>
        </w:tc>
        <w:tc>
          <w:tcPr>
            <w:tcW w:w="1202" w:type="pct"/>
            <w:tcBorders>
              <w:top w:val="single" w:color="auto" w:sz="4" w:space="0"/>
              <w:left w:val="single" w:color="auto" w:sz="4" w:space="0"/>
              <w:bottom w:val="single" w:color="auto" w:sz="4" w:space="0"/>
              <w:right w:val="single" w:color="auto" w:sz="4" w:space="0"/>
            </w:tcBorders>
            <w:vAlign w:val="center"/>
          </w:tcPr>
          <w:p w14:paraId="1A0D4A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项目名称</w:t>
            </w:r>
          </w:p>
        </w:tc>
        <w:tc>
          <w:tcPr>
            <w:tcW w:w="928" w:type="pct"/>
            <w:tcBorders>
              <w:top w:val="single" w:color="auto" w:sz="4" w:space="0"/>
              <w:left w:val="single" w:color="auto" w:sz="4" w:space="0"/>
              <w:bottom w:val="single" w:color="auto" w:sz="4" w:space="0"/>
              <w:right w:val="single" w:color="auto" w:sz="4" w:space="0"/>
            </w:tcBorders>
            <w:vAlign w:val="center"/>
          </w:tcPr>
          <w:p w14:paraId="2EE450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业主方名称</w:t>
            </w:r>
          </w:p>
        </w:tc>
        <w:tc>
          <w:tcPr>
            <w:tcW w:w="1051" w:type="pct"/>
            <w:tcBorders>
              <w:top w:val="single" w:color="auto" w:sz="4" w:space="0"/>
              <w:left w:val="single" w:color="auto" w:sz="4" w:space="0"/>
              <w:bottom w:val="single" w:color="auto" w:sz="4" w:space="0"/>
              <w:right w:val="single" w:color="auto" w:sz="4" w:space="0"/>
            </w:tcBorders>
            <w:vAlign w:val="center"/>
          </w:tcPr>
          <w:p w14:paraId="40C89D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合同签订时间</w:t>
            </w:r>
          </w:p>
        </w:tc>
        <w:tc>
          <w:tcPr>
            <w:tcW w:w="528" w:type="pct"/>
            <w:tcBorders>
              <w:top w:val="single" w:color="auto" w:sz="4" w:space="0"/>
              <w:left w:val="single" w:color="auto" w:sz="4" w:space="0"/>
              <w:bottom w:val="single" w:color="auto" w:sz="4" w:space="0"/>
              <w:right w:val="single" w:color="auto" w:sz="4" w:space="0"/>
            </w:tcBorders>
            <w:vAlign w:val="center"/>
          </w:tcPr>
          <w:p w14:paraId="51CF3F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lang w:val="zh-CN"/>
              </w:rPr>
              <w:t>完成情况</w:t>
            </w:r>
          </w:p>
        </w:tc>
        <w:tc>
          <w:tcPr>
            <w:tcW w:w="917" w:type="pct"/>
            <w:tcBorders>
              <w:top w:val="single" w:color="auto" w:sz="4" w:space="0"/>
              <w:left w:val="single" w:color="auto" w:sz="4" w:space="0"/>
              <w:bottom w:val="single" w:color="auto" w:sz="4" w:space="0"/>
              <w:right w:val="single" w:color="auto" w:sz="4" w:space="0"/>
            </w:tcBorders>
            <w:vAlign w:val="center"/>
          </w:tcPr>
          <w:p w14:paraId="3A8C19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lang w:val="zh-CN"/>
              </w:rPr>
              <w:t>电话及联系人</w:t>
            </w:r>
          </w:p>
        </w:tc>
      </w:tr>
      <w:tr w14:paraId="73A69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4AB51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一、货物类造价咨询业绩</w:t>
            </w:r>
          </w:p>
        </w:tc>
      </w:tr>
      <w:tr w14:paraId="35F85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0D0A4C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p>
        </w:tc>
        <w:tc>
          <w:tcPr>
            <w:tcW w:w="1202" w:type="pct"/>
            <w:tcBorders>
              <w:top w:val="single" w:color="auto" w:sz="4" w:space="0"/>
              <w:left w:val="single" w:color="auto" w:sz="4" w:space="0"/>
              <w:bottom w:val="single" w:color="auto" w:sz="4" w:space="0"/>
              <w:right w:val="single" w:color="auto" w:sz="4" w:space="0"/>
            </w:tcBorders>
            <w:vAlign w:val="center"/>
          </w:tcPr>
          <w:p w14:paraId="05A97D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7EA701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7EA6B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5E1A4F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1F8AEE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EA43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45742B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zh-CN"/>
              </w:rPr>
            </w:pPr>
          </w:p>
        </w:tc>
        <w:tc>
          <w:tcPr>
            <w:tcW w:w="1202" w:type="pct"/>
            <w:tcBorders>
              <w:top w:val="single" w:color="auto" w:sz="4" w:space="0"/>
              <w:left w:val="single" w:color="auto" w:sz="4" w:space="0"/>
              <w:bottom w:val="single" w:color="auto" w:sz="4" w:space="0"/>
              <w:right w:val="single" w:color="auto" w:sz="4" w:space="0"/>
            </w:tcBorders>
            <w:vAlign w:val="center"/>
          </w:tcPr>
          <w:p w14:paraId="5C5F05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5B1191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1F4826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3EE52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03F743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774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51E9557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02" w:type="pct"/>
            <w:tcBorders>
              <w:top w:val="single" w:color="auto" w:sz="4" w:space="0"/>
              <w:left w:val="single" w:color="auto" w:sz="4" w:space="0"/>
              <w:bottom w:val="single" w:color="auto" w:sz="4" w:space="0"/>
              <w:right w:val="single" w:color="auto" w:sz="4" w:space="0"/>
            </w:tcBorders>
            <w:vAlign w:val="center"/>
          </w:tcPr>
          <w:p w14:paraId="466B78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0DF626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2C82FA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4D35F4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4BEC77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33A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1A14E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二、货物类造价咨询业绩</w:t>
            </w:r>
          </w:p>
        </w:tc>
      </w:tr>
      <w:tr w14:paraId="61370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00BD72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02" w:type="pct"/>
            <w:tcBorders>
              <w:top w:val="single" w:color="auto" w:sz="4" w:space="0"/>
              <w:left w:val="single" w:color="auto" w:sz="4" w:space="0"/>
              <w:bottom w:val="single" w:color="auto" w:sz="4" w:space="0"/>
              <w:right w:val="single" w:color="auto" w:sz="4" w:space="0"/>
            </w:tcBorders>
            <w:vAlign w:val="center"/>
          </w:tcPr>
          <w:p w14:paraId="7333D6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37FB43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48D317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D4CD8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28BB71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8CBF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4B3990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02" w:type="pct"/>
            <w:tcBorders>
              <w:top w:val="single" w:color="auto" w:sz="4" w:space="0"/>
              <w:left w:val="single" w:color="auto" w:sz="4" w:space="0"/>
              <w:bottom w:val="single" w:color="auto" w:sz="4" w:space="0"/>
              <w:right w:val="single" w:color="auto" w:sz="4" w:space="0"/>
            </w:tcBorders>
            <w:vAlign w:val="center"/>
          </w:tcPr>
          <w:p w14:paraId="3F7F16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3F6B3A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2C07D5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69F363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102138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C7E3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14:paraId="46CF7F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02" w:type="pct"/>
            <w:tcBorders>
              <w:top w:val="single" w:color="auto" w:sz="4" w:space="0"/>
              <w:left w:val="single" w:color="auto" w:sz="4" w:space="0"/>
              <w:bottom w:val="single" w:color="auto" w:sz="4" w:space="0"/>
              <w:right w:val="single" w:color="auto" w:sz="4" w:space="0"/>
            </w:tcBorders>
            <w:vAlign w:val="center"/>
          </w:tcPr>
          <w:p w14:paraId="1C67AC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3BC740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7803DA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E3858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0C1AAD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6570FB8">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p>
    <w:p w14:paraId="7F0BC348">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AE47DAF">
      <w:pPr>
        <w:numPr>
          <w:ilvl w:val="0"/>
          <w:numId w:val="0"/>
        </w:numPr>
        <w:snapToGrid w:val="0"/>
        <w:spacing w:line="360" w:lineRule="auto"/>
        <w:ind w:left="481" w:leftChars="-4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）同一个单项合同的业绩可以同时在资格业绩和评分业绩重复放置；</w:t>
      </w:r>
    </w:p>
    <w:p w14:paraId="3182870C">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481" w:leftChars="-41" w:right="0"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kern w:val="2"/>
          <w:sz w:val="21"/>
          <w:szCs w:val="24"/>
          <w:highlight w:val="none"/>
          <w:lang w:val="zh-CN" w:eastAsia="zh-CN" w:bidi="ar-SA"/>
        </w:rPr>
        <w:t>（2）</w:t>
      </w:r>
      <w:r>
        <w:rPr>
          <w:rFonts w:hint="eastAsia" w:ascii="宋体" w:hAnsi="宋体" w:eastAsia="宋体" w:cs="宋体"/>
          <w:color w:val="auto"/>
          <w:szCs w:val="24"/>
          <w:highlight w:val="none"/>
          <w:lang w:val="zh-CN"/>
        </w:rPr>
        <w:t>业绩须附合同及项目的相关成果文件关键页复印件加盖投标人公章，否则不得分；</w:t>
      </w:r>
    </w:p>
    <w:p w14:paraId="7218FBEF">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宋体"/>
          <w:b/>
          <w:bCs/>
          <w:color w:val="auto"/>
          <w:sz w:val="21"/>
          <w:szCs w:val="21"/>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w:t>
      </w:r>
      <w:r>
        <w:rPr>
          <w:rFonts w:hint="eastAsia" w:ascii="宋体" w:hAnsi="宋体" w:eastAsia="宋体" w:cs="宋体"/>
          <w:b/>
          <w:bCs/>
          <w:color w:val="auto"/>
          <w:sz w:val="21"/>
          <w:szCs w:val="21"/>
          <w:highlight w:val="none"/>
          <w:lang w:val="zh-CN"/>
        </w:rPr>
        <w:t>若业绩合同为框架式协议或资格入围的，须同时提供</w:t>
      </w:r>
      <w:r>
        <w:rPr>
          <w:rFonts w:hint="eastAsia" w:ascii="宋体" w:hAnsi="宋体" w:eastAsia="宋体" w:cs="宋体"/>
          <w:b/>
          <w:bCs/>
          <w:color w:val="auto"/>
          <w:sz w:val="21"/>
          <w:szCs w:val="21"/>
          <w:highlight w:val="none"/>
          <w:lang w:val="en-US" w:eastAsia="zh-CN"/>
        </w:rPr>
        <w:t>框架协议合同（或资格入围合同）</w:t>
      </w:r>
      <w:r>
        <w:rPr>
          <w:rFonts w:hint="eastAsia" w:ascii="宋体" w:hAnsi="宋体" w:eastAsia="宋体" w:cs="宋体"/>
          <w:b/>
          <w:bCs/>
          <w:color w:val="auto"/>
          <w:sz w:val="21"/>
          <w:szCs w:val="21"/>
          <w:highlight w:val="none"/>
          <w:lang w:val="zh-CN"/>
        </w:rPr>
        <w:t>及合同期内对应的项目成果文件，按成果文件数量计算得分；</w:t>
      </w:r>
    </w:p>
    <w:p w14:paraId="3B617A6A">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rPr>
        <w:t>）</w:t>
      </w:r>
      <w:r>
        <w:rPr>
          <w:rFonts w:hint="eastAsia" w:ascii="宋体" w:hAnsi="宋体" w:eastAsia="宋体" w:cs="宋体"/>
          <w:b/>
          <w:color w:val="auto"/>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反映评分条件[合同签订日期为202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年1月1日或以后，合同标的必须为</w:t>
      </w:r>
      <w:r>
        <w:rPr>
          <w:rFonts w:hint="eastAsia" w:ascii="宋体" w:hAnsi="宋体" w:eastAsia="宋体" w:cs="宋体"/>
          <w:b/>
          <w:color w:val="auto"/>
          <w:sz w:val="21"/>
          <w:szCs w:val="21"/>
          <w:highlight w:val="none"/>
          <w:lang w:val="en-US" w:eastAsia="zh-CN"/>
        </w:rPr>
        <w:t>货物、服务类造价咨询业绩</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出具的书面补充情况说明文件复印件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补充情况说明文件复印件能显示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），否则不得分</w:t>
      </w:r>
      <w:r>
        <w:rPr>
          <w:rFonts w:hint="eastAsia" w:ascii="宋体" w:hAnsi="宋体" w:eastAsia="宋体" w:cs="宋体"/>
          <w:color w:val="auto"/>
          <w:szCs w:val="24"/>
          <w:highlight w:val="none"/>
          <w:lang w:val="zh-CN"/>
        </w:rPr>
        <w:t>；</w:t>
      </w:r>
    </w:p>
    <w:p w14:paraId="4AE1F5F1">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w:t>
      </w:r>
      <w:r>
        <w:rPr>
          <w:rFonts w:hint="eastAsia" w:ascii="宋体" w:hAnsi="宋体" w:eastAsia="宋体" w:cs="宋体"/>
          <w:color w:val="auto"/>
          <w:kern w:val="2"/>
          <w:sz w:val="21"/>
          <w:szCs w:val="21"/>
          <w:highlight w:val="none"/>
        </w:rPr>
        <w:t>业绩不重复计算，由投标人自行放入对应的评分子项</w:t>
      </w:r>
      <w:r>
        <w:rPr>
          <w:rFonts w:hint="eastAsia" w:ascii="宋体" w:hAnsi="宋体" w:eastAsia="宋体" w:cs="宋体"/>
          <w:color w:val="auto"/>
          <w:kern w:val="2"/>
          <w:sz w:val="21"/>
          <w:szCs w:val="21"/>
          <w:highlight w:val="none"/>
          <w:lang w:eastAsia="zh-CN"/>
        </w:rPr>
        <w:t>；</w:t>
      </w:r>
    </w:p>
    <w:p w14:paraId="617749D0">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40FE07F1">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p w14:paraId="0C08CE0C">
      <w:pPr>
        <w:autoSpaceDE w:val="0"/>
        <w:autoSpaceDN w:val="0"/>
        <w:adjustRightInd w:val="0"/>
        <w:spacing w:line="360" w:lineRule="auto"/>
        <w:ind w:firstLine="5040" w:firstLineChars="240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535F217C">
      <w:pPr>
        <w:pageBreakBefore w:val="0"/>
        <w:autoSpaceDE w:val="0"/>
        <w:autoSpaceDN w:val="0"/>
        <w:adjustRightInd w:val="0"/>
        <w:spacing w:before="0" w:after="0" w:line="360" w:lineRule="auto"/>
        <w:ind w:firstLine="5040" w:firstLineChars="2400"/>
        <w:jc w:val="left"/>
        <w:outlineLvl w:val="9"/>
        <w:rPr>
          <w:rFonts w:hint="eastAsia" w:ascii="宋体" w:hAnsi="宋体" w:eastAsia="宋体" w:cs="宋体"/>
          <w:b/>
          <w:bCs/>
          <w:color w:val="auto"/>
          <w:kern w:val="0"/>
          <w:sz w:val="32"/>
          <w:szCs w:val="32"/>
          <w:highlight w:val="none"/>
          <w:lang w:val="zh-CN"/>
        </w:rPr>
      </w:pPr>
      <w:r>
        <w:rPr>
          <w:rFonts w:hint="eastAsia" w:ascii="宋体" w:hAnsi="宋体" w:eastAsia="宋体" w:cs="宋体"/>
          <w:color w:val="auto"/>
          <w:szCs w:val="24"/>
          <w:highlight w:val="none"/>
          <w:lang w:val="zh-CN"/>
        </w:rPr>
        <w:t>日期：   年   月   日</w:t>
      </w:r>
    </w:p>
    <w:p w14:paraId="70E8AAAE">
      <w:pPr>
        <w:pageBreakBefore/>
        <w:spacing w:before="120" w:after="120" w:line="360" w:lineRule="auto"/>
        <w:jc w:val="left"/>
        <w:outlineLvl w:val="2"/>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十、投标保证金汇入情况说明</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4AD7A4CA">
      <w:pPr>
        <w:autoSpaceDE w:val="0"/>
        <w:autoSpaceDN w:val="0"/>
        <w:adjustRightInd w:val="0"/>
        <w:spacing w:line="360" w:lineRule="auto"/>
        <w:jc w:val="left"/>
        <w:rPr>
          <w:rFonts w:hint="eastAsia" w:ascii="宋体" w:hAnsi="宋体" w:eastAsia="宋体" w:cs="宋体"/>
          <w:color w:val="auto"/>
          <w:szCs w:val="24"/>
          <w:highlight w:val="none"/>
        </w:rPr>
      </w:pPr>
    </w:p>
    <w:p w14:paraId="61F08C76">
      <w:pPr>
        <w:autoSpaceDE w:val="0"/>
        <w:autoSpaceDN w:val="0"/>
        <w:adjustRightInd w:val="0"/>
        <w:spacing w:line="360" w:lineRule="auto"/>
        <w:jc w:val="center"/>
        <w:outlineLvl w:val="0"/>
        <w:rPr>
          <w:rFonts w:hint="eastAsia" w:ascii="宋体" w:hAnsi="宋体" w:eastAsia="宋体" w:cs="宋体"/>
          <w:b/>
          <w:bCs/>
          <w:color w:val="auto"/>
          <w:kern w:val="0"/>
          <w:sz w:val="24"/>
          <w:szCs w:val="24"/>
          <w:highlight w:val="none"/>
        </w:rPr>
      </w:pPr>
      <w:bookmarkStart w:id="707" w:name="_Toc25347"/>
      <w:bookmarkStart w:id="708" w:name="_Toc31832_WPSOffice_Level3"/>
      <w:r>
        <w:rPr>
          <w:rFonts w:hint="eastAsia" w:ascii="宋体" w:hAnsi="宋体" w:eastAsia="宋体" w:cs="宋体"/>
          <w:b/>
          <w:bCs/>
          <w:color w:val="auto"/>
          <w:kern w:val="0"/>
          <w:sz w:val="24"/>
          <w:szCs w:val="24"/>
          <w:highlight w:val="none"/>
        </w:rPr>
        <w:t>投标保证金汇入情况说明</w:t>
      </w:r>
      <w:bookmarkEnd w:id="707"/>
      <w:bookmarkEnd w:id="708"/>
    </w:p>
    <w:p w14:paraId="0C612B57">
      <w:pPr>
        <w:autoSpaceDE w:val="0"/>
        <w:autoSpaceDN w:val="0"/>
        <w:adjustRightInd w:val="0"/>
        <w:spacing w:line="360" w:lineRule="auto"/>
        <w:jc w:val="center"/>
        <w:rPr>
          <w:rFonts w:hint="eastAsia" w:ascii="宋体" w:hAnsi="宋体" w:eastAsia="宋体" w:cs="宋体"/>
          <w:b/>
          <w:bCs/>
          <w:color w:val="auto"/>
          <w:kern w:val="0"/>
          <w:szCs w:val="24"/>
          <w:highlight w:val="none"/>
        </w:rPr>
      </w:pPr>
    </w:p>
    <w:p w14:paraId="434C0C0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14:paraId="2EC0463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东莞市水务集团供水有限公司2024-2025年造价咨询服务项目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YDZB24DGQY0144</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0DA77F6C">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0F0D186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60080368">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639554A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7CEDE35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A0396D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57AFEB8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029CCC9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3F0E26EA">
      <w:pPr>
        <w:spacing w:line="360" w:lineRule="auto"/>
        <w:ind w:right="844" w:rightChars="402" w:firstLine="424" w:firstLineChars="202"/>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1121BC49">
      <w:pPr>
        <w:spacing w:line="360" w:lineRule="auto"/>
        <w:ind w:right="628" w:rightChars="299" w:firstLine="7774" w:firstLineChars="3702"/>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579BF40C">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2F2C33F">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756306F">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2099BA02">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66FD099C">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47CE5FA0">
      <w:pPr>
        <w:spacing w:line="360" w:lineRule="auto"/>
        <w:ind w:left="340" w:leftChars="162" w:firstLine="425"/>
        <w:rPr>
          <w:rFonts w:hint="eastAsia" w:ascii="宋体" w:hAnsi="宋体" w:eastAsia="宋体" w:cs="宋体"/>
          <w:b/>
          <w:bCs/>
          <w:color w:val="auto"/>
          <w:szCs w:val="21"/>
          <w:highlight w:val="none"/>
        </w:rPr>
      </w:pPr>
      <w:bookmarkStart w:id="709" w:name="_Toc26208_WPSOffice_Level3"/>
      <w:r>
        <w:rPr>
          <w:rFonts w:hint="eastAsia" w:ascii="宋体" w:hAnsi="宋体" w:eastAsia="宋体" w:cs="宋体"/>
          <w:b/>
          <w:bCs/>
          <w:color w:val="auto"/>
          <w:szCs w:val="21"/>
          <w:highlight w:val="none"/>
        </w:rPr>
        <w:t>附：1、我方投标保证金汇款凭证（复印件）</w:t>
      </w:r>
      <w:bookmarkEnd w:id="709"/>
    </w:p>
    <w:p w14:paraId="3420E482">
      <w:pPr>
        <w:spacing w:line="360" w:lineRule="auto"/>
        <w:ind w:left="340" w:leftChars="162" w:firstLine="839" w:firstLineChars="398"/>
        <w:outlineLvl w:val="0"/>
        <w:rPr>
          <w:rFonts w:hint="eastAsia" w:ascii="宋体" w:hAnsi="宋体" w:eastAsia="宋体" w:cs="宋体"/>
          <w:b/>
          <w:bCs/>
          <w:color w:val="auto"/>
          <w:szCs w:val="21"/>
          <w:highlight w:val="none"/>
        </w:rPr>
      </w:pPr>
      <w:bookmarkStart w:id="710" w:name="_Toc12992_WPSOffice_Level3"/>
      <w:bookmarkStart w:id="711" w:name="_Toc27364"/>
      <w:r>
        <w:rPr>
          <w:rFonts w:hint="eastAsia" w:ascii="宋体" w:hAnsi="宋体" w:eastAsia="宋体" w:cs="宋体"/>
          <w:b/>
          <w:bCs/>
          <w:color w:val="auto"/>
          <w:szCs w:val="21"/>
          <w:highlight w:val="none"/>
        </w:rPr>
        <w:t>2、我方基本账户开户许可证（复印件）</w:t>
      </w:r>
      <w:bookmarkEnd w:id="710"/>
      <w:bookmarkEnd w:id="711"/>
    </w:p>
    <w:p w14:paraId="27ADC6D8">
      <w:pPr>
        <w:spacing w:line="360" w:lineRule="auto"/>
        <w:ind w:left="340" w:leftChars="162" w:firstLine="736" w:firstLineChars="34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00D9B87D">
      <w:pPr>
        <w:autoSpaceDE w:val="0"/>
        <w:autoSpaceDN w:val="0"/>
        <w:adjustRightInd w:val="0"/>
        <w:spacing w:line="360" w:lineRule="auto"/>
        <w:ind w:firstLine="5145" w:firstLineChars="2450"/>
        <w:rPr>
          <w:rFonts w:hint="eastAsia" w:ascii="宋体" w:hAnsi="宋体" w:eastAsia="宋体" w:cs="宋体"/>
          <w:color w:val="auto"/>
          <w:szCs w:val="24"/>
          <w:highlight w:val="none"/>
          <w:lang w:val="zh-CN"/>
        </w:rPr>
      </w:pPr>
    </w:p>
    <w:p w14:paraId="00A9FB0D">
      <w:pPr>
        <w:spacing w:line="360" w:lineRule="auto"/>
        <w:rPr>
          <w:rFonts w:hint="eastAsia" w:ascii="宋体" w:hAnsi="宋体" w:eastAsia="宋体" w:cs="宋体"/>
          <w:b/>
          <w:color w:val="auto"/>
          <w:kern w:val="0"/>
          <w:szCs w:val="21"/>
          <w:highlight w:val="none"/>
        </w:rPr>
      </w:pPr>
      <w:bookmarkStart w:id="712" w:name="_Toc533708134"/>
      <w:bookmarkStart w:id="713" w:name="_Toc486167721"/>
    </w:p>
    <w:p w14:paraId="3B7EAFFF">
      <w:pPr>
        <w:keepNext w:val="0"/>
        <w:keepLines w:val="0"/>
        <w:pageBreakBefore/>
        <w:widowControl w:val="0"/>
        <w:suppressLineNumbers w:val="0"/>
        <w:kinsoku/>
        <w:wordWrap/>
        <w:overflowPunct/>
        <w:topLinePunct w:val="0"/>
        <w:autoSpaceDE w:val="0"/>
        <w:autoSpaceDN w:val="0"/>
        <w:bidi w:val="0"/>
        <w:adjustRightInd w:val="0"/>
        <w:snapToGrid/>
        <w:spacing w:before="0" w:beforeAutospacing="0" w:after="0" w:afterAutospacing="0"/>
        <w:ind w:left="0" w:right="0"/>
        <w:jc w:val="left"/>
        <w:textAlignment w:val="auto"/>
        <w:outlineLvl w:val="2"/>
        <w:rPr>
          <w:rFonts w:hint="eastAsia" w:ascii="宋体" w:hAnsi="宋体" w:eastAsia="宋体" w:cs="宋体"/>
          <w:b/>
          <w:bCs/>
          <w:color w:val="auto"/>
          <w:kern w:val="2"/>
          <w:sz w:val="32"/>
          <w:szCs w:val="32"/>
          <w:highlight w:val="none"/>
        </w:rPr>
      </w:pPr>
      <w:bookmarkStart w:id="714" w:name="_Toc1977738"/>
      <w:bookmarkStart w:id="715" w:name="_Toc94107221"/>
      <w:bookmarkStart w:id="716" w:name="_Toc140596939"/>
      <w:bookmarkStart w:id="717" w:name="_Toc142508379"/>
      <w:bookmarkStart w:id="718" w:name="_Toc102860084"/>
      <w:bookmarkStart w:id="719" w:name="_Toc102860428"/>
      <w:bookmarkStart w:id="720" w:name="_Toc24616"/>
      <w:bookmarkStart w:id="721" w:name="_Toc104991886"/>
      <w:r>
        <w:rPr>
          <w:rFonts w:hint="eastAsia" w:ascii="宋体" w:hAnsi="宋体" w:eastAsia="宋体" w:cs="宋体"/>
          <w:b/>
          <w:bCs/>
          <w:color w:val="auto"/>
          <w:kern w:val="2"/>
          <w:sz w:val="32"/>
          <w:szCs w:val="32"/>
          <w:highlight w:val="none"/>
          <w:lang w:val="en-US" w:eastAsia="zh-CN" w:bidi="ar"/>
        </w:rPr>
        <w:t>十一、承诺书格式</w:t>
      </w:r>
    </w:p>
    <w:p w14:paraId="122E33E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承诺书</w:t>
      </w:r>
    </w:p>
    <w:p w14:paraId="1E953938">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致：东莞市水务集团供水有限公司</w:t>
      </w:r>
    </w:p>
    <w:p w14:paraId="6E778CDB">
      <w:pPr>
        <w:keepNext w:val="0"/>
        <w:keepLines w:val="0"/>
        <w:widowControl w:val="0"/>
        <w:suppressLineNumbers w:val="0"/>
        <w:autoSpaceDE w:val="0"/>
        <w:autoSpaceDN w:val="0"/>
        <w:adjustRightInd w:val="0"/>
        <w:spacing w:before="0" w:beforeAutospacing="0" w:after="0" w:afterAutospacing="0" w:line="360" w:lineRule="auto"/>
        <w:ind w:left="-31" w:leftChars="-15" w:right="18" w:firstLine="457" w:firstLineChars="21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在贵单位组织招标的东莞市水务集团供水有限公司2024-2025年造价咨询服务项目（招标编号：YDZB24DGQY0144）招标中，我司如获中标，承诺如下：</w:t>
      </w:r>
    </w:p>
    <w:p w14:paraId="2E46CF81">
      <w:pPr>
        <w:keepNext w:val="0"/>
        <w:keepLines w:val="0"/>
        <w:widowControl w:val="0"/>
        <w:suppressLineNumbers w:val="0"/>
        <w:autoSpaceDE w:val="0"/>
        <w:autoSpaceDN w:val="0"/>
        <w:adjustRightInd w:val="0"/>
        <w:spacing w:before="0" w:beforeAutospacing="0" w:after="0" w:afterAutospacing="0" w:line="360" w:lineRule="auto"/>
        <w:ind w:left="-31" w:leftChars="-15" w:right="18" w:firstLine="457" w:firstLineChars="21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若我公司</w:t>
      </w:r>
      <w:r>
        <w:rPr>
          <w:rFonts w:hint="eastAsia" w:ascii="宋体" w:hAnsi="宋体" w:eastAsia="宋体" w:cs="宋体"/>
          <w:color w:val="auto"/>
          <w:kern w:val="2"/>
          <w:sz w:val="21"/>
          <w:szCs w:val="21"/>
          <w:highlight w:val="none"/>
          <w:lang w:val="en-US" w:eastAsia="zh-CN" w:bidi="ar"/>
        </w:rPr>
        <w:t>在提交投标文件截止时间尚未在水务信用系统有本项目对应的企业类型（造价咨询）信用信息档案的，我公司承</w:t>
      </w:r>
      <w:r>
        <w:rPr>
          <w:rFonts w:hint="eastAsia" w:ascii="宋体" w:hAnsi="宋体" w:eastAsia="宋体" w:cs="宋体"/>
          <w:b w:val="0"/>
          <w:bCs w:val="0"/>
          <w:color w:val="auto"/>
          <w:kern w:val="2"/>
          <w:sz w:val="21"/>
          <w:szCs w:val="21"/>
          <w:highlight w:val="none"/>
          <w:lang w:val="en-US" w:eastAsia="zh-CN" w:bidi="ar"/>
        </w:rPr>
        <w:t>诺中标后一个月内到</w:t>
      </w:r>
      <w:r>
        <w:rPr>
          <w:rFonts w:hint="eastAsia" w:ascii="宋体" w:hAnsi="宋体" w:eastAsia="宋体" w:cs="宋体"/>
          <w:b w:val="0"/>
          <w:bCs w:val="0"/>
          <w:snapToGrid w:val="0"/>
          <w:color w:val="auto"/>
          <w:spacing w:val="0"/>
          <w:kern w:val="0"/>
          <w:sz w:val="21"/>
          <w:szCs w:val="21"/>
          <w:highlight w:val="none"/>
          <w:lang w:val="en-US" w:eastAsia="en-US" w:bidi="ar-SA"/>
        </w:rPr>
        <w:t>东莞市水务局办理好本项目对应的企业类型</w:t>
      </w:r>
      <w:r>
        <w:rPr>
          <w:rFonts w:hint="eastAsia" w:ascii="宋体" w:hAnsi="宋体" w:eastAsia="宋体" w:cs="宋体"/>
          <w:b w:val="0"/>
          <w:bCs w:val="0"/>
          <w:snapToGrid w:val="0"/>
          <w:color w:val="auto"/>
          <w:spacing w:val="0"/>
          <w:kern w:val="0"/>
          <w:sz w:val="21"/>
          <w:szCs w:val="21"/>
          <w:highlight w:val="none"/>
          <w:lang w:val="en-US" w:eastAsia="zh-CN" w:bidi="ar-SA"/>
        </w:rPr>
        <w:t>（造价咨询）</w:t>
      </w:r>
      <w:r>
        <w:rPr>
          <w:rFonts w:hint="eastAsia" w:ascii="宋体" w:hAnsi="宋体" w:eastAsia="宋体" w:cs="宋体"/>
          <w:b w:val="0"/>
          <w:bCs w:val="0"/>
          <w:snapToGrid w:val="0"/>
          <w:color w:val="auto"/>
          <w:spacing w:val="0"/>
          <w:kern w:val="0"/>
          <w:sz w:val="21"/>
          <w:szCs w:val="21"/>
          <w:highlight w:val="none"/>
          <w:lang w:val="en-US" w:eastAsia="en-US" w:bidi="ar-SA"/>
        </w:rPr>
        <w:t>信用信息档案</w:t>
      </w:r>
      <w:r>
        <w:rPr>
          <w:rFonts w:hint="eastAsia" w:ascii="宋体" w:hAnsi="宋体" w:eastAsia="宋体" w:cs="宋体"/>
          <w:b w:val="0"/>
          <w:bCs w:val="0"/>
          <w:snapToGrid w:val="0"/>
          <w:color w:val="auto"/>
          <w:spacing w:val="0"/>
          <w:kern w:val="0"/>
          <w:sz w:val="21"/>
          <w:szCs w:val="21"/>
          <w:highlight w:val="none"/>
          <w:lang w:val="en-US" w:eastAsia="zh-CN" w:bidi="ar-SA"/>
        </w:rPr>
        <w:t>，</w:t>
      </w:r>
      <w:r>
        <w:rPr>
          <w:rFonts w:hint="eastAsia" w:ascii="宋体" w:hAnsi="宋体" w:eastAsia="宋体" w:cs="宋体"/>
          <w:b w:val="0"/>
          <w:bCs w:val="0"/>
          <w:snapToGrid w:val="0"/>
          <w:color w:val="auto"/>
          <w:spacing w:val="0"/>
          <w:kern w:val="0"/>
          <w:sz w:val="21"/>
          <w:szCs w:val="21"/>
          <w:highlight w:val="none"/>
          <w:lang w:val="en-US" w:eastAsia="en-US" w:bidi="ar-SA"/>
        </w:rPr>
        <w:t>否则视为放弃中标</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b/>
          <w:bCs/>
          <w:snapToGrid w:val="0"/>
          <w:color w:val="auto"/>
          <w:kern w:val="0"/>
          <w:szCs w:val="21"/>
          <w:highlight w:val="none"/>
          <w:lang w:val="en-US" w:eastAsia="en-US"/>
        </w:rPr>
        <w:t>如</w:t>
      </w:r>
      <w:r>
        <w:rPr>
          <w:rFonts w:hint="eastAsia" w:ascii="宋体" w:hAnsi="宋体" w:eastAsia="宋体" w:cs="宋体"/>
          <w:b/>
          <w:bCs/>
          <w:snapToGrid w:val="0"/>
          <w:color w:val="auto"/>
          <w:spacing w:val="0"/>
          <w:kern w:val="0"/>
          <w:sz w:val="21"/>
          <w:szCs w:val="21"/>
          <w:highlight w:val="none"/>
          <w:lang w:val="en-US" w:eastAsia="en-US" w:bidi="ar-SA"/>
        </w:rPr>
        <w:t>投标人</w:t>
      </w:r>
      <w:r>
        <w:rPr>
          <w:rFonts w:hint="eastAsia" w:ascii="宋体" w:hAnsi="宋体" w:eastAsia="宋体" w:cs="宋体"/>
          <w:b/>
          <w:bCs/>
          <w:snapToGrid w:val="0"/>
          <w:color w:val="auto"/>
          <w:spacing w:val="0"/>
          <w:kern w:val="0"/>
          <w:sz w:val="21"/>
          <w:szCs w:val="21"/>
          <w:highlight w:val="none"/>
          <w:lang w:val="en-US" w:eastAsia="zh-CN" w:bidi="ar-SA"/>
        </w:rPr>
        <w:t>在提交投标文件截止时间前</w:t>
      </w:r>
      <w:r>
        <w:rPr>
          <w:rFonts w:hint="eastAsia" w:ascii="宋体" w:hAnsi="宋体" w:eastAsia="宋体" w:cs="宋体"/>
          <w:b/>
          <w:bCs/>
          <w:snapToGrid w:val="0"/>
          <w:color w:val="auto"/>
          <w:spacing w:val="0"/>
          <w:kern w:val="0"/>
          <w:sz w:val="21"/>
          <w:szCs w:val="21"/>
          <w:highlight w:val="none"/>
          <w:lang w:val="en-US" w:eastAsia="en-US" w:bidi="ar-SA"/>
        </w:rPr>
        <w:t>在东莞市水务局“水务工程参建企业信用管理系统”（简称“水务信用系统”）已有本项目对应的企业类型</w:t>
      </w:r>
      <w:r>
        <w:rPr>
          <w:rFonts w:hint="eastAsia" w:ascii="宋体" w:hAnsi="宋体" w:eastAsia="宋体" w:cs="宋体"/>
          <w:b/>
          <w:bCs/>
          <w:snapToGrid w:val="0"/>
          <w:color w:val="auto"/>
          <w:spacing w:val="0"/>
          <w:kern w:val="0"/>
          <w:sz w:val="21"/>
          <w:szCs w:val="21"/>
          <w:highlight w:val="none"/>
          <w:lang w:val="en-US" w:eastAsia="zh-CN" w:bidi="ar-SA"/>
        </w:rPr>
        <w:t>（造价咨询）</w:t>
      </w:r>
      <w:r>
        <w:rPr>
          <w:rFonts w:hint="eastAsia" w:ascii="宋体" w:hAnsi="宋体" w:eastAsia="宋体" w:cs="宋体"/>
          <w:b/>
          <w:bCs/>
          <w:snapToGrid w:val="0"/>
          <w:color w:val="auto"/>
          <w:spacing w:val="0"/>
          <w:kern w:val="0"/>
          <w:sz w:val="21"/>
          <w:szCs w:val="21"/>
          <w:highlight w:val="none"/>
          <w:lang w:val="en-US" w:eastAsia="en-US" w:bidi="ar-SA"/>
        </w:rPr>
        <w:t>信用信息登记，</w:t>
      </w:r>
      <w:r>
        <w:rPr>
          <w:rFonts w:hint="eastAsia" w:ascii="宋体" w:hAnsi="宋体" w:eastAsia="宋体" w:cs="宋体"/>
          <w:b/>
          <w:bCs/>
          <w:snapToGrid w:val="0"/>
          <w:color w:val="auto"/>
          <w:spacing w:val="0"/>
          <w:kern w:val="0"/>
          <w:sz w:val="21"/>
          <w:szCs w:val="21"/>
          <w:highlight w:val="none"/>
          <w:lang w:val="en-US" w:eastAsia="zh-CN" w:bidi="ar-SA"/>
        </w:rPr>
        <w:t>则本项无需勾选，并同时提供水务信用系统查询截图加盖投标人公章，否则视为未满足本项目“</w:t>
      </w:r>
      <w:r>
        <w:rPr>
          <w:rFonts w:hint="eastAsia" w:ascii="宋体" w:hAnsi="宋体" w:eastAsia="宋体" w:cs="宋体"/>
          <w:b/>
          <w:color w:val="auto"/>
          <w:szCs w:val="21"/>
          <w:highlight w:val="none"/>
          <w:u w:val="none"/>
        </w:rPr>
        <w:t>★</w:t>
      </w:r>
      <w:r>
        <w:rPr>
          <w:rFonts w:hint="eastAsia" w:ascii="宋体" w:hAnsi="宋体" w:eastAsia="宋体" w:cs="宋体"/>
          <w:b/>
          <w:bCs/>
          <w:snapToGrid w:val="0"/>
          <w:color w:val="auto"/>
          <w:spacing w:val="0"/>
          <w:kern w:val="0"/>
          <w:sz w:val="21"/>
          <w:szCs w:val="21"/>
          <w:highlight w:val="none"/>
          <w:lang w:val="en-US" w:eastAsia="zh-CN" w:bidi="ar-SA"/>
        </w:rPr>
        <w:t>”条款要求。</w:t>
      </w:r>
      <w:r>
        <w:rPr>
          <w:rFonts w:hint="eastAsia" w:ascii="宋体" w:hAnsi="宋体" w:eastAsia="宋体" w:cs="宋体"/>
          <w:color w:val="auto"/>
          <w:kern w:val="2"/>
          <w:sz w:val="21"/>
          <w:szCs w:val="21"/>
          <w:highlight w:val="none"/>
          <w:lang w:val="en-US" w:eastAsia="zh-CN" w:bidi="ar"/>
        </w:rPr>
        <w:t>】</w:t>
      </w:r>
    </w:p>
    <w:p w14:paraId="4526A7FC">
      <w:pPr>
        <w:keepNext w:val="0"/>
        <w:keepLines w:val="0"/>
        <w:widowControl w:val="0"/>
        <w:suppressLineNumbers w:val="0"/>
        <w:autoSpaceDE w:val="0"/>
        <w:autoSpaceDN w:val="0"/>
        <w:adjustRightInd w:val="0"/>
        <w:spacing w:before="0" w:beforeAutospacing="0" w:after="0" w:afterAutospacing="0" w:line="360" w:lineRule="auto"/>
        <w:ind w:left="-31" w:leftChars="-15" w:right="18" w:firstLine="457" w:firstLineChars="21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□我公司承诺中标后</w:t>
      </w:r>
      <w:r>
        <w:rPr>
          <w:rFonts w:hint="eastAsia" w:ascii="宋体" w:hAnsi="宋体" w:eastAsia="宋体" w:cs="宋体"/>
          <w:color w:val="auto"/>
          <w:kern w:val="0"/>
          <w:sz w:val="21"/>
          <w:szCs w:val="21"/>
          <w:highlight w:val="none"/>
          <w:lang w:val="en-US" w:eastAsia="zh-CN" w:bidi="ar"/>
        </w:rPr>
        <w:t>招标结果公示期间，招标人有权核查中标候选人办公场所、拟投入服务人员情况，如与我公司提交的投标文件不相符，</w:t>
      </w:r>
      <w:r>
        <w:rPr>
          <w:rFonts w:hint="eastAsia" w:ascii="宋体" w:hAnsi="宋体" w:eastAsia="宋体" w:cs="宋体"/>
          <w:color w:val="auto"/>
          <w:kern w:val="2"/>
          <w:sz w:val="21"/>
          <w:szCs w:val="21"/>
          <w:highlight w:val="none"/>
          <w:lang w:val="en-US" w:eastAsia="zh-CN" w:bidi="ar"/>
        </w:rPr>
        <w:t>招标人有权取消我公司中标资格，并根据评标委员会推荐顺序确定其他中标人。</w:t>
      </w:r>
    </w:p>
    <w:p w14:paraId="005C97E4">
      <w:pPr>
        <w:keepNext w:val="0"/>
        <w:keepLines w:val="0"/>
        <w:widowControl w:val="0"/>
        <w:suppressLineNumbers w:val="0"/>
        <w:autoSpaceDE w:val="0"/>
        <w:autoSpaceDN w:val="0"/>
        <w:adjustRightInd w:val="0"/>
        <w:spacing w:before="0" w:beforeAutospacing="0" w:after="0" w:afterAutospacing="0" w:line="360" w:lineRule="auto"/>
        <w:ind w:left="0" w:right="893"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特此承诺。</w:t>
      </w:r>
    </w:p>
    <w:p w14:paraId="6A0255AA">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0"/>
          <w:sz w:val="22"/>
          <w:szCs w:val="22"/>
          <w:highlight w:val="none"/>
          <w:lang w:val="en-US" w:eastAsia="zh-CN" w:bidi="ar"/>
        </w:rPr>
        <w:t xml:space="preserve"> </w:t>
      </w:r>
    </w:p>
    <w:p w14:paraId="3B04DCFD">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0"/>
          <w:sz w:val="22"/>
          <w:szCs w:val="22"/>
          <w:highlight w:val="none"/>
          <w:lang w:val="en-US" w:eastAsia="zh-CN" w:bidi="ar"/>
        </w:rPr>
        <w:t>注：各投标人根据实际情况对以上承诺事项进行勾选承诺，注有“■”或“</w:t>
      </w:r>
      <w:r>
        <w:rPr>
          <w:rFonts w:hint="default" w:ascii="Wingdings" w:hAnsi="Wingdings" w:eastAsia="宋体" w:cs="Wingdings"/>
          <w:b/>
          <w:bCs w:val="0"/>
          <w:color w:val="auto"/>
          <w:kern w:val="0"/>
          <w:sz w:val="22"/>
          <w:szCs w:val="22"/>
          <w:highlight w:val="none"/>
          <w:lang w:val="en-US" w:eastAsia="zh-CN" w:bidi="ar"/>
        </w:rPr>
        <w:t>þ</w:t>
      </w:r>
      <w:r>
        <w:rPr>
          <w:rFonts w:hint="eastAsia" w:ascii="宋体" w:hAnsi="宋体" w:eastAsia="宋体" w:cs="宋体"/>
          <w:b/>
          <w:bCs w:val="0"/>
          <w:color w:val="auto"/>
          <w:kern w:val="0"/>
          <w:sz w:val="22"/>
          <w:szCs w:val="22"/>
          <w:highlight w:val="none"/>
          <w:lang w:val="en-US" w:eastAsia="zh-CN" w:bidi="ar"/>
        </w:rPr>
        <w:t>”符号的视为作出承诺，否则视为未作承诺。</w:t>
      </w:r>
    </w:p>
    <w:p w14:paraId="315A31A4">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0"/>
          <w:sz w:val="22"/>
          <w:szCs w:val="22"/>
          <w:highlight w:val="none"/>
          <w:lang w:val="en-US" w:eastAsia="zh-CN" w:bidi="ar"/>
        </w:rPr>
        <w:t xml:space="preserve"> </w:t>
      </w:r>
    </w:p>
    <w:p w14:paraId="41027081">
      <w:pPr>
        <w:keepNext w:val="0"/>
        <w:keepLines w:val="0"/>
        <w:widowControl w:val="0"/>
        <w:suppressLineNumbers w:val="0"/>
        <w:autoSpaceDE w:val="0"/>
        <w:autoSpaceDN w:val="0"/>
        <w:adjustRightInd w:val="0"/>
        <w:spacing w:before="0" w:beforeAutospacing="0" w:after="0" w:afterAutospacing="0" w:line="360" w:lineRule="auto"/>
        <w:ind w:left="0" w:right="893"/>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FBA8C45">
      <w:pPr>
        <w:keepNext w:val="0"/>
        <w:keepLines w:val="0"/>
        <w:widowControl w:val="0"/>
        <w:suppressLineNumbers w:val="0"/>
        <w:autoSpaceDE w:val="0"/>
        <w:autoSpaceDN w:val="0"/>
        <w:adjustRightInd w:val="0"/>
        <w:spacing w:before="0" w:beforeAutospacing="0" w:after="0" w:afterAutospacing="0" w:line="360" w:lineRule="auto"/>
        <w:ind w:left="0" w:right="0"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投标人：（加盖投标人法人公章）</w:t>
      </w:r>
    </w:p>
    <w:p w14:paraId="14183CCF">
      <w:pPr>
        <w:keepNext w:val="0"/>
        <w:keepLines w:val="0"/>
        <w:widowControl w:val="0"/>
        <w:suppressLineNumbers w:val="0"/>
        <w:autoSpaceDE w:val="0"/>
        <w:autoSpaceDN w:val="0"/>
        <w:adjustRightInd w:val="0"/>
        <w:spacing w:before="0" w:beforeAutospacing="0" w:after="0" w:afterAutospacing="0" w:line="360" w:lineRule="auto"/>
        <w:ind w:left="0" w:right="0" w:firstLine="5040" w:firstLineChars="24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日期：   年   月   日</w:t>
      </w:r>
    </w:p>
    <w:p w14:paraId="775BB6BD">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0759BB25">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2"/>
        <w:rPr>
          <w:rFonts w:hint="eastAsia" w:ascii="宋体" w:hAnsi="宋体" w:eastAsia="宋体" w:cs="宋体"/>
          <w:b/>
          <w:color w:val="auto"/>
          <w:kern w:val="0"/>
          <w:sz w:val="32"/>
          <w:szCs w:val="32"/>
          <w:highlight w:val="none"/>
        </w:rPr>
        <w:sectPr>
          <w:pgSz w:w="11906" w:h="16838"/>
          <w:pgMar w:top="1191" w:right="1043" w:bottom="1191" w:left="1043" w:header="720" w:footer="720" w:gutter="0"/>
          <w:cols w:space="720" w:num="1"/>
          <w:titlePg/>
          <w:docGrid w:linePitch="326" w:charSpace="0"/>
        </w:sectPr>
      </w:pPr>
      <w:bookmarkStart w:id="722" w:name="_Toc20402"/>
      <w:bookmarkStart w:id="723" w:name="_Toc2007"/>
      <w:bookmarkStart w:id="724" w:name="_Toc2965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14"/>
      <w:bookmarkEnd w:id="715"/>
      <w:bookmarkEnd w:id="716"/>
      <w:bookmarkEnd w:id="717"/>
      <w:bookmarkEnd w:id="718"/>
      <w:bookmarkEnd w:id="719"/>
      <w:bookmarkEnd w:id="720"/>
      <w:bookmarkEnd w:id="721"/>
      <w:bookmarkEnd w:id="722"/>
      <w:bookmarkEnd w:id="723"/>
      <w:bookmarkEnd w:id="724"/>
    </w:p>
    <w:p w14:paraId="3B48CC3A">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bookmarkStart w:id="725" w:name="_Toc102860429"/>
      <w:bookmarkStart w:id="726" w:name="_Toc140596940"/>
      <w:bookmarkStart w:id="727" w:name="_Toc27482"/>
      <w:bookmarkStart w:id="728" w:name="_Toc102860085"/>
      <w:bookmarkStart w:id="729" w:name="_Toc1977739"/>
      <w:bookmarkStart w:id="730" w:name="_Toc142508380"/>
      <w:bookmarkStart w:id="731" w:name="_Toc18038"/>
      <w:bookmarkStart w:id="732" w:name="_Toc94107222"/>
      <w:bookmarkStart w:id="733" w:name="_Toc31916"/>
      <w:bookmarkStart w:id="734" w:name="_Toc104991887"/>
      <w:bookmarkStart w:id="735" w:name="_Toc24995"/>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712"/>
      <w:bookmarkEnd w:id="725"/>
      <w:bookmarkEnd w:id="726"/>
      <w:bookmarkEnd w:id="727"/>
      <w:bookmarkEnd w:id="728"/>
      <w:bookmarkEnd w:id="729"/>
      <w:bookmarkEnd w:id="730"/>
      <w:bookmarkEnd w:id="731"/>
      <w:bookmarkEnd w:id="732"/>
      <w:bookmarkEnd w:id="733"/>
      <w:bookmarkEnd w:id="734"/>
      <w:bookmarkEnd w:id="735"/>
    </w:p>
    <w:p w14:paraId="4B45E028">
      <w:pPr>
        <w:tabs>
          <w:tab w:val="left" w:pos="864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49F7DE54">
      <w:pPr>
        <w:spacing w:line="360" w:lineRule="auto"/>
        <w:ind w:left="443" w:leftChars="77" w:hanging="281" w:hangingChars="134"/>
        <w:rPr>
          <w:rFonts w:hint="eastAsia" w:ascii="宋体" w:hAnsi="宋体" w:eastAsia="宋体" w:cs="宋体"/>
          <w:color w:val="auto"/>
          <w:kern w:val="0"/>
          <w:szCs w:val="21"/>
          <w:highlight w:val="none"/>
        </w:rPr>
      </w:pPr>
      <w:bookmarkStart w:id="736" w:name="_Toc2479"/>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zh-CN"/>
        </w:rPr>
        <w:t>用户需求偏离表</w:t>
      </w:r>
      <w:r>
        <w:rPr>
          <w:rFonts w:hint="eastAsia" w:ascii="宋体" w:hAnsi="宋体" w:eastAsia="宋体" w:cs="宋体"/>
          <w:color w:val="auto"/>
          <w:kern w:val="0"/>
          <w:szCs w:val="21"/>
          <w:highlight w:val="none"/>
        </w:rPr>
        <w:t>（即13.1用户需求偏离表格式）</w:t>
      </w:r>
    </w:p>
    <w:p w14:paraId="14A317D9">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2、工作流程及政策了解</w:t>
      </w:r>
      <w:r>
        <w:rPr>
          <w:rFonts w:hint="eastAsia" w:ascii="宋体" w:hAnsi="宋体" w:eastAsia="宋体" w:cs="宋体"/>
          <w:color w:val="auto"/>
          <w:kern w:val="0"/>
          <w:szCs w:val="21"/>
          <w:highlight w:val="none"/>
        </w:rPr>
        <w:t>；</w:t>
      </w:r>
    </w:p>
    <w:p w14:paraId="33579E82">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进度保障；</w:t>
      </w:r>
    </w:p>
    <w:p w14:paraId="7AD635C0">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4、质量保证措施</w:t>
      </w:r>
      <w:r>
        <w:rPr>
          <w:rFonts w:hint="eastAsia" w:ascii="宋体" w:hAnsi="宋体" w:eastAsia="宋体" w:cs="宋体"/>
          <w:color w:val="auto"/>
          <w:kern w:val="0"/>
          <w:szCs w:val="21"/>
          <w:highlight w:val="none"/>
        </w:rPr>
        <w:t>；</w:t>
      </w:r>
    </w:p>
    <w:p w14:paraId="6A335AD9">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质量跟踪及信息反馈机制；</w:t>
      </w:r>
    </w:p>
    <w:p w14:paraId="1728E883">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6、投入本项目服务人员情况</w:t>
      </w:r>
      <w:r>
        <w:rPr>
          <w:rFonts w:hint="eastAsia" w:ascii="宋体" w:hAnsi="宋体" w:eastAsia="宋体" w:cs="宋体"/>
          <w:color w:val="auto"/>
          <w:kern w:val="0"/>
          <w:szCs w:val="21"/>
          <w:highlight w:val="none"/>
        </w:rPr>
        <w:t>；</w:t>
      </w:r>
    </w:p>
    <w:p w14:paraId="0CA2CC08">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服务便利性</w:t>
      </w:r>
      <w:r>
        <w:rPr>
          <w:rFonts w:hint="eastAsia" w:ascii="宋体" w:hAnsi="宋体" w:eastAsia="宋体" w:cs="宋体"/>
          <w:color w:val="auto"/>
          <w:kern w:val="0"/>
          <w:szCs w:val="21"/>
          <w:highlight w:val="none"/>
          <w:lang w:eastAsia="zh-CN"/>
        </w:rPr>
        <w:t>；</w:t>
      </w:r>
    </w:p>
    <w:bookmarkEnd w:id="736"/>
    <w:p w14:paraId="6C6FE8BA">
      <w:pPr>
        <w:spacing w:line="360" w:lineRule="auto"/>
        <w:ind w:left="443" w:leftChars="77" w:hanging="281" w:hangingChars="134"/>
        <w:outlineLvl w:val="0"/>
        <w:rPr>
          <w:rFonts w:hint="eastAsia" w:ascii="宋体" w:hAnsi="宋体" w:eastAsia="宋体" w:cs="宋体"/>
          <w:color w:val="auto"/>
          <w:kern w:val="0"/>
          <w:szCs w:val="21"/>
          <w:highlight w:val="none"/>
        </w:rPr>
      </w:pPr>
      <w:bookmarkStart w:id="737" w:name="_Toc23326"/>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bookmarkEnd w:id="737"/>
    </w:p>
    <w:p w14:paraId="677B5DFB">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13"/>
      <w:bookmarkStart w:id="738" w:name="_Toc533708135"/>
      <w:bookmarkStart w:id="739" w:name="_Toc142508381"/>
      <w:bookmarkStart w:id="740" w:name="_Toc140596941"/>
      <w:bookmarkStart w:id="741" w:name="_Toc1977740"/>
      <w:bookmarkStart w:id="742" w:name="_Toc102860086"/>
      <w:bookmarkStart w:id="743" w:name="_Toc102860430"/>
      <w:bookmarkStart w:id="744" w:name="_Toc94107223"/>
      <w:bookmarkStart w:id="745" w:name="_Toc104991888"/>
    </w:p>
    <w:p w14:paraId="36475835">
      <w:pPr>
        <w:pStyle w:val="19"/>
        <w:spacing w:line="360" w:lineRule="auto"/>
        <w:jc w:val="center"/>
        <w:rPr>
          <w:rFonts w:hint="eastAsia" w:ascii="宋体" w:hAnsi="宋体" w:eastAsia="宋体" w:cs="宋体"/>
          <w:b/>
          <w:color w:val="auto"/>
          <w:kern w:val="0"/>
          <w:szCs w:val="21"/>
          <w:highlight w:val="none"/>
        </w:rPr>
      </w:pPr>
    </w:p>
    <w:p w14:paraId="6E3FD242">
      <w:pPr>
        <w:pStyle w:val="19"/>
        <w:spacing w:line="360" w:lineRule="auto"/>
        <w:jc w:val="center"/>
        <w:rPr>
          <w:rFonts w:hint="eastAsia" w:ascii="宋体" w:hAnsi="宋体" w:eastAsia="宋体" w:cs="宋体"/>
          <w:b/>
          <w:color w:val="auto"/>
          <w:kern w:val="0"/>
          <w:szCs w:val="21"/>
          <w:highlight w:val="none"/>
        </w:rPr>
      </w:pPr>
    </w:p>
    <w:p w14:paraId="1C2D10E4">
      <w:pPr>
        <w:pStyle w:val="19"/>
        <w:spacing w:line="360" w:lineRule="auto"/>
        <w:jc w:val="center"/>
        <w:rPr>
          <w:rFonts w:hint="eastAsia" w:ascii="宋体" w:hAnsi="宋体" w:eastAsia="宋体" w:cs="宋体"/>
          <w:b/>
          <w:color w:val="auto"/>
          <w:kern w:val="0"/>
          <w:szCs w:val="21"/>
          <w:highlight w:val="none"/>
        </w:rPr>
      </w:pPr>
    </w:p>
    <w:p w14:paraId="3F17EC76">
      <w:pPr>
        <w:pStyle w:val="19"/>
        <w:spacing w:line="360" w:lineRule="auto"/>
        <w:jc w:val="center"/>
        <w:rPr>
          <w:rFonts w:hint="eastAsia" w:ascii="宋体" w:hAnsi="宋体" w:eastAsia="宋体" w:cs="宋体"/>
          <w:b/>
          <w:color w:val="auto"/>
          <w:kern w:val="0"/>
          <w:szCs w:val="21"/>
          <w:highlight w:val="none"/>
        </w:rPr>
      </w:pPr>
    </w:p>
    <w:p w14:paraId="52B966FD">
      <w:pPr>
        <w:pStyle w:val="19"/>
        <w:spacing w:line="360" w:lineRule="auto"/>
        <w:jc w:val="center"/>
        <w:rPr>
          <w:rFonts w:hint="eastAsia" w:ascii="宋体" w:hAnsi="宋体" w:eastAsia="宋体" w:cs="宋体"/>
          <w:b/>
          <w:color w:val="auto"/>
          <w:kern w:val="0"/>
          <w:szCs w:val="21"/>
          <w:highlight w:val="none"/>
        </w:rPr>
      </w:pPr>
    </w:p>
    <w:p w14:paraId="38A2CE6D">
      <w:pPr>
        <w:pStyle w:val="19"/>
        <w:spacing w:line="360" w:lineRule="auto"/>
        <w:jc w:val="center"/>
        <w:rPr>
          <w:rFonts w:hint="eastAsia" w:ascii="宋体" w:hAnsi="宋体" w:eastAsia="宋体" w:cs="宋体"/>
          <w:b/>
          <w:color w:val="auto"/>
          <w:kern w:val="0"/>
          <w:szCs w:val="21"/>
          <w:highlight w:val="none"/>
        </w:rPr>
      </w:pPr>
    </w:p>
    <w:p w14:paraId="05330AB9">
      <w:pPr>
        <w:pStyle w:val="19"/>
        <w:spacing w:line="360" w:lineRule="auto"/>
        <w:jc w:val="center"/>
        <w:rPr>
          <w:rFonts w:hint="eastAsia" w:ascii="宋体" w:hAnsi="宋体" w:eastAsia="宋体" w:cs="宋体"/>
          <w:b/>
          <w:color w:val="auto"/>
          <w:kern w:val="0"/>
          <w:szCs w:val="21"/>
          <w:highlight w:val="none"/>
        </w:rPr>
      </w:pPr>
    </w:p>
    <w:p w14:paraId="45ECC356">
      <w:pPr>
        <w:pStyle w:val="19"/>
        <w:spacing w:line="360" w:lineRule="auto"/>
        <w:jc w:val="center"/>
        <w:rPr>
          <w:rFonts w:hint="eastAsia" w:ascii="宋体" w:hAnsi="宋体" w:eastAsia="宋体" w:cs="宋体"/>
          <w:b/>
          <w:color w:val="auto"/>
          <w:kern w:val="0"/>
          <w:szCs w:val="21"/>
          <w:highlight w:val="none"/>
        </w:rPr>
      </w:pPr>
    </w:p>
    <w:p w14:paraId="08E363D5">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6D5183E">
      <w:pPr>
        <w:pStyle w:val="19"/>
        <w:spacing w:line="360" w:lineRule="auto"/>
        <w:rPr>
          <w:rFonts w:hint="eastAsia" w:ascii="宋体" w:hAnsi="宋体" w:eastAsia="宋体" w:cs="宋体"/>
          <w:color w:val="auto"/>
          <w:highlight w:val="none"/>
        </w:rPr>
      </w:pPr>
    </w:p>
    <w:p w14:paraId="7CA12B8C">
      <w:pPr>
        <w:pStyle w:val="19"/>
        <w:spacing w:line="360" w:lineRule="auto"/>
        <w:rPr>
          <w:rFonts w:hint="eastAsia" w:ascii="宋体" w:hAnsi="宋体" w:eastAsia="宋体" w:cs="宋体"/>
          <w:color w:val="auto"/>
          <w:highlight w:val="none"/>
        </w:rPr>
      </w:pPr>
    </w:p>
    <w:p w14:paraId="2CEF73F6">
      <w:pPr>
        <w:pStyle w:val="19"/>
        <w:spacing w:line="360" w:lineRule="auto"/>
        <w:rPr>
          <w:rFonts w:hint="eastAsia" w:ascii="宋体" w:hAnsi="宋体" w:eastAsia="宋体" w:cs="宋体"/>
          <w:color w:val="auto"/>
          <w:highlight w:val="none"/>
        </w:rPr>
      </w:pPr>
    </w:p>
    <w:p w14:paraId="2036498A">
      <w:pPr>
        <w:pStyle w:val="19"/>
        <w:spacing w:line="360" w:lineRule="auto"/>
        <w:rPr>
          <w:rFonts w:hint="eastAsia" w:ascii="宋体" w:hAnsi="宋体" w:eastAsia="宋体" w:cs="宋体"/>
          <w:color w:val="auto"/>
          <w:highlight w:val="none"/>
        </w:rPr>
      </w:pPr>
    </w:p>
    <w:p w14:paraId="703F545F">
      <w:pPr>
        <w:pStyle w:val="19"/>
        <w:spacing w:line="360" w:lineRule="auto"/>
        <w:rPr>
          <w:rFonts w:hint="eastAsia" w:ascii="宋体" w:hAnsi="宋体" w:eastAsia="宋体" w:cs="宋体"/>
          <w:color w:val="auto"/>
          <w:highlight w:val="none"/>
        </w:rPr>
      </w:pPr>
    </w:p>
    <w:p w14:paraId="2EC413BC">
      <w:pPr>
        <w:pStyle w:val="19"/>
        <w:spacing w:line="360" w:lineRule="auto"/>
        <w:rPr>
          <w:rFonts w:hint="eastAsia" w:ascii="宋体" w:hAnsi="宋体" w:eastAsia="宋体" w:cs="宋体"/>
          <w:color w:val="auto"/>
          <w:highlight w:val="none"/>
        </w:rPr>
      </w:pPr>
    </w:p>
    <w:p w14:paraId="392E8F2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F965157">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EF5A20B">
      <w:pPr>
        <w:pStyle w:val="19"/>
        <w:spacing w:line="360" w:lineRule="auto"/>
        <w:ind w:firstLine="1875" w:firstLineChars="625"/>
        <w:outlineLvl w:val="1"/>
        <w:rPr>
          <w:rFonts w:hint="eastAsia" w:ascii="宋体" w:hAnsi="宋体" w:eastAsia="宋体" w:cs="宋体"/>
          <w:color w:val="auto"/>
          <w:sz w:val="30"/>
          <w:highlight w:val="none"/>
          <w:u w:val="single"/>
        </w:rPr>
      </w:pPr>
      <w:bookmarkStart w:id="746" w:name="_Toc8330"/>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746"/>
      <w:r>
        <w:rPr>
          <w:rFonts w:hint="eastAsia" w:ascii="宋体" w:hAnsi="宋体" w:eastAsia="宋体" w:cs="宋体"/>
          <w:color w:val="auto"/>
          <w:sz w:val="30"/>
          <w:highlight w:val="none"/>
          <w:u w:val="single"/>
        </w:rPr>
        <w:t xml:space="preserve"> </w:t>
      </w:r>
    </w:p>
    <w:p w14:paraId="5CB4D3FE">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0A734F63">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6E3C402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411A2AA">
      <w:pPr>
        <w:pStyle w:val="19"/>
        <w:spacing w:line="360" w:lineRule="auto"/>
        <w:rPr>
          <w:rFonts w:hint="eastAsia" w:ascii="宋体" w:hAnsi="宋体" w:eastAsia="宋体" w:cs="宋体"/>
          <w:color w:val="auto"/>
          <w:highlight w:val="none"/>
        </w:rPr>
      </w:pPr>
    </w:p>
    <w:p w14:paraId="02B834AC">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A41FAC">
      <w:pPr>
        <w:pStyle w:val="19"/>
        <w:spacing w:line="360" w:lineRule="auto"/>
        <w:rPr>
          <w:rFonts w:hint="eastAsia" w:ascii="宋体" w:hAnsi="宋体" w:eastAsia="宋体" w:cs="宋体"/>
          <w:color w:val="auto"/>
          <w:highlight w:val="none"/>
        </w:rPr>
      </w:pPr>
    </w:p>
    <w:p w14:paraId="7805A373">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34"/>
        <w:gridCol w:w="2684"/>
        <w:gridCol w:w="2102"/>
        <w:gridCol w:w="3914"/>
      </w:tblGrid>
      <w:tr w14:paraId="1BF620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0C4679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BD9CF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7FEEE8A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1CDA0D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9986B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8255C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5FFBAAF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7" w:type="pct"/>
            <w:vAlign w:val="center"/>
          </w:tcPr>
          <w:p w14:paraId="7A77EE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0D1C6E4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96B80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5523FDF8">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7452EF15">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7" w:type="pct"/>
            <w:vAlign w:val="center"/>
          </w:tcPr>
          <w:p w14:paraId="2C8FD894">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432B8638">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6CDA88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EC2BC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69A0E1C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vAlign w:val="center"/>
          </w:tcPr>
          <w:p w14:paraId="606F6B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2F95761C">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788186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A3F679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3C6121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1F0A40A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2707974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6C61C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71E27D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4266028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77E0D27D">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19562F9B">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9A67AFC">
      <w:pPr>
        <w:tabs>
          <w:tab w:val="left" w:pos="567"/>
        </w:tabs>
        <w:autoSpaceDE w:val="0"/>
        <w:autoSpaceDN w:val="0"/>
        <w:adjustRightInd w:val="0"/>
        <w:spacing w:line="360" w:lineRule="auto"/>
        <w:jc w:val="left"/>
        <w:outlineLvl w:val="1"/>
        <w:rPr>
          <w:rFonts w:hint="eastAsia" w:ascii="宋体" w:hAnsi="宋体" w:eastAsia="宋体" w:cs="宋体"/>
          <w:b/>
          <w:color w:val="auto"/>
          <w:kern w:val="0"/>
          <w:sz w:val="30"/>
          <w:szCs w:val="30"/>
          <w:highlight w:val="none"/>
        </w:rPr>
      </w:pPr>
      <w:bookmarkStart w:id="747" w:name="_Toc27934"/>
      <w:bookmarkStart w:id="748" w:name="_Toc8142"/>
      <w:bookmarkStart w:id="749" w:name="_Toc18999"/>
      <w:bookmarkStart w:id="750" w:name="_Toc3044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738"/>
      <w:bookmarkEnd w:id="739"/>
      <w:bookmarkEnd w:id="740"/>
      <w:bookmarkEnd w:id="741"/>
      <w:bookmarkEnd w:id="742"/>
      <w:bookmarkEnd w:id="743"/>
      <w:bookmarkEnd w:id="744"/>
      <w:bookmarkEnd w:id="745"/>
      <w:bookmarkEnd w:id="747"/>
      <w:bookmarkEnd w:id="748"/>
      <w:bookmarkEnd w:id="749"/>
      <w:bookmarkEnd w:id="750"/>
    </w:p>
    <w:p w14:paraId="2C6D8443">
      <w:pPr>
        <w:spacing w:before="120" w:after="120" w:line="360" w:lineRule="auto"/>
        <w:jc w:val="center"/>
        <w:outlineLvl w:val="2"/>
        <w:rPr>
          <w:rFonts w:hint="eastAsia" w:ascii="宋体" w:hAnsi="宋体" w:eastAsia="宋体" w:cs="宋体"/>
          <w:color w:val="auto"/>
          <w:kern w:val="0"/>
          <w:szCs w:val="21"/>
          <w:highlight w:val="none"/>
        </w:rPr>
      </w:pPr>
      <w:bookmarkStart w:id="751" w:name="_Toc32085"/>
      <w:bookmarkStart w:id="752" w:name="_Toc17449_WPSOffice_Level3"/>
      <w:r>
        <w:rPr>
          <w:rFonts w:hint="eastAsia" w:ascii="宋体" w:hAnsi="宋体" w:eastAsia="宋体" w:cs="宋体"/>
          <w:b/>
          <w:color w:val="auto"/>
          <w:kern w:val="0"/>
          <w:sz w:val="30"/>
          <w:szCs w:val="30"/>
          <w:highlight w:val="none"/>
          <w:lang w:val="zh-CN"/>
        </w:rPr>
        <w:t>用户需求偏离表</w:t>
      </w:r>
      <w:bookmarkEnd w:id="751"/>
      <w:bookmarkEnd w:id="75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921"/>
        <w:gridCol w:w="6207"/>
        <w:gridCol w:w="699"/>
        <w:gridCol w:w="839"/>
        <w:gridCol w:w="790"/>
      </w:tblGrid>
      <w:tr w14:paraId="2507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62B208B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7A3544B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59" w:type="pct"/>
            <w:gridSpan w:val="3"/>
            <w:vAlign w:val="center"/>
          </w:tcPr>
          <w:p w14:paraId="38D2F54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2366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330C000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59" w:type="pct"/>
            <w:vAlign w:val="center"/>
          </w:tcPr>
          <w:p w14:paraId="025EEC0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741D928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6AD59B0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5990B88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1" w:type="pct"/>
            <w:vAlign w:val="center"/>
          </w:tcPr>
          <w:p w14:paraId="31E654B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7310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78869B3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3D3CDFFD">
            <w:pPr>
              <w:keepNext w:val="0"/>
              <w:keepLines w:val="0"/>
              <w:suppressLineNumbers w:val="0"/>
              <w:spacing w:before="0" w:beforeAutospacing="0" w:after="0" w:afterAutospacing="0" w:line="400" w:lineRule="exact"/>
              <w:ind w:left="0" w:right="0"/>
              <w:jc w:val="center"/>
              <w:rPr>
                <w:rFonts w:hint="eastAsia" w:ascii="宋体" w:hAnsi="宋体" w:eastAsia="宋体" w:cs="宋体"/>
                <w:b/>
                <w:i w:val="0"/>
                <w:iCs w:val="0"/>
                <w:color w:val="auto"/>
                <w:kern w:val="0"/>
                <w:sz w:val="21"/>
                <w:szCs w:val="21"/>
                <w:highlight w:val="none"/>
                <w:lang w:val="en-US" w:eastAsia="zh-CN"/>
              </w:rPr>
            </w:pPr>
            <w:r>
              <w:rPr>
                <w:rFonts w:hint="eastAsia" w:ascii="宋体" w:hAnsi="宋体" w:eastAsia="宋体" w:cs="宋体"/>
                <w:b/>
                <w:i w:val="0"/>
                <w:iCs w:val="0"/>
                <w:color w:val="auto"/>
                <w:kern w:val="0"/>
                <w:sz w:val="21"/>
                <w:szCs w:val="21"/>
                <w:highlight w:val="none"/>
                <w:lang w:val="en-US" w:eastAsia="zh-CN"/>
              </w:rPr>
              <w:t>二</w:t>
            </w:r>
          </w:p>
        </w:tc>
        <w:tc>
          <w:tcPr>
            <w:tcW w:w="3092" w:type="pct"/>
            <w:vAlign w:val="center"/>
          </w:tcPr>
          <w:p w14:paraId="34CBE73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en-US"/>
              </w:rPr>
              <w:t>服务期限及服务内容</w:t>
            </w:r>
          </w:p>
        </w:tc>
        <w:tc>
          <w:tcPr>
            <w:tcW w:w="348" w:type="pct"/>
            <w:vAlign w:val="center"/>
          </w:tcPr>
          <w:p w14:paraId="46E335B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0DDCCE9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1" w:type="pct"/>
            <w:vAlign w:val="center"/>
          </w:tcPr>
          <w:p w14:paraId="18549C4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53D8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89" w:type="pct"/>
            <w:vAlign w:val="center"/>
          </w:tcPr>
          <w:p w14:paraId="78F80B2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3A527A57">
            <w:pPr>
              <w:keepNext w:val="0"/>
              <w:keepLines w:val="0"/>
              <w:suppressLineNumbers w:val="0"/>
              <w:spacing w:before="0" w:beforeAutospacing="0" w:after="0" w:afterAutospacing="0" w:line="400" w:lineRule="exact"/>
              <w:ind w:left="0" w:right="0"/>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三</w:t>
            </w:r>
          </w:p>
        </w:tc>
        <w:tc>
          <w:tcPr>
            <w:tcW w:w="3092" w:type="pct"/>
            <w:vAlign w:val="center"/>
          </w:tcPr>
          <w:p w14:paraId="67A00702">
            <w:pPr>
              <w:keepNext w:val="0"/>
              <w:keepLines w:val="0"/>
              <w:suppressLineNumbers w:val="0"/>
              <w:adjustRightInd/>
              <w:snapToGrid/>
              <w:spacing w:before="0" w:beforeAutospacing="0" w:after="0" w:afterAutospacing="0" w:line="400" w:lineRule="exact"/>
              <w:ind w:left="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en-US"/>
              </w:rPr>
              <w:t>服务费的计算及支付方式</w:t>
            </w:r>
          </w:p>
        </w:tc>
        <w:tc>
          <w:tcPr>
            <w:tcW w:w="348" w:type="pct"/>
            <w:vAlign w:val="center"/>
          </w:tcPr>
          <w:p w14:paraId="359580F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528ECC7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1" w:type="pct"/>
            <w:vAlign w:val="center"/>
          </w:tcPr>
          <w:p w14:paraId="4B989E8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4885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9" w:type="pct"/>
            <w:vAlign w:val="center"/>
          </w:tcPr>
          <w:p w14:paraId="50981C2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2324CF9D">
            <w:pPr>
              <w:keepNext w:val="0"/>
              <w:keepLines w:val="0"/>
              <w:suppressLineNumbers w:val="0"/>
              <w:spacing w:before="0" w:beforeAutospacing="0" w:after="0" w:afterAutospacing="0" w:line="400" w:lineRule="exact"/>
              <w:ind w:left="0" w:right="0"/>
              <w:jc w:val="center"/>
              <w:rPr>
                <w:rFonts w:hint="eastAsia" w:ascii="宋体" w:hAnsi="宋体" w:eastAsia="宋体" w:cs="宋体"/>
                <w:b w:val="0"/>
                <w:i w:val="0"/>
                <w:iCs w:val="0"/>
                <w:color w:val="auto"/>
                <w:kern w:val="0"/>
                <w:sz w:val="21"/>
                <w:szCs w:val="21"/>
                <w:highlight w:val="none"/>
                <w:lang w:val="en-US" w:eastAsia="zh-CN"/>
              </w:rPr>
            </w:pPr>
            <w:r>
              <w:rPr>
                <w:rFonts w:hint="eastAsia" w:ascii="宋体" w:hAnsi="宋体" w:eastAsia="宋体" w:cs="宋体"/>
                <w:b w:val="0"/>
                <w:i w:val="0"/>
                <w:iCs w:val="0"/>
                <w:color w:val="auto"/>
                <w:kern w:val="0"/>
                <w:sz w:val="21"/>
                <w:szCs w:val="21"/>
                <w:highlight w:val="none"/>
                <w:lang w:val="en-US" w:eastAsia="zh-CN"/>
              </w:rPr>
              <w:t>四</w:t>
            </w:r>
          </w:p>
        </w:tc>
        <w:tc>
          <w:tcPr>
            <w:tcW w:w="3092" w:type="pct"/>
            <w:vAlign w:val="center"/>
          </w:tcPr>
          <w:p w14:paraId="0A8ED415">
            <w:pPr>
              <w:keepNext w:val="0"/>
              <w:keepLines w:val="0"/>
              <w:suppressLineNumbers w:val="0"/>
              <w:spacing w:before="0" w:beforeAutospacing="0" w:after="0" w:afterAutospacing="0" w:line="400" w:lineRule="exac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val="0"/>
                <w:bCs w:val="0"/>
                <w:snapToGrid/>
                <w:color w:val="auto"/>
                <w:spacing w:val="0"/>
                <w:kern w:val="0"/>
                <w:sz w:val="21"/>
                <w:szCs w:val="21"/>
                <w:highlight w:val="none"/>
                <w:lang w:val="en-US" w:eastAsia="en-US" w:bidi="ar-SA"/>
              </w:rPr>
              <w:t>单项造价咨询服务完成时间要求</w:t>
            </w:r>
          </w:p>
        </w:tc>
        <w:tc>
          <w:tcPr>
            <w:tcW w:w="348" w:type="pct"/>
            <w:vAlign w:val="center"/>
          </w:tcPr>
          <w:p w14:paraId="38632B1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417F4A7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1" w:type="pct"/>
            <w:vAlign w:val="center"/>
          </w:tcPr>
          <w:p w14:paraId="07820BF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6242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9" w:type="pct"/>
            <w:vAlign w:val="center"/>
          </w:tcPr>
          <w:p w14:paraId="7DBDC1F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Merge w:val="restart"/>
            <w:vAlign w:val="center"/>
          </w:tcPr>
          <w:p w14:paraId="19DF3CF9">
            <w:pPr>
              <w:keepNext w:val="0"/>
              <w:keepLines w:val="0"/>
              <w:suppressLineNumbers w:val="0"/>
              <w:spacing w:before="0" w:beforeAutospacing="0" w:after="0" w:afterAutospacing="0" w:line="400" w:lineRule="exact"/>
              <w:ind w:left="0" w:right="0"/>
              <w:jc w:val="center"/>
              <w:rPr>
                <w:rFonts w:hint="eastAsia" w:ascii="宋体" w:hAnsi="宋体" w:eastAsia="宋体" w:cs="宋体"/>
                <w:b w:val="0"/>
                <w:i w:val="0"/>
                <w:iCs w:val="0"/>
                <w:color w:val="auto"/>
                <w:kern w:val="0"/>
                <w:sz w:val="21"/>
                <w:szCs w:val="21"/>
                <w:highlight w:val="none"/>
                <w:lang w:val="en-US" w:eastAsia="zh-CN"/>
              </w:rPr>
            </w:pPr>
            <w:r>
              <w:rPr>
                <w:rFonts w:hint="eastAsia" w:ascii="宋体" w:hAnsi="宋体" w:eastAsia="宋体" w:cs="宋体"/>
                <w:b w:val="0"/>
                <w:i w:val="0"/>
                <w:iCs w:val="0"/>
                <w:color w:val="auto"/>
                <w:kern w:val="0"/>
                <w:sz w:val="21"/>
                <w:szCs w:val="21"/>
                <w:highlight w:val="none"/>
                <w:lang w:val="en-US" w:eastAsia="zh-CN"/>
              </w:rPr>
              <w:t>五</w:t>
            </w:r>
          </w:p>
        </w:tc>
        <w:tc>
          <w:tcPr>
            <w:tcW w:w="3092" w:type="pct"/>
            <w:vAlign w:val="center"/>
          </w:tcPr>
          <w:p w14:paraId="61F14933">
            <w:pPr>
              <w:keepNext w:val="0"/>
              <w:keepLines w:val="0"/>
              <w:suppressLineNumbers w:val="0"/>
              <w:spacing w:before="0" w:beforeAutospacing="0" w:after="0" w:afterAutospacing="0" w:line="400" w:lineRule="exac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val="0"/>
                <w:bCs w:val="0"/>
                <w:snapToGrid/>
                <w:color w:val="auto"/>
                <w:spacing w:val="0"/>
                <w:kern w:val="0"/>
                <w:sz w:val="21"/>
                <w:szCs w:val="21"/>
                <w:highlight w:val="none"/>
                <w:lang w:val="en-US" w:eastAsia="en-US" w:bidi="ar-SA"/>
              </w:rPr>
              <w:t>服务要求</w:t>
            </w:r>
          </w:p>
        </w:tc>
        <w:tc>
          <w:tcPr>
            <w:tcW w:w="348" w:type="pct"/>
            <w:vAlign w:val="center"/>
          </w:tcPr>
          <w:p w14:paraId="0F79F89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1D17270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1" w:type="pct"/>
            <w:vAlign w:val="center"/>
          </w:tcPr>
          <w:p w14:paraId="23F10FE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5FDB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9" w:type="pct"/>
            <w:vAlign w:val="center"/>
          </w:tcPr>
          <w:p w14:paraId="1F8804D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Merge w:val="continue"/>
            <w:vAlign w:val="center"/>
          </w:tcPr>
          <w:p w14:paraId="324E59CE">
            <w:pPr>
              <w:keepNext w:val="0"/>
              <w:keepLines w:val="0"/>
              <w:suppressLineNumbers w:val="0"/>
              <w:spacing w:before="0" w:beforeAutospacing="0" w:after="0" w:afterAutospacing="0" w:line="400" w:lineRule="exact"/>
              <w:ind w:left="0" w:right="0"/>
              <w:jc w:val="center"/>
              <w:rPr>
                <w:rFonts w:hint="eastAsia" w:ascii="宋体" w:hAnsi="宋体" w:eastAsia="宋体" w:cs="宋体"/>
                <w:b w:val="0"/>
                <w:i w:val="0"/>
                <w:iCs w:val="0"/>
                <w:color w:val="auto"/>
                <w:kern w:val="0"/>
                <w:sz w:val="21"/>
                <w:szCs w:val="21"/>
                <w:highlight w:val="none"/>
                <w:lang w:val="en-US" w:eastAsia="zh-CN"/>
              </w:rPr>
            </w:pPr>
          </w:p>
        </w:tc>
        <w:tc>
          <w:tcPr>
            <w:tcW w:w="3092" w:type="pct"/>
            <w:vAlign w:val="center"/>
          </w:tcPr>
          <w:p w14:paraId="530F1007">
            <w:pPr>
              <w:keepNext w:val="0"/>
              <w:keepLines w:val="0"/>
              <w:widowControl/>
              <w:suppressLineNumbers w:val="0"/>
              <w:topLinePunct/>
              <w:adjustRightInd w:val="0"/>
              <w:snapToGrid w:val="0"/>
              <w:spacing w:before="0" w:beforeAutospacing="0" w:after="0" w:afterAutospacing="0" w:line="360" w:lineRule="auto"/>
              <w:ind w:left="0" w:right="391" w:firstLine="0" w:firstLineChars="0"/>
              <w:jc w:val="left"/>
              <w:textAlignment w:val="baseline"/>
              <w:rPr>
                <w:rFonts w:hint="eastAsia" w:ascii="宋体" w:hAnsi="宋体" w:eastAsia="宋体" w:cs="宋体"/>
                <w:b w:val="0"/>
                <w:bCs w:val="0"/>
                <w:snapToGrid/>
                <w:color w:val="auto"/>
                <w:spacing w:val="0"/>
                <w:kern w:val="0"/>
                <w:sz w:val="21"/>
                <w:szCs w:val="21"/>
                <w:highlight w:val="none"/>
                <w:lang w:val="en-US" w:eastAsia="en-US" w:bidi="ar-SA"/>
              </w:rPr>
            </w:pPr>
            <w:r>
              <w:rPr>
                <w:rFonts w:hint="eastAsia" w:ascii="宋体" w:hAnsi="宋体" w:eastAsia="宋体" w:cs="宋体"/>
                <w:b w:val="0"/>
                <w:bCs w:val="0"/>
                <w:snapToGrid/>
                <w:color w:val="auto"/>
                <w:spacing w:val="0"/>
                <w:kern w:val="0"/>
                <w:sz w:val="21"/>
                <w:szCs w:val="21"/>
                <w:highlight w:val="none"/>
                <w:lang w:val="en-US" w:eastAsia="en-US" w:bidi="ar-SA"/>
              </w:rPr>
              <w:t>服务要求</w:t>
            </w:r>
          </w:p>
          <w:p w14:paraId="6A4913C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391" w:firstLine="0"/>
              <w:jc w:val="left"/>
              <w:textAlignment w:val="baseline"/>
              <w:outlineLvl w:val="9"/>
              <w:rPr>
                <w:rFonts w:hint="eastAsia" w:ascii="宋体" w:hAnsi="宋体" w:eastAsia="宋体" w:cs="宋体"/>
                <w:b/>
                <w:bCs w:val="0"/>
                <w:snapToGrid w:val="0"/>
                <w:color w:val="auto"/>
                <w:spacing w:val="0"/>
                <w:kern w:val="0"/>
                <w:sz w:val="21"/>
                <w:szCs w:val="21"/>
                <w:highlight w:val="none"/>
                <w:lang w:val="en-US" w:eastAsia="en-US" w:bidi="ar-SA"/>
              </w:rPr>
            </w:pPr>
            <w:r>
              <w:rPr>
                <w:rFonts w:hint="eastAsia" w:ascii="宋体" w:hAnsi="宋体" w:eastAsia="宋体" w:cs="宋体"/>
                <w:b/>
                <w:bCs w:val="0"/>
                <w:color w:val="auto"/>
                <w:szCs w:val="21"/>
                <w:highlight w:val="none"/>
                <w:u w:val="none"/>
              </w:rPr>
              <w:t>★</w:t>
            </w:r>
            <w:r>
              <w:rPr>
                <w:rFonts w:hint="eastAsia" w:ascii="宋体" w:hAnsi="宋体" w:eastAsia="宋体" w:cs="宋体"/>
                <w:b/>
                <w:bCs w:val="0"/>
                <w:snapToGrid w:val="0"/>
                <w:color w:val="auto"/>
                <w:spacing w:val="0"/>
                <w:kern w:val="0"/>
                <w:sz w:val="21"/>
                <w:szCs w:val="21"/>
                <w:highlight w:val="none"/>
                <w:lang w:val="en-US" w:eastAsia="zh-CN" w:bidi="ar-SA"/>
              </w:rPr>
              <w:t>5</w:t>
            </w:r>
            <w:r>
              <w:rPr>
                <w:rFonts w:hint="eastAsia" w:ascii="宋体" w:hAnsi="宋体" w:eastAsia="宋体" w:cs="宋体"/>
                <w:b/>
                <w:bCs w:val="0"/>
                <w:snapToGrid w:val="0"/>
                <w:color w:val="auto"/>
                <w:spacing w:val="0"/>
                <w:kern w:val="0"/>
                <w:sz w:val="21"/>
                <w:szCs w:val="21"/>
                <w:highlight w:val="none"/>
                <w:lang w:val="en-US" w:eastAsia="en-US" w:bidi="ar-SA"/>
              </w:rPr>
              <w:t>.10</w:t>
            </w:r>
            <w:r>
              <w:rPr>
                <w:rFonts w:hint="eastAsia" w:ascii="宋体" w:hAnsi="宋体" w:eastAsia="宋体" w:cs="宋体"/>
                <w:b/>
                <w:bCs w:val="0"/>
                <w:snapToGrid w:val="0"/>
                <w:color w:val="auto"/>
                <w:spacing w:val="0"/>
                <w:kern w:val="0"/>
                <w:sz w:val="21"/>
                <w:szCs w:val="21"/>
                <w:highlight w:val="none"/>
                <w:lang w:val="en-US" w:eastAsia="zh-CN" w:bidi="ar-SA"/>
              </w:rPr>
              <w:t xml:space="preserve"> </w:t>
            </w:r>
            <w:r>
              <w:rPr>
                <w:rFonts w:hint="eastAsia" w:ascii="宋体" w:hAnsi="宋体" w:eastAsia="宋体" w:cs="宋体"/>
                <w:b/>
                <w:bCs w:val="0"/>
                <w:snapToGrid w:val="0"/>
                <w:color w:val="auto"/>
                <w:spacing w:val="0"/>
                <w:kern w:val="0"/>
                <w:sz w:val="21"/>
                <w:szCs w:val="21"/>
                <w:highlight w:val="none"/>
                <w:lang w:val="en-US" w:eastAsia="en-US" w:bidi="ar-SA"/>
              </w:rPr>
              <w:t>人员要求</w:t>
            </w:r>
          </w:p>
          <w:p w14:paraId="6901C999">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391" w:firstLine="0"/>
              <w:jc w:val="left"/>
              <w:textAlignment w:val="baseline"/>
              <w:rPr>
                <w:rFonts w:hint="eastAsia" w:ascii="宋体" w:hAnsi="宋体" w:eastAsia="宋体" w:cs="宋体"/>
                <w:b/>
                <w:bCs w:val="0"/>
                <w:snapToGrid w:val="0"/>
                <w:color w:val="auto"/>
                <w:spacing w:val="0"/>
                <w:kern w:val="0"/>
                <w:sz w:val="21"/>
                <w:szCs w:val="21"/>
                <w:highlight w:val="none"/>
                <w:lang w:val="en-US" w:eastAsia="en-US" w:bidi="ar-SA"/>
              </w:rPr>
            </w:pPr>
            <w:r>
              <w:rPr>
                <w:rFonts w:hint="eastAsia" w:ascii="宋体" w:hAnsi="宋体" w:eastAsia="宋体" w:cs="宋体"/>
                <w:b/>
                <w:bCs w:val="0"/>
                <w:snapToGrid w:val="0"/>
                <w:color w:val="auto"/>
                <w:spacing w:val="0"/>
                <w:kern w:val="0"/>
                <w:sz w:val="21"/>
                <w:szCs w:val="21"/>
                <w:highlight w:val="none"/>
                <w:lang w:val="en-US" w:eastAsia="zh-CN" w:bidi="ar-SA"/>
              </w:rPr>
              <w:t>（1）</w:t>
            </w:r>
            <w:r>
              <w:rPr>
                <w:rFonts w:hint="eastAsia" w:ascii="宋体" w:hAnsi="宋体" w:eastAsia="宋体" w:cs="宋体"/>
                <w:b/>
                <w:bCs w:val="0"/>
                <w:snapToGrid w:val="0"/>
                <w:color w:val="auto"/>
                <w:spacing w:val="0"/>
                <w:kern w:val="0"/>
                <w:sz w:val="21"/>
                <w:szCs w:val="21"/>
                <w:highlight w:val="none"/>
                <w:lang w:val="en-US" w:eastAsia="en-US" w:bidi="ar-SA"/>
              </w:rPr>
              <w:t>拟投入本项目的技术负责人(仅一人)须具有</w:t>
            </w:r>
            <w:r>
              <w:rPr>
                <w:rFonts w:hint="eastAsia" w:ascii="宋体" w:hAnsi="宋体" w:eastAsia="宋体" w:cs="宋体"/>
                <w:b/>
                <w:bCs/>
                <w:color w:val="auto"/>
                <w:sz w:val="21"/>
                <w:szCs w:val="21"/>
                <w:highlight w:val="none"/>
                <w:lang w:val="en-US" w:eastAsia="zh-CN"/>
              </w:rPr>
              <w:t>一级造价工程师注册证书</w:t>
            </w:r>
            <w:r>
              <w:rPr>
                <w:rFonts w:hint="eastAsia" w:ascii="宋体" w:hAnsi="宋体" w:eastAsia="宋体" w:cs="宋体"/>
                <w:b/>
                <w:bCs w:val="0"/>
                <w:snapToGrid w:val="0"/>
                <w:color w:val="auto"/>
                <w:spacing w:val="0"/>
                <w:kern w:val="0"/>
                <w:sz w:val="21"/>
                <w:szCs w:val="21"/>
                <w:highlight w:val="none"/>
                <w:lang w:val="en-US" w:eastAsia="en-US" w:bidi="ar-SA"/>
              </w:rPr>
              <w:t>，并具有工程</w:t>
            </w:r>
            <w:r>
              <w:rPr>
                <w:rFonts w:hint="eastAsia" w:ascii="宋体" w:hAnsi="宋体" w:eastAsia="宋体" w:cs="宋体"/>
                <w:b/>
                <w:bCs w:val="0"/>
                <w:snapToGrid w:val="0"/>
                <w:color w:val="auto"/>
                <w:spacing w:val="0"/>
                <w:kern w:val="0"/>
                <w:sz w:val="21"/>
                <w:szCs w:val="21"/>
                <w:highlight w:val="none"/>
                <w:lang w:val="en-US" w:eastAsia="zh-CN" w:bidi="ar-SA"/>
              </w:rPr>
              <w:t>类相关</w:t>
            </w:r>
            <w:r>
              <w:rPr>
                <w:rFonts w:hint="eastAsia" w:ascii="宋体" w:hAnsi="宋体" w:eastAsia="宋体" w:cs="宋体"/>
                <w:b/>
                <w:bCs w:val="0"/>
                <w:snapToGrid w:val="0"/>
                <w:color w:val="auto"/>
                <w:spacing w:val="0"/>
                <w:kern w:val="0"/>
                <w:sz w:val="21"/>
                <w:szCs w:val="21"/>
                <w:highlight w:val="none"/>
                <w:lang w:val="en-US" w:eastAsia="en-US" w:bidi="ar-SA"/>
              </w:rPr>
              <w:t>高级专业技术职称。</w:t>
            </w:r>
          </w:p>
          <w:p w14:paraId="3D713B96">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360" w:lineRule="auto"/>
              <w:ind w:left="0" w:right="391" w:firstLine="0"/>
              <w:jc w:val="left"/>
              <w:textAlignment w:val="baseline"/>
              <w:rPr>
                <w:rFonts w:hint="eastAsia" w:ascii="宋体" w:hAnsi="宋体" w:eastAsia="宋体" w:cs="宋体"/>
                <w:b/>
                <w:bCs/>
                <w:snapToGrid w:val="0"/>
                <w:color w:val="auto"/>
                <w:spacing w:val="0"/>
                <w:kern w:val="0"/>
                <w:sz w:val="21"/>
                <w:szCs w:val="21"/>
                <w:highlight w:val="none"/>
                <w:lang w:val="en-US" w:eastAsia="en-US" w:bidi="ar-SA"/>
              </w:rPr>
            </w:pPr>
            <w:r>
              <w:rPr>
                <w:rFonts w:hint="eastAsia" w:ascii="宋体" w:hAnsi="宋体" w:eastAsia="宋体" w:cs="宋体"/>
                <w:b/>
                <w:bCs/>
                <w:snapToGrid w:val="0"/>
                <w:color w:val="auto"/>
                <w:spacing w:val="0"/>
                <w:kern w:val="0"/>
                <w:sz w:val="21"/>
                <w:szCs w:val="21"/>
                <w:highlight w:val="none"/>
                <w:lang w:val="en-US" w:eastAsia="zh-CN" w:bidi="ar-SA"/>
              </w:rPr>
              <w:t>（2）</w:t>
            </w:r>
            <w:r>
              <w:rPr>
                <w:rFonts w:hint="eastAsia" w:ascii="宋体" w:hAnsi="宋体" w:eastAsia="宋体" w:cs="宋体"/>
                <w:b/>
                <w:bCs/>
                <w:snapToGrid w:val="0"/>
                <w:color w:val="auto"/>
                <w:spacing w:val="0"/>
                <w:kern w:val="0"/>
                <w:sz w:val="21"/>
                <w:szCs w:val="21"/>
                <w:highlight w:val="none"/>
                <w:lang w:val="en-US" w:eastAsia="en-US" w:bidi="ar-SA"/>
              </w:rPr>
              <w:t>拟投入本项目的服务团队(除技术负责人外)取得</w:t>
            </w:r>
            <w:r>
              <w:rPr>
                <w:rFonts w:hint="eastAsia" w:ascii="宋体" w:hAnsi="宋体" w:eastAsia="宋体" w:cs="宋体"/>
                <w:b/>
                <w:bCs/>
                <w:snapToGrid w:val="0"/>
                <w:color w:val="auto"/>
                <w:spacing w:val="0"/>
                <w:kern w:val="0"/>
                <w:sz w:val="21"/>
                <w:szCs w:val="21"/>
                <w:highlight w:val="none"/>
                <w:lang w:val="en-US" w:eastAsia="zh-CN" w:bidi="ar-SA"/>
              </w:rPr>
              <w:t>二级或以上</w:t>
            </w:r>
            <w:r>
              <w:rPr>
                <w:rFonts w:hint="eastAsia" w:ascii="宋体" w:hAnsi="宋体" w:eastAsia="宋体" w:cs="宋体"/>
                <w:b/>
                <w:bCs/>
                <w:snapToGrid w:val="0"/>
                <w:color w:val="auto"/>
                <w:spacing w:val="0"/>
                <w:kern w:val="0"/>
                <w:sz w:val="21"/>
                <w:szCs w:val="21"/>
                <w:highlight w:val="none"/>
                <w:lang w:val="en-US" w:eastAsia="en-US" w:bidi="ar-SA"/>
              </w:rPr>
              <w:t>造价工程师注册证书的人员应不少于</w:t>
            </w:r>
            <w:r>
              <w:rPr>
                <w:rFonts w:hint="eastAsia" w:ascii="宋体" w:hAnsi="宋体" w:eastAsia="宋体" w:cs="宋体"/>
                <w:b/>
                <w:bCs/>
                <w:snapToGrid w:val="0"/>
                <w:color w:val="auto"/>
                <w:spacing w:val="0"/>
                <w:kern w:val="0"/>
                <w:sz w:val="21"/>
                <w:szCs w:val="21"/>
                <w:highlight w:val="none"/>
                <w:lang w:val="en-US" w:eastAsia="zh-CN" w:bidi="ar-SA"/>
              </w:rPr>
              <w:t>6</w:t>
            </w:r>
            <w:r>
              <w:rPr>
                <w:rFonts w:hint="eastAsia" w:ascii="宋体" w:hAnsi="宋体" w:eastAsia="宋体" w:cs="宋体"/>
                <w:b/>
                <w:bCs/>
                <w:snapToGrid w:val="0"/>
                <w:color w:val="auto"/>
                <w:spacing w:val="0"/>
                <w:kern w:val="0"/>
                <w:sz w:val="21"/>
                <w:szCs w:val="21"/>
                <w:highlight w:val="none"/>
                <w:lang w:val="en-US" w:eastAsia="en-US" w:bidi="ar-SA"/>
              </w:rPr>
              <w:t>人。</w:t>
            </w:r>
          </w:p>
          <w:p w14:paraId="0E315348">
            <w:pPr>
              <w:keepNext w:val="0"/>
              <w:keepLines w:val="0"/>
              <w:widowControl/>
              <w:suppressLineNumbers w:val="0"/>
              <w:topLinePunct/>
              <w:autoSpaceDE/>
              <w:autoSpaceDN/>
              <w:adjustRightInd w:val="0"/>
              <w:snapToGrid w:val="0"/>
              <w:spacing w:before="0" w:beforeAutospacing="0" w:after="0" w:afterAutospacing="0" w:line="360" w:lineRule="auto"/>
              <w:ind w:left="0" w:right="391" w:firstLine="419"/>
              <w:jc w:val="left"/>
              <w:textAlignment w:val="baseline"/>
              <w:rPr>
                <w:rFonts w:hint="eastAsia" w:ascii="宋体" w:hAnsi="宋体" w:eastAsia="宋体" w:cs="宋体"/>
                <w:color w:val="auto"/>
                <w:szCs w:val="21"/>
                <w:highlight w:val="none"/>
                <w:lang w:val="en-US" w:eastAsia="en-US"/>
              </w:rPr>
            </w:pPr>
            <w:r>
              <w:rPr>
                <w:rFonts w:hint="eastAsia" w:ascii="宋体" w:hAnsi="宋体" w:eastAsia="宋体" w:cs="宋体"/>
                <w:b/>
                <w:bCs/>
                <w:snapToGrid w:val="0"/>
                <w:color w:val="auto"/>
                <w:spacing w:val="0"/>
                <w:kern w:val="0"/>
                <w:sz w:val="21"/>
                <w:szCs w:val="21"/>
                <w:highlight w:val="none"/>
                <w:lang w:val="en-US" w:eastAsia="en-US" w:bidi="ar-SA"/>
              </w:rPr>
              <w:t>注：1、同一人员具备同一种类证书的仅按最高等级证书计算；2、</w:t>
            </w:r>
            <w:r>
              <w:rPr>
                <w:rFonts w:hint="eastAsia" w:ascii="宋体" w:hAnsi="宋体" w:eastAsia="宋体" w:cs="宋体"/>
                <w:b/>
                <w:bCs/>
                <w:color w:val="auto"/>
                <w:sz w:val="21"/>
                <w:szCs w:val="21"/>
                <w:highlight w:val="none"/>
              </w:rPr>
              <w:t>以上人员须提供</w:t>
            </w:r>
            <w:r>
              <w:rPr>
                <w:rFonts w:hint="eastAsia" w:ascii="宋体" w:hAnsi="宋体" w:eastAsia="宋体" w:cs="宋体"/>
                <w:b/>
                <w:bCs/>
                <w:color w:val="auto"/>
                <w:sz w:val="21"/>
                <w:szCs w:val="21"/>
                <w:highlight w:val="none"/>
                <w:lang w:val="en-US" w:eastAsia="zh-CN"/>
              </w:rPr>
              <w:t>以下证明材料复印件加盖投标人公章：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1）人员</w:t>
            </w:r>
            <w:r>
              <w:rPr>
                <w:rFonts w:hint="eastAsia" w:ascii="宋体" w:hAnsi="宋体" w:eastAsia="宋体" w:cs="宋体"/>
                <w:b/>
                <w:bCs/>
                <w:color w:val="auto"/>
                <w:sz w:val="21"/>
                <w:szCs w:val="21"/>
                <w:highlight w:val="none"/>
              </w:rPr>
              <w:t>身份证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造价工程师职业资格证书；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w:t>
            </w:r>
            <w:r>
              <w:rPr>
                <w:rFonts w:hint="eastAsia" w:ascii="宋体" w:hAnsi="宋体" w:eastAsia="宋体" w:cs="宋体"/>
                <w:b/>
                <w:bCs/>
                <w:color w:val="auto"/>
                <w:sz w:val="21"/>
                <w:szCs w:val="21"/>
                <w:highlight w:val="none"/>
              </w:rPr>
              <w:t>注册证书（或在“全国建筑市场公共服务平台”上的执业注册信息截图）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人力资源和社会保障部门（或税务部门）出具</w:t>
            </w:r>
            <w:r>
              <w:rPr>
                <w:rFonts w:hint="eastAsia" w:ascii="宋体" w:hAnsi="宋体" w:eastAsia="宋体" w:cs="宋体"/>
                <w:b/>
                <w:bCs/>
                <w:color w:val="auto"/>
                <w:sz w:val="21"/>
                <w:szCs w:val="21"/>
                <w:highlight w:val="none"/>
              </w:rPr>
              <w:t>的202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Cs w:val="21"/>
                <w:highlight w:val="none"/>
              </w:rPr>
              <w:t>的投标人为其缴纳的社保证明</w:t>
            </w:r>
            <w:r>
              <w:rPr>
                <w:rFonts w:hint="eastAsia" w:ascii="宋体" w:hAnsi="宋体" w:eastAsia="宋体" w:cs="宋体"/>
                <w:b/>
                <w:bCs/>
                <w:color w:val="auto"/>
                <w:szCs w:val="21"/>
                <w:highlight w:val="none"/>
                <w:lang w:val="en-US" w:eastAsia="zh-CN"/>
              </w:rPr>
              <w:t>材料。</w:t>
            </w:r>
          </w:p>
        </w:tc>
        <w:tc>
          <w:tcPr>
            <w:tcW w:w="348" w:type="pct"/>
            <w:vAlign w:val="center"/>
          </w:tcPr>
          <w:p w14:paraId="41520297">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53AC0E0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1" w:type="pct"/>
            <w:vAlign w:val="center"/>
          </w:tcPr>
          <w:p w14:paraId="28BE9C1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6972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D81215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14:paraId="7E2E38F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val="0"/>
                <w:color w:val="auto"/>
                <w:szCs w:val="21"/>
                <w:highlight w:val="none"/>
                <w:u w:val="none"/>
              </w:rPr>
              <w:t>★</w:t>
            </w:r>
            <w:r>
              <w:rPr>
                <w:rFonts w:hint="eastAsia" w:ascii="宋体" w:hAnsi="宋体" w:eastAsia="宋体" w:cs="宋体"/>
                <w:b/>
                <w:bCs w:val="0"/>
                <w:color w:val="auto"/>
                <w:kern w:val="0"/>
                <w:sz w:val="21"/>
                <w:szCs w:val="21"/>
                <w:highlight w:val="none"/>
                <w:lang w:val="en-US" w:eastAsia="zh-CN"/>
              </w:rPr>
              <w:t>六</w:t>
            </w:r>
          </w:p>
        </w:tc>
        <w:tc>
          <w:tcPr>
            <w:tcW w:w="3092" w:type="pct"/>
            <w:vAlign w:val="center"/>
          </w:tcPr>
          <w:p w14:paraId="26F98775">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b/>
                <w:bCs/>
                <w:snapToGrid w:val="0"/>
                <w:color w:val="auto"/>
                <w:kern w:val="0"/>
                <w:szCs w:val="21"/>
                <w:highlight w:val="none"/>
                <w:lang w:val="en-US" w:eastAsia="en-US"/>
              </w:rPr>
              <w:t>如</w:t>
            </w:r>
            <w:r>
              <w:rPr>
                <w:rFonts w:hint="eastAsia" w:ascii="宋体" w:hAnsi="宋体" w:eastAsia="宋体" w:cs="宋体"/>
                <w:b/>
                <w:bCs/>
                <w:snapToGrid w:val="0"/>
                <w:color w:val="auto"/>
                <w:spacing w:val="0"/>
                <w:kern w:val="0"/>
                <w:sz w:val="21"/>
                <w:szCs w:val="21"/>
                <w:highlight w:val="none"/>
                <w:lang w:val="en-US" w:eastAsia="en-US" w:bidi="ar-SA"/>
              </w:rPr>
              <w:t>投标人</w:t>
            </w:r>
            <w:r>
              <w:rPr>
                <w:rFonts w:hint="eastAsia" w:ascii="宋体" w:hAnsi="宋体" w:eastAsia="宋体" w:cs="宋体"/>
                <w:b/>
                <w:bCs/>
                <w:snapToGrid w:val="0"/>
                <w:color w:val="auto"/>
                <w:spacing w:val="0"/>
                <w:kern w:val="0"/>
                <w:sz w:val="21"/>
                <w:szCs w:val="21"/>
                <w:highlight w:val="none"/>
                <w:lang w:val="en-US" w:eastAsia="zh-CN" w:bidi="ar-SA"/>
              </w:rPr>
              <w:t>在提交投标文件截止时间前</w:t>
            </w:r>
            <w:r>
              <w:rPr>
                <w:rFonts w:hint="eastAsia" w:ascii="宋体" w:hAnsi="宋体" w:eastAsia="宋体" w:cs="宋体"/>
                <w:b/>
                <w:bCs/>
                <w:snapToGrid w:val="0"/>
                <w:color w:val="auto"/>
                <w:spacing w:val="0"/>
                <w:kern w:val="0"/>
                <w:sz w:val="21"/>
                <w:szCs w:val="21"/>
                <w:highlight w:val="none"/>
                <w:lang w:val="en-US" w:eastAsia="en-US" w:bidi="ar-SA"/>
              </w:rPr>
              <w:t>在东莞市水务局“水务工程参建企业信用管理系统”（简称“水务信用系统”）已有本项目对应的企业类型</w:t>
            </w:r>
            <w:r>
              <w:rPr>
                <w:rFonts w:hint="eastAsia" w:ascii="宋体" w:hAnsi="宋体" w:eastAsia="宋体" w:cs="宋体"/>
                <w:b/>
                <w:bCs/>
                <w:snapToGrid w:val="0"/>
                <w:color w:val="auto"/>
                <w:spacing w:val="0"/>
                <w:kern w:val="0"/>
                <w:sz w:val="21"/>
                <w:szCs w:val="21"/>
                <w:highlight w:val="none"/>
                <w:lang w:val="en-US" w:eastAsia="zh-CN" w:bidi="ar-SA"/>
              </w:rPr>
              <w:t>（造价咨询）</w:t>
            </w:r>
            <w:r>
              <w:rPr>
                <w:rFonts w:hint="eastAsia" w:ascii="宋体" w:hAnsi="宋体" w:eastAsia="宋体" w:cs="宋体"/>
                <w:b/>
                <w:bCs/>
                <w:snapToGrid w:val="0"/>
                <w:color w:val="auto"/>
                <w:spacing w:val="0"/>
                <w:kern w:val="0"/>
                <w:sz w:val="21"/>
                <w:szCs w:val="21"/>
                <w:highlight w:val="none"/>
                <w:lang w:val="en-US" w:eastAsia="en-US" w:bidi="ar-SA"/>
              </w:rPr>
              <w:t>信用信息登记</w:t>
            </w:r>
            <w:r>
              <w:rPr>
                <w:rFonts w:hint="eastAsia" w:ascii="宋体" w:hAnsi="宋体" w:eastAsia="宋体" w:cs="宋体"/>
                <w:b/>
                <w:bCs/>
                <w:snapToGrid w:val="0"/>
                <w:color w:val="auto"/>
                <w:spacing w:val="0"/>
                <w:kern w:val="0"/>
                <w:sz w:val="21"/>
                <w:szCs w:val="21"/>
                <w:highlight w:val="none"/>
                <w:lang w:val="en-US" w:eastAsia="zh-CN" w:bidi="ar-SA"/>
              </w:rPr>
              <w:t>（注：须提供水务信用系统查询截图加盖投标人公章）</w:t>
            </w:r>
            <w:r>
              <w:rPr>
                <w:rFonts w:hint="eastAsia" w:ascii="宋体" w:hAnsi="宋体" w:eastAsia="宋体" w:cs="宋体"/>
                <w:b/>
                <w:bCs/>
                <w:snapToGrid w:val="0"/>
                <w:color w:val="auto"/>
                <w:spacing w:val="0"/>
                <w:kern w:val="0"/>
                <w:sz w:val="21"/>
                <w:szCs w:val="21"/>
                <w:highlight w:val="none"/>
                <w:lang w:val="en-US" w:eastAsia="en-US" w:bidi="ar-SA"/>
              </w:rPr>
              <w:t>。若</w:t>
            </w:r>
            <w:r>
              <w:rPr>
                <w:rFonts w:hint="eastAsia" w:ascii="宋体" w:hAnsi="宋体" w:eastAsia="宋体" w:cs="宋体"/>
                <w:b/>
                <w:bCs/>
                <w:snapToGrid w:val="0"/>
                <w:color w:val="auto"/>
                <w:spacing w:val="0"/>
                <w:kern w:val="0"/>
                <w:sz w:val="21"/>
                <w:szCs w:val="21"/>
                <w:highlight w:val="none"/>
                <w:lang w:val="en-US" w:eastAsia="zh-CN" w:bidi="ar-SA"/>
              </w:rPr>
              <w:t>投标人在提交投标文件截止时间前</w:t>
            </w:r>
            <w:r>
              <w:rPr>
                <w:rFonts w:hint="eastAsia" w:ascii="宋体" w:hAnsi="宋体" w:eastAsia="宋体" w:cs="宋体"/>
                <w:b/>
                <w:bCs/>
                <w:snapToGrid w:val="0"/>
                <w:color w:val="auto"/>
                <w:spacing w:val="0"/>
                <w:kern w:val="0"/>
                <w:sz w:val="21"/>
                <w:szCs w:val="21"/>
                <w:highlight w:val="none"/>
                <w:lang w:val="en-US" w:eastAsia="en-US" w:bidi="ar-SA"/>
              </w:rPr>
              <w:t>尚未在水务</w:t>
            </w:r>
            <w:r>
              <w:rPr>
                <w:rFonts w:hint="eastAsia" w:ascii="宋体" w:hAnsi="宋体" w:eastAsia="宋体" w:cs="宋体"/>
                <w:b/>
                <w:bCs/>
                <w:snapToGrid w:val="0"/>
                <w:color w:val="auto"/>
                <w:spacing w:val="0"/>
                <w:kern w:val="0"/>
                <w:sz w:val="21"/>
                <w:szCs w:val="21"/>
                <w:highlight w:val="none"/>
                <w:lang w:val="en-US" w:eastAsia="zh-CN" w:bidi="ar-SA"/>
              </w:rPr>
              <w:t>信用系统</w:t>
            </w:r>
            <w:r>
              <w:rPr>
                <w:rFonts w:hint="eastAsia" w:ascii="宋体" w:hAnsi="宋体" w:eastAsia="宋体" w:cs="宋体"/>
                <w:b/>
                <w:bCs/>
                <w:snapToGrid w:val="0"/>
                <w:color w:val="auto"/>
                <w:spacing w:val="0"/>
                <w:kern w:val="0"/>
                <w:sz w:val="21"/>
                <w:szCs w:val="21"/>
                <w:highlight w:val="none"/>
                <w:lang w:val="en-US" w:eastAsia="en-US" w:bidi="ar-SA"/>
              </w:rPr>
              <w:t>有本项目对应的企业类型</w:t>
            </w:r>
            <w:r>
              <w:rPr>
                <w:rFonts w:hint="eastAsia" w:ascii="宋体" w:hAnsi="宋体" w:eastAsia="宋体" w:cs="宋体"/>
                <w:b/>
                <w:bCs/>
                <w:snapToGrid w:val="0"/>
                <w:color w:val="auto"/>
                <w:spacing w:val="0"/>
                <w:kern w:val="0"/>
                <w:sz w:val="21"/>
                <w:szCs w:val="21"/>
                <w:highlight w:val="none"/>
                <w:lang w:val="en-US" w:eastAsia="zh-CN" w:bidi="ar-SA"/>
              </w:rPr>
              <w:t>（造价咨询）</w:t>
            </w:r>
            <w:r>
              <w:rPr>
                <w:rFonts w:hint="eastAsia" w:ascii="宋体" w:hAnsi="宋体" w:eastAsia="宋体" w:cs="宋体"/>
                <w:b/>
                <w:bCs/>
                <w:snapToGrid w:val="0"/>
                <w:color w:val="auto"/>
                <w:spacing w:val="0"/>
                <w:kern w:val="0"/>
                <w:sz w:val="21"/>
                <w:szCs w:val="21"/>
                <w:highlight w:val="none"/>
                <w:lang w:val="en-US" w:eastAsia="en-US" w:bidi="ar-SA"/>
              </w:rPr>
              <w:t>信用信息档案</w:t>
            </w:r>
            <w:r>
              <w:rPr>
                <w:rFonts w:hint="eastAsia" w:ascii="宋体" w:hAnsi="宋体" w:eastAsia="宋体" w:cs="宋体"/>
                <w:b/>
                <w:bCs/>
                <w:snapToGrid w:val="0"/>
                <w:color w:val="auto"/>
                <w:spacing w:val="0"/>
                <w:kern w:val="0"/>
                <w:sz w:val="21"/>
                <w:szCs w:val="21"/>
                <w:highlight w:val="none"/>
                <w:lang w:val="en-US" w:eastAsia="zh-CN" w:bidi="ar-SA"/>
              </w:rPr>
              <w:t>的，须承诺</w:t>
            </w:r>
            <w:r>
              <w:rPr>
                <w:rFonts w:hint="eastAsia" w:ascii="宋体" w:hAnsi="宋体" w:eastAsia="宋体" w:cs="宋体"/>
                <w:b/>
                <w:bCs/>
                <w:snapToGrid w:val="0"/>
                <w:color w:val="auto"/>
                <w:spacing w:val="0"/>
                <w:kern w:val="0"/>
                <w:sz w:val="21"/>
                <w:szCs w:val="21"/>
                <w:highlight w:val="none"/>
                <w:lang w:val="en-US" w:eastAsia="en-US" w:bidi="ar-SA"/>
              </w:rPr>
              <w:t>在中标后一个月内到东莞市水务局办理好本项目对应的企业类型</w:t>
            </w:r>
            <w:r>
              <w:rPr>
                <w:rFonts w:hint="eastAsia" w:ascii="宋体" w:hAnsi="宋体" w:eastAsia="宋体" w:cs="宋体"/>
                <w:b/>
                <w:bCs/>
                <w:snapToGrid w:val="0"/>
                <w:color w:val="auto"/>
                <w:spacing w:val="0"/>
                <w:kern w:val="0"/>
                <w:sz w:val="21"/>
                <w:szCs w:val="21"/>
                <w:highlight w:val="none"/>
                <w:lang w:val="en-US" w:eastAsia="zh-CN" w:bidi="ar-SA"/>
              </w:rPr>
              <w:t>（造价咨询）</w:t>
            </w:r>
            <w:r>
              <w:rPr>
                <w:rFonts w:hint="eastAsia" w:ascii="宋体" w:hAnsi="宋体" w:eastAsia="宋体" w:cs="宋体"/>
                <w:b/>
                <w:bCs/>
                <w:snapToGrid w:val="0"/>
                <w:color w:val="auto"/>
                <w:spacing w:val="0"/>
                <w:kern w:val="0"/>
                <w:sz w:val="21"/>
                <w:szCs w:val="21"/>
                <w:highlight w:val="none"/>
                <w:lang w:val="en-US" w:eastAsia="en-US" w:bidi="ar-SA"/>
              </w:rPr>
              <w:t>信用信息档案，否则视为放弃中标(</w:t>
            </w:r>
            <w:r>
              <w:rPr>
                <w:rFonts w:hint="eastAsia" w:ascii="宋体" w:hAnsi="宋体" w:eastAsia="宋体" w:cs="宋体"/>
                <w:b/>
                <w:bCs/>
                <w:snapToGrid w:val="0"/>
                <w:color w:val="auto"/>
                <w:spacing w:val="0"/>
                <w:kern w:val="0"/>
                <w:sz w:val="21"/>
                <w:szCs w:val="21"/>
                <w:highlight w:val="none"/>
                <w:lang w:val="en-US" w:eastAsia="zh-CN" w:bidi="ar-SA"/>
              </w:rPr>
              <w:t>注：</w:t>
            </w:r>
            <w:r>
              <w:rPr>
                <w:rFonts w:hint="eastAsia" w:ascii="宋体" w:hAnsi="宋体" w:eastAsia="宋体" w:cs="宋体"/>
                <w:b/>
                <w:bCs/>
                <w:snapToGrid w:val="0"/>
                <w:color w:val="auto"/>
                <w:spacing w:val="0"/>
                <w:kern w:val="0"/>
                <w:sz w:val="21"/>
                <w:szCs w:val="21"/>
                <w:highlight w:val="none"/>
                <w:lang w:val="en-US" w:eastAsia="en-US" w:bidi="ar-SA"/>
              </w:rPr>
              <w:t>须提供承诺函加盖投标人公章) 。</w:t>
            </w:r>
          </w:p>
        </w:tc>
        <w:tc>
          <w:tcPr>
            <w:tcW w:w="348" w:type="pct"/>
            <w:vAlign w:val="center"/>
          </w:tcPr>
          <w:p w14:paraId="3773FB3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4F8D66A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1" w:type="pct"/>
            <w:vAlign w:val="center"/>
          </w:tcPr>
          <w:p w14:paraId="4E213F8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65F4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FEADBC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59" w:type="pct"/>
            <w:vAlign w:val="center"/>
          </w:tcPr>
          <w:p w14:paraId="64DA4C1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Cs w:val="21"/>
                <w:highlight w:val="none"/>
                <w:u w:val="none"/>
              </w:rPr>
              <w:t>★</w:t>
            </w:r>
            <w:r>
              <w:rPr>
                <w:rFonts w:hint="eastAsia" w:ascii="宋体" w:hAnsi="宋体" w:eastAsia="宋体" w:cs="宋体"/>
                <w:b/>
                <w:color w:val="auto"/>
                <w:szCs w:val="21"/>
                <w:highlight w:val="none"/>
                <w:u w:val="single"/>
                <w:lang w:val="en-US" w:eastAsia="zh-CN"/>
              </w:rPr>
              <w:t>七</w:t>
            </w:r>
          </w:p>
        </w:tc>
        <w:tc>
          <w:tcPr>
            <w:tcW w:w="3092" w:type="pct"/>
            <w:vAlign w:val="center"/>
          </w:tcPr>
          <w:p w14:paraId="508A9D11">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0"/>
                <w:kern w:val="0"/>
                <w:sz w:val="21"/>
                <w:szCs w:val="21"/>
                <w:highlight w:val="none"/>
                <w:lang w:val="en-US" w:eastAsia="en-US" w:bidi="ar-SA"/>
              </w:rPr>
              <w:t>招标结果公示期间，招标人有权核查中标候选人办公场所、设备以及拟投入服务人员情况，如与造价咨询服务单位投标文件不相符，招标人有权取消其中标资格，并根据评标委员会推荐顺序确定其他中标人(</w:t>
            </w:r>
            <w:r>
              <w:rPr>
                <w:rFonts w:hint="eastAsia" w:ascii="宋体" w:hAnsi="宋体" w:eastAsia="宋体" w:cs="宋体"/>
                <w:b/>
                <w:bCs/>
                <w:snapToGrid w:val="0"/>
                <w:color w:val="auto"/>
                <w:spacing w:val="0"/>
                <w:kern w:val="0"/>
                <w:sz w:val="21"/>
                <w:szCs w:val="21"/>
                <w:highlight w:val="none"/>
                <w:lang w:val="en-US" w:eastAsia="zh-CN" w:bidi="ar-SA"/>
              </w:rPr>
              <w:t>注：</w:t>
            </w:r>
            <w:r>
              <w:rPr>
                <w:rFonts w:hint="eastAsia" w:ascii="宋体" w:hAnsi="宋体" w:eastAsia="宋体" w:cs="宋体"/>
                <w:b/>
                <w:bCs/>
                <w:snapToGrid w:val="0"/>
                <w:color w:val="auto"/>
                <w:spacing w:val="0"/>
                <w:kern w:val="0"/>
                <w:sz w:val="21"/>
                <w:szCs w:val="21"/>
                <w:highlight w:val="none"/>
                <w:lang w:val="en-US" w:eastAsia="en-US" w:bidi="ar-SA"/>
              </w:rPr>
              <w:t>须提供承诺函加盖投标人公章)</w:t>
            </w:r>
            <w:r>
              <w:rPr>
                <w:rFonts w:hint="eastAsia" w:ascii="宋体" w:hAnsi="宋体" w:eastAsia="宋体" w:cs="宋体"/>
                <w:b/>
                <w:bCs/>
                <w:snapToGrid w:val="0"/>
                <w:color w:val="auto"/>
                <w:spacing w:val="0"/>
                <w:kern w:val="0"/>
                <w:sz w:val="21"/>
                <w:szCs w:val="21"/>
                <w:highlight w:val="none"/>
                <w:lang w:val="en-US" w:eastAsia="zh-CN" w:bidi="ar-SA"/>
              </w:rPr>
              <w:t>。</w:t>
            </w:r>
          </w:p>
        </w:tc>
        <w:tc>
          <w:tcPr>
            <w:tcW w:w="348" w:type="pct"/>
            <w:vAlign w:val="center"/>
          </w:tcPr>
          <w:p w14:paraId="7240B36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45A6EEE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1" w:type="pct"/>
            <w:vAlign w:val="center"/>
          </w:tcPr>
          <w:p w14:paraId="6207308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bl>
    <w:p w14:paraId="307641A8">
      <w:pPr>
        <w:spacing w:line="360" w:lineRule="auto"/>
        <w:rPr>
          <w:rFonts w:hint="eastAsia" w:ascii="宋体" w:hAnsi="宋体" w:eastAsia="宋体" w:cs="宋体"/>
          <w:color w:val="auto"/>
          <w:szCs w:val="21"/>
          <w:highlight w:val="none"/>
        </w:rPr>
      </w:pPr>
    </w:p>
    <w:p w14:paraId="31B175D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6ADD86F4">
      <w:pPr>
        <w:spacing w:line="360" w:lineRule="auto"/>
        <w:ind w:left="605" w:leftChars="18" w:hanging="567" w:hangingChars="270"/>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一、项目概况</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5C8D3715">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2212D89D">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257BEF69">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3C63636A">
      <w:pPr>
        <w:spacing w:line="360" w:lineRule="auto"/>
        <w:rPr>
          <w:rFonts w:hint="eastAsia" w:ascii="宋体" w:hAnsi="宋体" w:eastAsia="宋体" w:cs="宋体"/>
          <w:color w:val="auto"/>
          <w:szCs w:val="21"/>
          <w:highlight w:val="none"/>
        </w:rPr>
      </w:pPr>
    </w:p>
    <w:p w14:paraId="651C3D3E">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E36D15C">
      <w:pPr>
        <w:autoSpaceDE w:val="0"/>
        <w:autoSpaceDN w:val="0"/>
        <w:adjustRightInd w:val="0"/>
        <w:ind w:left="15" w:leftChars="-50" w:hanging="1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057A6E83">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53" w:name="_Toc104991889"/>
      <w:bookmarkStart w:id="754" w:name="_Toc5046"/>
      <w:bookmarkStart w:id="755" w:name="_Toc102860431"/>
      <w:bookmarkStart w:id="756" w:name="_Toc94107224"/>
      <w:bookmarkStart w:id="757" w:name="_Toc102860087"/>
      <w:bookmarkStart w:id="758" w:name="_Toc140596942"/>
      <w:bookmarkStart w:id="759" w:name="_Toc142508382"/>
      <w:bookmarkStart w:id="760" w:name="_Toc13562"/>
      <w:bookmarkStart w:id="761" w:name="_Toc23150"/>
      <w:bookmarkStart w:id="762" w:name="_Toc359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.2 </w:t>
      </w:r>
      <w:bookmarkEnd w:id="753"/>
      <w:bookmarkEnd w:id="754"/>
      <w:bookmarkEnd w:id="755"/>
      <w:bookmarkEnd w:id="756"/>
      <w:bookmarkEnd w:id="757"/>
      <w:bookmarkEnd w:id="758"/>
      <w:bookmarkEnd w:id="759"/>
      <w:bookmarkEnd w:id="760"/>
      <w:bookmarkEnd w:id="761"/>
      <w:bookmarkEnd w:id="762"/>
      <w:r>
        <w:rPr>
          <w:rFonts w:hint="eastAsia" w:ascii="宋体" w:hAnsi="宋体" w:eastAsia="宋体" w:cs="宋体"/>
          <w:b/>
          <w:color w:val="auto"/>
          <w:kern w:val="0"/>
          <w:sz w:val="30"/>
          <w:szCs w:val="30"/>
          <w:highlight w:val="none"/>
          <w:lang w:eastAsia="zh-CN"/>
        </w:rPr>
        <w:t>工作流程及政策了解</w:t>
      </w:r>
    </w:p>
    <w:p w14:paraId="77ADA30C">
      <w:pPr>
        <w:widowControl/>
        <w:jc w:val="left"/>
        <w:rPr>
          <w:rFonts w:hint="eastAsia" w:ascii="宋体" w:hAnsi="宋体" w:eastAsia="宋体" w:cs="宋体"/>
          <w:color w:val="auto"/>
          <w:kern w:val="0"/>
          <w:szCs w:val="21"/>
          <w:highlight w:val="none"/>
        </w:rPr>
      </w:pPr>
      <w:bookmarkStart w:id="763" w:name="_Toc94107225"/>
      <w:r>
        <w:rPr>
          <w:rFonts w:hint="eastAsia" w:ascii="宋体" w:hAnsi="宋体" w:eastAsia="宋体" w:cs="宋体"/>
          <w:color w:val="auto"/>
          <w:kern w:val="0"/>
          <w:szCs w:val="21"/>
          <w:highlight w:val="none"/>
        </w:rPr>
        <w:br w:type="page"/>
      </w:r>
    </w:p>
    <w:bookmarkEnd w:id="763"/>
    <w:p w14:paraId="5963CB70">
      <w:pPr>
        <w:rPr>
          <w:rFonts w:hint="eastAsia" w:ascii="宋体" w:hAnsi="宋体" w:eastAsia="宋体" w:cs="宋体"/>
          <w:b/>
          <w:color w:val="auto"/>
          <w:kern w:val="0"/>
          <w:sz w:val="30"/>
          <w:szCs w:val="30"/>
          <w:highlight w:val="none"/>
          <w:lang w:val="en-US" w:eastAsia="zh-CN"/>
        </w:rPr>
      </w:pPr>
      <w:bookmarkStart w:id="764" w:name="_Toc140596949"/>
      <w:bookmarkStart w:id="765" w:name="_Toc104991896"/>
      <w:bookmarkStart w:id="766" w:name="_Toc142508389"/>
      <w:bookmarkStart w:id="767" w:name="_Toc102860438"/>
      <w:bookmarkStart w:id="768" w:name="_Toc102860094"/>
      <w:bookmarkStart w:id="769" w:name="_Toc533708139"/>
      <w:r>
        <w:rPr>
          <w:rFonts w:hint="eastAsia" w:ascii="宋体" w:hAnsi="宋体" w:eastAsia="宋体" w:cs="宋体"/>
          <w:b/>
          <w:color w:val="auto"/>
          <w:kern w:val="0"/>
          <w:sz w:val="30"/>
          <w:szCs w:val="30"/>
          <w:highlight w:val="none"/>
          <w:lang w:val="en-US" w:eastAsia="zh-CN"/>
        </w:rPr>
        <w:t>13.3 进度保障</w:t>
      </w:r>
      <w:r>
        <w:rPr>
          <w:rFonts w:hint="eastAsia" w:ascii="宋体" w:hAnsi="宋体" w:eastAsia="宋体" w:cs="宋体"/>
          <w:b/>
          <w:color w:val="auto"/>
          <w:kern w:val="0"/>
          <w:sz w:val="30"/>
          <w:szCs w:val="30"/>
          <w:highlight w:val="none"/>
          <w:lang w:val="en-US" w:eastAsia="zh-CN"/>
        </w:rPr>
        <w:br w:type="page"/>
      </w:r>
    </w:p>
    <w:p w14:paraId="796EFA33">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13.4 质量保证措施</w:t>
      </w:r>
    </w:p>
    <w:p w14:paraId="5117E5AC">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13.5 质量跟踪及信息反馈机制</w:t>
      </w:r>
    </w:p>
    <w:p w14:paraId="705D22A1">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13.6 投入本项目服务人员情况</w:t>
      </w:r>
    </w:p>
    <w:p w14:paraId="2ECE7CF3">
      <w:pPr>
        <w:spacing w:before="240" w:beforeLines="100"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投入本项目服务人员表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89"/>
        <w:gridCol w:w="1473"/>
        <w:gridCol w:w="1558"/>
        <w:gridCol w:w="947"/>
      </w:tblGrid>
      <w:tr w14:paraId="1374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14:paraId="445161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9" w:type="dxa"/>
            <w:vAlign w:val="center"/>
          </w:tcPr>
          <w:p w14:paraId="7834EB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vAlign w:val="center"/>
          </w:tcPr>
          <w:p w14:paraId="3FE811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vAlign w:val="center"/>
          </w:tcPr>
          <w:p w14:paraId="36C405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77" w:type="dxa"/>
            <w:vAlign w:val="center"/>
          </w:tcPr>
          <w:p w14:paraId="6315C1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689" w:type="dxa"/>
            <w:vAlign w:val="center"/>
          </w:tcPr>
          <w:p w14:paraId="216935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资格/职称证书</w:t>
            </w:r>
          </w:p>
        </w:tc>
        <w:tc>
          <w:tcPr>
            <w:tcW w:w="1473" w:type="dxa"/>
            <w:vAlign w:val="center"/>
          </w:tcPr>
          <w:p w14:paraId="516F12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本项目担任职务</w:t>
            </w:r>
          </w:p>
        </w:tc>
        <w:tc>
          <w:tcPr>
            <w:tcW w:w="1558" w:type="dxa"/>
            <w:vAlign w:val="center"/>
          </w:tcPr>
          <w:p w14:paraId="3BE3E2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947" w:type="dxa"/>
            <w:vAlign w:val="center"/>
          </w:tcPr>
          <w:p w14:paraId="39A1792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备注</w:t>
            </w:r>
          </w:p>
        </w:tc>
      </w:tr>
      <w:tr w14:paraId="61C8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14:paraId="2FB5D8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50AC60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A1F56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86FE0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1E24B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3F61E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3466F9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109650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19B4AB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E57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14:paraId="63CEC0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7EDDA2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2B2A6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35161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31B1C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342EE6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22D500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548B51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032CE2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771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174C43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04075B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8445E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DFE6E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9C166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046C19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6965D4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7ECD88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19A94E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8E7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79FD86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3F04CE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2067C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0B77E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2084C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58227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134D84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FEF60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621EB6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11E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2F516A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11600F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60883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73BBC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C770E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31044A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1A76F7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458535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333AFF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ADC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0CE190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31AD30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39F60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FEA39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708D3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2ADBF2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1A5F75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0F0D22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50E1C9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130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05C4D1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50498B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0D34A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AA3CD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C78F1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4AA9FE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4BABDD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442FFB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2D42AC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9FE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14:paraId="1A4D77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47EC36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B82BA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A8C6A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43738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7B9051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1F3958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34842A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2E0FE9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F3A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14:paraId="5A5DA9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72BD17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1BBE5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A5B13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FB184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64DF75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5C626C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095BF2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2DE606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C97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14:paraId="2A7FC6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5A8BAE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FF79C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1ACAE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D53AA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89" w:type="dxa"/>
            <w:vAlign w:val="center"/>
          </w:tcPr>
          <w:p w14:paraId="199300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vAlign w:val="center"/>
          </w:tcPr>
          <w:p w14:paraId="6D0E7D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58" w:type="dxa"/>
            <w:vAlign w:val="center"/>
          </w:tcPr>
          <w:p w14:paraId="03CD6A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558106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38132882">
      <w:pPr>
        <w:spacing w:line="360" w:lineRule="auto"/>
        <w:rPr>
          <w:rFonts w:hint="eastAsia" w:ascii="宋体" w:hAnsi="宋体" w:eastAsia="宋体" w:cs="宋体"/>
          <w:color w:val="auto"/>
          <w:sz w:val="21"/>
          <w:szCs w:val="21"/>
          <w:highlight w:val="none"/>
        </w:rPr>
      </w:pPr>
    </w:p>
    <w:p w14:paraId="16A2BF26">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注：以上人员须提供</w:t>
      </w:r>
      <w:r>
        <w:rPr>
          <w:rFonts w:hint="eastAsia" w:ascii="宋体" w:hAnsi="宋体" w:eastAsia="宋体" w:cs="宋体"/>
          <w:b/>
          <w:bCs/>
          <w:color w:val="auto"/>
          <w:sz w:val="21"/>
          <w:szCs w:val="21"/>
          <w:highlight w:val="none"/>
          <w:lang w:val="en-US" w:eastAsia="zh-CN"/>
        </w:rPr>
        <w:t>以下证明材料复印件加盖投标人公章：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1）人员</w:t>
      </w:r>
      <w:r>
        <w:rPr>
          <w:rFonts w:hint="eastAsia" w:ascii="宋体" w:hAnsi="宋体" w:eastAsia="宋体" w:cs="宋体"/>
          <w:b/>
          <w:bCs/>
          <w:color w:val="auto"/>
          <w:sz w:val="21"/>
          <w:szCs w:val="21"/>
          <w:highlight w:val="none"/>
        </w:rPr>
        <w:t>身份证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造价工程师职业资格证书；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w:t>
      </w:r>
      <w:r>
        <w:rPr>
          <w:rFonts w:hint="eastAsia" w:ascii="宋体" w:hAnsi="宋体" w:eastAsia="宋体" w:cs="宋体"/>
          <w:b/>
          <w:bCs/>
          <w:color w:val="auto"/>
          <w:sz w:val="21"/>
          <w:szCs w:val="21"/>
          <w:highlight w:val="none"/>
        </w:rPr>
        <w:t>注册证书（或在“全国建筑市场公共服务平台”上的执业注册信息截图）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人力资源和社会保障部门（或税务部门）出具</w:t>
      </w:r>
      <w:r>
        <w:rPr>
          <w:rFonts w:hint="eastAsia" w:ascii="宋体" w:hAnsi="宋体" w:eastAsia="宋体" w:cs="宋体"/>
          <w:b/>
          <w:bCs/>
          <w:color w:val="auto"/>
          <w:sz w:val="21"/>
          <w:szCs w:val="21"/>
          <w:highlight w:val="none"/>
        </w:rPr>
        <w:t>的202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Cs w:val="21"/>
          <w:highlight w:val="none"/>
        </w:rPr>
        <w:t>的投标人为其缴纳的社保证明</w:t>
      </w:r>
      <w:r>
        <w:rPr>
          <w:rFonts w:hint="eastAsia" w:ascii="宋体" w:hAnsi="宋体" w:eastAsia="宋体" w:cs="宋体"/>
          <w:b/>
          <w:bCs/>
          <w:color w:val="auto"/>
          <w:szCs w:val="21"/>
          <w:highlight w:val="none"/>
          <w:lang w:val="en-US" w:eastAsia="zh-CN"/>
        </w:rPr>
        <w:t>材料。</w:t>
      </w:r>
    </w:p>
    <w:p w14:paraId="59C98373">
      <w:pPr>
        <w:spacing w:line="360" w:lineRule="auto"/>
        <w:ind w:firstLine="5040" w:firstLineChars="2400"/>
        <w:rPr>
          <w:rFonts w:hint="eastAsia" w:ascii="宋体" w:hAnsi="宋体" w:eastAsia="宋体" w:cs="宋体"/>
          <w:color w:val="auto"/>
          <w:kern w:val="2"/>
          <w:sz w:val="21"/>
          <w:highlight w:val="none"/>
          <w:lang w:val="zh-CN"/>
        </w:rPr>
      </w:pPr>
    </w:p>
    <w:p w14:paraId="61D0F829">
      <w:pPr>
        <w:spacing w:line="36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lang w:val="zh-CN"/>
        </w:rPr>
        <w:t>投标人：（加盖投标人法人公章）</w:t>
      </w:r>
    </w:p>
    <w:p w14:paraId="1689E6B2">
      <w:pPr>
        <w:autoSpaceDE/>
        <w:autoSpaceDN/>
        <w:adjustRightInd/>
        <w:spacing w:line="360" w:lineRule="auto"/>
        <w:ind w:firstLine="5040" w:firstLineChars="2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41D875BD">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35D326AC">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13.7 服务便利性</w:t>
      </w:r>
    </w:p>
    <w:p w14:paraId="74D3F37B">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服务便利性响应时间承诺表</w:t>
      </w:r>
    </w:p>
    <w:tbl>
      <w:tblPr>
        <w:tblStyle w:val="37"/>
        <w:tblW w:w="4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14:paraId="41A3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000" w:type="pct"/>
            <w:vAlign w:val="center"/>
          </w:tcPr>
          <w:p w14:paraId="1CAC5FC0">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2"/>
                <w:sz w:val="21"/>
                <w:szCs w:val="21"/>
                <w:highlight w:val="none"/>
                <w:shd w:val="clear" w:color="auto" w:fill="FFFFFF"/>
              </w:rPr>
              <w:t>承诺事项</w:t>
            </w:r>
          </w:p>
        </w:tc>
      </w:tr>
      <w:tr w14:paraId="0A29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5000" w:type="pct"/>
            <w:vAlign w:val="center"/>
          </w:tcPr>
          <w:p w14:paraId="3BAF3D37">
            <w:pPr>
              <w:keepNext w:val="0"/>
              <w:keepLines w:val="0"/>
              <w:widowControl/>
              <w:suppressLineNumbers w:val="0"/>
              <w:spacing w:before="0" w:beforeAutospacing="0" w:after="0" w:afterAutospacing="0" w:line="360" w:lineRule="auto"/>
              <w:ind w:left="199" w:leftChars="95" w:right="0" w:firstLine="0" w:firstLineChars="0"/>
              <w:jc w:val="both"/>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szCs w:val="21"/>
                <w:highlight w:val="none"/>
              </w:rPr>
              <w:t>承诺本项目管理人员接到招标人通知后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小时(含)内响应，</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小时(含)内到达</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w:t>
            </w:r>
          </w:p>
        </w:tc>
      </w:tr>
    </w:tbl>
    <w:p w14:paraId="079A26B8">
      <w:pPr>
        <w:spacing w:line="360" w:lineRule="auto"/>
        <w:ind w:firstLine="420" w:firstLineChars="200"/>
        <w:rPr>
          <w:rFonts w:hint="eastAsia" w:ascii="宋体" w:hAnsi="宋体" w:eastAsia="宋体" w:cs="宋体"/>
          <w:color w:val="auto"/>
          <w:sz w:val="21"/>
          <w:szCs w:val="21"/>
          <w:highlight w:val="none"/>
        </w:rPr>
      </w:pPr>
    </w:p>
    <w:p w14:paraId="312AFD1D">
      <w:pPr>
        <w:spacing w:line="360" w:lineRule="auto"/>
        <w:rPr>
          <w:rFonts w:hint="eastAsia" w:ascii="宋体" w:hAnsi="宋体" w:eastAsia="宋体" w:cs="宋体"/>
          <w:color w:val="auto"/>
          <w:highlight w:val="none"/>
        </w:rPr>
      </w:pPr>
    </w:p>
    <w:p w14:paraId="16121776">
      <w:pPr>
        <w:spacing w:line="360" w:lineRule="auto"/>
        <w:rPr>
          <w:rFonts w:hint="eastAsia" w:ascii="宋体" w:hAnsi="宋体" w:eastAsia="宋体" w:cs="宋体"/>
          <w:color w:val="auto"/>
          <w:highlight w:val="none"/>
        </w:rPr>
      </w:pPr>
    </w:p>
    <w:p w14:paraId="65CB2DBB">
      <w:pPr>
        <w:spacing w:line="360" w:lineRule="auto"/>
        <w:ind w:firstLine="504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投标人：（加盖投标人法人公章）</w:t>
      </w:r>
    </w:p>
    <w:p w14:paraId="7766F774">
      <w:pPr>
        <w:ind w:firstLine="5040"/>
        <w:rPr>
          <w:rFonts w:hint="eastAsia" w:ascii="宋体" w:hAnsi="宋体" w:eastAsia="宋体" w:cs="宋体"/>
          <w:color w:val="auto"/>
          <w:highlight w:val="none"/>
          <w:lang w:val="en-US" w:eastAsia="zh-CN"/>
        </w:rPr>
      </w:pPr>
      <w:r>
        <w:rPr>
          <w:rFonts w:hint="eastAsia" w:ascii="宋体" w:hAnsi="宋体" w:eastAsia="宋体" w:cs="宋体"/>
          <w:color w:val="auto"/>
          <w:kern w:val="2"/>
          <w:sz w:val="21"/>
          <w:highlight w:val="none"/>
          <w:lang w:val="zh-CN"/>
        </w:rPr>
        <w:t>日期：   年   月   日</w:t>
      </w:r>
    </w:p>
    <w:p w14:paraId="17EE763F">
      <w:pPr>
        <w:rPr>
          <w:rFonts w:hint="eastAsia" w:ascii="宋体" w:hAnsi="宋体" w:eastAsia="宋体" w:cs="宋体"/>
          <w:b/>
          <w:color w:val="auto"/>
          <w:kern w:val="0"/>
          <w:sz w:val="30"/>
          <w:szCs w:val="30"/>
          <w:highlight w:val="none"/>
          <w:lang w:val="en-US" w:eastAsia="zh-CN"/>
        </w:rPr>
      </w:pPr>
    </w:p>
    <w:p w14:paraId="335B7070">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8018404">
      <w:pPr>
        <w:autoSpaceDE w:val="0"/>
        <w:autoSpaceDN w:val="0"/>
        <w:adjustRightInd w:val="0"/>
        <w:spacing w:line="360" w:lineRule="auto"/>
        <w:jc w:val="left"/>
        <w:outlineLvl w:val="1"/>
        <w:rPr>
          <w:rFonts w:hint="eastAsia" w:ascii="宋体" w:hAnsi="宋体" w:eastAsia="宋体" w:cs="宋体"/>
          <w:b/>
          <w:color w:val="auto"/>
          <w:kern w:val="0"/>
          <w:sz w:val="30"/>
          <w:szCs w:val="30"/>
          <w:highlight w:val="none"/>
        </w:rPr>
      </w:pPr>
      <w:bookmarkStart w:id="770" w:name="_Toc18180"/>
      <w:bookmarkStart w:id="771" w:name="_Toc3750"/>
      <w:bookmarkStart w:id="772" w:name="_Toc14035"/>
      <w:bookmarkStart w:id="773" w:name="_Toc30545"/>
      <w:r>
        <w:rPr>
          <w:rFonts w:hint="eastAsia" w:ascii="宋体" w:hAnsi="宋体" w:eastAsia="宋体" w:cs="宋体"/>
          <w:b/>
          <w:color w:val="auto"/>
          <w:kern w:val="0"/>
          <w:sz w:val="30"/>
          <w:szCs w:val="30"/>
          <w:highlight w:val="none"/>
          <w:lang w:val="en-US" w:eastAsia="zh-CN"/>
        </w:rPr>
        <w:t xml:space="preserve">13.8 </w:t>
      </w:r>
      <w:r>
        <w:rPr>
          <w:rFonts w:hint="eastAsia" w:ascii="宋体" w:hAnsi="宋体" w:eastAsia="宋体" w:cs="宋体"/>
          <w:b/>
          <w:color w:val="auto"/>
          <w:kern w:val="0"/>
          <w:sz w:val="30"/>
          <w:szCs w:val="30"/>
          <w:highlight w:val="none"/>
        </w:rPr>
        <w:t>投标人认为有必要提供的其它材料（不做强制要求）</w:t>
      </w:r>
      <w:bookmarkEnd w:id="764"/>
      <w:bookmarkEnd w:id="765"/>
      <w:bookmarkEnd w:id="766"/>
      <w:bookmarkEnd w:id="767"/>
      <w:bookmarkEnd w:id="768"/>
      <w:bookmarkEnd w:id="770"/>
      <w:bookmarkEnd w:id="771"/>
      <w:bookmarkEnd w:id="772"/>
      <w:bookmarkEnd w:id="773"/>
    </w:p>
    <w:p w14:paraId="10BF05F7">
      <w:pPr>
        <w:autoSpaceDE w:val="0"/>
        <w:autoSpaceDN w:val="0"/>
        <w:adjustRightInd w:val="0"/>
        <w:jc w:val="left"/>
        <w:rPr>
          <w:rFonts w:hint="eastAsia" w:ascii="宋体" w:hAnsi="宋体" w:eastAsia="宋体" w:cs="宋体"/>
          <w:color w:val="auto"/>
          <w:kern w:val="0"/>
          <w:sz w:val="24"/>
          <w:szCs w:val="24"/>
          <w:highlight w:val="none"/>
        </w:rPr>
      </w:pPr>
    </w:p>
    <w:p w14:paraId="08037AFB">
      <w:pPr>
        <w:autoSpaceDE w:val="0"/>
        <w:autoSpaceDN w:val="0"/>
        <w:adjustRightInd w:val="0"/>
        <w:jc w:val="left"/>
        <w:rPr>
          <w:rFonts w:hint="eastAsia" w:ascii="宋体" w:hAnsi="宋体" w:eastAsia="宋体" w:cs="宋体"/>
          <w:color w:val="auto"/>
          <w:kern w:val="0"/>
          <w:sz w:val="24"/>
          <w:szCs w:val="24"/>
          <w:highlight w:val="none"/>
        </w:rPr>
      </w:pPr>
    </w:p>
    <w:p w14:paraId="11CCB356">
      <w:pPr>
        <w:autoSpaceDE w:val="0"/>
        <w:autoSpaceDN w:val="0"/>
        <w:adjustRightInd w:val="0"/>
        <w:jc w:val="left"/>
        <w:rPr>
          <w:rFonts w:hint="eastAsia" w:ascii="宋体" w:hAnsi="宋体" w:eastAsia="宋体" w:cs="宋体"/>
          <w:color w:val="auto"/>
          <w:kern w:val="0"/>
          <w:sz w:val="24"/>
          <w:szCs w:val="24"/>
          <w:highlight w:val="none"/>
        </w:rPr>
      </w:pPr>
    </w:p>
    <w:p w14:paraId="27D7D168">
      <w:pPr>
        <w:autoSpaceDE w:val="0"/>
        <w:autoSpaceDN w:val="0"/>
        <w:adjustRightInd w:val="0"/>
        <w:jc w:val="left"/>
        <w:rPr>
          <w:rFonts w:hint="eastAsia" w:ascii="宋体" w:hAnsi="宋体" w:eastAsia="宋体" w:cs="宋体"/>
          <w:color w:val="auto"/>
          <w:kern w:val="0"/>
          <w:sz w:val="24"/>
          <w:szCs w:val="24"/>
          <w:highlight w:val="none"/>
        </w:rPr>
      </w:pPr>
    </w:p>
    <w:p w14:paraId="42C7D651">
      <w:pPr>
        <w:autoSpaceDE w:val="0"/>
        <w:autoSpaceDN w:val="0"/>
        <w:adjustRightInd w:val="0"/>
        <w:jc w:val="left"/>
        <w:rPr>
          <w:rFonts w:hint="eastAsia" w:ascii="宋体" w:hAnsi="宋体" w:eastAsia="宋体" w:cs="宋体"/>
          <w:color w:val="auto"/>
          <w:kern w:val="0"/>
          <w:sz w:val="24"/>
          <w:szCs w:val="24"/>
          <w:highlight w:val="none"/>
        </w:rPr>
      </w:pPr>
    </w:p>
    <w:p w14:paraId="72CFD301">
      <w:pPr>
        <w:autoSpaceDE w:val="0"/>
        <w:autoSpaceDN w:val="0"/>
        <w:adjustRightInd w:val="0"/>
        <w:jc w:val="left"/>
        <w:rPr>
          <w:rFonts w:hint="eastAsia" w:ascii="宋体" w:hAnsi="宋体" w:eastAsia="宋体" w:cs="宋体"/>
          <w:color w:val="auto"/>
          <w:kern w:val="0"/>
          <w:sz w:val="24"/>
          <w:szCs w:val="24"/>
          <w:highlight w:val="none"/>
        </w:rPr>
      </w:pPr>
    </w:p>
    <w:p w14:paraId="56229B5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746DFC4D">
      <w:pPr>
        <w:autoSpaceDE w:val="0"/>
        <w:autoSpaceDN w:val="0"/>
        <w:adjustRightInd w:val="0"/>
        <w:jc w:val="left"/>
        <w:rPr>
          <w:rFonts w:hint="eastAsia" w:ascii="宋体" w:hAnsi="宋体" w:eastAsia="宋体" w:cs="宋体"/>
          <w:color w:val="auto"/>
          <w:kern w:val="0"/>
          <w:sz w:val="24"/>
          <w:szCs w:val="24"/>
          <w:highlight w:val="none"/>
        </w:rPr>
      </w:pPr>
    </w:p>
    <w:p w14:paraId="44940B8E">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774" w:name="_Toc10909"/>
      <w:bookmarkStart w:id="775" w:name="_Toc14977"/>
      <w:bookmarkStart w:id="776" w:name="_Toc142508390"/>
      <w:bookmarkStart w:id="777" w:name="_Toc30548"/>
      <w:bookmarkStart w:id="778" w:name="_Toc21059"/>
      <w:bookmarkStart w:id="779" w:name="_Toc22601_WPSOffice_Level1"/>
      <w:bookmarkStart w:id="780" w:name="_Toc522047402"/>
      <w:bookmarkStart w:id="781" w:name="_Toc521918141"/>
      <w:r>
        <w:rPr>
          <w:rFonts w:hint="eastAsia" w:ascii="宋体" w:hAnsi="宋体" w:eastAsia="宋体" w:cs="宋体"/>
          <w:b/>
          <w:bCs/>
          <w:color w:val="auto"/>
          <w:kern w:val="44"/>
          <w:sz w:val="32"/>
          <w:szCs w:val="32"/>
          <w:highlight w:val="none"/>
          <w:lang w:val="zh-CN"/>
        </w:rPr>
        <w:t>附件一：评标工作大纲</w:t>
      </w:r>
      <w:bookmarkEnd w:id="774"/>
      <w:bookmarkEnd w:id="775"/>
      <w:bookmarkEnd w:id="776"/>
      <w:bookmarkEnd w:id="777"/>
      <w:bookmarkEnd w:id="778"/>
    </w:p>
    <w:p w14:paraId="64156E85">
      <w:pPr>
        <w:autoSpaceDE w:val="0"/>
        <w:autoSpaceDN w:val="0"/>
        <w:adjustRightInd w:val="0"/>
        <w:spacing w:line="400" w:lineRule="atLeast"/>
        <w:jc w:val="center"/>
        <w:rPr>
          <w:rFonts w:hint="eastAsia" w:ascii="宋体" w:hAnsi="宋体" w:eastAsia="宋体" w:cs="宋体"/>
          <w:b/>
          <w:bCs/>
          <w:color w:val="auto"/>
          <w:szCs w:val="21"/>
          <w:highlight w:val="none"/>
        </w:rPr>
      </w:pPr>
    </w:p>
    <w:p w14:paraId="7CFBA03D">
      <w:pPr>
        <w:autoSpaceDE w:val="0"/>
        <w:autoSpaceDN w:val="0"/>
        <w:adjustRightInd w:val="0"/>
        <w:spacing w:line="400" w:lineRule="atLeast"/>
        <w:jc w:val="center"/>
        <w:rPr>
          <w:rFonts w:hint="eastAsia" w:ascii="宋体" w:hAnsi="宋体" w:eastAsia="宋体" w:cs="宋体"/>
          <w:b/>
          <w:bCs/>
          <w:color w:val="auto"/>
          <w:szCs w:val="21"/>
          <w:highlight w:val="none"/>
        </w:rPr>
      </w:pPr>
    </w:p>
    <w:p w14:paraId="3233A171">
      <w:pPr>
        <w:autoSpaceDE w:val="0"/>
        <w:autoSpaceDN w:val="0"/>
        <w:adjustRightInd w:val="0"/>
        <w:spacing w:line="400" w:lineRule="atLeast"/>
        <w:jc w:val="center"/>
        <w:rPr>
          <w:rFonts w:hint="eastAsia" w:ascii="宋体" w:hAnsi="宋体" w:eastAsia="宋体" w:cs="宋体"/>
          <w:b/>
          <w:bCs/>
          <w:color w:val="auto"/>
          <w:szCs w:val="21"/>
          <w:highlight w:val="none"/>
        </w:rPr>
      </w:pPr>
    </w:p>
    <w:p w14:paraId="31A2161B">
      <w:pPr>
        <w:autoSpaceDE w:val="0"/>
        <w:autoSpaceDN w:val="0"/>
        <w:adjustRightInd w:val="0"/>
        <w:spacing w:line="400" w:lineRule="atLeast"/>
        <w:jc w:val="center"/>
        <w:rPr>
          <w:rFonts w:hint="eastAsia" w:ascii="宋体" w:hAnsi="宋体" w:eastAsia="宋体" w:cs="宋体"/>
          <w:b/>
          <w:bCs/>
          <w:color w:val="auto"/>
          <w:szCs w:val="21"/>
          <w:highlight w:val="none"/>
        </w:rPr>
      </w:pPr>
    </w:p>
    <w:p w14:paraId="500DD0BB">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东莞市水务集团供水有限公司2024-2025年造价咨询服务项目</w:t>
      </w:r>
    </w:p>
    <w:p w14:paraId="2A4EA378">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782" w:name="_Toc14752_WPSOffice_Level1"/>
      <w:r>
        <w:rPr>
          <w:rFonts w:hint="eastAsia" w:ascii="宋体" w:hAnsi="宋体" w:eastAsia="宋体" w:cs="宋体"/>
          <w:b/>
          <w:bCs/>
          <w:color w:val="auto"/>
          <w:sz w:val="36"/>
          <w:szCs w:val="36"/>
          <w:highlight w:val="none"/>
          <w:lang w:val="zh-CN"/>
        </w:rPr>
        <w:t>（招标编号：YDZB24DGQY0144）</w:t>
      </w:r>
      <w:bookmarkEnd w:id="782"/>
    </w:p>
    <w:p w14:paraId="704C4783">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27A55F7B">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233A0446">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62CE183">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1CBEB5A5">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783" w:name="_Toc18947_WPSOffice_Level2"/>
      <w:r>
        <w:rPr>
          <w:rFonts w:hint="eastAsia" w:ascii="宋体" w:hAnsi="宋体" w:eastAsia="宋体" w:cs="宋体"/>
          <w:b/>
          <w:bCs/>
          <w:color w:val="auto"/>
          <w:sz w:val="72"/>
          <w:szCs w:val="72"/>
          <w:highlight w:val="none"/>
          <w:lang w:val="zh-CN"/>
        </w:rPr>
        <w:t>评标工作大纲</w:t>
      </w:r>
      <w:bookmarkEnd w:id="783"/>
    </w:p>
    <w:p w14:paraId="28D90253">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4E5DAA5D">
      <w:pPr>
        <w:autoSpaceDE w:val="0"/>
        <w:autoSpaceDN w:val="0"/>
        <w:adjustRightInd w:val="0"/>
        <w:spacing w:line="400" w:lineRule="atLeast"/>
        <w:rPr>
          <w:rFonts w:hint="eastAsia" w:ascii="宋体" w:hAnsi="宋体" w:eastAsia="宋体" w:cs="宋体"/>
          <w:b/>
          <w:bCs/>
          <w:color w:val="auto"/>
          <w:sz w:val="36"/>
          <w:szCs w:val="36"/>
          <w:highlight w:val="none"/>
        </w:rPr>
      </w:pPr>
    </w:p>
    <w:p w14:paraId="544F69FF">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103DCA7E">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3746B64">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767937C">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17724B67">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84" w:name="_Toc32395_WPSOffice_Level1"/>
      <w:r>
        <w:rPr>
          <w:rFonts w:hint="eastAsia" w:ascii="宋体" w:hAnsi="宋体" w:eastAsia="宋体" w:cs="宋体"/>
          <w:b/>
          <w:bCs/>
          <w:color w:val="auto"/>
          <w:sz w:val="36"/>
          <w:szCs w:val="36"/>
          <w:highlight w:val="none"/>
          <w:lang w:val="zh-CN"/>
        </w:rPr>
        <w:t>目录</w:t>
      </w:r>
      <w:bookmarkEnd w:id="784"/>
    </w:p>
    <w:p w14:paraId="3DC6CD22">
      <w:pPr>
        <w:autoSpaceDE w:val="0"/>
        <w:autoSpaceDN w:val="0"/>
        <w:adjustRightInd w:val="0"/>
        <w:spacing w:line="400" w:lineRule="atLeast"/>
        <w:jc w:val="center"/>
        <w:rPr>
          <w:rFonts w:hint="eastAsia" w:ascii="宋体" w:hAnsi="宋体" w:eastAsia="宋体" w:cs="宋体"/>
          <w:color w:val="auto"/>
          <w:sz w:val="44"/>
          <w:szCs w:val="44"/>
          <w:highlight w:val="none"/>
        </w:rPr>
      </w:pPr>
    </w:p>
    <w:p w14:paraId="104E9355">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8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85"/>
    </w:p>
    <w:p w14:paraId="3734584C">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8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86"/>
    </w:p>
    <w:p w14:paraId="1D9CF8F0">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8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87"/>
    </w:p>
    <w:p w14:paraId="47BAE57C">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88" w:name="_Toc1206_WPSOffice_Level1"/>
      <w:r>
        <w:rPr>
          <w:rFonts w:hint="eastAsia" w:ascii="宋体" w:hAnsi="宋体" w:eastAsia="宋体" w:cs="宋体"/>
          <w:color w:val="auto"/>
          <w:szCs w:val="30"/>
          <w:highlight w:val="none"/>
        </w:rPr>
        <w:t>四、 比较和评价</w:t>
      </w:r>
      <w:bookmarkEnd w:id="788"/>
    </w:p>
    <w:p w14:paraId="4031C9B2">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8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89"/>
    </w:p>
    <w:p w14:paraId="092F0EBA">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9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90"/>
    </w:p>
    <w:p w14:paraId="2D36E335">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9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91"/>
    </w:p>
    <w:p w14:paraId="2880B140">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2ADC357C">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7608FA08">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14:paraId="277F0049">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9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92"/>
    </w:p>
    <w:p w14:paraId="410945F1">
      <w:pPr>
        <w:tabs>
          <w:tab w:val="left" w:pos="567"/>
          <w:tab w:val="left" w:pos="600"/>
        </w:tabs>
        <w:autoSpaceDE w:val="0"/>
        <w:autoSpaceDN w:val="0"/>
        <w:adjustRightInd w:val="0"/>
        <w:spacing w:line="360" w:lineRule="auto"/>
        <w:ind w:left="600" w:hanging="600"/>
        <w:outlineLvl w:val="0"/>
        <w:rPr>
          <w:rFonts w:hint="eastAsia" w:ascii="宋体" w:hAnsi="宋体" w:eastAsia="宋体" w:cs="宋体"/>
          <w:b/>
          <w:bCs/>
          <w:color w:val="auto"/>
          <w:szCs w:val="24"/>
          <w:highlight w:val="none"/>
          <w:lang w:val="zh-CN"/>
        </w:rPr>
      </w:pPr>
      <w:bookmarkStart w:id="793" w:name="_Toc18482"/>
      <w:r>
        <w:rPr>
          <w:rFonts w:hint="eastAsia" w:ascii="宋体" w:hAnsi="宋体" w:eastAsia="宋体" w:cs="宋体"/>
          <w:b/>
          <w:bCs/>
          <w:color w:val="auto"/>
          <w:szCs w:val="24"/>
          <w:highlight w:val="none"/>
          <w:lang w:val="zh-CN"/>
        </w:rPr>
        <w:t>1、一般规定</w:t>
      </w:r>
      <w:bookmarkEnd w:id="793"/>
    </w:p>
    <w:p w14:paraId="47C0D1A3">
      <w:pPr>
        <w:autoSpaceDE w:val="0"/>
        <w:autoSpaceDN w:val="0"/>
        <w:adjustRightInd w:val="0"/>
        <w:spacing w:line="360" w:lineRule="auto"/>
        <w:ind w:left="567" w:hanging="567"/>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东莞市水务集团供水有限公司2024-2025年造价咨询服务项目</w:t>
      </w:r>
      <w:r>
        <w:rPr>
          <w:rFonts w:hint="eastAsia" w:ascii="宋体" w:hAnsi="宋体" w:eastAsia="宋体" w:cs="宋体"/>
          <w:color w:val="auto"/>
          <w:szCs w:val="21"/>
          <w:highlight w:val="none"/>
          <w:lang w:val="zh-CN"/>
        </w:rPr>
        <w:t>(招标编号：YDZB24DGQY0144</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11FCC102">
      <w:pPr>
        <w:autoSpaceDE w:val="0"/>
        <w:autoSpaceDN w:val="0"/>
        <w:adjustRightInd w:val="0"/>
        <w:spacing w:line="360" w:lineRule="auto"/>
        <w:ind w:left="567" w:hanging="567"/>
        <w:outlineLvl w:val="1"/>
        <w:rPr>
          <w:rFonts w:hint="eastAsia" w:ascii="宋体" w:hAnsi="宋体" w:eastAsia="宋体" w:cs="宋体"/>
          <w:color w:val="auto"/>
          <w:szCs w:val="24"/>
          <w:highlight w:val="none"/>
          <w:lang w:val="zh-CN"/>
        </w:rPr>
      </w:pPr>
      <w:bookmarkStart w:id="794" w:name="_Toc5578"/>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794"/>
    </w:p>
    <w:p w14:paraId="25C09DAB">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1181FF9C">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567F221D">
      <w:pPr>
        <w:numPr>
          <w:ilvl w:val="1"/>
          <w:numId w:val="2"/>
        </w:numPr>
        <w:autoSpaceDE w:val="0"/>
        <w:autoSpaceDN w:val="0"/>
        <w:adjustRightInd w:val="0"/>
        <w:spacing w:line="360" w:lineRule="auto"/>
        <w:ind w:left="565" w:hanging="564" w:hangingChars="269"/>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5F7D4AAC">
      <w:pPr>
        <w:autoSpaceDE w:val="0"/>
        <w:autoSpaceDN w:val="0"/>
        <w:adjustRightInd w:val="0"/>
        <w:spacing w:line="360" w:lineRule="auto"/>
        <w:rPr>
          <w:rFonts w:hint="eastAsia" w:ascii="宋体" w:hAnsi="宋体" w:eastAsia="宋体" w:cs="宋体"/>
          <w:color w:val="auto"/>
          <w:sz w:val="24"/>
          <w:szCs w:val="24"/>
          <w:highlight w:val="none"/>
          <w:lang w:val="zh-CN"/>
        </w:rPr>
      </w:pPr>
    </w:p>
    <w:p w14:paraId="57BAEC21">
      <w:pPr>
        <w:tabs>
          <w:tab w:val="left" w:pos="360"/>
          <w:tab w:val="left" w:pos="600"/>
        </w:tabs>
        <w:autoSpaceDE w:val="0"/>
        <w:autoSpaceDN w:val="0"/>
        <w:adjustRightInd w:val="0"/>
        <w:spacing w:line="360" w:lineRule="auto"/>
        <w:ind w:left="600" w:hanging="600"/>
        <w:outlineLvl w:val="0"/>
        <w:rPr>
          <w:rFonts w:hint="eastAsia" w:ascii="宋体" w:hAnsi="宋体" w:eastAsia="宋体" w:cs="宋体"/>
          <w:b/>
          <w:bCs/>
          <w:color w:val="auto"/>
          <w:szCs w:val="24"/>
          <w:highlight w:val="none"/>
          <w:lang w:val="zh-CN"/>
        </w:rPr>
      </w:pPr>
      <w:bookmarkStart w:id="795" w:name="_Toc18026"/>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795"/>
    </w:p>
    <w:p w14:paraId="06443541">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BEA346C">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01707EF3">
      <w:pPr>
        <w:autoSpaceDE w:val="0"/>
        <w:autoSpaceDN w:val="0"/>
        <w:adjustRightInd w:val="0"/>
        <w:spacing w:line="360" w:lineRule="auto"/>
        <w:ind w:left="600" w:hanging="600"/>
        <w:outlineLvl w:val="1"/>
        <w:rPr>
          <w:rFonts w:hint="eastAsia" w:ascii="宋体" w:hAnsi="宋体" w:eastAsia="宋体" w:cs="宋体"/>
          <w:color w:val="auto"/>
          <w:szCs w:val="24"/>
          <w:highlight w:val="none"/>
          <w:lang w:val="zh-CN"/>
        </w:rPr>
      </w:pPr>
      <w:bookmarkStart w:id="796" w:name="_Toc772"/>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796"/>
    </w:p>
    <w:p w14:paraId="70AFCC57">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157DD54D">
      <w:pPr>
        <w:autoSpaceDE w:val="0"/>
        <w:autoSpaceDN w:val="0"/>
        <w:adjustRightInd w:val="0"/>
        <w:spacing w:line="360" w:lineRule="auto"/>
        <w:rPr>
          <w:rFonts w:hint="eastAsia" w:ascii="宋体" w:hAnsi="宋体" w:eastAsia="宋体" w:cs="宋体"/>
          <w:color w:val="auto"/>
          <w:sz w:val="24"/>
          <w:szCs w:val="24"/>
          <w:highlight w:val="none"/>
          <w:lang w:val="zh-CN"/>
        </w:rPr>
      </w:pPr>
    </w:p>
    <w:p w14:paraId="2ABBB8EB">
      <w:pPr>
        <w:autoSpaceDE w:val="0"/>
        <w:autoSpaceDN w:val="0"/>
        <w:adjustRightInd w:val="0"/>
        <w:spacing w:line="360" w:lineRule="auto"/>
        <w:outlineLvl w:val="0"/>
        <w:rPr>
          <w:rFonts w:hint="eastAsia" w:ascii="宋体" w:hAnsi="宋体" w:eastAsia="宋体" w:cs="宋体"/>
          <w:color w:val="auto"/>
          <w:sz w:val="24"/>
          <w:szCs w:val="24"/>
          <w:highlight w:val="none"/>
          <w:lang w:val="zh-CN"/>
        </w:rPr>
      </w:pPr>
      <w:bookmarkStart w:id="797" w:name="_Toc20917"/>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797"/>
    </w:p>
    <w:p w14:paraId="5F13D946">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58F1C8F2">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C8CEEF0">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F2C3804">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22E4DC2F">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p>
    <w:p w14:paraId="3FAC7431">
      <w:pPr>
        <w:tabs>
          <w:tab w:val="left" w:pos="720"/>
        </w:tabs>
        <w:autoSpaceDE w:val="0"/>
        <w:autoSpaceDN w:val="0"/>
        <w:adjustRightInd w:val="0"/>
        <w:spacing w:line="360" w:lineRule="auto"/>
        <w:outlineLvl w:val="0"/>
        <w:rPr>
          <w:rFonts w:hint="eastAsia" w:ascii="宋体" w:hAnsi="宋体" w:eastAsia="宋体" w:cs="宋体"/>
          <w:b/>
          <w:bCs/>
          <w:color w:val="auto"/>
          <w:szCs w:val="21"/>
          <w:highlight w:val="none"/>
          <w:lang w:val="zh-CN"/>
        </w:rPr>
      </w:pPr>
      <w:bookmarkStart w:id="798" w:name="_Toc18518"/>
      <w:r>
        <w:rPr>
          <w:rFonts w:hint="eastAsia" w:ascii="宋体" w:hAnsi="宋体" w:eastAsia="宋体" w:cs="宋体"/>
          <w:b/>
          <w:bCs/>
          <w:color w:val="auto"/>
          <w:szCs w:val="21"/>
          <w:highlight w:val="none"/>
          <w:lang w:val="zh-CN"/>
        </w:rPr>
        <w:t>4、评标委员会义务</w:t>
      </w:r>
      <w:bookmarkEnd w:id="798"/>
    </w:p>
    <w:p w14:paraId="3A5FF827">
      <w:pPr>
        <w:autoSpaceDE w:val="0"/>
        <w:autoSpaceDN w:val="0"/>
        <w:adjustRightInd w:val="0"/>
        <w:spacing w:line="360" w:lineRule="auto"/>
        <w:jc w:val="left"/>
        <w:outlineLvl w:val="1"/>
        <w:rPr>
          <w:rFonts w:hint="eastAsia" w:ascii="宋体" w:hAnsi="宋体" w:eastAsia="宋体" w:cs="宋体"/>
          <w:color w:val="auto"/>
          <w:kern w:val="0"/>
          <w:szCs w:val="24"/>
          <w:highlight w:val="none"/>
          <w:lang w:val="zh-CN"/>
        </w:rPr>
      </w:pPr>
      <w:bookmarkStart w:id="799" w:name="_Toc11205"/>
      <w:r>
        <w:rPr>
          <w:rFonts w:hint="eastAsia" w:ascii="宋体" w:hAnsi="宋体" w:eastAsia="宋体" w:cs="宋体"/>
          <w:color w:val="auto"/>
          <w:kern w:val="0"/>
          <w:szCs w:val="24"/>
          <w:highlight w:val="none"/>
          <w:lang w:val="zh-CN"/>
        </w:rPr>
        <w:t>4.1  遵纪守法，客观、公正、廉洁地履行职责；</w:t>
      </w:r>
      <w:bookmarkEnd w:id="799"/>
    </w:p>
    <w:p w14:paraId="6624DDD6">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5A478B6F">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8642385">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79A90369">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F312706">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536F91CB">
      <w:pPr>
        <w:tabs>
          <w:tab w:val="left" w:pos="720"/>
        </w:tabs>
        <w:autoSpaceDE w:val="0"/>
        <w:autoSpaceDN w:val="0"/>
        <w:adjustRightInd w:val="0"/>
        <w:spacing w:line="360" w:lineRule="auto"/>
        <w:rPr>
          <w:rFonts w:hint="eastAsia" w:ascii="宋体" w:hAnsi="宋体" w:eastAsia="宋体" w:cs="宋体"/>
          <w:color w:val="auto"/>
          <w:sz w:val="24"/>
          <w:szCs w:val="24"/>
          <w:highlight w:val="none"/>
          <w:lang w:val="zh-CN"/>
        </w:rPr>
      </w:pPr>
    </w:p>
    <w:p w14:paraId="7743C791">
      <w:pPr>
        <w:tabs>
          <w:tab w:val="left" w:pos="1547"/>
        </w:tabs>
        <w:autoSpaceDE w:val="0"/>
        <w:autoSpaceDN w:val="0"/>
        <w:adjustRightInd w:val="0"/>
        <w:spacing w:line="360" w:lineRule="auto"/>
        <w:outlineLvl w:val="0"/>
        <w:rPr>
          <w:rFonts w:hint="eastAsia" w:ascii="宋体" w:hAnsi="宋体" w:eastAsia="宋体" w:cs="宋体"/>
          <w:b/>
          <w:color w:val="auto"/>
          <w:szCs w:val="24"/>
          <w:highlight w:val="none"/>
          <w:lang w:val="zh-CN"/>
        </w:rPr>
      </w:pPr>
      <w:bookmarkStart w:id="800" w:name="_Toc7477"/>
      <w:r>
        <w:rPr>
          <w:rFonts w:hint="eastAsia" w:ascii="宋体" w:hAnsi="宋体" w:eastAsia="宋体" w:cs="宋体"/>
          <w:b/>
          <w:bCs/>
          <w:color w:val="auto"/>
          <w:szCs w:val="21"/>
          <w:highlight w:val="none"/>
          <w:lang w:val="zh-CN"/>
        </w:rPr>
        <w:t>5、评审程序</w:t>
      </w:r>
      <w:bookmarkEnd w:id="800"/>
    </w:p>
    <w:p w14:paraId="1970CB13">
      <w:pPr>
        <w:autoSpaceDE w:val="0"/>
        <w:autoSpaceDN w:val="0"/>
        <w:adjustRightInd w:val="0"/>
        <w:spacing w:line="360" w:lineRule="auto"/>
        <w:ind w:left="567" w:hanging="567"/>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229D7FA0">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23CE5205">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0E9B9DF5">
      <w:pPr>
        <w:autoSpaceDE w:val="0"/>
        <w:autoSpaceDN w:val="0"/>
        <w:adjustRightInd w:val="0"/>
        <w:spacing w:line="360" w:lineRule="auto"/>
        <w:ind w:left="567" w:hanging="567"/>
        <w:outlineLvl w:val="1"/>
        <w:rPr>
          <w:rFonts w:hint="eastAsia" w:ascii="宋体" w:hAnsi="宋体" w:eastAsia="宋体" w:cs="宋体"/>
          <w:color w:val="auto"/>
          <w:szCs w:val="24"/>
          <w:highlight w:val="none"/>
          <w:lang w:val="zh-CN"/>
        </w:rPr>
      </w:pPr>
      <w:bookmarkStart w:id="801" w:name="_Toc32377"/>
      <w:bookmarkStart w:id="802" w:name="_Toc24746"/>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bookmarkEnd w:id="801"/>
      <w:bookmarkEnd w:id="802"/>
    </w:p>
    <w:p w14:paraId="0BA5004E">
      <w:pPr>
        <w:autoSpaceDE w:val="0"/>
        <w:autoSpaceDN w:val="0"/>
        <w:adjustRightInd w:val="0"/>
        <w:spacing w:line="360" w:lineRule="auto"/>
        <w:ind w:left="567" w:hanging="567"/>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34CBB905">
      <w:pPr>
        <w:autoSpaceDE w:val="0"/>
        <w:autoSpaceDN w:val="0"/>
        <w:adjustRightInd w:val="0"/>
        <w:spacing w:line="360" w:lineRule="auto"/>
        <w:ind w:left="567"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20BDDC0B">
      <w:pPr>
        <w:autoSpaceDE w:val="0"/>
        <w:autoSpaceDN w:val="0"/>
        <w:adjustRightInd w:val="0"/>
        <w:spacing w:line="360" w:lineRule="auto"/>
        <w:ind w:left="525" w:hanging="525" w:hangingChars="250"/>
        <w:jc w:val="left"/>
        <w:outlineLvl w:val="1"/>
        <w:rPr>
          <w:rFonts w:hint="eastAsia" w:ascii="宋体" w:hAnsi="宋体" w:eastAsia="宋体" w:cs="宋体"/>
          <w:color w:val="auto"/>
          <w:szCs w:val="24"/>
          <w:highlight w:val="none"/>
          <w:lang w:val="zh-CN"/>
        </w:rPr>
      </w:pPr>
      <w:bookmarkStart w:id="803" w:name="_Toc17442"/>
      <w:bookmarkStart w:id="804" w:name="_Toc474"/>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bookmarkEnd w:id="803"/>
      <w:bookmarkEnd w:id="804"/>
    </w:p>
    <w:p w14:paraId="61C4F72B">
      <w:pPr>
        <w:pStyle w:val="45"/>
        <w:rPr>
          <w:rFonts w:hint="eastAsia" w:ascii="宋体" w:hAnsi="宋体" w:eastAsia="宋体" w:cs="宋体"/>
          <w:color w:val="auto"/>
          <w:highlight w:val="none"/>
          <w:lang w:val="zh-CN"/>
        </w:rPr>
      </w:pPr>
    </w:p>
    <w:p w14:paraId="46BCEC61">
      <w:pPr>
        <w:tabs>
          <w:tab w:val="left" w:pos="1140"/>
        </w:tabs>
        <w:autoSpaceDE w:val="0"/>
        <w:autoSpaceDN w:val="0"/>
        <w:adjustRightInd w:val="0"/>
        <w:spacing w:line="360" w:lineRule="auto"/>
        <w:jc w:val="center"/>
        <w:outlineLvl w:val="2"/>
        <w:rPr>
          <w:rFonts w:hint="eastAsia" w:ascii="宋体" w:hAnsi="宋体" w:eastAsia="宋体" w:cs="宋体"/>
          <w:b/>
          <w:bCs/>
          <w:color w:val="auto"/>
          <w:sz w:val="28"/>
          <w:szCs w:val="28"/>
          <w:highlight w:val="none"/>
        </w:rPr>
      </w:pPr>
      <w:bookmarkStart w:id="805" w:name="_Toc7988"/>
      <w:bookmarkStart w:id="806" w:name="_Toc19435_WPSOffice_Level1"/>
      <w:r>
        <w:rPr>
          <w:rFonts w:hint="eastAsia" w:ascii="宋体" w:hAnsi="宋体" w:eastAsia="宋体" w:cs="宋体"/>
          <w:b/>
          <w:bCs/>
          <w:color w:val="auto"/>
          <w:sz w:val="28"/>
          <w:szCs w:val="28"/>
          <w:highlight w:val="none"/>
          <w:lang w:val="zh-CN"/>
        </w:rPr>
        <w:t>二、投标文件的初审</w:t>
      </w:r>
      <w:bookmarkEnd w:id="805"/>
      <w:bookmarkEnd w:id="806"/>
    </w:p>
    <w:p w14:paraId="1AA78FEA">
      <w:pPr>
        <w:autoSpaceDE w:val="0"/>
        <w:autoSpaceDN w:val="0"/>
        <w:adjustRightInd w:val="0"/>
        <w:spacing w:line="360" w:lineRule="auto"/>
        <w:outlineLvl w:val="0"/>
        <w:rPr>
          <w:rFonts w:hint="eastAsia" w:ascii="宋体" w:hAnsi="宋体" w:eastAsia="宋体" w:cs="宋体"/>
          <w:b/>
          <w:color w:val="auto"/>
          <w:szCs w:val="24"/>
          <w:highlight w:val="none"/>
          <w:lang w:val="zh-CN"/>
        </w:rPr>
      </w:pPr>
      <w:bookmarkStart w:id="807" w:name="_Toc22222"/>
      <w:r>
        <w:rPr>
          <w:rFonts w:hint="eastAsia" w:ascii="宋体" w:hAnsi="宋体" w:eastAsia="宋体" w:cs="宋体"/>
          <w:b/>
          <w:color w:val="auto"/>
          <w:szCs w:val="24"/>
          <w:highlight w:val="none"/>
          <w:lang w:val="zh-CN"/>
        </w:rPr>
        <w:t>6、投标文件的初审分为资格性检查和符合性检查。</w:t>
      </w:r>
      <w:bookmarkEnd w:id="807"/>
    </w:p>
    <w:p w14:paraId="4925BB5D">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95D9378">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3D4591D5">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720A9CB6">
      <w:pPr>
        <w:autoSpaceDE w:val="0"/>
        <w:autoSpaceDN w:val="0"/>
        <w:adjustRightInd w:val="0"/>
        <w:spacing w:line="360" w:lineRule="auto"/>
        <w:ind w:firstLine="840" w:firstLineChars="4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350BF23D">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8F0950C">
      <w:pPr>
        <w:autoSpaceDE w:val="0"/>
        <w:autoSpaceDN w:val="0"/>
        <w:adjustRightInd w:val="0"/>
        <w:spacing w:line="360" w:lineRule="auto"/>
        <w:outlineLvl w:val="0"/>
        <w:rPr>
          <w:rFonts w:hint="eastAsia" w:ascii="宋体" w:hAnsi="宋体" w:eastAsia="宋体" w:cs="宋体"/>
          <w:b/>
          <w:color w:val="auto"/>
          <w:szCs w:val="21"/>
          <w:highlight w:val="none"/>
          <w:lang w:val="zh-CN"/>
        </w:rPr>
      </w:pPr>
      <w:bookmarkStart w:id="808" w:name="_Toc2139"/>
      <w:r>
        <w:rPr>
          <w:rFonts w:hint="eastAsia" w:ascii="宋体" w:hAnsi="宋体" w:eastAsia="宋体" w:cs="宋体"/>
          <w:b/>
          <w:color w:val="auto"/>
          <w:szCs w:val="21"/>
          <w:highlight w:val="none"/>
          <w:lang w:val="zh-CN"/>
        </w:rPr>
        <w:t>7、投标文件出现下列情况之一的，被认定为无效投标：</w:t>
      </w:r>
      <w:bookmarkEnd w:id="808"/>
    </w:p>
    <w:p w14:paraId="36B4772F">
      <w:pPr>
        <w:autoSpaceDE w:val="0"/>
        <w:autoSpaceDN w:val="0"/>
        <w:adjustRightInd w:val="0"/>
        <w:spacing w:line="360" w:lineRule="auto"/>
        <w:outlineLvl w:val="1"/>
        <w:rPr>
          <w:rFonts w:hint="eastAsia" w:ascii="宋体" w:hAnsi="宋体" w:eastAsia="宋体" w:cs="宋体"/>
          <w:b/>
          <w:color w:val="auto"/>
          <w:szCs w:val="21"/>
          <w:highlight w:val="none"/>
          <w:lang w:val="zh-CN"/>
        </w:rPr>
      </w:pPr>
      <w:bookmarkStart w:id="809" w:name="_Toc10456"/>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bookmarkEnd w:id="809"/>
    </w:p>
    <w:p w14:paraId="3E727616">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投标文件中的投标报价未按照招标文件要求进行折扣系数报价的；</w:t>
      </w:r>
    </w:p>
    <w:p w14:paraId="1247FD13">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7C4F6353">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27AE94F6">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6E9E094A">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50F9D2DC">
      <w:pPr>
        <w:spacing w:line="360" w:lineRule="auto"/>
        <w:ind w:left="527" w:hanging="527" w:hangingChars="250"/>
        <w:outlineLvl w:val="1"/>
        <w:rPr>
          <w:rFonts w:hint="eastAsia" w:ascii="宋体" w:hAnsi="宋体" w:eastAsia="宋体" w:cs="宋体"/>
          <w:b/>
          <w:bCs/>
          <w:color w:val="auto"/>
          <w:kern w:val="0"/>
          <w:szCs w:val="21"/>
          <w:highlight w:val="none"/>
        </w:rPr>
      </w:pPr>
      <w:bookmarkStart w:id="810" w:name="_Toc11623"/>
      <w:r>
        <w:rPr>
          <w:rFonts w:hint="eastAsia" w:ascii="宋体" w:hAnsi="宋体" w:eastAsia="宋体" w:cs="宋体"/>
          <w:b/>
          <w:bCs/>
          <w:color w:val="auto"/>
          <w:kern w:val="0"/>
          <w:szCs w:val="21"/>
          <w:highlight w:val="none"/>
        </w:rPr>
        <w:t>7.7  投标有效期限不符合要求；</w:t>
      </w:r>
      <w:bookmarkEnd w:id="810"/>
    </w:p>
    <w:p w14:paraId="1C663B1A">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74802D3C">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4539E201">
      <w:pPr>
        <w:spacing w:line="360" w:lineRule="auto"/>
        <w:ind w:left="413" w:hanging="413" w:hangingChars="196"/>
        <w:outlineLvl w:val="1"/>
        <w:rPr>
          <w:rFonts w:hint="eastAsia" w:ascii="宋体" w:hAnsi="宋体" w:eastAsia="宋体" w:cs="宋体"/>
          <w:b/>
          <w:color w:val="auto"/>
          <w:kern w:val="0"/>
          <w:szCs w:val="21"/>
          <w:highlight w:val="none"/>
        </w:rPr>
      </w:pPr>
      <w:bookmarkStart w:id="811" w:name="_Toc7505"/>
      <w:r>
        <w:rPr>
          <w:rFonts w:hint="eastAsia" w:ascii="宋体" w:hAnsi="宋体" w:eastAsia="宋体" w:cs="宋体"/>
          <w:b/>
          <w:color w:val="auto"/>
          <w:kern w:val="0"/>
          <w:szCs w:val="21"/>
          <w:highlight w:val="none"/>
        </w:rPr>
        <w:t>7.10  未填写或虚假填写《用户需求偏离表》的；</w:t>
      </w:r>
      <w:bookmarkEnd w:id="811"/>
    </w:p>
    <w:p w14:paraId="492DD987">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14:paraId="3350F475">
      <w:pPr>
        <w:autoSpaceDE w:val="0"/>
        <w:autoSpaceDN w:val="0"/>
        <w:adjustRightInd w:val="0"/>
        <w:spacing w:line="360" w:lineRule="auto"/>
        <w:ind w:left="315" w:hanging="315" w:hangingChars="150"/>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A900673">
      <w:pPr>
        <w:spacing w:line="360" w:lineRule="auto"/>
        <w:ind w:left="480"/>
        <w:rPr>
          <w:rFonts w:hint="eastAsia" w:ascii="宋体" w:hAnsi="宋体" w:eastAsia="宋体" w:cs="宋体"/>
          <w:b/>
          <w:color w:val="auto"/>
          <w:kern w:val="0"/>
          <w:szCs w:val="21"/>
          <w:highlight w:val="none"/>
        </w:rPr>
      </w:pPr>
    </w:p>
    <w:p w14:paraId="666C83D1">
      <w:pPr>
        <w:tabs>
          <w:tab w:val="left" w:pos="1140"/>
        </w:tabs>
        <w:autoSpaceDE w:val="0"/>
        <w:autoSpaceDN w:val="0"/>
        <w:adjustRightInd w:val="0"/>
        <w:spacing w:line="360" w:lineRule="auto"/>
        <w:ind w:firstLine="3528" w:firstLineChars="1255"/>
        <w:jc w:val="left"/>
        <w:outlineLvl w:val="2"/>
        <w:rPr>
          <w:rFonts w:hint="eastAsia" w:ascii="宋体" w:hAnsi="宋体" w:eastAsia="宋体" w:cs="宋体"/>
          <w:b/>
          <w:bCs/>
          <w:color w:val="auto"/>
          <w:sz w:val="28"/>
          <w:szCs w:val="28"/>
          <w:highlight w:val="none"/>
        </w:rPr>
      </w:pPr>
      <w:bookmarkStart w:id="812" w:name="_Toc1469"/>
      <w:bookmarkStart w:id="813" w:name="_Toc4109_WPSOffice_Level1"/>
      <w:r>
        <w:rPr>
          <w:rFonts w:hint="eastAsia" w:ascii="宋体" w:hAnsi="宋体" w:eastAsia="宋体" w:cs="宋体"/>
          <w:b/>
          <w:bCs/>
          <w:color w:val="auto"/>
          <w:sz w:val="28"/>
          <w:szCs w:val="28"/>
          <w:highlight w:val="none"/>
          <w:lang w:val="zh-CN"/>
        </w:rPr>
        <w:t>三、澄清有关问题</w:t>
      </w:r>
      <w:bookmarkEnd w:id="812"/>
      <w:bookmarkEnd w:id="813"/>
    </w:p>
    <w:p w14:paraId="59CC6BF5">
      <w:pPr>
        <w:autoSpaceDE w:val="0"/>
        <w:autoSpaceDN w:val="0"/>
        <w:adjustRightInd w:val="0"/>
        <w:spacing w:line="360" w:lineRule="auto"/>
        <w:ind w:left="315" w:hanging="315" w:hangingChars="15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3428C349">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05329B7A">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42B10A4">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3265DAED">
      <w:pPr>
        <w:spacing w:line="360" w:lineRule="auto"/>
        <w:ind w:left="424" w:hanging="424" w:hangingChars="202"/>
        <w:outlineLvl w:val="1"/>
        <w:rPr>
          <w:rFonts w:hint="eastAsia" w:ascii="宋体" w:hAnsi="宋体" w:eastAsia="宋体" w:cs="宋体"/>
          <w:color w:val="auto"/>
          <w:kern w:val="0"/>
          <w:szCs w:val="21"/>
          <w:highlight w:val="none"/>
        </w:rPr>
      </w:pPr>
      <w:bookmarkStart w:id="814" w:name="_Toc20782"/>
      <w:r>
        <w:rPr>
          <w:rFonts w:hint="eastAsia" w:ascii="宋体" w:hAnsi="宋体" w:eastAsia="宋体" w:cs="宋体"/>
          <w:color w:val="auto"/>
          <w:kern w:val="0"/>
          <w:szCs w:val="21"/>
          <w:highlight w:val="none"/>
        </w:rPr>
        <w:t>9.4  投标文件报价计算错误的修正</w:t>
      </w:r>
      <w:bookmarkEnd w:id="814"/>
    </w:p>
    <w:p w14:paraId="2743F4FF">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23D0862D">
      <w:pPr>
        <w:spacing w:line="360" w:lineRule="auto"/>
        <w:ind w:firstLine="638" w:firstLineChars="30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当以数字表示的报价系数与文字表示的报价系数不一致时，以文字表示的报价系数为准。按上述修正原则进行修正至唯一值后的报价表经双方确认后，作为合同文件的组成部分。</w:t>
      </w:r>
    </w:p>
    <w:p w14:paraId="054FA913">
      <w:pPr>
        <w:spacing w:line="360" w:lineRule="auto"/>
        <w:ind w:left="567" w:hanging="567" w:hangingChars="27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741CF42">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5D3147E0">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815" w:name="_Toc8518_WPSOffice_Level1"/>
    </w:p>
    <w:p w14:paraId="014E8D59">
      <w:pPr>
        <w:autoSpaceDE w:val="0"/>
        <w:autoSpaceDN w:val="0"/>
        <w:adjustRightInd w:val="0"/>
        <w:spacing w:line="360" w:lineRule="auto"/>
        <w:jc w:val="center"/>
        <w:outlineLvl w:val="2"/>
        <w:rPr>
          <w:rFonts w:hint="eastAsia" w:ascii="宋体" w:hAnsi="宋体" w:eastAsia="宋体" w:cs="宋体"/>
          <w:b/>
          <w:bCs/>
          <w:color w:val="auto"/>
          <w:sz w:val="28"/>
          <w:szCs w:val="28"/>
          <w:highlight w:val="none"/>
        </w:rPr>
      </w:pPr>
      <w:bookmarkStart w:id="816" w:name="_Toc6449"/>
      <w:r>
        <w:rPr>
          <w:rFonts w:hint="eastAsia" w:ascii="宋体" w:hAnsi="宋体" w:eastAsia="宋体" w:cs="宋体"/>
          <w:b/>
          <w:bCs/>
          <w:color w:val="auto"/>
          <w:sz w:val="28"/>
          <w:szCs w:val="28"/>
          <w:highlight w:val="none"/>
          <w:lang w:val="zh-CN"/>
        </w:rPr>
        <w:t>四、比较和评价</w:t>
      </w:r>
      <w:bookmarkEnd w:id="815"/>
      <w:bookmarkEnd w:id="816"/>
    </w:p>
    <w:p w14:paraId="665FE761">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13D95FBC">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p>
    <w:p w14:paraId="7D7BF10F">
      <w:pPr>
        <w:tabs>
          <w:tab w:val="left" w:pos="1701"/>
        </w:tabs>
        <w:autoSpaceDE w:val="0"/>
        <w:autoSpaceDN w:val="0"/>
        <w:adjustRightInd w:val="0"/>
        <w:spacing w:line="360" w:lineRule="auto"/>
        <w:outlineLvl w:val="0"/>
        <w:rPr>
          <w:rFonts w:hint="eastAsia" w:ascii="宋体" w:hAnsi="宋体" w:eastAsia="宋体" w:cs="宋体"/>
          <w:b/>
          <w:color w:val="auto"/>
          <w:szCs w:val="24"/>
          <w:highlight w:val="none"/>
          <w:lang w:val="zh-CN"/>
        </w:rPr>
      </w:pPr>
      <w:bookmarkStart w:id="817" w:name="_Toc22742"/>
      <w:r>
        <w:rPr>
          <w:rFonts w:hint="eastAsia" w:ascii="宋体" w:hAnsi="宋体" w:eastAsia="宋体" w:cs="宋体"/>
          <w:b/>
          <w:color w:val="auto"/>
          <w:szCs w:val="24"/>
          <w:highlight w:val="none"/>
          <w:lang w:val="zh-CN"/>
        </w:rPr>
        <w:t>11、评委打分办法</w:t>
      </w:r>
      <w:bookmarkEnd w:id="817"/>
    </w:p>
    <w:p w14:paraId="4E88A426">
      <w:pPr>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41731A8F">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6D2C6945">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22F41AEB">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40AE96D7">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3558D48D">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44621B72">
      <w:pPr>
        <w:tabs>
          <w:tab w:val="left" w:pos="600"/>
        </w:tabs>
        <w:autoSpaceDE w:val="0"/>
        <w:autoSpaceDN w:val="0"/>
        <w:adjustRightInd w:val="0"/>
        <w:spacing w:line="360" w:lineRule="auto"/>
        <w:outlineLvl w:val="1"/>
        <w:rPr>
          <w:rFonts w:hint="eastAsia" w:ascii="宋体" w:hAnsi="宋体" w:eastAsia="宋体" w:cs="宋体"/>
          <w:color w:val="auto"/>
          <w:szCs w:val="24"/>
          <w:highlight w:val="none"/>
          <w:lang w:val="zh-CN"/>
        </w:rPr>
      </w:pPr>
      <w:bookmarkStart w:id="818" w:name="_Toc20173"/>
      <w:r>
        <w:rPr>
          <w:rFonts w:hint="eastAsia" w:ascii="宋体" w:hAnsi="宋体" w:eastAsia="宋体" w:cs="宋体"/>
          <w:color w:val="auto"/>
          <w:szCs w:val="24"/>
          <w:highlight w:val="none"/>
          <w:lang w:val="zh-CN"/>
        </w:rPr>
        <w:t>11.4 评标委员会打分采取记名形式。</w:t>
      </w:r>
      <w:bookmarkEnd w:id="818"/>
    </w:p>
    <w:p w14:paraId="1BE7064D">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0C6D6C86">
      <w:pPr>
        <w:autoSpaceDE w:val="0"/>
        <w:autoSpaceDN w:val="0"/>
        <w:adjustRightInd w:val="0"/>
        <w:spacing w:line="360" w:lineRule="auto"/>
        <w:ind w:left="426" w:hanging="426"/>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7A247B6D">
      <w:pPr>
        <w:tabs>
          <w:tab w:val="left" w:pos="600"/>
        </w:tabs>
        <w:autoSpaceDE w:val="0"/>
        <w:autoSpaceDN w:val="0"/>
        <w:adjustRightInd w:val="0"/>
        <w:spacing w:line="360" w:lineRule="auto"/>
        <w:outlineLvl w:val="1"/>
        <w:rPr>
          <w:rFonts w:hint="eastAsia" w:ascii="宋体" w:hAnsi="宋体" w:eastAsia="宋体" w:cs="宋体"/>
          <w:color w:val="auto"/>
          <w:szCs w:val="24"/>
          <w:highlight w:val="none"/>
          <w:lang w:val="zh-CN"/>
        </w:rPr>
      </w:pPr>
      <w:bookmarkStart w:id="819" w:name="_Toc6758"/>
      <w:r>
        <w:rPr>
          <w:rFonts w:hint="eastAsia" w:ascii="宋体" w:hAnsi="宋体" w:eastAsia="宋体" w:cs="宋体"/>
          <w:color w:val="auto"/>
          <w:szCs w:val="24"/>
          <w:highlight w:val="none"/>
          <w:lang w:val="zh-CN"/>
        </w:rPr>
        <w:t>11.7 评分程序</w:t>
      </w:r>
      <w:bookmarkEnd w:id="819"/>
    </w:p>
    <w:p w14:paraId="2C7404FB">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0692EE5B">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58456126">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01E10F62">
      <w:pPr>
        <w:autoSpaceDE w:val="0"/>
        <w:autoSpaceDN w:val="0"/>
        <w:adjustRightInd w:val="0"/>
        <w:spacing w:line="360" w:lineRule="auto"/>
        <w:rPr>
          <w:rFonts w:hint="eastAsia" w:ascii="宋体" w:hAnsi="宋体" w:eastAsia="宋体" w:cs="宋体"/>
          <w:color w:val="auto"/>
          <w:szCs w:val="24"/>
          <w:highlight w:val="none"/>
          <w:lang w:val="zh-CN"/>
        </w:rPr>
      </w:pPr>
    </w:p>
    <w:p w14:paraId="0FEECDFF">
      <w:pPr>
        <w:tabs>
          <w:tab w:val="left" w:pos="1701"/>
        </w:tabs>
        <w:autoSpaceDE w:val="0"/>
        <w:autoSpaceDN w:val="0"/>
        <w:adjustRightInd w:val="0"/>
        <w:spacing w:line="360" w:lineRule="auto"/>
        <w:outlineLvl w:val="0"/>
        <w:rPr>
          <w:rFonts w:hint="eastAsia" w:ascii="宋体" w:hAnsi="宋体" w:eastAsia="宋体" w:cs="宋体"/>
          <w:b/>
          <w:color w:val="auto"/>
          <w:szCs w:val="24"/>
          <w:highlight w:val="none"/>
          <w:lang w:val="zh-CN"/>
        </w:rPr>
      </w:pPr>
      <w:bookmarkStart w:id="820" w:name="_Toc2699"/>
      <w:r>
        <w:rPr>
          <w:rFonts w:hint="eastAsia" w:ascii="宋体" w:hAnsi="宋体" w:eastAsia="宋体" w:cs="宋体"/>
          <w:b/>
          <w:color w:val="auto"/>
          <w:szCs w:val="24"/>
          <w:highlight w:val="none"/>
          <w:lang w:val="zh-CN"/>
        </w:rPr>
        <w:t>12、评分因素及分值</w:t>
      </w:r>
      <w:bookmarkEnd w:id="820"/>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06"/>
      </w:tblGrid>
      <w:tr w14:paraId="1A25D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B6A5CDA">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4F2558D5">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4623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91D7CD2">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2F25E0F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7F6DA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C7934C1">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56F0BAE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14A00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5A6B53B">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772CBA3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596724EB">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821" w:name="_Toc18349_WPSOffice_Level2"/>
    </w:p>
    <w:p w14:paraId="1515CE7B">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21"/>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98"/>
        <w:gridCol w:w="7409"/>
        <w:gridCol w:w="877"/>
      </w:tblGrid>
      <w:tr w14:paraId="6664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7657781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2A0657C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69853BF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29DC6A6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3EB1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76C79EB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7" w:type="pct"/>
            <w:tcBorders>
              <w:top w:val="single" w:color="auto" w:sz="4" w:space="0"/>
              <w:left w:val="single" w:color="auto" w:sz="4" w:space="0"/>
              <w:bottom w:val="single" w:color="auto" w:sz="4" w:space="0"/>
              <w:right w:val="single" w:color="auto" w:sz="4" w:space="0"/>
            </w:tcBorders>
            <w:vAlign w:val="center"/>
          </w:tcPr>
          <w:p w14:paraId="303728E8">
            <w:pPr>
              <w:keepNext w:val="0"/>
              <w:keepLines w:val="0"/>
              <w:suppressLineNumbers w:val="0"/>
              <w:autoSpaceDE w:val="0"/>
              <w:autoSpaceDN w:val="0"/>
              <w:spacing w:before="0" w:beforeAutospacing="0" w:after="0" w:afterAutospacing="0" w:line="400" w:lineRule="exact"/>
              <w:ind w:left="0" w:right="0"/>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2C2D76AD">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val="0"/>
                <w:bCs/>
                <w:color w:val="auto"/>
                <w:kern w:val="0"/>
                <w:szCs w:val="21"/>
                <w:highlight w:val="none"/>
                <w:lang w:val="zh-CN"/>
              </w:rPr>
            </w:pPr>
            <w:r>
              <w:rPr>
                <w:rFonts w:hint="eastAsia" w:ascii="宋体" w:hAnsi="宋体" w:eastAsia="宋体" w:cs="宋体"/>
                <w:b w:val="0"/>
                <w:bCs/>
                <w:color w:val="auto"/>
                <w:kern w:val="0"/>
                <w:szCs w:val="21"/>
                <w:highlight w:val="none"/>
                <w:lang w:val="zh-CN"/>
              </w:rPr>
              <w:t>投标人2021年-2023年三个年度，每具有1个年度盈利的得1分，满分3分。</w:t>
            </w:r>
          </w:p>
          <w:p w14:paraId="4F82B50F">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28871D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lang w:val="zh-CN"/>
              </w:rPr>
              <w:t>3分</w:t>
            </w:r>
          </w:p>
        </w:tc>
      </w:tr>
      <w:tr w14:paraId="2464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670061C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14:paraId="019BAA5F">
            <w:pPr>
              <w:keepNext w:val="0"/>
              <w:keepLines w:val="0"/>
              <w:suppressLineNumbers w:val="0"/>
              <w:autoSpaceDE w:val="0"/>
              <w:autoSpaceDN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34C9332C">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具有有效期内的ISO9001质量管理体系认证证书得1分；</w:t>
            </w:r>
          </w:p>
          <w:p w14:paraId="12A3D652">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具有有效期内的ISO14001环境管理体系认证证书得1分；</w:t>
            </w:r>
          </w:p>
          <w:p w14:paraId="2F8DAD5B">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具有有效期内的OHSAS18001（或GB/T45001-2020，或ISO45001）职业健康安全管理体系认证证书得1分。</w:t>
            </w:r>
          </w:p>
          <w:p w14:paraId="01D8F644">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33B200BB">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1"/>
                <w:szCs w:val="21"/>
                <w:highlight w:val="none"/>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297CCAE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3分</w:t>
            </w:r>
          </w:p>
        </w:tc>
      </w:tr>
      <w:tr w14:paraId="3B5E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05F6A8BE">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bookmarkStart w:id="822" w:name="_Hlk104987354"/>
            <w:r>
              <w:rPr>
                <w:rFonts w:hint="eastAsia" w:ascii="宋体" w:hAnsi="宋体" w:eastAsia="宋体" w:cs="宋体"/>
                <w:color w:val="auto"/>
                <w:sz w:val="21"/>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14:paraId="166A0ED3">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企业荣誉</w:t>
            </w:r>
          </w:p>
        </w:tc>
        <w:tc>
          <w:tcPr>
            <w:tcW w:w="7655" w:type="dxa"/>
            <w:tcBorders>
              <w:top w:val="single" w:color="auto" w:sz="4" w:space="0"/>
              <w:left w:val="single" w:color="auto" w:sz="4" w:space="0"/>
              <w:bottom w:val="single" w:color="auto" w:sz="4" w:space="0"/>
              <w:right w:val="single" w:color="auto" w:sz="4" w:space="0"/>
            </w:tcBorders>
            <w:vAlign w:val="center"/>
          </w:tcPr>
          <w:p w14:paraId="7961D293">
            <w:pPr>
              <w:keepNext w:val="0"/>
              <w:keepLines w:val="0"/>
              <w:suppressLineNumbers w:val="0"/>
              <w:adjustRightInd/>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年以来获得行政主管部门或行业协会颁发的有关工程造价咨询的奖项荣誉的，省级或以上的每个得2分，市级的每个得1分，最高得4分。</w:t>
            </w:r>
          </w:p>
          <w:p w14:paraId="39805E4A">
            <w:pPr>
              <w:keepNext w:val="0"/>
              <w:keepLines w:val="0"/>
              <w:suppressLineNumbers w:val="0"/>
              <w:spacing w:before="0" w:beforeAutospacing="0" w:after="0" w:afterAutospacing="0"/>
              <w:ind w:left="0" w:right="0"/>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rPr>
              <w:t>备注：须提供奖项证明材料复印件加盖投标人公章。</w:t>
            </w:r>
          </w:p>
        </w:tc>
        <w:tc>
          <w:tcPr>
            <w:tcW w:w="907" w:type="dxa"/>
            <w:tcBorders>
              <w:top w:val="single" w:color="auto" w:sz="4" w:space="0"/>
              <w:left w:val="single" w:color="auto" w:sz="4" w:space="0"/>
              <w:bottom w:val="single" w:color="auto" w:sz="4" w:space="0"/>
              <w:right w:val="single" w:color="auto" w:sz="4" w:space="0"/>
            </w:tcBorders>
            <w:vAlign w:val="center"/>
          </w:tcPr>
          <w:p w14:paraId="7DAE0CF5">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Cs w:val="24"/>
                <w:highlight w:val="none"/>
                <w:lang w:val="en-US" w:eastAsia="zh-CN"/>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分</w:t>
            </w:r>
          </w:p>
        </w:tc>
      </w:tr>
      <w:tr w14:paraId="1492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118D8E73">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bookmarkStart w:id="823" w:name="_Toc11639_WPSOffice_Level2"/>
            <w:r>
              <w:rPr>
                <w:rFonts w:hint="eastAsia" w:ascii="宋体" w:hAnsi="宋体" w:eastAsia="宋体" w:cs="宋体"/>
                <w:color w:val="auto"/>
                <w:sz w:val="21"/>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14:paraId="27DE2036">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2C4FCEF5">
            <w:pPr>
              <w:keepNext w:val="0"/>
              <w:keepLines w:val="0"/>
              <w:suppressLineNumbers w:val="0"/>
              <w:adjustRightInd/>
              <w:spacing w:before="0" w:beforeAutospacing="0" w:after="0" w:afterAutospacing="0" w:line="36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1、工程造价咨询业绩（满分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08030D4B">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三个年度</w:t>
            </w:r>
            <w:r>
              <w:rPr>
                <w:rFonts w:hint="eastAsia" w:ascii="宋体" w:hAnsi="宋体" w:eastAsia="宋体" w:cs="宋体"/>
                <w:color w:val="auto"/>
                <w:sz w:val="21"/>
                <w:szCs w:val="21"/>
                <w:highlight w:val="none"/>
              </w:rPr>
              <w:t>承接的概、预(或招标控制价)、结算编审业绩情况进行评审，每年度至少须有20项造价咨询业绩（含概、预(或招标控制价)、结算编审业绩），否则该年度不得分，满足20项（含20项）以上的，该年度得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分，本项满分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FAD5010">
            <w:pPr>
              <w:keepNext w:val="0"/>
              <w:keepLines w:val="0"/>
              <w:suppressLineNumbers w:val="0"/>
              <w:adjustRightInd/>
              <w:spacing w:before="0" w:beforeAutospacing="0" w:after="0" w:afterAutospacing="0" w:line="36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2、工程编审业绩（满分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14:paraId="0534948E">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w:t>
            </w:r>
            <w:bookmarkStart w:id="824" w:name="_Hlk122543198"/>
            <w:r>
              <w:rPr>
                <w:rFonts w:hint="eastAsia" w:ascii="宋体" w:hAnsi="宋体" w:eastAsia="宋体" w:cs="宋体"/>
                <w:color w:val="auto"/>
                <w:sz w:val="21"/>
                <w:szCs w:val="21"/>
                <w:highlight w:val="none"/>
                <w:lang w:val="en-US" w:eastAsia="zh-CN"/>
              </w:rPr>
              <w:t>承接</w:t>
            </w:r>
            <w:r>
              <w:rPr>
                <w:rFonts w:hint="eastAsia" w:ascii="宋体" w:hAnsi="宋体" w:eastAsia="宋体" w:cs="宋体"/>
                <w:color w:val="auto"/>
                <w:sz w:val="21"/>
                <w:szCs w:val="21"/>
                <w:highlight w:val="none"/>
              </w:rPr>
              <w:t>的工程编审业绩</w:t>
            </w:r>
            <w:bookmarkEnd w:id="824"/>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14:paraId="740C6C11">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个</w:t>
            </w:r>
            <w:r>
              <w:rPr>
                <w:rFonts w:hint="eastAsia" w:ascii="宋体" w:hAnsi="宋体" w:eastAsia="宋体" w:cs="宋体"/>
                <w:b/>
                <w:bCs/>
                <w:color w:val="auto"/>
                <w:sz w:val="21"/>
                <w:szCs w:val="21"/>
                <w:highlight w:val="none"/>
              </w:rPr>
              <w:t>房建类（</w:t>
            </w:r>
            <w:r>
              <w:rPr>
                <w:rFonts w:hint="eastAsia" w:ascii="宋体" w:hAnsi="宋体" w:eastAsia="宋体" w:cs="宋体"/>
                <w:b/>
                <w:bCs/>
                <w:color w:val="auto"/>
                <w:sz w:val="21"/>
                <w:szCs w:val="21"/>
                <w:highlight w:val="none"/>
                <w:lang w:val="en-US" w:eastAsia="zh-CN"/>
              </w:rPr>
              <w:t>须包含装修装饰或者房屋修缮或者房屋加固</w:t>
            </w:r>
            <w:r>
              <w:rPr>
                <w:rFonts w:hint="eastAsia" w:ascii="宋体" w:hAnsi="宋体" w:eastAsia="宋体" w:cs="宋体"/>
                <w:b/>
                <w:bCs/>
                <w:color w:val="auto"/>
                <w:sz w:val="21"/>
                <w:szCs w:val="21"/>
                <w:highlight w:val="none"/>
              </w:rPr>
              <w:t>）工程</w:t>
            </w:r>
            <w:r>
              <w:rPr>
                <w:rFonts w:hint="eastAsia" w:ascii="宋体" w:hAnsi="宋体" w:eastAsia="宋体" w:cs="宋体"/>
                <w:color w:val="auto"/>
                <w:sz w:val="21"/>
                <w:szCs w:val="21"/>
                <w:highlight w:val="none"/>
              </w:rPr>
              <w:t>编审</w:t>
            </w:r>
            <w:r>
              <w:rPr>
                <w:rFonts w:hint="eastAsia" w:ascii="宋体" w:hAnsi="宋体" w:eastAsia="宋体" w:cs="宋体"/>
                <w:color w:val="auto"/>
                <w:sz w:val="21"/>
                <w:szCs w:val="21"/>
                <w:highlight w:val="none"/>
                <w:lang w:val="en-US" w:eastAsia="zh-CN"/>
              </w:rPr>
              <w:t>业绩的，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最高得4分</w:t>
            </w:r>
            <w:r>
              <w:rPr>
                <w:rFonts w:hint="eastAsia" w:ascii="宋体" w:hAnsi="宋体" w:eastAsia="宋体" w:cs="宋体"/>
                <w:color w:val="auto"/>
                <w:sz w:val="21"/>
                <w:szCs w:val="21"/>
                <w:highlight w:val="none"/>
                <w:lang w:eastAsia="zh-CN"/>
              </w:rPr>
              <w:t>；</w:t>
            </w:r>
          </w:p>
          <w:p w14:paraId="50F8A74D">
            <w:pPr>
              <w:pStyle w:val="2"/>
              <w:keepNext w:val="0"/>
              <w:keepLines w:val="0"/>
              <w:numPr>
                <w:ilvl w:val="0"/>
                <w:numId w:val="0"/>
              </w:numPr>
              <w:suppressLineNumbers w:val="0"/>
              <w:autoSpaceDE/>
              <w:autoSpaceDN/>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个</w:t>
            </w:r>
            <w:r>
              <w:rPr>
                <w:rFonts w:hint="eastAsia" w:ascii="宋体" w:hAnsi="宋体" w:eastAsia="宋体" w:cs="宋体"/>
                <w:b/>
                <w:bCs/>
                <w:color w:val="auto"/>
                <w:sz w:val="21"/>
                <w:szCs w:val="21"/>
                <w:highlight w:val="none"/>
              </w:rPr>
              <w:t>市政工程类</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须包含给水工程</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工程</w:t>
            </w:r>
            <w:r>
              <w:rPr>
                <w:rFonts w:hint="eastAsia" w:ascii="宋体" w:hAnsi="宋体" w:eastAsia="宋体" w:cs="宋体"/>
                <w:color w:val="auto"/>
                <w:sz w:val="21"/>
                <w:szCs w:val="21"/>
                <w:highlight w:val="none"/>
              </w:rPr>
              <w:t>编审</w:t>
            </w:r>
            <w:r>
              <w:rPr>
                <w:rFonts w:hint="eastAsia" w:ascii="宋体" w:hAnsi="宋体" w:eastAsia="宋体" w:cs="宋体"/>
                <w:color w:val="auto"/>
                <w:sz w:val="21"/>
                <w:szCs w:val="21"/>
                <w:highlight w:val="none"/>
                <w:lang w:val="en-US" w:eastAsia="zh-CN"/>
              </w:rPr>
              <w:t>业绩的，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最高得6分；</w:t>
            </w:r>
          </w:p>
          <w:p w14:paraId="1376861E">
            <w:pPr>
              <w:keepNext w:val="0"/>
              <w:keepLines w:val="0"/>
              <w:suppressLineNumbers w:val="0"/>
              <w:adjustRightInd/>
              <w:spacing w:before="0" w:beforeAutospacing="0" w:after="0" w:afterAutospacing="0" w:line="360" w:lineRule="auto"/>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每类（即前述的</w:t>
            </w:r>
            <w:r>
              <w:rPr>
                <w:rFonts w:hint="eastAsia" w:ascii="宋体" w:hAnsi="宋体" w:eastAsia="宋体" w:cs="宋体"/>
                <w:b/>
                <w:bCs/>
                <w:color w:val="auto"/>
                <w:sz w:val="21"/>
                <w:szCs w:val="21"/>
                <w:highlight w:val="none"/>
              </w:rPr>
              <w:t>房建类</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rPr>
              <w:t>市政工程类</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工程编审</w:t>
            </w:r>
            <w:r>
              <w:rPr>
                <w:rFonts w:hint="eastAsia" w:ascii="宋体" w:hAnsi="宋体" w:eastAsia="宋体" w:cs="宋体"/>
                <w:b/>
                <w:bCs/>
                <w:color w:val="auto"/>
                <w:sz w:val="21"/>
                <w:szCs w:val="21"/>
                <w:highlight w:val="none"/>
                <w:lang w:val="en-US" w:eastAsia="zh-CN"/>
              </w:rPr>
              <w:t>业绩均须</w:t>
            </w:r>
            <w:r>
              <w:rPr>
                <w:rFonts w:hint="eastAsia" w:ascii="宋体" w:hAnsi="宋体" w:eastAsia="宋体" w:cs="宋体"/>
                <w:b/>
                <w:bCs/>
                <w:color w:val="auto"/>
                <w:sz w:val="21"/>
                <w:szCs w:val="21"/>
                <w:highlight w:val="none"/>
              </w:rPr>
              <w:t>包含</w:t>
            </w:r>
            <w:r>
              <w:rPr>
                <w:rFonts w:hint="eastAsia" w:ascii="宋体" w:hAnsi="宋体" w:eastAsia="宋体" w:cs="宋体"/>
                <w:b/>
                <w:bCs/>
                <w:color w:val="auto"/>
                <w:sz w:val="21"/>
                <w:szCs w:val="21"/>
                <w:highlight w:val="none"/>
                <w:lang w:val="en-US" w:eastAsia="zh-CN"/>
              </w:rPr>
              <w:t>该</w:t>
            </w:r>
            <w:r>
              <w:rPr>
                <w:rFonts w:hint="eastAsia" w:ascii="宋体" w:hAnsi="宋体" w:eastAsia="宋体" w:cs="宋体"/>
                <w:b/>
                <w:bCs/>
                <w:color w:val="auto"/>
                <w:sz w:val="21"/>
                <w:szCs w:val="21"/>
                <w:highlight w:val="none"/>
              </w:rPr>
              <w:t>类型概、预(或招标控制价)、结算编审业绩</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才视为满足业绩得分基础要求</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可按照前述的得分标准进行计分，否则该类型工程编审业绩</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 w:val="21"/>
                <w:szCs w:val="21"/>
                <w:highlight w:val="none"/>
                <w:lang w:eastAsia="zh-CN"/>
              </w:rPr>
              <w:t>。</w:t>
            </w:r>
          </w:p>
          <w:p w14:paraId="5A2E2F05">
            <w:pPr>
              <w:keepNext w:val="0"/>
              <w:keepLines w:val="0"/>
              <w:suppressLineNumbers w:val="0"/>
              <w:adjustRightInd/>
              <w:spacing w:before="0" w:beforeAutospacing="0" w:after="0" w:afterAutospacing="0" w:line="360" w:lineRule="auto"/>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3、货物、服务类造价咨询业绩（满分4分）：</w:t>
            </w:r>
          </w:p>
          <w:p w14:paraId="57654888">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根据投标人2021年1月1日至今承接的货物、服务类造价咨询业绩进行评审：每提供一个货物类造价咨询业绩的，得1分，最高的2分；每提供一个服务类造价咨询业绩的，得1分，最高的2分。</w:t>
            </w:r>
          </w:p>
          <w:p w14:paraId="59BA9654">
            <w:pPr>
              <w:keepNext w:val="0"/>
              <w:keepLines w:val="0"/>
              <w:suppressLineNumbers w:val="0"/>
              <w:adjustRightInd/>
              <w:spacing w:before="0" w:beforeAutospacing="0" w:after="0" w:afterAutospacing="0" w:line="360" w:lineRule="auto"/>
              <w:ind w:left="0" w:right="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备注：</w:t>
            </w:r>
          </w:p>
          <w:p w14:paraId="7D5FCD27">
            <w:pPr>
              <w:pStyle w:val="129"/>
              <w:keepNext w:val="0"/>
              <w:keepLines w:val="0"/>
              <w:numPr>
                <w:ilvl w:val="0"/>
                <w:numId w:val="0"/>
              </w:numPr>
              <w:suppressLineNumbers w:val="0"/>
              <w:adjustRightInd/>
              <w:spacing w:before="0" w:beforeAutospacing="0" w:after="0" w:afterAutospacing="0" w:line="360" w:lineRule="auto"/>
              <w:ind w:left="0" w:leftChars="0" w:right="0"/>
              <w:jc w:val="both"/>
              <w:rPr>
                <w:rFonts w:hint="eastAsia" w:ascii="宋体" w:hAnsi="宋体" w:eastAsia="宋体" w:cs="宋体"/>
                <w:b/>
                <w:bCs/>
                <w:color w:val="auto"/>
                <w:sz w:val="21"/>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bCs/>
                <w:color w:val="auto"/>
                <w:sz w:val="21"/>
                <w:szCs w:val="21"/>
                <w:highlight w:val="none"/>
                <w:lang w:val="zh-CN"/>
              </w:rPr>
              <w:t>业绩须附合同及项目的相关成果文件关键页复印件加盖投标人公章，否则不得分。</w:t>
            </w:r>
          </w:p>
          <w:p w14:paraId="52393D9E">
            <w:pPr>
              <w:pStyle w:val="129"/>
              <w:keepNext w:val="0"/>
              <w:keepLines w:val="0"/>
              <w:numPr>
                <w:ilvl w:val="0"/>
                <w:numId w:val="0"/>
              </w:numPr>
              <w:suppressLineNumbers w:val="0"/>
              <w:adjustRightInd/>
              <w:spacing w:before="0" w:beforeAutospacing="0" w:after="0" w:afterAutospacing="0" w:line="360" w:lineRule="auto"/>
              <w:ind w:left="0" w:leftChars="0" w:right="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若</w:t>
            </w:r>
            <w:r>
              <w:rPr>
                <w:rFonts w:hint="eastAsia" w:ascii="宋体" w:hAnsi="宋体" w:eastAsia="宋体" w:cs="宋体"/>
                <w:b/>
                <w:color w:val="auto"/>
                <w:sz w:val="21"/>
                <w:szCs w:val="21"/>
                <w:highlight w:val="none"/>
              </w:rPr>
              <w:t>合同等业绩证明材料</w:t>
            </w:r>
            <w:r>
              <w:rPr>
                <w:rFonts w:hint="eastAsia" w:ascii="宋体" w:hAnsi="宋体" w:eastAsia="宋体" w:cs="宋体"/>
                <w:b/>
                <w:color w:val="auto"/>
                <w:sz w:val="21"/>
                <w:szCs w:val="21"/>
                <w:highlight w:val="none"/>
                <w:lang w:val="en-US" w:eastAsia="zh-CN"/>
              </w:rPr>
              <w:t>无法</w:t>
            </w:r>
            <w:r>
              <w:rPr>
                <w:rFonts w:hint="eastAsia" w:ascii="宋体" w:hAnsi="宋体" w:eastAsia="宋体" w:cs="宋体"/>
                <w:b/>
                <w:color w:val="auto"/>
                <w:sz w:val="21"/>
                <w:szCs w:val="21"/>
                <w:highlight w:val="none"/>
              </w:rPr>
              <w:t>反映评分条件[合同签订日期为202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年1月1日或以后，合同标的必须为概</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预</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结算编审业绩</w:t>
            </w:r>
            <w:r>
              <w:rPr>
                <w:rFonts w:hint="eastAsia" w:ascii="宋体" w:hAnsi="宋体" w:eastAsia="宋体" w:cs="宋体"/>
                <w:b/>
                <w:color w:val="auto"/>
                <w:sz w:val="21"/>
                <w:szCs w:val="21"/>
                <w:highlight w:val="none"/>
                <w:lang w:val="en-US" w:eastAsia="zh-CN"/>
              </w:rPr>
              <w:t>或货物、服务类造价咨询业绩</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的</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还</w:t>
            </w:r>
            <w:r>
              <w:rPr>
                <w:rFonts w:hint="eastAsia" w:ascii="宋体" w:hAnsi="宋体" w:eastAsia="宋体" w:cs="宋体"/>
                <w:b/>
                <w:color w:val="auto"/>
                <w:sz w:val="21"/>
                <w:szCs w:val="21"/>
                <w:highlight w:val="none"/>
              </w:rPr>
              <w:t>需同时提供业主</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出具的书面补充情况说明文件复印件</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shd w:val="clear" w:color="auto" w:fill="FFFFFF"/>
              </w:rPr>
              <w:t>补充情况说明文件复印件能显示</w:t>
            </w:r>
            <w:r>
              <w:rPr>
                <w:rFonts w:hint="eastAsia" w:ascii="宋体" w:hAnsi="宋体" w:eastAsia="宋体" w:cs="宋体"/>
                <w:b/>
                <w:bCs/>
                <w:color w:val="auto"/>
                <w:szCs w:val="21"/>
                <w:highlight w:val="none"/>
                <w:shd w:val="clear" w:color="auto" w:fill="FFFFFF"/>
                <w:lang w:val="en-US" w:eastAsia="zh-CN"/>
              </w:rPr>
              <w:t>业主</w:t>
            </w:r>
            <w:r>
              <w:rPr>
                <w:rFonts w:hint="eastAsia" w:ascii="宋体" w:hAnsi="宋体" w:eastAsia="宋体" w:cs="宋体"/>
                <w:b/>
                <w:bCs/>
                <w:color w:val="auto"/>
                <w:szCs w:val="21"/>
                <w:highlight w:val="none"/>
                <w:shd w:val="clear" w:color="auto" w:fill="FFFFFF"/>
              </w:rPr>
              <w:t>方公章</w:t>
            </w:r>
            <w:r>
              <w:rPr>
                <w:rFonts w:hint="eastAsia" w:ascii="宋体" w:hAnsi="宋体" w:eastAsia="宋体" w:cs="宋体"/>
                <w:b/>
                <w:color w:val="auto"/>
                <w:szCs w:val="21"/>
                <w:highlight w:val="none"/>
              </w:rPr>
              <w:t>），否则不得分</w:t>
            </w:r>
            <w:r>
              <w:rPr>
                <w:rFonts w:hint="eastAsia" w:ascii="宋体" w:hAnsi="宋体" w:eastAsia="宋体" w:cs="宋体"/>
                <w:b/>
                <w:color w:val="auto"/>
                <w:sz w:val="21"/>
                <w:szCs w:val="21"/>
                <w:highlight w:val="none"/>
              </w:rPr>
              <w:t>；</w:t>
            </w:r>
          </w:p>
          <w:p w14:paraId="79A7D7DB">
            <w:pPr>
              <w:pStyle w:val="129"/>
              <w:keepNext w:val="0"/>
              <w:keepLines w:val="0"/>
              <w:numPr>
                <w:ilvl w:val="0"/>
                <w:numId w:val="0"/>
              </w:numPr>
              <w:suppressLineNumbers w:val="0"/>
              <w:adjustRightInd/>
              <w:spacing w:before="0" w:beforeAutospacing="0" w:after="0" w:afterAutospacing="0" w:line="360" w:lineRule="auto"/>
              <w:ind w:left="0" w:leftChars="0" w:right="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若业绩合同为框架式协议或资格入围的，须同时提供</w:t>
            </w:r>
            <w:r>
              <w:rPr>
                <w:rFonts w:hint="eastAsia" w:ascii="宋体" w:hAnsi="宋体" w:eastAsia="宋体" w:cs="宋体"/>
                <w:b/>
                <w:bCs/>
                <w:color w:val="auto"/>
                <w:sz w:val="21"/>
                <w:szCs w:val="21"/>
                <w:highlight w:val="none"/>
                <w:lang w:val="en-US" w:eastAsia="zh-CN"/>
              </w:rPr>
              <w:t>框架协议合同（或资格入围合同）</w:t>
            </w:r>
            <w:r>
              <w:rPr>
                <w:rFonts w:hint="eastAsia" w:ascii="宋体" w:hAnsi="宋体" w:eastAsia="宋体" w:cs="宋体"/>
                <w:b/>
                <w:bCs/>
                <w:color w:val="auto"/>
                <w:sz w:val="21"/>
                <w:szCs w:val="21"/>
                <w:highlight w:val="none"/>
                <w:lang w:val="zh-CN"/>
              </w:rPr>
              <w:t>及合同期内对应的项目成果文件，按成果文件数量计算得分；</w:t>
            </w:r>
          </w:p>
          <w:p w14:paraId="38E57B8C">
            <w:pPr>
              <w:pStyle w:val="129"/>
              <w:keepNext w:val="0"/>
              <w:keepLines w:val="0"/>
              <w:numPr>
                <w:ilvl w:val="0"/>
                <w:numId w:val="0"/>
              </w:numPr>
              <w:suppressLineNumbers w:val="0"/>
              <w:adjustRightInd/>
              <w:spacing w:before="0" w:beforeAutospacing="0" w:after="0" w:afterAutospacing="0" w:line="360" w:lineRule="auto"/>
              <w:ind w:left="0" w:leftChars="0" w:right="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4）第1项“工</w:t>
            </w:r>
            <w:r>
              <w:rPr>
                <w:rFonts w:hint="eastAsia" w:ascii="宋体" w:hAnsi="宋体" w:eastAsia="宋体" w:cs="宋体"/>
                <w:b/>
                <w:bCs/>
                <w:color w:val="auto"/>
                <w:sz w:val="21"/>
                <w:szCs w:val="21"/>
                <w:highlight w:val="none"/>
              </w:rPr>
              <w:t>程造价咨询业绩</w:t>
            </w:r>
            <w:r>
              <w:rPr>
                <w:rFonts w:hint="eastAsia" w:ascii="宋体" w:hAnsi="宋体" w:eastAsia="宋体" w:cs="宋体"/>
                <w:b/>
                <w:bCs/>
                <w:color w:val="auto"/>
                <w:sz w:val="21"/>
                <w:szCs w:val="21"/>
                <w:highlight w:val="none"/>
                <w:lang w:val="en-US" w:eastAsia="zh-CN"/>
              </w:rPr>
              <w:t>”评审中的每年度至少须有20项造价咨询业绩（含概、预(或招标控制价)、结算编审业绩）是指：每一个年度内投标人业绩内容必须至少涵盖1个概算编审业绩、1个预算(或招标控制价)编审业绩、1个结算编审业绩，且三者总和达20项（含20项），而非三者分别需20项业绩。若一份合同中同时包括概、预(或招标控制价)、结算编审业绩的仅按一项业绩计算；</w:t>
            </w:r>
          </w:p>
          <w:p w14:paraId="3EA67615">
            <w:pPr>
              <w:pStyle w:val="129"/>
              <w:keepNext w:val="0"/>
              <w:keepLines w:val="0"/>
              <w:numPr>
                <w:ilvl w:val="0"/>
                <w:numId w:val="0"/>
              </w:numPr>
              <w:suppressLineNumbers w:val="0"/>
              <w:adjustRightInd/>
              <w:spacing w:before="0" w:beforeAutospacing="0" w:after="0" w:afterAutospacing="0" w:line="360" w:lineRule="auto"/>
              <w:ind w:left="0" w:leftChars="0" w:right="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5）第2项“</w:t>
            </w:r>
            <w:r>
              <w:rPr>
                <w:rFonts w:hint="eastAsia" w:ascii="宋体" w:hAnsi="宋体" w:eastAsia="宋体" w:cs="宋体"/>
                <w:b/>
                <w:bCs/>
                <w:color w:val="auto"/>
                <w:sz w:val="21"/>
                <w:szCs w:val="21"/>
                <w:highlight w:val="none"/>
              </w:rPr>
              <w:t>工程编审业绩</w:t>
            </w:r>
            <w:r>
              <w:rPr>
                <w:rFonts w:hint="eastAsia" w:ascii="宋体" w:hAnsi="宋体" w:eastAsia="宋体" w:cs="宋体"/>
                <w:b/>
                <w:bCs/>
                <w:color w:val="auto"/>
                <w:sz w:val="21"/>
                <w:szCs w:val="21"/>
                <w:highlight w:val="none"/>
                <w:lang w:val="en-US" w:eastAsia="zh-CN"/>
              </w:rPr>
              <w:t>”评审中，若一份合同中同时包括该对应类型的概、预(或招标控制价)、结算编审业绩则可视为满足业绩得分基础要求，但仅作为一份合同业绩计分；</w:t>
            </w:r>
          </w:p>
          <w:p w14:paraId="75A10DF3">
            <w:pPr>
              <w:pStyle w:val="129"/>
              <w:keepNext w:val="0"/>
              <w:keepLines w:val="0"/>
              <w:numPr>
                <w:ilvl w:val="0"/>
                <w:numId w:val="0"/>
              </w:numPr>
              <w:suppressLineNumbers w:val="0"/>
              <w:adjustRightInd/>
              <w:spacing w:before="0" w:beforeAutospacing="0" w:after="0" w:afterAutospacing="0" w:line="360" w:lineRule="auto"/>
              <w:ind w:left="0" w:leftChars="0" w:right="0"/>
              <w:jc w:val="both"/>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）业绩不重复计算，由投标人自行放入对应的评分子项；</w:t>
            </w:r>
          </w:p>
          <w:p w14:paraId="7AFD4C15">
            <w:pPr>
              <w:pStyle w:val="129"/>
              <w:keepNext w:val="0"/>
              <w:keepLines w:val="0"/>
              <w:numPr>
                <w:ilvl w:val="0"/>
                <w:numId w:val="0"/>
              </w:numPr>
              <w:suppressLineNumbers w:val="0"/>
              <w:adjustRightInd/>
              <w:spacing w:before="0" w:beforeAutospacing="0" w:after="0" w:afterAutospacing="0" w:line="360" w:lineRule="auto"/>
              <w:ind w:left="0" w:leftChars="0" w:right="0"/>
              <w:jc w:val="both"/>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rPr>
              <w:t>7）</w:t>
            </w:r>
            <w:r>
              <w:rPr>
                <w:rFonts w:hint="eastAsia" w:ascii="宋体" w:hAnsi="宋体" w:eastAsia="宋体" w:cs="宋体"/>
                <w:b/>
                <w:bCs/>
                <w:color w:val="auto"/>
                <w:kern w:val="2"/>
                <w:sz w:val="21"/>
                <w:szCs w:val="21"/>
                <w:highlight w:val="none"/>
              </w:rPr>
              <w:t>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2400CBA5">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20分</w:t>
            </w:r>
          </w:p>
        </w:tc>
      </w:tr>
      <w:bookmarkEnd w:id="822"/>
    </w:tbl>
    <w:p w14:paraId="179D7361">
      <w:pPr>
        <w:autoSpaceDE w:val="0"/>
        <w:autoSpaceDN w:val="0"/>
        <w:adjustRightInd w:val="0"/>
        <w:ind w:right="-26" w:firstLine="480"/>
        <w:jc w:val="center"/>
        <w:rPr>
          <w:rFonts w:hint="eastAsia" w:ascii="宋体" w:hAnsi="宋体" w:eastAsia="宋体" w:cs="宋体"/>
          <w:b/>
          <w:bCs/>
          <w:color w:val="auto"/>
          <w:kern w:val="0"/>
          <w:sz w:val="24"/>
          <w:szCs w:val="24"/>
          <w:highlight w:val="none"/>
        </w:rPr>
      </w:pPr>
    </w:p>
    <w:p w14:paraId="2AA050CE">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23"/>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096"/>
        <w:gridCol w:w="7412"/>
        <w:gridCol w:w="877"/>
      </w:tblGrid>
      <w:tr w14:paraId="2E45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7AED156">
            <w:pPr>
              <w:keepNext w:val="0"/>
              <w:keepLines w:val="0"/>
              <w:pageBreakBefore w:val="0"/>
              <w:widowControl w:val="0"/>
              <w:suppressLineNumbers w:val="0"/>
              <w:kinsoku/>
              <w:wordWrap/>
              <w:overflowPunct/>
              <w:topLinePunct w:val="0"/>
              <w:autoSpaceDE w:val="0"/>
              <w:autoSpaceDN w:val="0"/>
              <w:bidi w:val="0"/>
              <w:adjustRightInd w:val="0"/>
              <w:snapToGrid/>
              <w:spacing w:before="164" w:beforeLines="50" w:beforeAutospacing="0" w:after="0" w:afterAutospacing="0" w:line="360" w:lineRule="auto"/>
              <w:ind w:left="0" w:right="0"/>
              <w:jc w:val="center"/>
              <w:textAlignment w:val="auto"/>
              <w:rPr>
                <w:rFonts w:hint="eastAsia" w:ascii="宋体" w:hAnsi="宋体" w:eastAsia="宋体" w:cs="宋体"/>
                <w:b/>
                <w:color w:val="auto"/>
                <w:kern w:val="0"/>
                <w:szCs w:val="21"/>
                <w:highlight w:val="none"/>
              </w:rPr>
            </w:pPr>
            <w:bookmarkStart w:id="825"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122272FF">
            <w:pPr>
              <w:keepNext w:val="0"/>
              <w:keepLines w:val="0"/>
              <w:pageBreakBefore w:val="0"/>
              <w:widowControl w:val="0"/>
              <w:suppressLineNumbers w:val="0"/>
              <w:kinsoku/>
              <w:wordWrap/>
              <w:overflowPunct/>
              <w:topLinePunct w:val="0"/>
              <w:autoSpaceDE w:val="0"/>
              <w:autoSpaceDN w:val="0"/>
              <w:bidi w:val="0"/>
              <w:adjustRightInd w:val="0"/>
              <w:snapToGrid/>
              <w:spacing w:before="164" w:beforeLines="50" w:beforeAutospacing="0" w:after="0" w:afterAutospacing="0" w:line="360" w:lineRule="auto"/>
              <w:ind w:left="0" w:right="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69E06874">
            <w:pPr>
              <w:keepNext w:val="0"/>
              <w:keepLines w:val="0"/>
              <w:pageBreakBefore w:val="0"/>
              <w:widowControl w:val="0"/>
              <w:suppressLineNumbers w:val="0"/>
              <w:kinsoku/>
              <w:wordWrap/>
              <w:overflowPunct/>
              <w:topLinePunct w:val="0"/>
              <w:autoSpaceDE w:val="0"/>
              <w:autoSpaceDN w:val="0"/>
              <w:bidi w:val="0"/>
              <w:adjustRightInd w:val="0"/>
              <w:snapToGrid/>
              <w:spacing w:before="164" w:beforeLines="50" w:beforeAutospacing="0" w:after="0" w:afterAutospacing="0" w:line="360" w:lineRule="auto"/>
              <w:ind w:left="0" w:right="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2BD76DCD">
            <w:pPr>
              <w:keepNext w:val="0"/>
              <w:keepLines w:val="0"/>
              <w:pageBreakBefore w:val="0"/>
              <w:widowControl w:val="0"/>
              <w:suppressLineNumbers w:val="0"/>
              <w:kinsoku/>
              <w:wordWrap/>
              <w:overflowPunct/>
              <w:topLinePunct w:val="0"/>
              <w:autoSpaceDE w:val="0"/>
              <w:autoSpaceDN w:val="0"/>
              <w:bidi w:val="0"/>
              <w:adjustRightInd w:val="0"/>
              <w:snapToGrid/>
              <w:spacing w:before="164" w:beforeLines="50" w:beforeAutospacing="0" w:after="0" w:afterAutospacing="0" w:line="360" w:lineRule="auto"/>
              <w:ind w:left="0" w:right="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FA8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890EE6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6EC4B12C">
            <w:pPr>
              <w:keepNext w:val="0"/>
              <w:keepLines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用户需求的响应程度</w:t>
            </w:r>
          </w:p>
        </w:tc>
        <w:tc>
          <w:tcPr>
            <w:tcW w:w="3691" w:type="pct"/>
            <w:tcBorders>
              <w:top w:val="single" w:color="auto" w:sz="4" w:space="0"/>
              <w:left w:val="single" w:color="auto" w:sz="4" w:space="0"/>
              <w:bottom w:val="single" w:color="auto" w:sz="4" w:space="0"/>
              <w:right w:val="single" w:color="auto" w:sz="4" w:space="0"/>
            </w:tcBorders>
            <w:vAlign w:val="center"/>
          </w:tcPr>
          <w:p w14:paraId="60A695C1">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0FD359D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6分</w:t>
            </w:r>
          </w:p>
        </w:tc>
      </w:tr>
      <w:tr w14:paraId="6BEA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4C6E700">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bCs/>
                <w:color w:val="auto"/>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53527E22">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 w:val="21"/>
                <w:szCs w:val="21"/>
                <w:highlight w:val="none"/>
                <w:lang w:val="en-US" w:eastAsia="zh-CN"/>
              </w:rPr>
              <w:t>工作流程及政策了解</w:t>
            </w:r>
          </w:p>
        </w:tc>
        <w:tc>
          <w:tcPr>
            <w:tcW w:w="3691" w:type="pct"/>
            <w:tcBorders>
              <w:top w:val="single" w:color="auto" w:sz="4" w:space="0"/>
              <w:left w:val="single" w:color="auto" w:sz="4" w:space="0"/>
              <w:bottom w:val="single" w:color="auto" w:sz="4" w:space="0"/>
              <w:right w:val="single" w:color="auto" w:sz="4" w:space="0"/>
            </w:tcBorders>
            <w:vAlign w:val="center"/>
          </w:tcPr>
          <w:p w14:paraId="43C5EFBE">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横向比较各投标人造价咨询的工作流程，对造价咨询方面的政策、法规、知识和现行做法的理解程度等方面进行评审：</w:t>
            </w:r>
          </w:p>
          <w:p w14:paraId="5033BDB4">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优：</w:t>
            </w:r>
            <w:r>
              <w:rPr>
                <w:rFonts w:hint="eastAsia" w:ascii="宋体" w:hAnsi="宋体" w:eastAsia="宋体" w:cs="宋体"/>
                <w:bCs/>
                <w:color w:val="auto"/>
                <w:sz w:val="21"/>
                <w:szCs w:val="21"/>
                <w:highlight w:val="none"/>
              </w:rPr>
              <w:t>造价咨询工作流程科学合理、清晰明确，各个环节紧密衔接；每一个步骤都有详细的操作规范和质量控制措施，确保造价咨询结果的准确性和可靠性能够高效地完成项目任务，对造价咨询方面的政策、法规、知识和现行做法有深入的理解和准确的把握，能够熟练运用相关政策法规指导造价咨询工作，对行业动态和最新知识保持高度关注，并及时应用到实际项目中，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5E2ECAD4">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良：</w:t>
            </w:r>
            <w:r>
              <w:rPr>
                <w:rFonts w:hint="eastAsia" w:ascii="宋体" w:hAnsi="宋体" w:eastAsia="宋体" w:cs="宋体"/>
                <w:bCs/>
                <w:color w:val="auto"/>
                <w:sz w:val="21"/>
                <w:szCs w:val="21"/>
                <w:highlight w:val="none"/>
              </w:rPr>
              <w:t>造价咨询工作流程较为规范，基本能够满足造价咨询的要求，在主要环节上有一定的操作流程和质量把控；对政策法规等有较好的理解，能够在造价咨询工作中正确运用，得[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4F10A75D">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中：</w:t>
            </w:r>
            <w:r>
              <w:rPr>
                <w:rFonts w:hint="eastAsia" w:ascii="宋体" w:hAnsi="宋体" w:eastAsia="宋体" w:cs="宋体"/>
                <w:bCs/>
                <w:color w:val="auto"/>
                <w:sz w:val="21"/>
                <w:szCs w:val="21"/>
                <w:highlight w:val="none"/>
              </w:rPr>
              <w:t>造价咨询工作流程存在一定的合理性，但在部分环节上不够清晰或缺乏有效的质量控制手段，对政策法规等有一定的认识，但理解不够深入，得[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p>
          <w:p w14:paraId="3BB7E178">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color w:val="auto"/>
                <w:kern w:val="0"/>
                <w:szCs w:val="21"/>
                <w:highlight w:val="none"/>
              </w:rPr>
            </w:pPr>
            <w:r>
              <w:rPr>
                <w:rFonts w:hint="eastAsia" w:ascii="宋体" w:hAnsi="宋体" w:eastAsia="宋体" w:cs="宋体"/>
                <w:b/>
                <w:bCs w:val="0"/>
                <w:color w:val="auto"/>
                <w:sz w:val="21"/>
                <w:szCs w:val="21"/>
                <w:highlight w:val="none"/>
              </w:rPr>
              <w:t>差：</w:t>
            </w:r>
            <w:r>
              <w:rPr>
                <w:rFonts w:hint="eastAsia" w:ascii="宋体" w:hAnsi="宋体" w:eastAsia="宋体" w:cs="宋体"/>
                <w:bCs/>
                <w:color w:val="auto"/>
                <w:sz w:val="21"/>
                <w:szCs w:val="21"/>
                <w:highlight w:val="none"/>
              </w:rPr>
              <w:t>造价咨询工作流程混乱，缺乏系统性和规范性，对政策法规等缺乏了解，在造价咨询工作中不能正确运用，得[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-0分]。</w:t>
            </w:r>
          </w:p>
        </w:tc>
        <w:tc>
          <w:tcPr>
            <w:tcW w:w="437" w:type="pct"/>
            <w:tcBorders>
              <w:top w:val="single" w:color="auto" w:sz="4" w:space="0"/>
              <w:left w:val="single" w:color="auto" w:sz="4" w:space="0"/>
              <w:bottom w:val="single" w:color="auto" w:sz="4" w:space="0"/>
              <w:right w:val="single" w:color="auto" w:sz="4" w:space="0"/>
            </w:tcBorders>
            <w:vAlign w:val="center"/>
          </w:tcPr>
          <w:p w14:paraId="2D706A8C">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b/>
                <w:color w:val="auto"/>
                <w:kern w:val="0"/>
                <w:szCs w:val="21"/>
                <w:highlight w:val="none"/>
                <w:lang w:val="en-US" w:eastAsia="zh-CN"/>
              </w:rPr>
            </w:pPr>
            <w:r>
              <w:rPr>
                <w:rFonts w:hint="eastAsia" w:ascii="宋体" w:hAnsi="宋体" w:eastAsia="宋体" w:cs="宋体"/>
                <w:b w:val="0"/>
                <w:bCs/>
                <w:color w:val="auto"/>
                <w:sz w:val="21"/>
                <w:szCs w:val="21"/>
                <w:highlight w:val="none"/>
                <w:lang w:val="en-US" w:eastAsia="zh-CN"/>
              </w:rPr>
              <w:t>3分</w:t>
            </w:r>
          </w:p>
        </w:tc>
      </w:tr>
      <w:tr w14:paraId="090B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E324F78">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bCs/>
                <w:color w:val="auto"/>
                <w:sz w:val="21"/>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6017A10D">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进度保障</w:t>
            </w:r>
          </w:p>
        </w:tc>
        <w:tc>
          <w:tcPr>
            <w:tcW w:w="3691" w:type="pct"/>
            <w:tcBorders>
              <w:top w:val="single" w:color="auto" w:sz="4" w:space="0"/>
              <w:left w:val="single" w:color="auto" w:sz="4" w:space="0"/>
              <w:bottom w:val="single" w:color="auto" w:sz="4" w:space="0"/>
              <w:right w:val="single" w:color="auto" w:sz="4" w:space="0"/>
            </w:tcBorders>
            <w:vAlign w:val="center"/>
          </w:tcPr>
          <w:p w14:paraId="08F492B1">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横向比较各投标人在造价咨询委托业务实施过程中的进度保障措施方案进行评审：</w:t>
            </w:r>
          </w:p>
          <w:p w14:paraId="704A33CB">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优：制定了详细的项目进度计划，将整个造价咨询委托业务分解为多个具体的阶段和任务，并明确了每个任务的时间节点和责任人，对项目进度进行实时监控和调整，确保项目始终按照计划顺利推进，得[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089E25B6">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良：有较为清晰的项目进度规划，对各个阶段的任务和时间安排较为合理，对进度有一定的监控和调整能力，进度保障措施方案较为完善，得[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280C5D93">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中：项目进度计划不够详细，任务分解不够明确，可能会导致执行过程中出现混乱，缺乏有效的监控和调整手段，对进度的把控能力较弱，得[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p>
          <w:p w14:paraId="57E421EE">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差：没有明确的项目进度计划，没有任何有效的手段来监控和调整进度，得[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-0分]。</w:t>
            </w:r>
          </w:p>
        </w:tc>
        <w:tc>
          <w:tcPr>
            <w:tcW w:w="437" w:type="pct"/>
            <w:tcBorders>
              <w:top w:val="single" w:color="auto" w:sz="4" w:space="0"/>
              <w:left w:val="single" w:color="auto" w:sz="4" w:space="0"/>
              <w:bottom w:val="single" w:color="auto" w:sz="4" w:space="0"/>
              <w:right w:val="single" w:color="auto" w:sz="4" w:space="0"/>
            </w:tcBorders>
            <w:vAlign w:val="center"/>
          </w:tcPr>
          <w:p w14:paraId="3B40BB7B">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val="0"/>
                <w:bCs/>
                <w:color w:val="auto"/>
                <w:sz w:val="21"/>
                <w:szCs w:val="21"/>
                <w:highlight w:val="none"/>
                <w:lang w:val="en-US" w:eastAsia="zh-CN"/>
              </w:rPr>
              <w:t>3分</w:t>
            </w:r>
          </w:p>
        </w:tc>
      </w:tr>
      <w:tr w14:paraId="0E26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249A9B6">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bCs/>
                <w:color w:val="auto"/>
                <w:sz w:val="21"/>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67E0DA86">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lang w:val="en-US" w:eastAsia="zh-CN"/>
              </w:rPr>
              <w:t>质量保证措施</w:t>
            </w:r>
          </w:p>
        </w:tc>
        <w:tc>
          <w:tcPr>
            <w:tcW w:w="3691" w:type="pct"/>
            <w:tcBorders>
              <w:top w:val="single" w:color="auto" w:sz="4" w:space="0"/>
              <w:left w:val="single" w:color="auto" w:sz="4" w:space="0"/>
              <w:bottom w:val="single" w:color="auto" w:sz="4" w:space="0"/>
              <w:right w:val="single" w:color="auto" w:sz="4" w:space="0"/>
            </w:tcBorders>
            <w:vAlign w:val="center"/>
          </w:tcPr>
          <w:p w14:paraId="4808F3C6">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横向比较各投标人</w:t>
            </w:r>
            <w:r>
              <w:rPr>
                <w:rFonts w:hint="eastAsia" w:ascii="宋体" w:hAnsi="宋体" w:eastAsia="宋体" w:cs="宋体"/>
                <w:b/>
                <w:bCs w:val="0"/>
                <w:color w:val="auto"/>
                <w:sz w:val="21"/>
                <w:szCs w:val="21"/>
                <w:highlight w:val="none"/>
                <w:lang w:val="en-US" w:eastAsia="zh-CN"/>
              </w:rPr>
              <w:t>的相关质量保证措施包括但不限于</w:t>
            </w:r>
            <w:r>
              <w:rPr>
                <w:rFonts w:hint="eastAsia" w:ascii="宋体" w:hAnsi="宋体" w:eastAsia="宋体" w:cs="宋体"/>
                <w:b/>
                <w:bCs w:val="0"/>
                <w:color w:val="auto"/>
                <w:sz w:val="21"/>
                <w:szCs w:val="21"/>
                <w:highlight w:val="none"/>
              </w:rPr>
              <w:t>是否能够承诺保证有足够的人力、物力等资源按时按质按量完成委托的造价咨询配合任务进行评审</w:t>
            </w:r>
            <w:r>
              <w:rPr>
                <w:rFonts w:hint="eastAsia" w:ascii="宋体" w:hAnsi="宋体" w:eastAsia="宋体" w:cs="宋体"/>
                <w:b/>
                <w:bCs w:val="0"/>
                <w:color w:val="auto"/>
                <w:sz w:val="21"/>
                <w:szCs w:val="21"/>
                <w:highlight w:val="none"/>
                <w:lang w:eastAsia="zh-CN"/>
              </w:rPr>
              <w:t>：</w:t>
            </w:r>
          </w:p>
          <w:p w14:paraId="34970021">
            <w:pPr>
              <w:keepNext w:val="0"/>
              <w:keepLines w:val="0"/>
              <w:suppressLineNumbers w:val="0"/>
              <w:spacing w:before="0" w:beforeLines="0" w:beforeAutospacing="0" w:after="0" w:afterAutospacing="0" w:line="360" w:lineRule="auto"/>
              <w:ind w:left="0" w:right="0"/>
              <w:rPr>
                <w:rFonts w:hint="eastAsia" w:ascii="宋体" w:hAnsi="宋体" w:eastAsia="宋体" w:cs="宋体"/>
                <w:bCs/>
                <w:color w:val="auto"/>
                <w:szCs w:val="21"/>
                <w:highlight w:val="none"/>
                <w:lang w:eastAsia="zh-CN"/>
              </w:rPr>
            </w:pPr>
            <w:r>
              <w:rPr>
                <w:rFonts w:hint="eastAsia" w:ascii="宋体" w:hAnsi="宋体" w:eastAsia="宋体" w:cs="宋体"/>
                <w:b/>
                <w:bCs w:val="0"/>
                <w:color w:val="auto"/>
                <w:szCs w:val="21"/>
                <w:highlight w:val="none"/>
                <w:lang w:eastAsia="zh-CN"/>
              </w:rPr>
              <w:t>优：</w:t>
            </w:r>
            <w:r>
              <w:rPr>
                <w:rFonts w:hint="eastAsia" w:ascii="宋体" w:hAnsi="宋体" w:eastAsia="宋体" w:cs="宋体"/>
                <w:bCs/>
                <w:color w:val="auto"/>
                <w:szCs w:val="21"/>
                <w:highlight w:val="none"/>
                <w:lang w:eastAsia="zh-CN"/>
              </w:rPr>
              <w:t>有充足的人力、物力等资源投入到委托的造价咨询配合任务中，拥有一支专业素质高、经验丰富的造价咨询团队，人员配备齐全，能够满足不同类型项目的需求；同时，具备先进的技术设备和软件工具，为高质量完成任务提供有力保障，得[</w:t>
            </w:r>
            <w:r>
              <w:rPr>
                <w:rFonts w:hint="eastAsia" w:ascii="宋体" w:hAnsi="宋体" w:eastAsia="宋体" w:cs="宋体"/>
                <w:b w:val="0"/>
                <w:color w:val="auto"/>
                <w:szCs w:val="21"/>
                <w:highlight w:val="none"/>
                <w:lang w:val="en-US" w:eastAsia="zh-CN"/>
              </w:rPr>
              <w:t>2</w:t>
            </w: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1.5</w:t>
            </w:r>
            <w:r>
              <w:rPr>
                <w:rFonts w:hint="eastAsia" w:ascii="宋体" w:hAnsi="宋体" w:eastAsia="宋体" w:cs="宋体"/>
                <w:bCs/>
                <w:color w:val="auto"/>
                <w:szCs w:val="21"/>
                <w:highlight w:val="none"/>
                <w:lang w:eastAsia="zh-CN"/>
              </w:rPr>
              <w:t>分）。</w:t>
            </w:r>
          </w:p>
          <w:p w14:paraId="29B599DE">
            <w:pPr>
              <w:keepNext w:val="0"/>
              <w:keepLines w:val="0"/>
              <w:suppressLineNumbers w:val="0"/>
              <w:spacing w:before="0" w:beforeLines="0" w:beforeAutospacing="0" w:after="0" w:afterAutospacing="0" w:line="360" w:lineRule="auto"/>
              <w:ind w:left="0" w:right="0"/>
              <w:rPr>
                <w:rFonts w:hint="eastAsia" w:ascii="宋体" w:hAnsi="宋体" w:eastAsia="宋体" w:cs="宋体"/>
                <w:bCs/>
                <w:color w:val="auto"/>
                <w:szCs w:val="21"/>
                <w:highlight w:val="none"/>
                <w:lang w:eastAsia="zh-CN"/>
              </w:rPr>
            </w:pPr>
            <w:r>
              <w:rPr>
                <w:rFonts w:hint="eastAsia" w:ascii="宋体" w:hAnsi="宋体" w:eastAsia="宋体" w:cs="宋体"/>
                <w:b/>
                <w:bCs w:val="0"/>
                <w:color w:val="auto"/>
                <w:szCs w:val="21"/>
                <w:highlight w:val="none"/>
                <w:lang w:eastAsia="zh-CN"/>
              </w:rPr>
              <w:t>良：</w:t>
            </w:r>
            <w:r>
              <w:rPr>
                <w:rFonts w:hint="eastAsia" w:ascii="宋体" w:hAnsi="宋体" w:eastAsia="宋体" w:cs="宋体"/>
                <w:bCs/>
                <w:color w:val="auto"/>
                <w:szCs w:val="21"/>
                <w:highlight w:val="none"/>
                <w:lang w:eastAsia="zh-CN"/>
              </w:rPr>
              <w:t>有一定的人力、物力资源来完成造价咨询配合任务，团队成员具备较好的专业能力，技术设备和软件工具能够满足基本需求，得[</w:t>
            </w:r>
            <w:r>
              <w:rPr>
                <w:rFonts w:hint="eastAsia" w:ascii="宋体" w:hAnsi="宋体" w:eastAsia="宋体" w:cs="宋体"/>
                <w:b w:val="0"/>
                <w:color w:val="auto"/>
                <w:szCs w:val="21"/>
                <w:highlight w:val="none"/>
                <w:lang w:val="en-US" w:eastAsia="zh-CN"/>
              </w:rPr>
              <w:t>1.5</w:t>
            </w:r>
            <w:r>
              <w:rPr>
                <w:rFonts w:hint="eastAsia" w:ascii="宋体" w:hAnsi="宋体" w:eastAsia="宋体" w:cs="宋体"/>
                <w:b w:val="0"/>
                <w:color w:val="auto"/>
                <w:szCs w:val="21"/>
                <w:highlight w:val="none"/>
              </w:rPr>
              <w:t>-1</w:t>
            </w:r>
            <w:r>
              <w:rPr>
                <w:rFonts w:hint="eastAsia" w:ascii="宋体" w:hAnsi="宋体" w:eastAsia="宋体" w:cs="宋体"/>
                <w:bCs/>
                <w:color w:val="auto"/>
                <w:szCs w:val="21"/>
                <w:highlight w:val="none"/>
                <w:lang w:eastAsia="zh-CN"/>
              </w:rPr>
              <w:t>分）。</w:t>
            </w:r>
          </w:p>
          <w:p w14:paraId="504BA464">
            <w:pPr>
              <w:keepNext w:val="0"/>
              <w:keepLines w:val="0"/>
              <w:suppressLineNumbers w:val="0"/>
              <w:spacing w:before="0" w:beforeLines="0" w:beforeAutospacing="0" w:after="0" w:afterAutospacing="0" w:line="360" w:lineRule="auto"/>
              <w:ind w:left="0" w:right="0"/>
              <w:rPr>
                <w:rFonts w:hint="eastAsia" w:ascii="宋体" w:hAnsi="宋体" w:eastAsia="宋体" w:cs="宋体"/>
                <w:bCs/>
                <w:color w:val="auto"/>
                <w:szCs w:val="21"/>
                <w:highlight w:val="none"/>
                <w:lang w:eastAsia="zh-CN"/>
              </w:rPr>
            </w:pPr>
            <w:r>
              <w:rPr>
                <w:rFonts w:hint="eastAsia" w:ascii="宋体" w:hAnsi="宋体" w:eastAsia="宋体" w:cs="宋体"/>
                <w:b/>
                <w:bCs w:val="0"/>
                <w:color w:val="auto"/>
                <w:szCs w:val="21"/>
                <w:highlight w:val="none"/>
                <w:lang w:eastAsia="zh-CN"/>
              </w:rPr>
              <w:t>中：</w:t>
            </w:r>
            <w:r>
              <w:rPr>
                <w:rFonts w:hint="eastAsia" w:ascii="宋体" w:hAnsi="宋体" w:eastAsia="宋体" w:cs="宋体"/>
                <w:bCs/>
                <w:color w:val="auto"/>
                <w:szCs w:val="21"/>
                <w:highlight w:val="none"/>
                <w:lang w:eastAsia="zh-CN"/>
              </w:rPr>
              <w:t>人力、物力资源相对有限，可能在某些方面存在不足，团队的专业能力和经验参差不齐，技术设备和软件工具可能需要进一步更新和完善，得[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lang w:eastAsia="zh-CN"/>
              </w:rPr>
              <w:t>分）。</w:t>
            </w:r>
          </w:p>
          <w:p w14:paraId="46FA6487">
            <w:pPr>
              <w:keepNext w:val="0"/>
              <w:keepLines w:val="0"/>
              <w:suppressLineNumbers w:val="0"/>
              <w:spacing w:before="0" w:beforeLines="0" w:beforeAutospacing="0" w:after="0" w:afterAutospacing="0" w:line="360" w:lineRule="auto"/>
              <w:ind w:left="0" w:right="0"/>
              <w:rPr>
                <w:rFonts w:hint="eastAsia" w:ascii="宋体" w:hAnsi="宋体" w:eastAsia="宋体" w:cs="宋体"/>
                <w:color w:val="auto"/>
                <w:highlight w:val="none"/>
                <w:lang w:eastAsia="zh-CN"/>
              </w:rPr>
            </w:pPr>
            <w:r>
              <w:rPr>
                <w:rFonts w:hint="eastAsia" w:ascii="宋体" w:hAnsi="宋体" w:eastAsia="宋体" w:cs="宋体"/>
                <w:b/>
                <w:bCs w:val="0"/>
                <w:color w:val="auto"/>
                <w:szCs w:val="21"/>
                <w:highlight w:val="none"/>
                <w:lang w:eastAsia="zh-CN"/>
              </w:rPr>
              <w:t>差：</w:t>
            </w:r>
            <w:r>
              <w:rPr>
                <w:rFonts w:hint="eastAsia" w:ascii="宋体" w:hAnsi="宋体" w:eastAsia="宋体" w:cs="宋体"/>
                <w:bCs/>
                <w:color w:val="auto"/>
                <w:szCs w:val="21"/>
                <w:highlight w:val="none"/>
                <w:lang w:eastAsia="zh-CN"/>
              </w:rPr>
              <w:t>难以保证有足够的人力、物力资源完成任务，团队规模较小，专业能力不足，技术设备和软件工具落后，得[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lang w:eastAsia="zh-CN"/>
              </w:rPr>
              <w:t>-0分]。</w:t>
            </w:r>
          </w:p>
        </w:tc>
        <w:tc>
          <w:tcPr>
            <w:tcW w:w="437" w:type="pct"/>
            <w:tcBorders>
              <w:top w:val="single" w:color="auto" w:sz="4" w:space="0"/>
              <w:left w:val="single" w:color="auto" w:sz="4" w:space="0"/>
              <w:bottom w:val="single" w:color="auto" w:sz="4" w:space="0"/>
              <w:right w:val="single" w:color="auto" w:sz="4" w:space="0"/>
            </w:tcBorders>
            <w:vAlign w:val="center"/>
          </w:tcPr>
          <w:p w14:paraId="728DA967">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val="0"/>
                <w:bCs/>
                <w:color w:val="auto"/>
                <w:sz w:val="21"/>
                <w:szCs w:val="21"/>
                <w:highlight w:val="none"/>
                <w:lang w:val="en-US" w:eastAsia="zh-CN"/>
              </w:rPr>
              <w:t>2分</w:t>
            </w:r>
          </w:p>
        </w:tc>
      </w:tr>
      <w:tr w14:paraId="4ED1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8ACACDC">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bCs/>
                <w:color w:val="auto"/>
                <w:sz w:val="21"/>
                <w:szCs w:val="21"/>
                <w:highlight w:val="none"/>
                <w:lang w:val="en-US" w:eastAsia="zh-CN"/>
              </w:rPr>
              <w:t>5</w:t>
            </w:r>
          </w:p>
        </w:tc>
        <w:tc>
          <w:tcPr>
            <w:tcW w:w="546" w:type="pct"/>
            <w:tcBorders>
              <w:top w:val="single" w:color="auto" w:sz="4" w:space="0"/>
              <w:left w:val="single" w:color="auto" w:sz="4" w:space="0"/>
              <w:bottom w:val="single" w:color="auto" w:sz="4" w:space="0"/>
              <w:right w:val="single" w:color="auto" w:sz="4" w:space="0"/>
            </w:tcBorders>
            <w:vAlign w:val="center"/>
          </w:tcPr>
          <w:p w14:paraId="045A15F3">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质量跟踪及信息反馈机制</w:t>
            </w:r>
          </w:p>
        </w:tc>
        <w:tc>
          <w:tcPr>
            <w:tcW w:w="3691" w:type="pct"/>
            <w:tcBorders>
              <w:top w:val="single" w:color="auto" w:sz="4" w:space="0"/>
              <w:left w:val="single" w:color="auto" w:sz="4" w:space="0"/>
              <w:bottom w:val="single" w:color="auto" w:sz="4" w:space="0"/>
              <w:right w:val="single" w:color="auto" w:sz="4" w:space="0"/>
            </w:tcBorders>
            <w:vAlign w:val="center"/>
          </w:tcPr>
          <w:p w14:paraId="59CF3A0E">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横向比较各投标人质量跟踪与信息反馈机制是否完善，问题分析是否到位，实施措施与渠道是否齐全合理</w:t>
            </w:r>
            <w:r>
              <w:rPr>
                <w:rFonts w:hint="eastAsia" w:ascii="宋体" w:hAnsi="宋体" w:eastAsia="宋体" w:cs="宋体"/>
                <w:b/>
                <w:bCs w:val="0"/>
                <w:color w:val="auto"/>
                <w:sz w:val="21"/>
                <w:szCs w:val="21"/>
                <w:highlight w:val="none"/>
                <w:lang w:val="en-US" w:eastAsia="zh-CN"/>
              </w:rPr>
              <w:t>等方面</w:t>
            </w:r>
            <w:r>
              <w:rPr>
                <w:rFonts w:hint="eastAsia" w:ascii="宋体" w:hAnsi="宋体" w:eastAsia="宋体" w:cs="宋体"/>
                <w:b/>
                <w:bCs w:val="0"/>
                <w:color w:val="auto"/>
                <w:sz w:val="21"/>
                <w:szCs w:val="21"/>
                <w:highlight w:val="none"/>
              </w:rPr>
              <w:t>进行评审</w:t>
            </w:r>
            <w:r>
              <w:rPr>
                <w:rFonts w:hint="eastAsia" w:ascii="宋体" w:hAnsi="宋体" w:eastAsia="宋体" w:cs="宋体"/>
                <w:b/>
                <w:bCs w:val="0"/>
                <w:color w:val="auto"/>
                <w:sz w:val="21"/>
                <w:szCs w:val="21"/>
                <w:highlight w:val="none"/>
                <w:lang w:eastAsia="zh-CN"/>
              </w:rPr>
              <w:t>：</w:t>
            </w:r>
          </w:p>
          <w:p w14:paraId="6CEC0A2E">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优：</w:t>
            </w:r>
            <w:r>
              <w:rPr>
                <w:rFonts w:hint="eastAsia" w:ascii="宋体" w:hAnsi="宋体" w:eastAsia="宋体" w:cs="宋体"/>
                <w:bCs/>
                <w:color w:val="auto"/>
                <w:sz w:val="21"/>
                <w:szCs w:val="21"/>
                <w:highlight w:val="none"/>
              </w:rPr>
              <w:t>投标人具备完善的质量跟踪与信息反馈机制。建立了专门的质量跟踪团队，对项目实施全过程进行严格监控，能够及时发现并解决问题，对问题的分析深入到位。能够迅速准确地识别问题的本质和根源，运用专业知识和经验进行全面分析，提出具有针对性和可操作性的解决方案，实施措施与渠道丰富齐全且合理，得</w:t>
            </w: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2</w:t>
            </w: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1.5</w:t>
            </w:r>
            <w:r>
              <w:rPr>
                <w:rFonts w:hint="eastAsia" w:ascii="宋体" w:hAnsi="宋体" w:eastAsia="宋体" w:cs="宋体"/>
                <w:b w:val="0"/>
                <w:color w:val="auto"/>
                <w:szCs w:val="21"/>
                <w:highlight w:val="none"/>
              </w:rPr>
              <w:t>分)</w:t>
            </w:r>
            <w:r>
              <w:rPr>
                <w:rFonts w:hint="eastAsia" w:ascii="宋体" w:hAnsi="宋体" w:eastAsia="宋体" w:cs="宋体"/>
                <w:bCs/>
                <w:color w:val="auto"/>
                <w:sz w:val="21"/>
                <w:szCs w:val="21"/>
                <w:highlight w:val="none"/>
              </w:rPr>
              <w:t>。</w:t>
            </w:r>
          </w:p>
          <w:p w14:paraId="2AF1C1C5">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良：</w:t>
            </w:r>
            <w:r>
              <w:rPr>
                <w:rFonts w:hint="eastAsia" w:ascii="宋体" w:hAnsi="宋体" w:eastAsia="宋体" w:cs="宋体"/>
                <w:bCs/>
                <w:color w:val="auto"/>
                <w:sz w:val="21"/>
                <w:szCs w:val="21"/>
                <w:highlight w:val="none"/>
              </w:rPr>
              <w:t>质量跟踪与信息反馈机制较为完善。有明确的质量跟踪流程和责任人，能够对项目关键节点进行有效监控，对问题分析较为准确。能够在一定程度上识别问题的关键所在，进行较为合理的分析并提出解决方案，实施措施与渠道较为齐全合理，得</w:t>
            </w: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1.5</w:t>
            </w:r>
            <w:r>
              <w:rPr>
                <w:rFonts w:hint="eastAsia" w:ascii="宋体" w:hAnsi="宋体" w:eastAsia="宋体" w:cs="宋体"/>
                <w:b w:val="0"/>
                <w:color w:val="auto"/>
                <w:szCs w:val="21"/>
                <w:highlight w:val="none"/>
              </w:rPr>
              <w:t>-1分)</w:t>
            </w:r>
            <w:r>
              <w:rPr>
                <w:rFonts w:hint="eastAsia" w:ascii="宋体" w:hAnsi="宋体" w:eastAsia="宋体" w:cs="宋体"/>
                <w:bCs/>
                <w:color w:val="auto"/>
                <w:sz w:val="21"/>
                <w:szCs w:val="21"/>
                <w:highlight w:val="none"/>
              </w:rPr>
              <w:t>。</w:t>
            </w:r>
          </w:p>
          <w:p w14:paraId="4941A901">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中：</w:t>
            </w:r>
            <w:r>
              <w:rPr>
                <w:rFonts w:hint="eastAsia" w:ascii="宋体" w:hAnsi="宋体" w:eastAsia="宋体" w:cs="宋体"/>
                <w:bCs/>
                <w:color w:val="auto"/>
                <w:sz w:val="21"/>
                <w:szCs w:val="21"/>
                <w:highlight w:val="none"/>
              </w:rPr>
              <w:t>质量跟踪与信息反馈机制有一定基础，但存在一些不足。质量跟踪的力度和频率不够，可能会遗漏一些问题，对问题分析能力一般。能够发现问题，但在分析过程中不够深入，解决方案的针对性不强，实施措施与渠道有一定基础，但不够完善，得</w:t>
            </w:r>
            <w:r>
              <w:rPr>
                <w:rFonts w:hint="eastAsia" w:ascii="宋体" w:hAnsi="宋体" w:eastAsia="宋体" w:cs="宋体"/>
                <w:b w:val="0"/>
                <w:color w:val="auto"/>
                <w:szCs w:val="21"/>
                <w:highlight w:val="none"/>
              </w:rPr>
              <w:t>[1-0.5分）</w:t>
            </w:r>
            <w:r>
              <w:rPr>
                <w:rFonts w:hint="eastAsia" w:ascii="宋体" w:hAnsi="宋体" w:eastAsia="宋体" w:cs="宋体"/>
                <w:bCs/>
                <w:color w:val="auto"/>
                <w:sz w:val="21"/>
                <w:szCs w:val="21"/>
                <w:highlight w:val="none"/>
              </w:rPr>
              <w:t>。</w:t>
            </w:r>
          </w:p>
          <w:p w14:paraId="2154CA55">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both"/>
              <w:textAlignment w:val="auto"/>
              <w:rPr>
                <w:rFonts w:hint="eastAsia" w:ascii="宋体" w:hAnsi="宋体" w:eastAsia="宋体" w:cs="宋体"/>
                <w:color w:val="auto"/>
                <w:kern w:val="0"/>
                <w:szCs w:val="21"/>
                <w:highlight w:val="none"/>
              </w:rPr>
            </w:pPr>
            <w:r>
              <w:rPr>
                <w:rFonts w:hint="eastAsia" w:ascii="宋体" w:hAnsi="宋体" w:eastAsia="宋体" w:cs="宋体"/>
                <w:b/>
                <w:bCs w:val="0"/>
                <w:color w:val="auto"/>
                <w:sz w:val="21"/>
                <w:szCs w:val="21"/>
                <w:highlight w:val="none"/>
              </w:rPr>
              <w:t>差：</w:t>
            </w:r>
            <w:r>
              <w:rPr>
                <w:rFonts w:hint="eastAsia" w:ascii="宋体" w:hAnsi="宋体" w:eastAsia="宋体" w:cs="宋体"/>
                <w:bCs/>
                <w:color w:val="auto"/>
                <w:sz w:val="21"/>
                <w:szCs w:val="21"/>
                <w:highlight w:val="none"/>
              </w:rPr>
              <w:t>质量跟踪与信息反馈机制不完善。缺乏有效的质量跟踪手段，信息反馈渠道不畅通，对问题分析不到位。难以准确识别问题的本质，分析过程混乱，提出的解决方案不切实际，没有明确的实施措施和渠道，得</w:t>
            </w:r>
            <w:r>
              <w:rPr>
                <w:rFonts w:hint="eastAsia" w:ascii="宋体" w:hAnsi="宋体" w:eastAsia="宋体" w:cs="宋体"/>
                <w:b w:val="0"/>
                <w:color w:val="auto"/>
                <w:szCs w:val="21"/>
                <w:highlight w:val="none"/>
              </w:rPr>
              <w:t>[0.5-0分]</w:t>
            </w:r>
            <w:r>
              <w:rPr>
                <w:rFonts w:hint="eastAsia" w:ascii="宋体" w:hAnsi="宋体" w:eastAsia="宋体" w:cs="宋体"/>
                <w:bCs/>
                <w:color w:val="auto"/>
                <w:sz w:val="21"/>
                <w:szCs w:val="21"/>
                <w:highlight w:val="none"/>
              </w:rPr>
              <w:t>。</w:t>
            </w:r>
          </w:p>
        </w:tc>
        <w:tc>
          <w:tcPr>
            <w:tcW w:w="437" w:type="pct"/>
            <w:tcBorders>
              <w:top w:val="single" w:color="auto" w:sz="4" w:space="0"/>
              <w:left w:val="single" w:color="auto" w:sz="4" w:space="0"/>
              <w:bottom w:val="single" w:color="auto" w:sz="4" w:space="0"/>
              <w:right w:val="single" w:color="auto" w:sz="4" w:space="0"/>
            </w:tcBorders>
            <w:vAlign w:val="center"/>
          </w:tcPr>
          <w:p w14:paraId="5D7C8C13">
            <w:pPr>
              <w:keepNext w:val="0"/>
              <w:keepLines w:val="0"/>
              <w:pageBreakBefore w:val="0"/>
              <w:widowControl w:val="0"/>
              <w:suppressLineNumbers w:val="0"/>
              <w:kinsoku/>
              <w:wordWrap/>
              <w:overflowPunct/>
              <w:topLinePunct w:val="0"/>
              <w:bidi w:val="0"/>
              <w:adjustRightInd/>
              <w:snapToGrid/>
              <w:spacing w:before="0" w:beforeLines="0" w:beforeAutospacing="0" w:after="0" w:afterAutospacing="0" w:line="360" w:lineRule="auto"/>
              <w:ind w:left="0" w:right="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val="0"/>
                <w:bCs/>
                <w:color w:val="auto"/>
                <w:sz w:val="21"/>
                <w:szCs w:val="21"/>
                <w:highlight w:val="none"/>
                <w:lang w:val="en-US" w:eastAsia="zh-CN"/>
              </w:rPr>
              <w:t>2分</w:t>
            </w:r>
          </w:p>
        </w:tc>
      </w:tr>
      <w:tr w14:paraId="4EA9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67F88D4">
            <w:pPr>
              <w:keepNext w:val="0"/>
              <w:keepLines w:val="0"/>
              <w:pageBreakBefore w:val="0"/>
              <w:widowControl w:val="0"/>
              <w:suppressLineNumbers w:val="0"/>
              <w:kinsoku/>
              <w:wordWrap/>
              <w:overflowPunct/>
              <w:topLinePunct w:val="0"/>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lang w:val="en-US" w:eastAsia="zh-CN"/>
              </w:rPr>
              <w:t>6</w:t>
            </w:r>
          </w:p>
        </w:tc>
        <w:tc>
          <w:tcPr>
            <w:tcW w:w="546" w:type="pct"/>
            <w:tcBorders>
              <w:top w:val="single" w:color="auto" w:sz="4" w:space="0"/>
              <w:left w:val="single" w:color="auto" w:sz="4" w:space="0"/>
              <w:bottom w:val="single" w:color="auto" w:sz="4" w:space="0"/>
              <w:right w:val="single" w:color="auto" w:sz="4" w:space="0"/>
            </w:tcBorders>
            <w:vAlign w:val="center"/>
          </w:tcPr>
          <w:p w14:paraId="0CC76B7B">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拟投入人员</w:t>
            </w:r>
          </w:p>
        </w:tc>
        <w:tc>
          <w:tcPr>
            <w:tcW w:w="3691" w:type="pct"/>
            <w:tcBorders>
              <w:top w:val="single" w:color="auto" w:sz="4" w:space="0"/>
              <w:left w:val="single" w:color="auto" w:sz="4" w:space="0"/>
              <w:bottom w:val="single" w:color="auto" w:sz="4" w:space="0"/>
              <w:right w:val="single" w:color="auto" w:sz="4" w:space="0"/>
            </w:tcBorders>
            <w:vAlign w:val="center"/>
          </w:tcPr>
          <w:p w14:paraId="465AF4C3">
            <w:pPr>
              <w:keepNext w:val="0"/>
              <w:keepLines w:val="0"/>
              <w:pageBreakBefore w:val="0"/>
              <w:widowControl w:val="0"/>
              <w:suppressLineNumbers w:val="0"/>
              <w:kinsoku/>
              <w:wordWrap/>
              <w:overflowPunct/>
              <w:topLinePunct w:val="0"/>
              <w:bidi w:val="0"/>
              <w:adjustRightInd/>
              <w:snapToGrid/>
              <w:spacing w:before="164" w:beforeLines="5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1、投标人拟投入本项目的服务团队（技术负责人除外）</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具备</w:t>
            </w:r>
            <w:r>
              <w:rPr>
                <w:rFonts w:hint="eastAsia" w:ascii="宋体" w:hAnsi="宋体" w:eastAsia="宋体" w:cs="宋体"/>
                <w:b/>
                <w:bCs/>
                <w:color w:val="auto"/>
                <w:sz w:val="21"/>
                <w:szCs w:val="21"/>
                <w:highlight w:val="none"/>
                <w:lang w:val="en-US" w:eastAsia="zh-CN"/>
              </w:rPr>
              <w:t>二级或以上</w:t>
            </w:r>
            <w:r>
              <w:rPr>
                <w:rFonts w:hint="eastAsia" w:ascii="宋体" w:hAnsi="宋体" w:eastAsia="宋体" w:cs="宋体"/>
                <w:b/>
                <w:bCs/>
                <w:color w:val="auto"/>
                <w:sz w:val="21"/>
                <w:szCs w:val="21"/>
                <w:highlight w:val="none"/>
              </w:rPr>
              <w:t>造价</w:t>
            </w:r>
            <w:r>
              <w:rPr>
                <w:rFonts w:hint="eastAsia" w:ascii="宋体" w:hAnsi="宋体" w:eastAsia="宋体" w:cs="宋体"/>
                <w:b/>
                <w:bCs/>
                <w:color w:val="auto"/>
                <w:sz w:val="21"/>
                <w:szCs w:val="21"/>
                <w:highlight w:val="none"/>
                <w:lang w:val="en-US" w:eastAsia="zh-CN"/>
              </w:rPr>
              <w:t>工程</w:t>
            </w:r>
            <w:r>
              <w:rPr>
                <w:rFonts w:hint="eastAsia" w:ascii="宋体" w:hAnsi="宋体" w:eastAsia="宋体" w:cs="宋体"/>
                <w:b/>
                <w:bCs/>
                <w:color w:val="auto"/>
                <w:sz w:val="21"/>
                <w:szCs w:val="21"/>
                <w:highlight w:val="none"/>
              </w:rPr>
              <w:t>师</w:t>
            </w:r>
            <w:r>
              <w:rPr>
                <w:rFonts w:hint="eastAsia" w:ascii="宋体" w:hAnsi="宋体" w:eastAsia="宋体" w:cs="宋体"/>
                <w:b/>
                <w:bCs/>
                <w:color w:val="auto"/>
                <w:sz w:val="21"/>
                <w:szCs w:val="21"/>
                <w:highlight w:val="none"/>
                <w:lang w:val="en-US" w:eastAsia="zh-CN"/>
              </w:rPr>
              <w:t>注册</w:t>
            </w:r>
            <w:r>
              <w:rPr>
                <w:rFonts w:hint="eastAsia" w:ascii="宋体" w:hAnsi="宋体" w:eastAsia="宋体" w:cs="宋体"/>
                <w:b/>
                <w:bCs/>
                <w:color w:val="auto"/>
                <w:sz w:val="21"/>
                <w:szCs w:val="21"/>
                <w:highlight w:val="none"/>
              </w:rPr>
              <w:t>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人员在</w:t>
            </w:r>
            <w:r>
              <w:rPr>
                <w:rFonts w:hint="eastAsia" w:ascii="宋体" w:hAnsi="宋体" w:eastAsia="宋体" w:cs="宋体"/>
                <w:color w:val="auto"/>
                <w:sz w:val="21"/>
                <w:szCs w:val="21"/>
                <w:highlight w:val="none"/>
              </w:rPr>
              <w:t>不少于6人</w:t>
            </w:r>
            <w:r>
              <w:rPr>
                <w:rFonts w:hint="eastAsia" w:ascii="宋体" w:hAnsi="宋体" w:eastAsia="宋体" w:cs="宋体"/>
                <w:color w:val="auto"/>
                <w:sz w:val="21"/>
                <w:szCs w:val="21"/>
                <w:highlight w:val="none"/>
                <w:lang w:val="en-US" w:eastAsia="zh-CN"/>
              </w:rPr>
              <w:t>的基础上</w:t>
            </w:r>
            <w:r>
              <w:rPr>
                <w:rFonts w:hint="eastAsia" w:ascii="宋体" w:hAnsi="宋体" w:eastAsia="宋体" w:cs="宋体"/>
                <w:color w:val="auto"/>
                <w:sz w:val="21"/>
                <w:szCs w:val="21"/>
                <w:highlight w:val="none"/>
              </w:rPr>
              <w:t>，每增加1人具备</w:t>
            </w:r>
            <w:r>
              <w:rPr>
                <w:rFonts w:hint="eastAsia" w:ascii="宋体" w:hAnsi="宋体" w:eastAsia="宋体" w:cs="宋体"/>
                <w:b/>
                <w:bCs/>
                <w:color w:val="auto"/>
                <w:sz w:val="21"/>
                <w:szCs w:val="21"/>
                <w:highlight w:val="none"/>
                <w:lang w:val="en-US" w:eastAsia="zh-CN"/>
              </w:rPr>
              <w:t>二级或以上</w:t>
            </w:r>
            <w:r>
              <w:rPr>
                <w:rFonts w:hint="eastAsia" w:ascii="宋体" w:hAnsi="宋体" w:eastAsia="宋体" w:cs="宋体"/>
                <w:b/>
                <w:bCs/>
                <w:color w:val="auto"/>
                <w:sz w:val="21"/>
                <w:szCs w:val="21"/>
                <w:highlight w:val="none"/>
              </w:rPr>
              <w:t>造价</w:t>
            </w:r>
            <w:r>
              <w:rPr>
                <w:rFonts w:hint="eastAsia" w:ascii="宋体" w:hAnsi="宋体" w:eastAsia="宋体" w:cs="宋体"/>
                <w:b/>
                <w:bCs/>
                <w:color w:val="auto"/>
                <w:sz w:val="21"/>
                <w:szCs w:val="21"/>
                <w:highlight w:val="none"/>
                <w:lang w:val="en-US" w:eastAsia="zh-CN"/>
              </w:rPr>
              <w:t>工程</w:t>
            </w:r>
            <w:r>
              <w:rPr>
                <w:rFonts w:hint="eastAsia" w:ascii="宋体" w:hAnsi="宋体" w:eastAsia="宋体" w:cs="宋体"/>
                <w:b/>
                <w:bCs/>
                <w:color w:val="auto"/>
                <w:sz w:val="21"/>
                <w:szCs w:val="21"/>
                <w:highlight w:val="none"/>
              </w:rPr>
              <w:t>师</w:t>
            </w:r>
            <w:r>
              <w:rPr>
                <w:rFonts w:hint="eastAsia" w:ascii="宋体" w:hAnsi="宋体" w:eastAsia="宋体" w:cs="宋体"/>
                <w:b/>
                <w:bCs/>
                <w:color w:val="auto"/>
                <w:sz w:val="21"/>
                <w:szCs w:val="21"/>
                <w:highlight w:val="none"/>
                <w:lang w:val="en-US" w:eastAsia="zh-CN"/>
              </w:rPr>
              <w:t>注册</w:t>
            </w:r>
            <w:r>
              <w:rPr>
                <w:rFonts w:hint="eastAsia" w:ascii="宋体" w:hAnsi="宋体" w:eastAsia="宋体" w:cs="宋体"/>
                <w:b/>
                <w:bCs/>
                <w:color w:val="auto"/>
                <w:sz w:val="21"/>
                <w:szCs w:val="21"/>
                <w:highlight w:val="none"/>
              </w:rPr>
              <w:t>证书</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755D0F3">
            <w:pPr>
              <w:keepNext w:val="0"/>
              <w:keepLines w:val="0"/>
              <w:pageBreakBefore w:val="0"/>
              <w:widowControl w:val="0"/>
              <w:suppressLineNumbers w:val="0"/>
              <w:kinsoku/>
              <w:wordWrap/>
              <w:overflowPunct/>
              <w:topLinePunct w:val="0"/>
              <w:bidi w:val="0"/>
              <w:adjustRightInd/>
              <w:snapToGrid/>
              <w:spacing w:before="164" w:beforeLines="5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2、以上人员中每1人具有</w:t>
            </w:r>
            <w:r>
              <w:rPr>
                <w:rFonts w:hint="eastAsia" w:ascii="宋体" w:hAnsi="宋体" w:eastAsia="宋体" w:cs="宋体"/>
                <w:b/>
                <w:bCs/>
                <w:color w:val="auto"/>
                <w:sz w:val="21"/>
                <w:szCs w:val="21"/>
                <w:highlight w:val="none"/>
                <w:lang w:val="en-US" w:eastAsia="zh-CN"/>
              </w:rPr>
              <w:t>一级造价工程师注册证书</w:t>
            </w:r>
            <w:r>
              <w:rPr>
                <w:rFonts w:hint="eastAsia" w:ascii="宋体" w:hAnsi="宋体" w:eastAsia="宋体" w:cs="宋体"/>
                <w:snapToGrid w:val="0"/>
                <w:color w:val="auto"/>
                <w:spacing w:val="0"/>
                <w:kern w:val="0"/>
                <w:sz w:val="21"/>
                <w:szCs w:val="21"/>
                <w:highlight w:val="none"/>
                <w:lang w:val="en-US" w:eastAsia="zh-CN" w:bidi="ar-SA"/>
              </w:rPr>
              <w:t>的得1分，</w:t>
            </w:r>
            <w:r>
              <w:rPr>
                <w:rFonts w:hint="eastAsia" w:ascii="宋体" w:hAnsi="宋体" w:eastAsia="宋体" w:cs="宋体"/>
                <w:color w:val="auto"/>
                <w:sz w:val="21"/>
                <w:szCs w:val="21"/>
                <w:highlight w:val="none"/>
              </w:rPr>
              <w:t>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E90A13B">
            <w:pPr>
              <w:keepNext w:val="0"/>
              <w:keepLines w:val="0"/>
              <w:pageBreakBefore w:val="0"/>
              <w:widowControl w:val="0"/>
              <w:suppressLineNumbers w:val="0"/>
              <w:kinsoku/>
              <w:wordWrap/>
              <w:overflowPunct/>
              <w:topLinePunct w:val="0"/>
              <w:bidi w:val="0"/>
              <w:adjustRightInd/>
              <w:snapToGrid/>
              <w:spacing w:before="164" w:beforeLines="50" w:beforeAutospacing="0" w:after="0" w:afterAutospacing="0" w:line="360" w:lineRule="auto"/>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、以上人员同时具备工程</w:t>
            </w:r>
            <w:r>
              <w:rPr>
                <w:rFonts w:hint="eastAsia" w:ascii="宋体" w:hAnsi="宋体" w:eastAsia="宋体" w:cs="宋体"/>
                <w:color w:val="auto"/>
                <w:sz w:val="21"/>
                <w:szCs w:val="21"/>
                <w:highlight w:val="none"/>
                <w:lang w:val="en-US" w:eastAsia="zh-CN"/>
              </w:rPr>
              <w:t>类相关高</w:t>
            </w:r>
            <w:r>
              <w:rPr>
                <w:rFonts w:hint="eastAsia" w:ascii="宋体" w:hAnsi="宋体" w:eastAsia="宋体" w:cs="宋体"/>
                <w:color w:val="auto"/>
                <w:sz w:val="21"/>
                <w:szCs w:val="21"/>
                <w:highlight w:val="none"/>
                <w:lang w:val="zh-CN"/>
              </w:rPr>
              <w:t>级专业技术职称的，每人得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或同时</w:t>
            </w:r>
            <w:r>
              <w:rPr>
                <w:rFonts w:hint="eastAsia" w:ascii="宋体" w:hAnsi="宋体" w:eastAsia="宋体" w:cs="宋体"/>
                <w:color w:val="auto"/>
                <w:sz w:val="21"/>
                <w:szCs w:val="21"/>
                <w:highlight w:val="none"/>
                <w:lang w:val="zh-CN"/>
              </w:rPr>
              <w:t>具备工程</w:t>
            </w:r>
            <w:r>
              <w:rPr>
                <w:rFonts w:hint="eastAsia" w:ascii="宋体" w:hAnsi="宋体" w:eastAsia="宋体" w:cs="宋体"/>
                <w:color w:val="auto"/>
                <w:sz w:val="21"/>
                <w:szCs w:val="21"/>
                <w:highlight w:val="none"/>
                <w:lang w:val="en-US" w:eastAsia="zh-CN"/>
              </w:rPr>
              <w:t>类相关中</w:t>
            </w:r>
            <w:r>
              <w:rPr>
                <w:rFonts w:hint="eastAsia" w:ascii="宋体" w:hAnsi="宋体" w:eastAsia="宋体" w:cs="宋体"/>
                <w:color w:val="auto"/>
                <w:sz w:val="21"/>
                <w:szCs w:val="21"/>
                <w:highlight w:val="none"/>
                <w:lang w:val="zh-CN"/>
              </w:rPr>
              <w:t>级专业技术职称的，每人得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同一人同时具备中级、高级</w:t>
            </w:r>
            <w:r>
              <w:rPr>
                <w:rFonts w:hint="eastAsia" w:ascii="宋体" w:hAnsi="宋体" w:eastAsia="宋体" w:cs="宋体"/>
                <w:color w:val="auto"/>
                <w:sz w:val="21"/>
                <w:szCs w:val="21"/>
                <w:highlight w:val="none"/>
                <w:lang w:val="zh-CN"/>
              </w:rPr>
              <w:t>专业技术职称的，</w:t>
            </w:r>
            <w:r>
              <w:rPr>
                <w:rFonts w:hint="eastAsia" w:ascii="宋体" w:hAnsi="宋体" w:eastAsia="宋体" w:cs="宋体"/>
                <w:color w:val="auto"/>
                <w:sz w:val="21"/>
                <w:szCs w:val="21"/>
                <w:highlight w:val="none"/>
                <w:lang w:val="en-US" w:eastAsia="zh-CN"/>
              </w:rPr>
              <w:t>不重复计分，按具备高级专业技术职称计分，</w:t>
            </w:r>
            <w:r>
              <w:rPr>
                <w:rFonts w:hint="eastAsia" w:ascii="宋体" w:hAnsi="宋体" w:eastAsia="宋体" w:cs="宋体"/>
                <w:color w:val="auto"/>
                <w:sz w:val="21"/>
                <w:szCs w:val="21"/>
                <w:highlight w:val="none"/>
              </w:rPr>
              <w:t>本项满分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14:paraId="7EE11E49">
            <w:pPr>
              <w:keepNext w:val="0"/>
              <w:keepLines w:val="0"/>
              <w:pageBreakBefore w:val="0"/>
              <w:widowControl w:val="0"/>
              <w:suppressLineNumbers w:val="0"/>
              <w:kinsoku/>
              <w:wordWrap/>
              <w:overflowPunct/>
              <w:topLinePunct w:val="0"/>
              <w:bidi w:val="0"/>
              <w:snapToGrid/>
              <w:spacing w:before="164" w:beforeLines="50" w:beforeAutospacing="0" w:after="0" w:afterAutospacing="0" w:line="360" w:lineRule="auto"/>
              <w:ind w:left="0" w:right="0"/>
              <w:textAlignment w:val="auto"/>
              <w:rPr>
                <w:rFonts w:hint="eastAsia" w:ascii="宋体" w:hAnsi="宋体" w:eastAsia="宋体" w:cs="宋体"/>
                <w:color w:val="auto"/>
                <w:kern w:val="0"/>
                <w:szCs w:val="21"/>
                <w:highlight w:val="none"/>
                <w:lang w:eastAsia="zh-CN"/>
              </w:rPr>
            </w:pPr>
            <w:r>
              <w:rPr>
                <w:rFonts w:hint="eastAsia" w:ascii="宋体" w:hAnsi="宋体" w:eastAsia="宋体" w:cs="宋体"/>
                <w:b/>
                <w:bCs/>
                <w:color w:val="auto"/>
                <w:sz w:val="21"/>
                <w:szCs w:val="21"/>
                <w:highlight w:val="none"/>
              </w:rPr>
              <w:t>备注：以上人员须提供</w:t>
            </w:r>
            <w:r>
              <w:rPr>
                <w:rFonts w:hint="eastAsia" w:ascii="宋体" w:hAnsi="宋体" w:eastAsia="宋体" w:cs="宋体"/>
                <w:b/>
                <w:bCs/>
                <w:color w:val="auto"/>
                <w:sz w:val="21"/>
                <w:szCs w:val="21"/>
                <w:highlight w:val="none"/>
                <w:lang w:val="en-US" w:eastAsia="zh-CN"/>
              </w:rPr>
              <w:t>以下证明材料复印件加盖投标人公章：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1）人员</w:t>
            </w:r>
            <w:r>
              <w:rPr>
                <w:rFonts w:hint="eastAsia" w:ascii="宋体" w:hAnsi="宋体" w:eastAsia="宋体" w:cs="宋体"/>
                <w:b/>
                <w:bCs/>
                <w:color w:val="auto"/>
                <w:sz w:val="21"/>
                <w:szCs w:val="21"/>
                <w:highlight w:val="none"/>
              </w:rPr>
              <w:t>身份证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造价工程师职业资格证书；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造价工程师</w:t>
            </w:r>
            <w:r>
              <w:rPr>
                <w:rFonts w:hint="eastAsia" w:ascii="宋体" w:hAnsi="宋体" w:eastAsia="宋体" w:cs="宋体"/>
                <w:b/>
                <w:bCs/>
                <w:color w:val="auto"/>
                <w:sz w:val="21"/>
                <w:szCs w:val="21"/>
                <w:highlight w:val="none"/>
              </w:rPr>
              <w:t>注册证书（或在“全国建筑市场公共服务平台”上的执业注册信息截图）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人力资源和社会保障部门（或税务部门）出具</w:t>
            </w:r>
            <w:r>
              <w:rPr>
                <w:rFonts w:hint="eastAsia" w:ascii="宋体" w:hAnsi="宋体" w:eastAsia="宋体" w:cs="宋体"/>
                <w:b/>
                <w:bCs/>
                <w:color w:val="auto"/>
                <w:sz w:val="21"/>
                <w:szCs w:val="21"/>
                <w:highlight w:val="none"/>
              </w:rPr>
              <w:t>的202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Cs w:val="21"/>
                <w:highlight w:val="none"/>
              </w:rPr>
              <w:t>的投标人为其缴纳的社保证明</w:t>
            </w:r>
            <w:r>
              <w:rPr>
                <w:rFonts w:hint="eastAsia" w:ascii="宋体" w:hAnsi="宋体" w:eastAsia="宋体" w:cs="宋体"/>
                <w:b/>
                <w:bCs/>
                <w:color w:val="auto"/>
                <w:szCs w:val="21"/>
                <w:highlight w:val="none"/>
                <w:lang w:val="en-US" w:eastAsia="zh-CN"/>
              </w:rPr>
              <w:t>材料。</w:t>
            </w:r>
          </w:p>
        </w:tc>
        <w:tc>
          <w:tcPr>
            <w:tcW w:w="437" w:type="pct"/>
            <w:tcBorders>
              <w:top w:val="single" w:color="auto" w:sz="4" w:space="0"/>
              <w:left w:val="single" w:color="auto" w:sz="4" w:space="0"/>
              <w:bottom w:val="single" w:color="auto" w:sz="4" w:space="0"/>
              <w:right w:val="single" w:color="auto" w:sz="4" w:space="0"/>
            </w:tcBorders>
            <w:vAlign w:val="center"/>
          </w:tcPr>
          <w:p w14:paraId="0B6C853B">
            <w:pPr>
              <w:keepNext w:val="0"/>
              <w:keepLines w:val="0"/>
              <w:pageBreakBefore w:val="0"/>
              <w:widowControl w:val="0"/>
              <w:suppressLineNumbers w:val="0"/>
              <w:kinsoku/>
              <w:wordWrap/>
              <w:overflowPunct/>
              <w:topLinePunct w:val="0"/>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2分</w:t>
            </w:r>
          </w:p>
        </w:tc>
      </w:tr>
      <w:tr w14:paraId="35B2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358E173A">
            <w:pPr>
              <w:keepNext w:val="0"/>
              <w:keepLines w:val="0"/>
              <w:pageBreakBefore w:val="0"/>
              <w:widowControl w:val="0"/>
              <w:suppressLineNumbers w:val="0"/>
              <w:kinsoku/>
              <w:wordWrap/>
              <w:overflowPunct/>
              <w:topLinePunct w:val="0"/>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lang w:val="en-US" w:eastAsia="zh-CN"/>
              </w:rPr>
              <w:t>7</w:t>
            </w:r>
          </w:p>
        </w:tc>
        <w:tc>
          <w:tcPr>
            <w:tcW w:w="546" w:type="pct"/>
            <w:tcBorders>
              <w:top w:val="single" w:color="auto" w:sz="4" w:space="0"/>
              <w:left w:val="single" w:color="auto" w:sz="4" w:space="0"/>
              <w:right w:val="single" w:color="auto" w:sz="4" w:space="0"/>
            </w:tcBorders>
            <w:vAlign w:val="center"/>
          </w:tcPr>
          <w:p w14:paraId="67F8B8D5">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服务便利性</w:t>
            </w:r>
          </w:p>
        </w:tc>
        <w:tc>
          <w:tcPr>
            <w:tcW w:w="3691" w:type="pct"/>
            <w:tcBorders>
              <w:top w:val="single" w:color="auto" w:sz="4" w:space="0"/>
              <w:left w:val="single" w:color="auto" w:sz="4" w:space="0"/>
              <w:right w:val="single" w:color="auto" w:sz="4" w:space="0"/>
            </w:tcBorders>
            <w:vAlign w:val="center"/>
          </w:tcPr>
          <w:p w14:paraId="11EF2862">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根据投标人承诺的服务便利性响应时间进行评审：</w:t>
            </w:r>
          </w:p>
          <w:p w14:paraId="67B94CB0">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（1）投标人承诺本项目管理人员接到招标人通知后1小时(含)内响应，</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小时(含)内到达</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79F2026">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（2）投标人承诺本项目管理人员接到招标人通知后2小时(含)内响应，</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小时(含)内到达</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DC6EB87">
            <w:pPr>
              <w:keepNext w:val="0"/>
              <w:keepLines w:val="0"/>
              <w:pageBreakBefore w:val="0"/>
              <w:widowControl w:val="0"/>
              <w:suppressLineNumbers w:val="0"/>
              <w:kinsoku/>
              <w:wordWrap/>
              <w:overflowPunct/>
              <w:topLinePunct w:val="0"/>
              <w:bidi w:val="0"/>
              <w:adjustRightInd/>
              <w:snapToGrid/>
              <w:spacing w:before="164" w:beforeLines="50" w:beforeAutospacing="0" w:after="0" w:afterAutospacing="0" w:line="360" w:lineRule="auto"/>
              <w:ind w:left="0" w:right="0"/>
              <w:jc w:val="both"/>
              <w:textAlignment w:val="auto"/>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备注：根据《服务便利性响应时间承诺表》对应的内容进行评审。</w:t>
            </w:r>
          </w:p>
        </w:tc>
        <w:tc>
          <w:tcPr>
            <w:tcW w:w="437" w:type="pct"/>
            <w:tcBorders>
              <w:top w:val="single" w:color="auto" w:sz="4" w:space="0"/>
              <w:left w:val="single" w:color="auto" w:sz="4" w:space="0"/>
              <w:right w:val="single" w:color="auto" w:sz="4" w:space="0"/>
            </w:tcBorders>
            <w:vAlign w:val="center"/>
          </w:tcPr>
          <w:p w14:paraId="04BF96DF">
            <w:pPr>
              <w:keepNext w:val="0"/>
              <w:keepLines w:val="0"/>
              <w:pageBreakBefore w:val="0"/>
              <w:widowControl w:val="0"/>
              <w:suppressLineNumbers w:val="0"/>
              <w:kinsoku/>
              <w:wordWrap/>
              <w:overflowPunct/>
              <w:topLinePunct w:val="0"/>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分</w:t>
            </w:r>
          </w:p>
        </w:tc>
      </w:tr>
      <w:bookmarkEnd w:id="825"/>
    </w:tbl>
    <w:p w14:paraId="2717887C">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14C613F">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39B2CD2B">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1F019ABD">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75BE3A21">
      <w:pPr>
        <w:autoSpaceDE w:val="0"/>
        <w:autoSpaceDN w:val="0"/>
        <w:adjustRightInd w:val="0"/>
        <w:spacing w:line="360" w:lineRule="auto"/>
        <w:ind w:left="420" w:leftChars="200"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5458CBA1">
      <w:pPr>
        <w:tabs>
          <w:tab w:val="left" w:pos="1701"/>
        </w:tabs>
        <w:autoSpaceDE w:val="0"/>
        <w:autoSpaceDN w:val="0"/>
        <w:adjustRightInd w:val="0"/>
        <w:spacing w:line="360" w:lineRule="auto"/>
        <w:outlineLvl w:val="1"/>
        <w:rPr>
          <w:rFonts w:hint="eastAsia" w:ascii="宋体" w:hAnsi="宋体" w:eastAsia="宋体" w:cs="宋体"/>
          <w:b/>
          <w:color w:val="auto"/>
          <w:szCs w:val="24"/>
          <w:highlight w:val="none"/>
          <w:lang w:val="zh-CN"/>
        </w:rPr>
      </w:pPr>
      <w:bookmarkStart w:id="826" w:name="_Toc28412"/>
      <w:r>
        <w:rPr>
          <w:rFonts w:hint="eastAsia" w:ascii="宋体" w:hAnsi="宋体" w:eastAsia="宋体" w:cs="宋体"/>
          <w:b/>
          <w:color w:val="auto"/>
          <w:szCs w:val="24"/>
          <w:highlight w:val="none"/>
          <w:lang w:val="zh-CN"/>
        </w:rPr>
        <w:t>（3）价格评分方法</w:t>
      </w:r>
      <w:bookmarkEnd w:id="826"/>
    </w:p>
    <w:p w14:paraId="40AFCF4B">
      <w:pPr>
        <w:spacing w:line="360" w:lineRule="auto"/>
        <w:ind w:left="480" w:firstLine="211" w:firstLineChars="100"/>
        <w:outlineLvl w:val="2"/>
        <w:rPr>
          <w:rFonts w:hint="eastAsia" w:ascii="宋体" w:hAnsi="宋体" w:eastAsia="宋体" w:cs="宋体"/>
          <w:b/>
          <w:bCs/>
          <w:color w:val="auto"/>
          <w:kern w:val="0"/>
          <w:szCs w:val="21"/>
          <w:highlight w:val="none"/>
          <w:lang w:val="zh-CN"/>
        </w:rPr>
      </w:pPr>
      <w:bookmarkStart w:id="827" w:name="_Toc23031"/>
      <w:r>
        <w:rPr>
          <w:rFonts w:hint="eastAsia" w:ascii="宋体" w:hAnsi="宋体" w:eastAsia="宋体" w:cs="宋体"/>
          <w:b/>
          <w:bCs/>
          <w:color w:val="auto"/>
          <w:kern w:val="0"/>
          <w:szCs w:val="28"/>
          <w:highlight w:val="none"/>
          <w:lang w:val="zh-CN"/>
        </w:rPr>
        <w:t>1）经济文件的符合性审查</w:t>
      </w:r>
      <w:bookmarkEnd w:id="827"/>
      <w:r>
        <w:rPr>
          <w:rFonts w:hint="eastAsia" w:ascii="宋体" w:hAnsi="宋体" w:eastAsia="宋体" w:cs="宋体"/>
          <w:b/>
          <w:bCs/>
          <w:color w:val="auto"/>
          <w:kern w:val="0"/>
          <w:szCs w:val="28"/>
          <w:highlight w:val="none"/>
          <w:lang w:val="zh-CN"/>
        </w:rPr>
        <w:t xml:space="preserve"> </w:t>
      </w:r>
    </w:p>
    <w:p w14:paraId="0CBD53AF">
      <w:pPr>
        <w:spacing w:line="360" w:lineRule="auto"/>
        <w:ind w:left="420" w:leftChars="20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4254092">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CBD7FB0">
      <w:pPr>
        <w:spacing w:line="360" w:lineRule="auto"/>
        <w:ind w:left="420" w:leftChars="200"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4839F8A1">
      <w:pPr>
        <w:spacing w:line="360" w:lineRule="auto"/>
        <w:ind w:left="420" w:leftChars="200" w:firstLine="420" w:firstLineChars="200"/>
        <w:rPr>
          <w:rFonts w:hint="eastAsia" w:ascii="宋体" w:hAnsi="宋体" w:eastAsia="宋体" w:cs="宋体"/>
          <w:color w:val="auto"/>
          <w:kern w:val="0"/>
          <w:szCs w:val="21"/>
          <w:highlight w:val="none"/>
          <w:lang w:val="zh-CN"/>
        </w:rPr>
      </w:pPr>
    </w:p>
    <w:p w14:paraId="326A8433">
      <w:pPr>
        <w:spacing w:line="360" w:lineRule="auto"/>
        <w:ind w:left="480" w:firstLine="211" w:firstLineChars="100"/>
        <w:outlineLvl w:val="2"/>
        <w:rPr>
          <w:rFonts w:hint="eastAsia" w:ascii="宋体" w:hAnsi="宋体" w:eastAsia="宋体" w:cs="宋体"/>
          <w:b/>
          <w:bCs/>
          <w:color w:val="auto"/>
          <w:kern w:val="0"/>
          <w:szCs w:val="21"/>
          <w:highlight w:val="none"/>
        </w:rPr>
      </w:pPr>
      <w:bookmarkStart w:id="828" w:name="_Toc27471"/>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bookmarkEnd w:id="828"/>
    </w:p>
    <w:p w14:paraId="2E19BC3E">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41DAC638">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0327E952">
      <w:pPr>
        <w:autoSpaceDN w:val="0"/>
        <w:adjustRightInd w:val="0"/>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5C8DBCF2">
      <w:pPr>
        <w:tabs>
          <w:tab w:val="left" w:pos="585"/>
        </w:tabs>
        <w:autoSpaceDE w:val="0"/>
        <w:autoSpaceDN w:val="0"/>
        <w:adjustRightInd w:val="0"/>
        <w:spacing w:line="400" w:lineRule="exact"/>
        <w:outlineLvl w:val="1"/>
        <w:rPr>
          <w:rFonts w:hint="eastAsia" w:ascii="宋体" w:hAnsi="宋体" w:eastAsia="宋体" w:cs="宋体"/>
          <w:b/>
          <w:color w:val="auto"/>
          <w:szCs w:val="21"/>
          <w:highlight w:val="none"/>
          <w:lang w:val="zh-CN"/>
        </w:rPr>
      </w:pPr>
      <w:bookmarkStart w:id="829" w:name="_Toc11996"/>
      <w:r>
        <w:rPr>
          <w:rFonts w:hint="eastAsia" w:ascii="宋体" w:hAnsi="宋体" w:eastAsia="宋体" w:cs="宋体"/>
          <w:b/>
          <w:color w:val="auto"/>
          <w:szCs w:val="21"/>
          <w:highlight w:val="none"/>
          <w:lang w:val="zh-CN"/>
        </w:rPr>
        <w:t>（4）综合得分</w:t>
      </w:r>
      <w:bookmarkEnd w:id="829"/>
    </w:p>
    <w:p w14:paraId="1696D080">
      <w:pPr>
        <w:spacing w:line="400" w:lineRule="exact"/>
        <w:ind w:firstLine="848" w:firstLineChars="404"/>
        <w:rPr>
          <w:rFonts w:hint="eastAsia" w:ascii="宋体" w:hAnsi="宋体" w:eastAsia="宋体" w:cs="宋体"/>
          <w:color w:val="auto"/>
          <w:kern w:val="0"/>
          <w:szCs w:val="28"/>
          <w:highlight w:val="none"/>
          <w:lang w:val="zh-CN"/>
        </w:rPr>
      </w:pPr>
      <w:bookmarkStart w:id="830" w:name="_Toc31624_WPSOffice_Level2"/>
      <w:r>
        <w:rPr>
          <w:rFonts w:hint="eastAsia" w:ascii="宋体" w:hAnsi="宋体" w:eastAsia="宋体" w:cs="宋体"/>
          <w:color w:val="auto"/>
          <w:kern w:val="0"/>
          <w:szCs w:val="28"/>
          <w:highlight w:val="none"/>
          <w:lang w:val="zh-CN"/>
        </w:rPr>
        <w:t>评标总得分=F1＋F2＋……+Fn</w:t>
      </w:r>
      <w:bookmarkEnd w:id="830"/>
    </w:p>
    <w:p w14:paraId="44E48AED">
      <w:pPr>
        <w:widowControl/>
        <w:autoSpaceDE w:val="0"/>
        <w:autoSpaceDN w:val="0"/>
        <w:adjustRightInd w:val="0"/>
        <w:spacing w:line="400" w:lineRule="exact"/>
        <w:ind w:firstLine="840" w:firstLineChars="400"/>
        <w:jc w:val="left"/>
        <w:rPr>
          <w:rFonts w:hint="eastAsia" w:ascii="宋体" w:hAnsi="宋体" w:eastAsia="宋体" w:cs="宋体"/>
          <w:color w:val="auto"/>
          <w:kern w:val="0"/>
          <w:szCs w:val="21"/>
          <w:highlight w:val="none"/>
        </w:rPr>
      </w:pPr>
      <w:bookmarkStart w:id="831" w:name="_Toc13236_WPSOffice_Level2"/>
      <w:r>
        <w:rPr>
          <w:rFonts w:hint="eastAsia" w:ascii="宋体" w:hAnsi="宋体" w:eastAsia="宋体" w:cs="宋体"/>
          <w:color w:val="auto"/>
          <w:kern w:val="0"/>
          <w:szCs w:val="21"/>
          <w:highlight w:val="none"/>
        </w:rPr>
        <w:t>F1、F2、……Fn分别为各项评分因素的得分</w:t>
      </w:r>
      <w:bookmarkEnd w:id="831"/>
      <w:r>
        <w:rPr>
          <w:rFonts w:hint="eastAsia" w:ascii="宋体" w:hAnsi="宋体" w:eastAsia="宋体" w:cs="宋体"/>
          <w:color w:val="auto"/>
          <w:kern w:val="0"/>
          <w:szCs w:val="21"/>
          <w:highlight w:val="none"/>
        </w:rPr>
        <w:t>。</w:t>
      </w:r>
    </w:p>
    <w:p w14:paraId="6B79C902">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rPr>
      </w:pPr>
    </w:p>
    <w:p w14:paraId="48AFDB12">
      <w:pPr>
        <w:autoSpaceDE w:val="0"/>
        <w:autoSpaceDN w:val="0"/>
        <w:adjustRightInd w:val="0"/>
        <w:spacing w:line="360" w:lineRule="auto"/>
        <w:jc w:val="center"/>
        <w:outlineLvl w:val="2"/>
        <w:rPr>
          <w:rFonts w:hint="eastAsia" w:ascii="宋体" w:hAnsi="宋体" w:eastAsia="宋体" w:cs="宋体"/>
          <w:b/>
          <w:bCs/>
          <w:color w:val="auto"/>
          <w:sz w:val="28"/>
          <w:szCs w:val="28"/>
          <w:highlight w:val="none"/>
        </w:rPr>
      </w:pPr>
      <w:bookmarkStart w:id="832" w:name="_Toc518_WPSOffice_Level1"/>
      <w:bookmarkStart w:id="833" w:name="_Toc29221"/>
      <w:r>
        <w:rPr>
          <w:rFonts w:hint="eastAsia" w:ascii="宋体" w:hAnsi="宋体" w:eastAsia="宋体" w:cs="宋体"/>
          <w:b/>
          <w:bCs/>
          <w:color w:val="auto"/>
          <w:sz w:val="28"/>
          <w:szCs w:val="28"/>
          <w:highlight w:val="none"/>
          <w:lang w:val="zh-CN"/>
        </w:rPr>
        <w:t>五、推荐中标人</w:t>
      </w:r>
      <w:bookmarkEnd w:id="832"/>
      <w:bookmarkEnd w:id="833"/>
    </w:p>
    <w:p w14:paraId="77D75D31">
      <w:pPr>
        <w:autoSpaceDE w:val="0"/>
        <w:autoSpaceDN w:val="0"/>
        <w:adjustRightInd w:val="0"/>
        <w:spacing w:line="360" w:lineRule="auto"/>
        <w:ind w:left="420" w:hanging="420" w:hanging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01A6126F">
      <w:pPr>
        <w:autoSpaceDE w:val="0"/>
        <w:autoSpaceDN w:val="0"/>
        <w:adjustRightInd w:val="0"/>
        <w:spacing w:line="360" w:lineRule="auto"/>
        <w:ind w:left="420" w:leftChars="200" w:firstLine="420" w:firstLineChars="200"/>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59D99AE">
      <w:pPr>
        <w:widowControl/>
        <w:spacing w:line="360" w:lineRule="auto"/>
        <w:jc w:val="left"/>
        <w:rPr>
          <w:rFonts w:hint="eastAsia" w:ascii="宋体" w:hAnsi="宋体" w:eastAsia="宋体" w:cs="宋体"/>
          <w:color w:val="auto"/>
          <w:kern w:val="0"/>
          <w:szCs w:val="21"/>
          <w:highlight w:val="none"/>
        </w:rPr>
      </w:pPr>
    </w:p>
    <w:p w14:paraId="0EF8CB00">
      <w:pPr>
        <w:autoSpaceDE w:val="0"/>
        <w:autoSpaceDN w:val="0"/>
        <w:adjustRightInd w:val="0"/>
        <w:spacing w:line="360" w:lineRule="auto"/>
        <w:ind w:left="185" w:leftChars="88" w:firstLine="3443" w:firstLineChars="1225"/>
        <w:outlineLvl w:val="2"/>
        <w:rPr>
          <w:rFonts w:hint="eastAsia" w:ascii="宋体" w:hAnsi="宋体" w:eastAsia="宋体" w:cs="宋体"/>
          <w:b/>
          <w:bCs/>
          <w:color w:val="auto"/>
          <w:sz w:val="28"/>
          <w:szCs w:val="28"/>
          <w:highlight w:val="none"/>
          <w:lang w:val="zh-CN"/>
        </w:rPr>
      </w:pPr>
      <w:bookmarkStart w:id="834" w:name="_Toc24683"/>
      <w:bookmarkStart w:id="835" w:name="_Toc22724_WPSOffice_Level1"/>
      <w:r>
        <w:rPr>
          <w:rFonts w:hint="eastAsia" w:ascii="宋体" w:hAnsi="宋体" w:eastAsia="宋体" w:cs="宋体"/>
          <w:b/>
          <w:bCs/>
          <w:color w:val="auto"/>
          <w:sz w:val="28"/>
          <w:szCs w:val="28"/>
          <w:highlight w:val="none"/>
          <w:lang w:val="zh-CN"/>
        </w:rPr>
        <w:t>六、编写评标报告</w:t>
      </w:r>
      <w:bookmarkEnd w:id="834"/>
      <w:bookmarkEnd w:id="835"/>
    </w:p>
    <w:p w14:paraId="1232055D">
      <w:pPr>
        <w:autoSpaceDE w:val="0"/>
        <w:autoSpaceDN w:val="0"/>
        <w:adjustRightInd w:val="0"/>
        <w:spacing w:line="360" w:lineRule="auto"/>
        <w:ind w:left="420" w:hanging="420" w:hangingChars="200"/>
        <w:jc w:val="left"/>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215055BF">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7CA3B3E1">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1051CD2C">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65E9140F">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1F458F39">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05BAC22">
      <w:pPr>
        <w:autoSpaceDE w:val="0"/>
        <w:autoSpaceDN w:val="0"/>
        <w:adjustRightInd w:val="0"/>
        <w:spacing w:line="360" w:lineRule="auto"/>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1FE5548A">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69697A0E">
      <w:pPr>
        <w:autoSpaceDE w:val="0"/>
        <w:autoSpaceDN w:val="0"/>
        <w:adjustRightInd w:val="0"/>
        <w:spacing w:line="360" w:lineRule="auto"/>
        <w:jc w:val="center"/>
        <w:outlineLvl w:val="2"/>
        <w:rPr>
          <w:rFonts w:hint="eastAsia" w:ascii="宋体" w:hAnsi="宋体" w:eastAsia="宋体" w:cs="宋体"/>
          <w:b/>
          <w:bCs/>
          <w:color w:val="auto"/>
          <w:sz w:val="30"/>
          <w:szCs w:val="30"/>
          <w:highlight w:val="none"/>
          <w:lang w:val="zh-CN"/>
        </w:rPr>
      </w:pPr>
      <w:bookmarkStart w:id="836" w:name="_Toc23773_WPSOffice_Level1"/>
      <w:bookmarkStart w:id="837" w:name="_Toc1896"/>
      <w:r>
        <w:rPr>
          <w:rFonts w:hint="eastAsia" w:ascii="宋体" w:hAnsi="宋体" w:eastAsia="宋体" w:cs="宋体"/>
          <w:b/>
          <w:bCs/>
          <w:color w:val="auto"/>
          <w:sz w:val="28"/>
          <w:szCs w:val="28"/>
          <w:highlight w:val="none"/>
          <w:lang w:val="zh-CN"/>
        </w:rPr>
        <w:t>七、注意事项</w:t>
      </w:r>
      <w:bookmarkEnd w:id="836"/>
      <w:bookmarkEnd w:id="837"/>
    </w:p>
    <w:p w14:paraId="6F429133">
      <w:pPr>
        <w:autoSpaceDE w:val="0"/>
        <w:autoSpaceDN w:val="0"/>
        <w:adjustRightInd w:val="0"/>
        <w:spacing w:line="360" w:lineRule="auto"/>
        <w:ind w:left="420" w:hanging="420" w:hanging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14:paraId="6365854B">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A10D486">
      <w:pPr>
        <w:autoSpaceDE w:val="0"/>
        <w:autoSpaceDN w:val="0"/>
        <w:adjustRightInd w:val="0"/>
        <w:spacing w:line="360" w:lineRule="auto"/>
        <w:ind w:left="436" w:leftChars="-59" w:hanging="560" w:hangingChars="267"/>
        <w:outlineLvl w:val="1"/>
        <w:rPr>
          <w:rFonts w:hint="eastAsia" w:ascii="宋体" w:hAnsi="宋体" w:eastAsia="宋体" w:cs="宋体"/>
          <w:color w:val="auto"/>
          <w:szCs w:val="24"/>
          <w:highlight w:val="none"/>
          <w:lang w:val="zh-CN"/>
        </w:rPr>
      </w:pPr>
      <w:bookmarkStart w:id="838" w:name="_Toc11896"/>
      <w:r>
        <w:rPr>
          <w:rFonts w:hint="eastAsia" w:ascii="宋体" w:hAnsi="宋体" w:eastAsia="宋体" w:cs="宋体"/>
          <w:color w:val="auto"/>
          <w:szCs w:val="24"/>
          <w:highlight w:val="none"/>
          <w:lang w:val="zh-CN"/>
        </w:rPr>
        <w:t>（2）评审人员及工作人员不得在公共场合谈论有关评审内容；</w:t>
      </w:r>
      <w:bookmarkEnd w:id="838"/>
    </w:p>
    <w:p w14:paraId="5582BD53">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88DEACD">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66DD019">
      <w:pPr>
        <w:widowControl/>
        <w:jc w:val="left"/>
        <w:outlineLvl w:val="1"/>
        <w:rPr>
          <w:rFonts w:hint="eastAsia" w:ascii="宋体" w:hAnsi="宋体" w:eastAsia="宋体" w:cs="宋体"/>
          <w:b/>
          <w:bCs/>
          <w:color w:val="auto"/>
          <w:kern w:val="0"/>
          <w:szCs w:val="21"/>
          <w:highlight w:val="none"/>
        </w:rPr>
      </w:pPr>
      <w:bookmarkStart w:id="839" w:name="_Toc20707"/>
      <w:r>
        <w:rPr>
          <w:rFonts w:hint="eastAsia" w:ascii="宋体" w:hAnsi="宋体" w:eastAsia="宋体" w:cs="宋体"/>
          <w:color w:val="auto"/>
          <w:szCs w:val="24"/>
          <w:highlight w:val="none"/>
          <w:lang w:val="zh-CN"/>
        </w:rPr>
        <w:t>（5）任何评审人员和工作人员不得对外公布评审的一切内容。</w:t>
      </w:r>
      <w:bookmarkEnd w:id="839"/>
    </w:p>
    <w:bookmarkEnd w:id="769"/>
    <w:bookmarkEnd w:id="779"/>
    <w:bookmarkEnd w:id="780"/>
    <w:bookmarkEnd w:id="781"/>
    <w:p w14:paraId="1E8F3279">
      <w:pPr>
        <w:widowControl/>
        <w:jc w:val="left"/>
        <w:rPr>
          <w:rFonts w:hint="eastAsia" w:ascii="宋体" w:hAnsi="宋体" w:eastAsia="宋体" w:cs="宋体"/>
          <w:color w:val="auto"/>
          <w:szCs w:val="24"/>
          <w:highlight w:val="none"/>
          <w:lang w:val="zh-CN"/>
        </w:rPr>
      </w:pPr>
    </w:p>
    <w:sectPr>
      <w:pgSz w:w="11906" w:h="16838"/>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F949">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9D7B">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B0AD">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D86C">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87A2">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0A1AE024">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DlmZjc5NjhlNzcxODhhNDYyMDVhNmE1MTU0Nzg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C4A6D"/>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87A8B"/>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6431AB"/>
    <w:rsid w:val="058F7720"/>
    <w:rsid w:val="066C37F1"/>
    <w:rsid w:val="06A75D00"/>
    <w:rsid w:val="06B64A6C"/>
    <w:rsid w:val="079E3A59"/>
    <w:rsid w:val="09166BAE"/>
    <w:rsid w:val="09191BB7"/>
    <w:rsid w:val="0A0242B3"/>
    <w:rsid w:val="0B1306DF"/>
    <w:rsid w:val="0BEF4CA9"/>
    <w:rsid w:val="0D0E144D"/>
    <w:rsid w:val="0DCB6F7B"/>
    <w:rsid w:val="0F241091"/>
    <w:rsid w:val="1078055F"/>
    <w:rsid w:val="10923E54"/>
    <w:rsid w:val="10BC03C7"/>
    <w:rsid w:val="11CF5B29"/>
    <w:rsid w:val="130F4A87"/>
    <w:rsid w:val="14237C67"/>
    <w:rsid w:val="14264FE0"/>
    <w:rsid w:val="1484591E"/>
    <w:rsid w:val="14A713CF"/>
    <w:rsid w:val="15A13C38"/>
    <w:rsid w:val="15AB15E2"/>
    <w:rsid w:val="16B60189"/>
    <w:rsid w:val="16ED135D"/>
    <w:rsid w:val="182745FA"/>
    <w:rsid w:val="19D4285D"/>
    <w:rsid w:val="1B0940FF"/>
    <w:rsid w:val="1C2A395B"/>
    <w:rsid w:val="1E4746A4"/>
    <w:rsid w:val="1E7E6936"/>
    <w:rsid w:val="207A1985"/>
    <w:rsid w:val="212C5B16"/>
    <w:rsid w:val="22C62CF4"/>
    <w:rsid w:val="22D64075"/>
    <w:rsid w:val="23A06120"/>
    <w:rsid w:val="26CC7C68"/>
    <w:rsid w:val="286E02B3"/>
    <w:rsid w:val="28A569C3"/>
    <w:rsid w:val="28AC24C6"/>
    <w:rsid w:val="28CD7B64"/>
    <w:rsid w:val="28DA73F5"/>
    <w:rsid w:val="29AE6B2F"/>
    <w:rsid w:val="2A9E4307"/>
    <w:rsid w:val="2CFC2BFE"/>
    <w:rsid w:val="2D4C5285"/>
    <w:rsid w:val="314D028A"/>
    <w:rsid w:val="31A33CBC"/>
    <w:rsid w:val="321C19C8"/>
    <w:rsid w:val="355530AA"/>
    <w:rsid w:val="364631D7"/>
    <w:rsid w:val="368928C2"/>
    <w:rsid w:val="37850378"/>
    <w:rsid w:val="380C6925"/>
    <w:rsid w:val="38F00B77"/>
    <w:rsid w:val="396F617D"/>
    <w:rsid w:val="3A050D22"/>
    <w:rsid w:val="3B1F29B6"/>
    <w:rsid w:val="3D240C04"/>
    <w:rsid w:val="3D9077EA"/>
    <w:rsid w:val="3F5B255F"/>
    <w:rsid w:val="40167D4F"/>
    <w:rsid w:val="40DC5A18"/>
    <w:rsid w:val="40FA14BE"/>
    <w:rsid w:val="43B50E83"/>
    <w:rsid w:val="45392515"/>
    <w:rsid w:val="47A94B39"/>
    <w:rsid w:val="482C6361"/>
    <w:rsid w:val="48D24046"/>
    <w:rsid w:val="49A11F60"/>
    <w:rsid w:val="4B3C56EA"/>
    <w:rsid w:val="4BC8467F"/>
    <w:rsid w:val="4CFE53E3"/>
    <w:rsid w:val="4F0A4599"/>
    <w:rsid w:val="4F9662AF"/>
    <w:rsid w:val="4FE63648"/>
    <w:rsid w:val="517D7C2E"/>
    <w:rsid w:val="5428129F"/>
    <w:rsid w:val="54F06565"/>
    <w:rsid w:val="56B37004"/>
    <w:rsid w:val="58BC4314"/>
    <w:rsid w:val="59633BAD"/>
    <w:rsid w:val="59C363FA"/>
    <w:rsid w:val="59FB128F"/>
    <w:rsid w:val="5BE12FA3"/>
    <w:rsid w:val="5C4D6613"/>
    <w:rsid w:val="5D8866EC"/>
    <w:rsid w:val="5EBF421E"/>
    <w:rsid w:val="5F74409B"/>
    <w:rsid w:val="62B13874"/>
    <w:rsid w:val="63672753"/>
    <w:rsid w:val="63BD3EBA"/>
    <w:rsid w:val="63E87188"/>
    <w:rsid w:val="65E62E7A"/>
    <w:rsid w:val="66EC7F6C"/>
    <w:rsid w:val="67BB5990"/>
    <w:rsid w:val="694766FF"/>
    <w:rsid w:val="69F452BC"/>
    <w:rsid w:val="6A2E37BA"/>
    <w:rsid w:val="6AAD178D"/>
    <w:rsid w:val="6AB73874"/>
    <w:rsid w:val="6ADE1D57"/>
    <w:rsid w:val="6CC649E7"/>
    <w:rsid w:val="6DDA5CDD"/>
    <w:rsid w:val="6F5F71DE"/>
    <w:rsid w:val="6F8306AD"/>
    <w:rsid w:val="6FC4095F"/>
    <w:rsid w:val="73A66718"/>
    <w:rsid w:val="748C6A89"/>
    <w:rsid w:val="751D3132"/>
    <w:rsid w:val="75840CDB"/>
    <w:rsid w:val="77281627"/>
    <w:rsid w:val="778A5A8B"/>
    <w:rsid w:val="78CA3681"/>
    <w:rsid w:val="790D22C6"/>
    <w:rsid w:val="7D630A43"/>
    <w:rsid w:val="7D6457E7"/>
    <w:rsid w:val="7EAC2BEB"/>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2">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unhideWhenUsed/>
    <w:qFormat/>
    <w:uiPriority w:val="99"/>
    <w:pPr>
      <w:keepNext w:val="0"/>
      <w:keepLines w:val="0"/>
      <w:widowControl w:val="0"/>
      <w:suppressLineNumbers w:val="0"/>
      <w:spacing w:before="0" w:beforeAutospacing="0" w:after="0" w:afterAutospacing="0"/>
      <w:ind w:left="0" w:right="0"/>
      <w:jc w:val="left"/>
    </w:pPr>
    <w:rPr>
      <w:rFonts w:hint="eastAsia" w:ascii="等线" w:hAnsi="等线" w:eastAsia="等线" w:cs="Times New Roman"/>
      <w:kern w:val="2"/>
      <w:sz w:val="21"/>
      <w:szCs w:val="21"/>
      <w:lang w:val="en-US" w:eastAsia="zh-CN" w:bidi="ar"/>
    </w:r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8"/>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2"/>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100"/>
    <w:qFormat/>
    <w:uiPriority w:val="0"/>
    <w:rPr>
      <w:rFonts w:ascii="宋体" w:hAnsi="Courier New" w:eastAsia="宋体"/>
    </w:rPr>
  </w:style>
  <w:style w:type="paragraph" w:styleId="22">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4">
    <w:name w:val="Balloon Text"/>
    <w:basedOn w:val="1"/>
    <w:link w:val="74"/>
    <w:qFormat/>
    <w:uiPriority w:val="0"/>
    <w:rPr>
      <w:rFonts w:ascii="Times New Roman" w:hAnsi="Times New Roman" w:eastAsia="宋体" w:cs="Times New Roman"/>
      <w:sz w:val="18"/>
      <w:szCs w:val="18"/>
    </w:rPr>
  </w:style>
  <w:style w:type="paragraph" w:styleId="25">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文档正文"/>
    <w:basedOn w:val="1"/>
    <w:qFormat/>
    <w:uiPriority w:val="0"/>
    <w:pPr>
      <w:spacing w:line="360" w:lineRule="auto"/>
    </w:pPr>
    <w:rPr>
      <w:rFonts w:cs="Arial"/>
      <w:bCs/>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39"/>
    <w:qFormat/>
    <w:uiPriority w:val="0"/>
    <w:rPr>
      <w:b/>
      <w:bCs/>
      <w:kern w:val="44"/>
      <w:sz w:val="44"/>
      <w:szCs w:val="44"/>
    </w:rPr>
  </w:style>
  <w:style w:type="character" w:customStyle="1" w:styleId="48">
    <w:name w:val="标题 2 Char"/>
    <w:basedOn w:val="39"/>
    <w:link w:val="2"/>
    <w:qFormat/>
    <w:uiPriority w:val="0"/>
    <w:rPr>
      <w:rFonts w:ascii="宋体" w:hAnsi="Calibri" w:eastAsia="宋体" w:cs="Times New Roman"/>
      <w:kern w:val="0"/>
      <w:sz w:val="24"/>
      <w:szCs w:val="24"/>
    </w:rPr>
  </w:style>
  <w:style w:type="character" w:customStyle="1" w:styleId="49">
    <w:name w:val="标题 3 字符"/>
    <w:basedOn w:val="39"/>
    <w:qFormat/>
    <w:uiPriority w:val="0"/>
    <w:rPr>
      <w:b/>
      <w:bCs/>
      <w:sz w:val="32"/>
      <w:szCs w:val="32"/>
    </w:rPr>
  </w:style>
  <w:style w:type="character" w:customStyle="1" w:styleId="50">
    <w:name w:val="标题 4 Char1"/>
    <w:basedOn w:val="39"/>
    <w:link w:val="5"/>
    <w:qFormat/>
    <w:uiPriority w:val="9"/>
    <w:rPr>
      <w:rFonts w:ascii="Arial" w:hAnsi="Arial" w:eastAsia="黑体" w:cs="Times New Roman"/>
      <w:b/>
      <w:bCs/>
      <w:kern w:val="0"/>
      <w:sz w:val="28"/>
      <w:szCs w:val="28"/>
    </w:rPr>
  </w:style>
  <w:style w:type="character" w:customStyle="1" w:styleId="51">
    <w:name w:val="标题 5 字符"/>
    <w:basedOn w:val="39"/>
    <w:qFormat/>
    <w:uiPriority w:val="9"/>
    <w:rPr>
      <w:b/>
      <w:bCs/>
      <w:sz w:val="28"/>
      <w:szCs w:val="28"/>
    </w:rPr>
  </w:style>
  <w:style w:type="character" w:customStyle="1" w:styleId="52">
    <w:name w:val="标题 6 字符"/>
    <w:basedOn w:val="39"/>
    <w:qFormat/>
    <w:uiPriority w:val="0"/>
    <w:rPr>
      <w:rFonts w:asciiTheme="majorHAnsi" w:hAnsiTheme="majorHAnsi" w:eastAsiaTheme="majorEastAsia" w:cstheme="majorBidi"/>
      <w:b/>
      <w:bCs/>
      <w:sz w:val="24"/>
      <w:szCs w:val="24"/>
    </w:rPr>
  </w:style>
  <w:style w:type="character" w:customStyle="1" w:styleId="53">
    <w:name w:val="标题 7 Char"/>
    <w:basedOn w:val="39"/>
    <w:link w:val="9"/>
    <w:qFormat/>
    <w:uiPriority w:val="9"/>
    <w:rPr>
      <w:rFonts w:ascii="Times New Roman" w:hAnsi="Calibri" w:eastAsia="黑体" w:cs="Times New Roman"/>
      <w:b/>
      <w:bCs/>
      <w:kern w:val="0"/>
      <w:sz w:val="28"/>
      <w:szCs w:val="24"/>
    </w:rPr>
  </w:style>
  <w:style w:type="character" w:customStyle="1" w:styleId="54">
    <w:name w:val="标题 8 Char"/>
    <w:basedOn w:val="39"/>
    <w:link w:val="10"/>
    <w:qFormat/>
    <w:uiPriority w:val="9"/>
    <w:rPr>
      <w:rFonts w:ascii="Times New Roman" w:hAnsi="Calibri" w:eastAsia="黑体" w:cs="Times New Roman"/>
      <w:b/>
      <w:kern w:val="0"/>
      <w:sz w:val="28"/>
      <w:szCs w:val="24"/>
    </w:rPr>
  </w:style>
  <w:style w:type="character" w:customStyle="1" w:styleId="55">
    <w:name w:val="标题 9 Char"/>
    <w:basedOn w:val="39"/>
    <w:link w:val="11"/>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4"/>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4"/>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5"/>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3"/>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2"/>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4"/>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19"/>
    <w:qFormat/>
    <w:uiPriority w:val="0"/>
    <w:rPr>
      <w:rFonts w:ascii="Times New Roman" w:hAnsi="Times New Roman" w:eastAsia="宋体" w:cs="Times New Roman"/>
      <w:szCs w:val="20"/>
    </w:rPr>
  </w:style>
  <w:style w:type="character" w:customStyle="1" w:styleId="93">
    <w:name w:val="普通(网站) Char1"/>
    <w:link w:val="33"/>
    <w:qFormat/>
    <w:locked/>
    <w:uiPriority w:val="0"/>
    <w:rPr>
      <w:rFonts w:ascii="宋体" w:hAnsi="宋体"/>
      <w:sz w:val="15"/>
      <w:szCs w:val="15"/>
    </w:rPr>
  </w:style>
  <w:style w:type="character" w:customStyle="1" w:styleId="94">
    <w:name w:val="模板正文 Char"/>
    <w:link w:val="8"/>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1"/>
    <w:qFormat/>
    <w:uiPriority w:val="0"/>
    <w:rPr>
      <w:rFonts w:ascii="宋体" w:hAnsi="Courier New" w:eastAsia="宋体"/>
    </w:rPr>
  </w:style>
  <w:style w:type="character" w:customStyle="1" w:styleId="101">
    <w:name w:val="正文文本缩进 2 Char"/>
    <w:link w:val="23"/>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2"/>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5"/>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8"/>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6"/>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6"/>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7"/>
    <w:qFormat/>
    <w:uiPriority w:val="9"/>
    <w:rPr>
      <w:rFonts w:ascii="Times New Roman" w:hAnsi="Calibri" w:eastAsia="黑体" w:cs="Times New Roman"/>
      <w:b/>
      <w:bCs/>
      <w:kern w:val="0"/>
      <w:sz w:val="28"/>
      <w:szCs w:val="24"/>
    </w:rPr>
  </w:style>
  <w:style w:type="character" w:customStyle="1" w:styleId="143">
    <w:name w:val="正文文本 2 Char"/>
    <w:link w:val="31"/>
    <w:qFormat/>
    <w:uiPriority w:val="0"/>
    <w:rPr>
      <w:rFonts w:ascii="Arial" w:hAnsi="Arial" w:eastAsia="宋体" w:cs="Times New Roman"/>
      <w:color w:val="000000"/>
      <w:szCs w:val="24"/>
    </w:rPr>
  </w:style>
  <w:style w:type="character" w:customStyle="1" w:styleId="144">
    <w:name w:val="标题 3 Char"/>
    <w:link w:val="4"/>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29"/>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Char2"/>
    <w:basedOn w:val="39"/>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6"/>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正文文本缩进 21"/>
    <w:basedOn w:val="1"/>
    <w:qFormat/>
    <w:uiPriority w:val="0"/>
    <w:pPr>
      <w:keepNext w:val="0"/>
      <w:keepLines w:val="0"/>
      <w:widowControl w:val="0"/>
      <w:suppressLineNumbers w:val="0"/>
      <w:adjustRightInd w:val="0"/>
      <w:spacing w:before="0" w:beforeAutospacing="0" w:after="0" w:afterAutospacing="0" w:line="480" w:lineRule="auto"/>
      <w:ind w:left="0" w:right="0" w:firstLine="540"/>
      <w:jc w:val="both"/>
      <w:textAlignment w:val="baseline"/>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63911</Words>
  <Characters>67120</Characters>
  <Lines>1</Lines>
  <Paragraphs>1</Paragraphs>
  <TotalTime>0</TotalTime>
  <ScaleCrop>false</ScaleCrop>
  <LinksUpToDate>false</LinksUpToDate>
  <CharactersWithSpaces>70113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cp:lastPrinted>2024-09-26T03:20:00Z</cp:lastPrinted>
  <dcterms:modified xsi:type="dcterms:W3CDTF">2024-09-26T08:06:32Z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9CAB9B7289914546BBB28ADDA3822605_13</vt:lpwstr>
  </property>
</Properties>
</file>