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en-US" w:eastAsia="zh-CN"/>
        </w:rPr>
      </w:pPr>
      <w:r>
        <w:rPr>
          <w:rFonts w:hint="eastAsia" w:hAnsi="宋体" w:cs="宋体"/>
          <w:b/>
          <w:bCs/>
          <w:color w:val="auto"/>
          <w:kern w:val="2"/>
          <w:sz w:val="48"/>
          <w:szCs w:val="48"/>
          <w:highlight w:val="none"/>
          <w:lang w:val="en-US" w:eastAsia="zh-CN"/>
        </w:rPr>
        <w:t>东莞市水务集团有限公司应急预案编制服务采购项目（二次询价）</w:t>
      </w: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r>
        <w:rPr>
          <w:rFonts w:hint="eastAsia" w:ascii="宋体" w:hAnsi="宋体" w:eastAsia="宋体" w:cs="宋体"/>
          <w:b/>
          <w:bCs/>
          <w:color w:val="auto"/>
          <w:kern w:val="2"/>
          <w:sz w:val="48"/>
          <w:szCs w:val="48"/>
          <w:highlight w:val="none"/>
          <w:lang w:val="zh-CN"/>
        </w:rPr>
        <w:t>询价文件</w:t>
      </w: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jc w:val="center"/>
        <w:textAlignment w:val="auto"/>
        <w:rPr>
          <w:rFonts w:hint="eastAsia" w:ascii="宋体" w:hAnsi="宋体" w:eastAsia="宋体" w:cs="宋体"/>
          <w:b/>
          <w:bCs/>
          <w:color w:val="auto"/>
          <w:sz w:val="32"/>
          <w:szCs w:val="32"/>
          <w:highlight w:val="none"/>
          <w:lang w:eastAsia="zh-CN"/>
        </w:rPr>
      </w:pPr>
      <w:bookmarkStart w:id="0" w:name="_Hlk26971294"/>
      <w:r>
        <w:rPr>
          <w:rFonts w:hint="eastAsia" w:ascii="宋体" w:hAnsi="宋体" w:eastAsia="宋体" w:cs="宋体"/>
          <w:b/>
          <w:bCs/>
          <w:color w:val="auto"/>
          <w:spacing w:val="28"/>
          <w:sz w:val="32"/>
          <w:szCs w:val="32"/>
          <w:highlight w:val="none"/>
          <w:lang w:eastAsia="zh-CN"/>
        </w:rPr>
        <w:t>东莞市水务集团有限公司</w:t>
      </w:r>
    </w:p>
    <w:bookmarkEnd w:id="0"/>
    <w:p>
      <w:pPr>
        <w:pageBreakBefore w:val="0"/>
        <w:kinsoku/>
        <w:overflowPunct/>
        <w:topLinePunct w:val="0"/>
        <w:bidi w:val="0"/>
        <w:snapToGrid/>
        <w:spacing w:after="156" w:line="360" w:lineRule="auto"/>
        <w:jc w:val="center"/>
        <w:textAlignment w:val="auto"/>
        <w:rPr>
          <w:rFonts w:hint="eastAsia" w:ascii="宋体" w:hAnsi="宋体" w:eastAsia="宋体" w:cs="宋体"/>
          <w:b/>
          <w:bCs/>
          <w:color w:val="auto"/>
          <w:kern w:val="2"/>
          <w:sz w:val="32"/>
          <w:szCs w:val="32"/>
          <w:highlight w:val="none"/>
          <w:lang w:val="zh-CN"/>
        </w:rPr>
        <w:sectPr>
          <w:footerReference r:id="rId3" w:type="default"/>
          <w:pgSz w:w="11906" w:h="16838"/>
          <w:pgMar w:top="1440" w:right="1800" w:bottom="1440" w:left="1800" w:header="851" w:footer="992" w:gutter="0"/>
          <w:cols w:space="0" w:num="1"/>
          <w:rtlGutter w:val="0"/>
          <w:docGrid w:type="lines" w:linePitch="332" w:charSpace="0"/>
        </w:sectPr>
      </w:pPr>
      <w:r>
        <w:rPr>
          <w:rFonts w:hint="eastAsia" w:ascii="宋体" w:hAnsi="宋体" w:eastAsia="宋体" w:cs="宋体"/>
          <w:b/>
          <w:bCs/>
          <w:color w:val="auto"/>
          <w:kern w:val="2"/>
          <w:sz w:val="32"/>
          <w:szCs w:val="32"/>
          <w:highlight w:val="none"/>
          <w:lang w:val="zh-CN"/>
        </w:rPr>
        <w:t>202</w:t>
      </w:r>
      <w:r>
        <w:rPr>
          <w:rFonts w:hint="eastAsia" w:ascii="宋体" w:hAnsi="宋体" w:eastAsia="宋体" w:cs="宋体"/>
          <w:b/>
          <w:bCs/>
          <w:color w:val="auto"/>
          <w:kern w:val="2"/>
          <w:sz w:val="32"/>
          <w:szCs w:val="32"/>
          <w:highlight w:val="none"/>
          <w:lang w:val="en-US" w:eastAsia="zh-CN"/>
        </w:rPr>
        <w:t>4</w:t>
      </w:r>
      <w:r>
        <w:rPr>
          <w:rFonts w:hint="eastAsia" w:ascii="宋体" w:hAnsi="宋体" w:eastAsia="宋体" w:cs="宋体"/>
          <w:b/>
          <w:bCs/>
          <w:color w:val="auto"/>
          <w:kern w:val="2"/>
          <w:sz w:val="32"/>
          <w:szCs w:val="32"/>
          <w:highlight w:val="none"/>
          <w:lang w:val="zh-CN"/>
        </w:rPr>
        <w:t>年</w:t>
      </w:r>
      <w:r>
        <w:rPr>
          <w:rFonts w:hint="eastAsia" w:hAnsi="宋体" w:cs="宋体"/>
          <w:b/>
          <w:bCs/>
          <w:color w:val="auto"/>
          <w:kern w:val="2"/>
          <w:sz w:val="32"/>
          <w:szCs w:val="32"/>
          <w:highlight w:val="none"/>
          <w:lang w:val="en-US" w:eastAsia="zh-CN"/>
        </w:rPr>
        <w:t>5</w:t>
      </w:r>
      <w:r>
        <w:rPr>
          <w:rFonts w:hint="eastAsia" w:ascii="宋体" w:hAnsi="宋体" w:eastAsia="宋体" w:cs="宋体"/>
          <w:b/>
          <w:bCs/>
          <w:color w:val="auto"/>
          <w:kern w:val="2"/>
          <w:sz w:val="32"/>
          <w:szCs w:val="32"/>
          <w:highlight w:val="none"/>
          <w:lang w:val="zh-CN"/>
        </w:rPr>
        <w:t>月</w:t>
      </w:r>
      <w:r>
        <w:rPr>
          <w:rFonts w:hint="eastAsia" w:hAnsi="宋体" w:cs="宋体"/>
          <w:b/>
          <w:bCs/>
          <w:color w:val="auto"/>
          <w:kern w:val="2"/>
          <w:sz w:val="32"/>
          <w:szCs w:val="32"/>
          <w:highlight w:val="none"/>
          <w:lang w:val="en-US" w:eastAsia="zh-CN"/>
        </w:rPr>
        <w:t>28</w:t>
      </w:r>
      <w:r>
        <w:rPr>
          <w:rFonts w:hint="eastAsia" w:ascii="宋体" w:hAnsi="宋体" w:eastAsia="宋体" w:cs="宋体"/>
          <w:b/>
          <w:bCs/>
          <w:color w:val="auto"/>
          <w:kern w:val="2"/>
          <w:sz w:val="32"/>
          <w:szCs w:val="32"/>
          <w:highlight w:val="none"/>
          <w:lang w:val="zh-CN"/>
        </w:rPr>
        <w:t>日</w:t>
      </w: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eastAsia" w:ascii="宋体" w:hAnsi="宋体" w:eastAsia="宋体" w:cs="宋体"/>
          <w:b/>
          <w:bCs/>
          <w:color w:val="auto"/>
          <w:sz w:val="24"/>
          <w:szCs w:val="24"/>
          <w:highlight w:val="none"/>
          <w:lang w:val="zh-CN"/>
        </w:rPr>
      </w:sdtEndPr>
      <w:sdtContent>
        <w:p>
          <w:pPr>
            <w:pStyle w:val="13"/>
            <w:keepNext/>
            <w:keepLines/>
            <w:pageBreakBefore w:val="0"/>
            <w:widowControl/>
            <w:kinsoku/>
            <w:wordWrap/>
            <w:overflowPunct/>
            <w:topLinePunct w:val="0"/>
            <w:autoSpaceDE/>
            <w:autoSpaceDN/>
            <w:bidi w:val="0"/>
            <w:adjustRightInd/>
            <w:snapToGrid/>
            <w:spacing w:before="0" w:line="360" w:lineRule="auto"/>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目   录</w:t>
          </w:r>
        </w:p>
        <w:p>
          <w:pPr>
            <w:pStyle w:val="8"/>
            <w:pageBreakBefore w:val="0"/>
            <w:kinsoku/>
            <w:overflowPunct/>
            <w:topLinePunct w:val="0"/>
            <w:bidi w:val="0"/>
            <w:snapToGrid/>
            <w:spacing w:line="360" w:lineRule="auto"/>
            <w:textAlignment w:val="auto"/>
            <w:rPr>
              <w:rFonts w:hint="eastAsia" w:ascii="宋体" w:hAnsi="宋体" w:eastAsia="宋体" w:cs="宋体"/>
              <w:color w:val="auto"/>
              <w:kern w:val="2"/>
              <w:sz w:val="22"/>
              <w:highlight w:val="none"/>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 TOC \o "1-3" \h \z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"_Toc29476690" </w:instrText>
          </w:r>
          <w:r>
            <w:rPr>
              <w:rFonts w:hint="eastAsia" w:ascii="宋体" w:hAnsi="宋体" w:eastAsia="宋体" w:cs="宋体"/>
              <w:color w:val="auto"/>
              <w:highlight w:val="none"/>
            </w:rPr>
            <w:fldChar w:fldCharType="separate"/>
          </w:r>
          <w:r>
            <w:rPr>
              <w:rStyle w:val="10"/>
              <w:rFonts w:hint="eastAsia" w:ascii="宋体" w:hAnsi="宋体" w:eastAsia="宋体" w:cs="宋体"/>
              <w:color w:val="auto"/>
              <w:sz w:val="28"/>
              <w:szCs w:val="28"/>
              <w:highlight w:val="none"/>
            </w:rPr>
            <w:t>第一章 询价邀请函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_Toc29476690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pageBreakBefore w:val="0"/>
            <w:kinsoku/>
            <w:overflowPunct/>
            <w:topLinePunct w:val="0"/>
            <w:bidi w:val="0"/>
            <w:snapToGrid/>
            <w:spacing w:line="360" w:lineRule="auto"/>
            <w:textAlignment w:val="auto"/>
            <w:rPr>
              <w:rFonts w:hint="eastAsia" w:ascii="宋体" w:hAnsi="宋体" w:eastAsia="宋体" w:cs="宋体"/>
              <w:color w:val="auto"/>
              <w:kern w:val="2"/>
              <w:sz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"_Toc29476691" </w:instrText>
          </w:r>
          <w:r>
            <w:rPr>
              <w:rFonts w:hint="eastAsia" w:ascii="宋体" w:hAnsi="宋体" w:eastAsia="宋体" w:cs="宋体"/>
              <w:color w:val="auto"/>
              <w:highlight w:val="none"/>
            </w:rPr>
            <w:fldChar w:fldCharType="separate"/>
          </w:r>
          <w:r>
            <w:rPr>
              <w:rStyle w:val="10"/>
              <w:rFonts w:hint="eastAsia" w:ascii="宋体" w:hAnsi="宋体" w:eastAsia="宋体" w:cs="宋体"/>
              <w:color w:val="auto"/>
              <w:sz w:val="28"/>
              <w:szCs w:val="28"/>
              <w:highlight w:val="none"/>
            </w:rPr>
            <w:t>第二章 用户需求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_Toc29476691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pageBreakBefore w:val="0"/>
            <w:kinsoku/>
            <w:overflowPunct/>
            <w:topLinePunct w:val="0"/>
            <w:bidi w:val="0"/>
            <w:snapToGrid/>
            <w:spacing w:line="360" w:lineRule="auto"/>
            <w:textAlignment w:val="auto"/>
            <w:rPr>
              <w:rFonts w:hint="eastAsia" w:ascii="宋体" w:hAnsi="宋体" w:eastAsia="宋体" w:cs="宋体"/>
              <w:color w:val="auto"/>
              <w:kern w:val="2"/>
              <w:sz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"_Toc29476692" </w:instrText>
          </w:r>
          <w:r>
            <w:rPr>
              <w:rFonts w:hint="eastAsia" w:ascii="宋体" w:hAnsi="宋体" w:eastAsia="宋体" w:cs="宋体"/>
              <w:color w:val="auto"/>
              <w:highlight w:val="none"/>
            </w:rPr>
            <w:fldChar w:fldCharType="separate"/>
          </w:r>
          <w:r>
            <w:rPr>
              <w:rStyle w:val="10"/>
              <w:rFonts w:hint="eastAsia" w:ascii="宋体" w:hAnsi="宋体" w:eastAsia="宋体" w:cs="宋体"/>
              <w:color w:val="auto"/>
              <w:sz w:val="28"/>
              <w:szCs w:val="28"/>
              <w:highlight w:val="none"/>
            </w:rPr>
            <w:t>第三章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_Toc29476692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pageBreakBefore w:val="0"/>
            <w:kinsoku/>
            <w:overflowPunct/>
            <w:topLinePunct w:val="0"/>
            <w:bidi w:val="0"/>
            <w:snapToGrid/>
            <w:spacing w:line="360" w:lineRule="auto"/>
            <w:textAlignment w:val="auto"/>
            <w:rPr>
              <w:rFonts w:hint="eastAsia" w:ascii="宋体" w:hAnsi="宋体" w:eastAsia="宋体" w:cs="宋体"/>
              <w:color w:val="auto"/>
              <w:kern w:val="2"/>
              <w:sz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"_Toc29476707" </w:instrText>
          </w:r>
          <w:r>
            <w:rPr>
              <w:rFonts w:hint="eastAsia" w:ascii="宋体" w:hAnsi="宋体" w:eastAsia="宋体" w:cs="宋体"/>
              <w:color w:val="auto"/>
              <w:highlight w:val="none"/>
            </w:rPr>
            <w:fldChar w:fldCharType="separate"/>
          </w:r>
          <w:r>
            <w:rPr>
              <w:rStyle w:val="10"/>
              <w:rFonts w:hint="eastAsia" w:ascii="宋体" w:hAnsi="宋体" w:eastAsia="宋体" w:cs="宋体"/>
              <w:color w:val="auto"/>
              <w:sz w:val="28"/>
              <w:szCs w:val="28"/>
              <w:highlight w:val="none"/>
            </w:rPr>
            <w:t>第四章 报价须知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_Toc29476707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pageBreakBefore w:val="0"/>
            <w:kinsoku/>
            <w:overflowPunct/>
            <w:topLinePunct w:val="0"/>
            <w:bidi w:val="0"/>
            <w:snapToGrid/>
            <w:spacing w:line="360" w:lineRule="auto"/>
            <w:textAlignment w:val="auto"/>
            <w:rPr>
              <w:rFonts w:hint="eastAsia" w:ascii="宋体" w:hAnsi="宋体" w:eastAsia="宋体" w:cs="宋体"/>
              <w:color w:val="auto"/>
              <w:kern w:val="2"/>
              <w:sz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"_Toc29476708" </w:instrText>
          </w:r>
          <w:r>
            <w:rPr>
              <w:rFonts w:hint="eastAsia" w:ascii="宋体" w:hAnsi="宋体" w:eastAsia="宋体" w:cs="宋体"/>
              <w:color w:val="auto"/>
              <w:highlight w:val="none"/>
            </w:rPr>
            <w:fldChar w:fldCharType="separate"/>
          </w:r>
          <w:r>
            <w:rPr>
              <w:rStyle w:val="10"/>
              <w:rFonts w:hint="eastAsia" w:ascii="宋体" w:hAnsi="宋体" w:eastAsia="宋体" w:cs="宋体"/>
              <w:color w:val="auto"/>
              <w:sz w:val="28"/>
              <w:szCs w:val="28"/>
              <w:highlight w:val="none"/>
            </w:rPr>
            <w:t>第五章 报价文件（格式）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_Toc29476708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ageBreakBefore w:val="0"/>
            <w:kinsoku/>
            <w:overflowPunct/>
            <w:topLinePunct w:val="0"/>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40"/>
              <w:szCs w:val="40"/>
              <w:highlight w:val="none"/>
              <w:lang w:val="zh-CN"/>
            </w:rPr>
            <w:fldChar w:fldCharType="end"/>
          </w:r>
        </w:p>
      </w:sdtContent>
    </w:sdt>
    <w:p>
      <w:pPr>
        <w:pageBreakBefore w:val="0"/>
        <w:kinsoku/>
        <w:overflowPunct/>
        <w:topLinePunct w:val="0"/>
        <w:bidi w:val="0"/>
        <w:snapToGrid/>
        <w:spacing w:after="156" w:line="360" w:lineRule="auto"/>
        <w:jc w:val="center"/>
        <w:textAlignment w:val="auto"/>
        <w:rPr>
          <w:rFonts w:hint="eastAsia" w:ascii="宋体" w:hAnsi="宋体" w:eastAsia="宋体" w:cs="宋体"/>
          <w:b/>
          <w:bCs/>
          <w:color w:val="auto"/>
          <w:spacing w:val="28"/>
          <w:sz w:val="32"/>
          <w:szCs w:val="32"/>
          <w:highlight w:val="none"/>
        </w:rPr>
      </w:pPr>
    </w:p>
    <w:p>
      <w:pPr>
        <w:pageBreakBefore w:val="0"/>
        <w:kinsoku/>
        <w:overflowPunct/>
        <w:topLinePunct w:val="0"/>
        <w:bidi w:val="0"/>
        <w:snapToGrid/>
        <w:spacing w:line="360" w:lineRule="auto"/>
        <w:textAlignment w:val="auto"/>
        <w:rPr>
          <w:rFonts w:hint="eastAsia" w:ascii="宋体" w:hAnsi="宋体" w:eastAsia="宋体" w:cs="宋体"/>
          <w:color w:val="auto"/>
          <w:highlight w:val="none"/>
        </w:rPr>
        <w:sectPr>
          <w:pgSz w:w="11906" w:h="16838"/>
          <w:pgMar w:top="1440" w:right="1803" w:bottom="1440" w:left="1803" w:header="851" w:footer="992" w:gutter="0"/>
          <w:cols w:space="0" w:num="1"/>
          <w:rtlGutter w:val="0"/>
          <w:docGrid w:type="lines" w:linePitch="332" w:charSpace="0"/>
        </w:sectPr>
      </w:pPr>
    </w:p>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outlineLvl w:val="0"/>
        <w:rPr>
          <w:rFonts w:hint="eastAsia" w:ascii="宋体" w:hAnsi="宋体" w:eastAsia="宋体" w:cs="宋体"/>
          <w:b w:val="0"/>
          <w:bCs w:val="0"/>
          <w:color w:val="auto"/>
          <w:szCs w:val="32"/>
          <w:highlight w:val="none"/>
        </w:rPr>
      </w:pPr>
      <w:bookmarkStart w:id="1" w:name="_Toc29476690"/>
      <w:r>
        <w:rPr>
          <w:rFonts w:hint="eastAsia" w:ascii="宋体" w:hAnsi="宋体" w:eastAsia="宋体" w:cs="宋体"/>
          <w:color w:val="auto"/>
          <w:szCs w:val="32"/>
          <w:highlight w:val="none"/>
        </w:rPr>
        <w:t>第一章 询价邀请函</w:t>
      </w:r>
      <w:bookmarkEnd w:id="1"/>
    </w:p>
    <w:p>
      <w:pPr>
        <w:pageBreakBefore w:val="0"/>
        <w:kinsoku/>
        <w:overflowPunct/>
        <w:topLinePunct w:val="0"/>
        <w:bidi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各供应商：</w:t>
      </w:r>
    </w:p>
    <w:p>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我公司的</w:t>
      </w:r>
      <w:r>
        <w:rPr>
          <w:rFonts w:hint="eastAsia" w:ascii="宋体" w:hAnsi="宋体" w:eastAsia="宋体" w:cs="宋体"/>
          <w:color w:val="auto"/>
          <w:highlight w:val="none"/>
          <w:u w:val="single"/>
        </w:rPr>
        <w:t>“</w:t>
      </w:r>
      <w:r>
        <w:rPr>
          <w:rFonts w:hint="eastAsia" w:hAnsi="宋体" w:cs="宋体"/>
          <w:color w:val="auto"/>
          <w:highlight w:val="none"/>
          <w:u w:val="single"/>
          <w:lang w:eastAsia="zh-CN"/>
        </w:rPr>
        <w:t>东莞市水务集团有限公司应急预案编制服务采购项目（二次询价）</w:t>
      </w:r>
      <w:r>
        <w:rPr>
          <w:rFonts w:hint="eastAsia" w:ascii="宋体" w:hAnsi="宋体" w:eastAsia="宋体" w:cs="宋体"/>
          <w:color w:val="auto"/>
          <w:highlight w:val="none"/>
          <w:u w:val="single"/>
        </w:rPr>
        <w:t>”</w:t>
      </w:r>
      <w:r>
        <w:rPr>
          <w:rFonts w:hint="eastAsia" w:ascii="宋体" w:hAnsi="宋体" w:eastAsia="宋体" w:cs="宋体"/>
          <w:color w:val="auto"/>
          <w:highlight w:val="none"/>
        </w:rPr>
        <w:t>正式开展，现邀请贵司参与本项目的询价采购。具体采购信息如下：</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一、采购项目名称：</w:t>
      </w:r>
      <w:r>
        <w:rPr>
          <w:rFonts w:hint="eastAsia" w:hAnsi="宋体" w:cs="宋体"/>
          <w:color w:val="auto"/>
          <w:highlight w:val="none"/>
          <w:lang w:val="en-US" w:eastAsia="zh-CN"/>
        </w:rPr>
        <w:t>东莞市水务集团有限公司应急预案编制服务采购项目（二次询价）</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、采购预算：不含税最高限价为</w:t>
      </w:r>
      <w:r>
        <w:rPr>
          <w:rFonts w:hint="eastAsia" w:ascii="宋体" w:hAnsi="宋体" w:eastAsia="宋体" w:cs="宋体"/>
          <w:color w:val="auto"/>
          <w:highlight w:val="none"/>
          <w:lang w:val="en-US" w:eastAsia="zh-CN"/>
        </w:rPr>
        <w:t>54</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641.5</w:t>
      </w:r>
      <w:r>
        <w:rPr>
          <w:rFonts w:hint="eastAsia" w:hAnsi="宋体" w:cs="宋体"/>
          <w:color w:val="auto"/>
          <w:highlight w:val="none"/>
          <w:lang w:val="en-US" w:eastAsia="zh-CN"/>
        </w:rPr>
        <w:t>1</w:t>
      </w:r>
      <w:r>
        <w:rPr>
          <w:rFonts w:hint="eastAsia" w:ascii="宋体" w:hAnsi="宋体" w:eastAsia="宋体" w:cs="宋体"/>
          <w:color w:val="auto"/>
          <w:highlight w:val="none"/>
        </w:rPr>
        <w:t>元</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、采购内容：</w:t>
      </w:r>
      <w:r>
        <w:rPr>
          <w:rFonts w:hint="eastAsia" w:ascii="宋体" w:hAnsi="宋体" w:eastAsia="宋体" w:cs="宋体"/>
          <w:color w:val="auto"/>
          <w:highlight w:val="none"/>
          <w:lang w:val="en-US" w:eastAsia="zh-CN"/>
        </w:rPr>
        <w:t>应急预案编制服务</w:t>
      </w:r>
      <w:r>
        <w:rPr>
          <w:rFonts w:hint="eastAsia" w:ascii="宋体" w:hAnsi="宋体" w:eastAsia="宋体" w:cs="宋体"/>
          <w:color w:val="auto"/>
          <w:highlight w:val="none"/>
        </w:rPr>
        <w:t>（具体详见用户需求书）</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四、资质要求：</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（一）</w:t>
      </w:r>
      <w:r>
        <w:rPr>
          <w:rFonts w:hint="eastAsia" w:ascii="宋体" w:hAnsi="宋体" w:eastAsia="宋体" w:cs="宋体"/>
          <w:color w:val="auto"/>
          <w:highlight w:val="none"/>
          <w:lang w:val="en-US" w:eastAsia="zh-CN"/>
        </w:rPr>
        <w:t>报价人202</w:t>
      </w:r>
      <w:r>
        <w:rPr>
          <w:rFonts w:hint="eastAsia" w:hAnsi="宋体" w:cs="宋体"/>
          <w:color w:val="auto"/>
          <w:highlight w:val="none"/>
          <w:lang w:val="en-US" w:eastAsia="zh-CN"/>
        </w:rPr>
        <w:t>1</w:t>
      </w:r>
      <w:r>
        <w:rPr>
          <w:rFonts w:hint="eastAsia" w:ascii="宋体" w:hAnsi="宋体" w:eastAsia="宋体" w:cs="宋体"/>
          <w:color w:val="auto"/>
          <w:highlight w:val="none"/>
          <w:lang w:val="en-US" w:eastAsia="zh-CN"/>
        </w:rPr>
        <w:t>年1月1日以来，至少具备一个应急预案编制服务业绩（合同签订日期为2021年1月1日或以后）；</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二</w:t>
      </w:r>
      <w:r>
        <w:rPr>
          <w:rFonts w:hint="eastAsia" w:ascii="宋体" w:hAnsi="宋体" w:eastAsia="宋体" w:cs="宋体"/>
          <w:color w:val="auto"/>
          <w:highlight w:val="none"/>
          <w:lang w:val="en-US" w:eastAsia="zh-CN"/>
        </w:rPr>
        <w:t>）报价人未被列入“信用中国”网站（www.creditchina.gov.cn）失信被执行人、重大税收违法失信主体、政府采购严重违法失信行为记录名单（处罚期限届满的除外）。</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五、成交原则：从实质性满足采购需求的供应商中，按不含税价最低成交原则确定成交供应商。</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六、报价文件递交截止时间：</w:t>
      </w:r>
      <w:bookmarkStart w:id="2" w:name="_Hlk27138379"/>
      <w:r>
        <w:rPr>
          <w:rFonts w:hint="eastAsia" w:ascii="宋体" w:hAnsi="宋体" w:eastAsia="宋体" w:cs="宋体"/>
          <w:color w:val="auto"/>
          <w:highlight w:val="none"/>
        </w:rPr>
        <w:t>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6</w:t>
      </w:r>
      <w:r>
        <w:rPr>
          <w:rFonts w:hint="eastAsia" w:ascii="宋体" w:hAnsi="宋体" w:eastAsia="宋体" w:cs="宋体"/>
          <w:color w:val="auto"/>
          <w:highlight w:val="none"/>
        </w:rPr>
        <w:t>月</w:t>
      </w:r>
      <w:r>
        <w:rPr>
          <w:rFonts w:hint="eastAsia" w:hAnsi="宋体" w:cs="宋体"/>
          <w:color w:val="auto"/>
          <w:highlight w:val="none"/>
          <w:lang w:val="en-US" w:eastAsia="zh-CN"/>
        </w:rPr>
        <w:t>3</w:t>
      </w:r>
      <w:r>
        <w:rPr>
          <w:rFonts w:hint="eastAsia" w:ascii="宋体" w:hAnsi="宋体" w:eastAsia="宋体" w:cs="宋体"/>
          <w:color w:val="auto"/>
          <w:highlight w:val="none"/>
        </w:rPr>
        <w:t>日</w:t>
      </w:r>
      <w:r>
        <w:rPr>
          <w:rFonts w:hint="eastAsia" w:hAnsi="宋体" w:cs="宋体"/>
          <w:color w:val="auto"/>
          <w:highlight w:val="none"/>
          <w:lang w:val="en-US" w:eastAsia="zh-CN"/>
        </w:rPr>
        <w:t>15</w:t>
      </w:r>
      <w:r>
        <w:rPr>
          <w:rFonts w:hint="eastAsia" w:ascii="宋体" w:hAnsi="宋体" w:eastAsia="宋体" w:cs="宋体"/>
          <w:color w:val="auto"/>
          <w:highlight w:val="none"/>
        </w:rPr>
        <w:t>时</w:t>
      </w:r>
      <w:r>
        <w:rPr>
          <w:rFonts w:hint="eastAsia" w:hAnsi="宋体" w:cs="宋体"/>
          <w:color w:val="auto"/>
          <w:highlight w:val="none"/>
          <w:lang w:val="en-US" w:eastAsia="zh-CN"/>
        </w:rPr>
        <w:t>00</w:t>
      </w:r>
      <w:r>
        <w:rPr>
          <w:rFonts w:hint="eastAsia" w:ascii="宋体" w:hAnsi="宋体" w:eastAsia="宋体" w:cs="宋体"/>
          <w:color w:val="auto"/>
          <w:highlight w:val="none"/>
        </w:rPr>
        <w:t>分</w:t>
      </w:r>
      <w:bookmarkEnd w:id="2"/>
      <w:r>
        <w:rPr>
          <w:rFonts w:hint="eastAsia" w:ascii="宋体" w:hAnsi="宋体" w:eastAsia="宋体" w:cs="宋体"/>
          <w:color w:val="auto"/>
          <w:highlight w:val="none"/>
        </w:rPr>
        <w:t>。</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七、报价文件递交地点：</w:t>
      </w:r>
      <w:r>
        <w:rPr>
          <w:rFonts w:hint="eastAsia" w:ascii="宋体" w:hAnsi="宋体" w:eastAsia="宋体" w:cs="宋体"/>
          <w:color w:val="auto"/>
          <w:highlight w:val="none"/>
          <w:lang w:eastAsia="zh-CN"/>
        </w:rPr>
        <w:t>东莞市东城街道育华路1号东莞市水务集团有限公司</w:t>
      </w:r>
      <w:r>
        <w:rPr>
          <w:rFonts w:hint="eastAsia" w:ascii="宋体" w:hAnsi="宋体" w:eastAsia="宋体" w:cs="宋体"/>
          <w:color w:val="auto"/>
          <w:highlight w:val="none"/>
        </w:rPr>
        <w:t>。</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八、报价文件开封时间：</w:t>
      </w:r>
      <w:bookmarkStart w:id="18" w:name="_GoBack"/>
      <w:r>
        <w:rPr>
          <w:rFonts w:hint="eastAsia" w:ascii="宋体" w:hAnsi="宋体" w:eastAsia="宋体" w:cs="宋体"/>
          <w:color w:val="auto"/>
          <w:highlight w:val="none"/>
        </w:rPr>
        <w:t>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6</w:t>
      </w:r>
      <w:r>
        <w:rPr>
          <w:rFonts w:hint="eastAsia" w:ascii="宋体" w:hAnsi="宋体" w:eastAsia="宋体" w:cs="宋体"/>
          <w:color w:val="auto"/>
          <w:highlight w:val="none"/>
        </w:rPr>
        <w:t>月</w:t>
      </w:r>
      <w:r>
        <w:rPr>
          <w:rFonts w:hint="eastAsia" w:hAnsi="宋体" w:cs="宋体"/>
          <w:color w:val="auto"/>
          <w:highlight w:val="none"/>
          <w:lang w:val="en-US" w:eastAsia="zh-CN"/>
        </w:rPr>
        <w:t>3</w:t>
      </w:r>
      <w:r>
        <w:rPr>
          <w:rFonts w:hint="eastAsia" w:ascii="宋体" w:hAnsi="宋体" w:eastAsia="宋体" w:cs="宋体"/>
          <w:color w:val="auto"/>
          <w:highlight w:val="none"/>
        </w:rPr>
        <w:t>日</w:t>
      </w:r>
      <w:r>
        <w:rPr>
          <w:rFonts w:hint="eastAsia" w:hAnsi="宋体" w:cs="宋体"/>
          <w:color w:val="auto"/>
          <w:highlight w:val="none"/>
          <w:lang w:val="en-US" w:eastAsia="zh-CN"/>
        </w:rPr>
        <w:t>15</w:t>
      </w:r>
      <w:r>
        <w:rPr>
          <w:rFonts w:hint="eastAsia" w:ascii="宋体" w:hAnsi="宋体" w:eastAsia="宋体" w:cs="宋体"/>
          <w:color w:val="auto"/>
          <w:highlight w:val="none"/>
        </w:rPr>
        <w:t>时</w:t>
      </w:r>
      <w:r>
        <w:rPr>
          <w:rFonts w:hint="eastAsia" w:hAnsi="宋体" w:cs="宋体"/>
          <w:color w:val="auto"/>
          <w:highlight w:val="none"/>
          <w:lang w:val="en-US" w:eastAsia="zh-CN"/>
        </w:rPr>
        <w:t>00</w:t>
      </w:r>
      <w:r>
        <w:rPr>
          <w:rFonts w:hint="eastAsia" w:ascii="宋体" w:hAnsi="宋体" w:eastAsia="宋体" w:cs="宋体"/>
          <w:color w:val="auto"/>
          <w:highlight w:val="none"/>
        </w:rPr>
        <w:t>分</w:t>
      </w:r>
      <w:bookmarkEnd w:id="18"/>
      <w:r>
        <w:rPr>
          <w:rFonts w:hint="eastAsia" w:ascii="宋体" w:hAnsi="宋体" w:eastAsia="宋体" w:cs="宋体"/>
          <w:color w:val="auto"/>
          <w:highlight w:val="none"/>
        </w:rPr>
        <w:t>。</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九、开封地点：</w:t>
      </w:r>
      <w:r>
        <w:rPr>
          <w:rFonts w:hint="eastAsia" w:ascii="宋体" w:hAnsi="宋体" w:eastAsia="宋体" w:cs="宋体"/>
          <w:color w:val="auto"/>
          <w:highlight w:val="none"/>
          <w:lang w:eastAsia="zh-CN"/>
        </w:rPr>
        <w:t>东莞市水务集团有限公司</w:t>
      </w:r>
      <w:r>
        <w:rPr>
          <w:rFonts w:hint="eastAsia" w:ascii="宋体" w:hAnsi="宋体" w:eastAsia="宋体" w:cs="宋体"/>
          <w:color w:val="auto"/>
          <w:highlight w:val="none"/>
          <w:lang w:val="en-US" w:eastAsia="zh-CN"/>
        </w:rPr>
        <w:t>会议室</w:t>
      </w:r>
      <w:r>
        <w:rPr>
          <w:rFonts w:hint="eastAsia" w:ascii="宋体" w:hAnsi="宋体" w:eastAsia="宋体" w:cs="宋体"/>
          <w:color w:val="auto"/>
          <w:highlight w:val="none"/>
        </w:rPr>
        <w:t>。</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十、采购人联系方式：</w:t>
      </w:r>
    </w:p>
    <w:p>
      <w:pPr>
        <w:pageBreakBefore w:val="0"/>
        <w:kinsoku/>
        <w:overflowPunct/>
        <w:topLinePunct w:val="0"/>
        <w:bidi w:val="0"/>
        <w:snapToGrid/>
        <w:spacing w:line="360" w:lineRule="auto"/>
        <w:ind w:left="566" w:leftChars="236" w:firstLine="285"/>
        <w:textAlignment w:val="auto"/>
        <w:rPr>
          <w:rFonts w:hint="eastAsia" w:ascii="宋体" w:hAnsi="宋体" w:eastAsia="宋体" w:cs="宋体"/>
          <w:color w:val="auto"/>
          <w:highlight w:val="none"/>
          <w:lang w:eastAsia="zh-CN"/>
        </w:rPr>
      </w:pPr>
      <w:bookmarkStart w:id="3" w:name="_Hlk27138405"/>
      <w:r>
        <w:rPr>
          <w:rFonts w:hint="eastAsia" w:ascii="宋体" w:hAnsi="宋体" w:eastAsia="宋体" w:cs="宋体"/>
          <w:color w:val="auto"/>
          <w:highlight w:val="none"/>
        </w:rPr>
        <w:t>采购联系人：</w:t>
      </w:r>
      <w:r>
        <w:rPr>
          <w:rFonts w:hint="eastAsia" w:ascii="宋体" w:hAnsi="宋体" w:eastAsia="宋体" w:cs="宋体"/>
          <w:color w:val="auto"/>
          <w:highlight w:val="none"/>
          <w:lang w:val="en-US" w:eastAsia="zh-CN"/>
        </w:rPr>
        <w:t>李建聪</w:t>
      </w:r>
    </w:p>
    <w:p>
      <w:pPr>
        <w:pageBreakBefore w:val="0"/>
        <w:kinsoku/>
        <w:overflowPunct/>
        <w:topLinePunct w:val="0"/>
        <w:bidi w:val="0"/>
        <w:snapToGrid/>
        <w:spacing w:line="360" w:lineRule="auto"/>
        <w:ind w:left="566" w:leftChars="236" w:firstLine="285"/>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0769-</w:t>
      </w:r>
      <w:r>
        <w:rPr>
          <w:rFonts w:hint="eastAsia" w:ascii="宋体" w:hAnsi="宋体" w:eastAsia="宋体" w:cs="宋体"/>
          <w:color w:val="auto"/>
          <w:highlight w:val="none"/>
          <w:lang w:val="en-US" w:eastAsia="zh-CN"/>
        </w:rPr>
        <w:t>2728 9769</w:t>
      </w:r>
    </w:p>
    <w:p>
      <w:pPr>
        <w:pageBreakBefore w:val="0"/>
        <w:kinsoku/>
        <w:overflowPunct/>
        <w:topLinePunct w:val="0"/>
        <w:bidi w:val="0"/>
        <w:snapToGrid/>
        <w:spacing w:line="360" w:lineRule="auto"/>
        <w:ind w:left="566" w:leftChars="236" w:firstLine="285"/>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联系地址：</w:t>
      </w:r>
      <w:r>
        <w:rPr>
          <w:rFonts w:hint="eastAsia" w:ascii="宋体" w:hAnsi="宋体" w:eastAsia="宋体" w:cs="宋体"/>
          <w:color w:val="auto"/>
          <w:highlight w:val="none"/>
          <w:lang w:val="en-US" w:eastAsia="zh-CN"/>
        </w:rPr>
        <w:t>广东省东莞市东城街道育华路1号</w:t>
      </w:r>
    </w:p>
    <w:bookmarkEnd w:id="3"/>
    <w:p>
      <w:pPr>
        <w:pageBreakBefore w:val="0"/>
        <w:kinsoku/>
        <w:overflowPunct/>
        <w:topLinePunct w:val="0"/>
        <w:bidi w:val="0"/>
        <w:snapToGrid/>
        <w:spacing w:line="360" w:lineRule="auto"/>
        <w:textAlignment w:val="auto"/>
        <w:rPr>
          <w:rFonts w:hint="eastAsia" w:ascii="宋体" w:hAnsi="宋体" w:eastAsia="宋体" w:cs="宋体"/>
          <w:color w:val="auto"/>
          <w:highlight w:val="none"/>
        </w:rPr>
      </w:pPr>
    </w:p>
    <w:p>
      <w:pPr>
        <w:pageBreakBefore w:val="0"/>
        <w:kinsoku/>
        <w:overflowPunct/>
        <w:topLinePunct w:val="0"/>
        <w:bidi w:val="0"/>
        <w:snapToGrid/>
        <w:spacing w:line="360" w:lineRule="auto"/>
        <w:textAlignment w:val="auto"/>
        <w:rPr>
          <w:rFonts w:hint="eastAsia" w:ascii="宋体" w:hAnsi="宋体" w:eastAsia="宋体" w:cs="宋体"/>
          <w:color w:val="auto"/>
          <w:highlight w:val="none"/>
        </w:rPr>
      </w:pPr>
    </w:p>
    <w:p>
      <w:pPr>
        <w:pageBreakBefore w:val="0"/>
        <w:kinsoku/>
        <w:overflowPunct/>
        <w:topLinePunct w:val="0"/>
        <w:bidi w:val="0"/>
        <w:snapToGrid/>
        <w:spacing w:line="360" w:lineRule="auto"/>
        <w:jc w:val="right"/>
        <w:textAlignment w:val="auto"/>
        <w:rPr>
          <w:rFonts w:hint="eastAsia" w:ascii="宋体" w:hAnsi="宋体" w:eastAsia="宋体" w:cs="宋体"/>
          <w:color w:val="auto"/>
          <w:highlight w:val="none"/>
          <w:lang w:eastAsia="zh-CN"/>
        </w:rPr>
      </w:pPr>
      <w:bookmarkStart w:id="4" w:name="_Hlk27138410"/>
      <w:r>
        <w:rPr>
          <w:rFonts w:hint="eastAsia" w:ascii="宋体" w:hAnsi="宋体" w:eastAsia="宋体" w:cs="宋体"/>
          <w:color w:val="auto"/>
          <w:highlight w:val="none"/>
          <w:lang w:eastAsia="zh-CN"/>
        </w:rPr>
        <w:t>东莞市水务集团有限公司</w:t>
      </w:r>
    </w:p>
    <w:p>
      <w:pPr>
        <w:pageBreakBefore w:val="0"/>
        <w:kinsoku/>
        <w:wordWrap w:val="0"/>
        <w:overflowPunct/>
        <w:topLinePunct w:val="0"/>
        <w:bidi w:val="0"/>
        <w:snapToGrid/>
        <w:spacing w:line="360" w:lineRule="auto"/>
        <w:jc w:val="righ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5</w:t>
      </w:r>
      <w:r>
        <w:rPr>
          <w:rFonts w:hint="eastAsia" w:ascii="宋体" w:hAnsi="宋体" w:eastAsia="宋体" w:cs="宋体"/>
          <w:color w:val="auto"/>
          <w:highlight w:val="none"/>
        </w:rPr>
        <w:t>月</w:t>
      </w:r>
      <w:r>
        <w:rPr>
          <w:rFonts w:hint="eastAsia" w:hAnsi="宋体" w:cs="宋体"/>
          <w:color w:val="auto"/>
          <w:highlight w:val="none"/>
          <w:lang w:val="en-US" w:eastAsia="zh-CN"/>
        </w:rPr>
        <w:t>28</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 xml:space="preserve">    </w:t>
      </w:r>
    </w:p>
    <w:bookmarkEnd w:id="4"/>
    <w:p>
      <w:pPr>
        <w:pageBreakBefore w:val="0"/>
        <w:kinsoku/>
        <w:overflowPunct/>
        <w:topLinePunct w:val="0"/>
        <w:bidi w:val="0"/>
        <w:snapToGrid/>
        <w:spacing w:line="360" w:lineRule="auto"/>
        <w:ind w:firstLine="5822" w:firstLineChars="2426"/>
        <w:textAlignment w:val="auto"/>
        <w:rPr>
          <w:rFonts w:hint="eastAsia" w:ascii="宋体" w:hAnsi="宋体" w:eastAsia="宋体" w:cs="宋体"/>
          <w:color w:val="auto"/>
          <w:highlight w:val="none"/>
        </w:rPr>
      </w:pPr>
    </w:p>
    <w:p>
      <w:pPr>
        <w:pageBreakBefore w:val="0"/>
        <w:kinsoku/>
        <w:overflowPunct/>
        <w:topLinePunct w:val="0"/>
        <w:bidi w:val="0"/>
        <w:snapToGrid/>
        <w:spacing w:line="360" w:lineRule="auto"/>
        <w:textAlignment w:val="auto"/>
        <w:rPr>
          <w:rFonts w:hint="eastAsia" w:ascii="宋体" w:hAnsi="宋体" w:eastAsia="宋体" w:cs="宋体"/>
          <w:color w:val="auto"/>
          <w:highlight w:val="none"/>
        </w:rPr>
        <w:sectPr>
          <w:pgSz w:w="11906" w:h="16838"/>
          <w:pgMar w:top="1440" w:right="1803" w:bottom="1440" w:left="1803" w:header="851" w:footer="992" w:gutter="0"/>
          <w:cols w:space="0" w:num="1"/>
          <w:rtlGutter w:val="0"/>
          <w:docGrid w:type="lines" w:linePitch="332" w:charSpace="0"/>
        </w:sectPr>
      </w:pPr>
    </w:p>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outlineLvl w:val="0"/>
        <w:rPr>
          <w:rFonts w:hint="eastAsia" w:ascii="宋体" w:hAnsi="宋体" w:eastAsia="宋体" w:cs="宋体"/>
          <w:color w:val="auto"/>
          <w:szCs w:val="32"/>
          <w:highlight w:val="none"/>
        </w:rPr>
      </w:pPr>
      <w:bookmarkStart w:id="5" w:name="_Toc29476691"/>
      <w:r>
        <w:rPr>
          <w:rFonts w:hint="eastAsia" w:ascii="宋体" w:hAnsi="宋体" w:eastAsia="宋体" w:cs="宋体"/>
          <w:color w:val="auto"/>
          <w:szCs w:val="32"/>
          <w:highlight w:val="none"/>
        </w:rPr>
        <w:t>第二章 用户需求</w:t>
      </w:r>
      <w:bookmarkEnd w:id="5"/>
    </w:p>
    <w:p>
      <w:pPr>
        <w:pStyle w:val="14"/>
        <w:numPr>
          <w:ilvl w:val="0"/>
          <w:numId w:val="0"/>
        </w:numPr>
        <w:spacing w:line="360" w:lineRule="auto"/>
        <w:ind w:leftChars="0"/>
        <w:rPr>
          <w:rFonts w:cs="华文仿宋" w:asciiTheme="majorEastAsia" w:hAnsiTheme="majorEastAsia" w:eastAsiaTheme="majorEastAsia"/>
          <w:b/>
          <w:color w:val="auto"/>
          <w:sz w:val="28"/>
          <w:szCs w:val="28"/>
          <w:highlight w:val="none"/>
        </w:rPr>
      </w:pPr>
      <w:r>
        <w:rPr>
          <w:rFonts w:hint="eastAsia" w:cs="华文仿宋" w:asciiTheme="majorEastAsia" w:hAnsiTheme="majorEastAsia" w:eastAsiaTheme="majorEastAsia"/>
          <w:b/>
          <w:color w:val="auto"/>
          <w:sz w:val="28"/>
          <w:szCs w:val="28"/>
          <w:highlight w:val="none"/>
          <w:lang w:val="en-US" w:eastAsia="zh-CN"/>
        </w:rPr>
        <w:t xml:space="preserve">1. </w:t>
      </w:r>
      <w:r>
        <w:rPr>
          <w:rFonts w:hint="eastAsia" w:cs="华文仿宋" w:asciiTheme="majorEastAsia" w:hAnsiTheme="majorEastAsia" w:eastAsiaTheme="majorEastAsia"/>
          <w:b/>
          <w:color w:val="auto"/>
          <w:sz w:val="28"/>
          <w:szCs w:val="28"/>
          <w:highlight w:val="none"/>
        </w:rPr>
        <w:t>服务内容</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针对</w:t>
      </w:r>
      <w:r>
        <w:rPr>
          <w:rFonts w:hint="eastAsia" w:asciiTheme="minorEastAsia" w:hAnsiTheme="minorEastAsia" w:eastAsiaTheme="minorEastAsia"/>
          <w:color w:val="auto"/>
          <w:sz w:val="24"/>
          <w:highlight w:val="none"/>
          <w:lang w:val="en-US" w:eastAsia="zh-CN"/>
        </w:rPr>
        <w:t>集团</w:t>
      </w:r>
      <w:r>
        <w:rPr>
          <w:rFonts w:asciiTheme="minorEastAsia" w:hAnsiTheme="minorEastAsia" w:eastAsiaTheme="minorEastAsia"/>
          <w:color w:val="auto"/>
          <w:sz w:val="24"/>
          <w:highlight w:val="none"/>
        </w:rPr>
        <w:t>公司</w:t>
      </w:r>
      <w:r>
        <w:rPr>
          <w:rFonts w:hint="eastAsia" w:asciiTheme="minorEastAsia" w:hAnsiTheme="minorEastAsia" w:eastAsiaTheme="minorEastAsia"/>
          <w:color w:val="auto"/>
          <w:sz w:val="24"/>
          <w:highlight w:val="none"/>
        </w:rPr>
        <w:t>实际情况，分析</w:t>
      </w:r>
      <w:r>
        <w:rPr>
          <w:rFonts w:asciiTheme="minorEastAsia" w:hAnsiTheme="minorEastAsia" w:eastAsiaTheme="minorEastAsia"/>
          <w:color w:val="auto"/>
          <w:sz w:val="24"/>
          <w:highlight w:val="none"/>
        </w:rPr>
        <w:t>各类可能发生的</w:t>
      </w:r>
      <w:r>
        <w:rPr>
          <w:rFonts w:hint="eastAsia" w:asciiTheme="minorEastAsia" w:hAnsiTheme="minorEastAsia" w:eastAsiaTheme="minorEastAsia"/>
          <w:color w:val="auto"/>
          <w:sz w:val="24"/>
          <w:highlight w:val="none"/>
          <w:lang w:val="en-US" w:eastAsia="zh-CN"/>
        </w:rPr>
        <w:t>突发事件/</w:t>
      </w:r>
      <w:r>
        <w:rPr>
          <w:rFonts w:hint="eastAsia" w:asciiTheme="minorEastAsia" w:hAnsiTheme="minorEastAsia" w:eastAsiaTheme="minorEastAsia"/>
          <w:color w:val="auto"/>
          <w:sz w:val="24"/>
          <w:highlight w:val="none"/>
        </w:rPr>
        <w:t>生产安全</w:t>
      </w:r>
      <w:r>
        <w:rPr>
          <w:rFonts w:asciiTheme="minorEastAsia" w:hAnsiTheme="minorEastAsia" w:eastAsiaTheme="minorEastAsia"/>
          <w:color w:val="auto"/>
          <w:sz w:val="24"/>
          <w:highlight w:val="none"/>
        </w:rPr>
        <w:t>事故和</w:t>
      </w:r>
      <w:r>
        <w:rPr>
          <w:rFonts w:cs="仿宋" w:asciiTheme="minorEastAsia" w:hAnsiTheme="minorEastAsia" w:eastAsiaTheme="minorEastAsia"/>
          <w:color w:val="auto"/>
          <w:sz w:val="24"/>
          <w:highlight w:val="none"/>
        </w:rPr>
        <w:t>所有</w:t>
      </w:r>
      <w:r>
        <w:rPr>
          <w:rFonts w:asciiTheme="minorEastAsia" w:hAnsiTheme="minorEastAsia" w:eastAsiaTheme="minorEastAsia"/>
          <w:color w:val="auto"/>
          <w:sz w:val="24"/>
          <w:highlight w:val="none"/>
        </w:rPr>
        <w:t>危险源制订综合应急预案、专项应急预案和现场处置</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案，并明确事前、事中和事后的各个过程和有关人员的职责。对本公司应急能力及应急装备评估，辨识本公司存在的主要危险有害因素，确定本公司可能发生事故的危险源、事故的类型和后果，进行事故风险分析；按照国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省市最新颁布的法律、法规和</w:t>
      </w:r>
      <w:r>
        <w:rPr>
          <w:rFonts w:asciiTheme="minorEastAsia" w:hAnsiTheme="minorEastAsia" w:eastAsiaTheme="minorEastAsia"/>
          <w:color w:val="auto"/>
          <w:sz w:val="24"/>
          <w:highlight w:val="none"/>
        </w:rPr>
        <w:t>标准、导则</w:t>
      </w:r>
      <w:r>
        <w:rPr>
          <w:rFonts w:hint="eastAsia" w:asciiTheme="minorEastAsia" w:hAnsiTheme="minorEastAsia" w:eastAsiaTheme="minorEastAsia"/>
          <w:color w:val="auto"/>
          <w:sz w:val="24"/>
          <w:highlight w:val="none"/>
          <w:lang w:val="en-US" w:eastAsia="zh-CN"/>
        </w:rPr>
        <w:t>等</w:t>
      </w:r>
      <w:r>
        <w:rPr>
          <w:rFonts w:asciiTheme="minorEastAsia" w:hAnsiTheme="minorEastAsia" w:eastAsiaTheme="minorEastAsia"/>
          <w:color w:val="auto"/>
          <w:sz w:val="24"/>
          <w:highlight w:val="none"/>
        </w:rPr>
        <w:t>要求</w:t>
      </w:r>
      <w:r>
        <w:rPr>
          <w:rFonts w:hint="eastAsia" w:asciiTheme="minorEastAsia" w:hAnsiTheme="minorEastAsia" w:eastAsiaTheme="minorEastAsia"/>
          <w:color w:val="auto"/>
          <w:sz w:val="24"/>
          <w:highlight w:val="none"/>
          <w:lang w:val="en-US" w:eastAsia="zh-CN"/>
        </w:rPr>
        <w:t>修</w:t>
      </w:r>
      <w:r>
        <w:rPr>
          <w:rFonts w:asciiTheme="minorEastAsia" w:hAnsiTheme="minorEastAsia" w:eastAsiaTheme="minorEastAsia"/>
          <w:color w:val="auto"/>
          <w:sz w:val="24"/>
          <w:highlight w:val="none"/>
        </w:rPr>
        <w:t>编</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东莞市水务集团有限</w:t>
      </w:r>
      <w:r>
        <w:rPr>
          <w:rFonts w:asciiTheme="minorEastAsia" w:hAnsiTheme="minorEastAsia" w:eastAsiaTheme="minorEastAsia"/>
          <w:color w:val="auto"/>
          <w:sz w:val="24"/>
          <w:highlight w:val="none"/>
        </w:rPr>
        <w:t>公司</w:t>
      </w:r>
      <w:r>
        <w:rPr>
          <w:rFonts w:hint="eastAsia" w:asciiTheme="minorEastAsia" w:hAnsiTheme="minorEastAsia" w:eastAsiaTheme="minorEastAsia"/>
          <w:color w:val="auto"/>
          <w:sz w:val="24"/>
          <w:highlight w:val="none"/>
          <w:lang w:val="en-US" w:eastAsia="zh-CN"/>
        </w:rPr>
        <w:t>突发事件总体应急预案》及新编《东莞市水务集团有限</w:t>
      </w:r>
      <w:r>
        <w:rPr>
          <w:rFonts w:asciiTheme="minorEastAsia" w:hAnsiTheme="minorEastAsia" w:eastAsiaTheme="minorEastAsia"/>
          <w:color w:val="auto"/>
          <w:sz w:val="24"/>
          <w:highlight w:val="none"/>
        </w:rPr>
        <w:t>公司生产安全事故应急预案</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；组织应急预案专家评审。</w:t>
      </w:r>
    </w:p>
    <w:p>
      <w:pPr>
        <w:pStyle w:val="2"/>
        <w:spacing w:line="360" w:lineRule="auto"/>
        <w:ind w:firstLine="560"/>
        <w:rPr>
          <w:color w:val="auto"/>
          <w:highlight w:val="none"/>
        </w:rPr>
      </w:pPr>
    </w:p>
    <w:p>
      <w:pPr>
        <w:spacing w:line="360" w:lineRule="auto"/>
        <w:rPr>
          <w:rFonts w:cs="华文仿宋" w:asciiTheme="majorEastAsia" w:hAnsiTheme="majorEastAsia" w:eastAsiaTheme="majorEastAsia"/>
          <w:color w:val="auto"/>
          <w:sz w:val="28"/>
          <w:szCs w:val="28"/>
          <w:highlight w:val="none"/>
        </w:rPr>
      </w:pPr>
      <w:r>
        <w:rPr>
          <w:rFonts w:hint="eastAsia" w:cs="华文仿宋" w:asciiTheme="majorEastAsia" w:hAnsiTheme="majorEastAsia" w:eastAsiaTheme="majorEastAsia"/>
          <w:b/>
          <w:color w:val="auto"/>
          <w:sz w:val="28"/>
          <w:szCs w:val="28"/>
          <w:highlight w:val="none"/>
          <w:lang w:val="en-US" w:eastAsia="zh-CN"/>
        </w:rPr>
        <w:t>2</w:t>
      </w:r>
      <w:r>
        <w:rPr>
          <w:rFonts w:cs="华文仿宋" w:asciiTheme="majorEastAsia" w:hAnsiTheme="majorEastAsia" w:eastAsiaTheme="majorEastAsia"/>
          <w:b/>
          <w:color w:val="auto"/>
          <w:sz w:val="28"/>
          <w:szCs w:val="28"/>
          <w:highlight w:val="none"/>
        </w:rPr>
        <w:t xml:space="preserve">. </w:t>
      </w:r>
      <w:r>
        <w:rPr>
          <w:rFonts w:hint="eastAsia" w:cs="华文仿宋" w:asciiTheme="majorEastAsia" w:hAnsiTheme="majorEastAsia" w:eastAsiaTheme="majorEastAsia"/>
          <w:b/>
          <w:color w:val="auto"/>
          <w:sz w:val="28"/>
          <w:szCs w:val="28"/>
          <w:highlight w:val="none"/>
        </w:rPr>
        <w:t>质量要求</w:t>
      </w:r>
    </w:p>
    <w:p>
      <w:pPr>
        <w:spacing w:line="360" w:lineRule="auto"/>
        <w:rPr>
          <w:rFonts w:cs="华文仿宋" w:asciiTheme="minorEastAsia" w:hAnsiTheme="minorEastAsia" w:eastAsiaTheme="minorEastAsia"/>
          <w:color w:val="auto"/>
          <w:sz w:val="24"/>
          <w:highlight w:val="none"/>
        </w:rPr>
      </w:pPr>
      <w:r>
        <w:rPr>
          <w:rFonts w:hint="eastAsia" w:cs="华文仿宋" w:asciiTheme="minorEastAsia" w:hAnsiTheme="minorEastAsia" w:eastAsiaTheme="minorEastAsia"/>
          <w:color w:val="auto"/>
          <w:sz w:val="24"/>
          <w:highlight w:val="none"/>
          <w:lang w:val="en-US" w:eastAsia="zh-CN"/>
        </w:rPr>
        <w:t>2</w:t>
      </w:r>
      <w:r>
        <w:rPr>
          <w:rFonts w:cs="华文仿宋" w:asciiTheme="minorEastAsia" w:hAnsiTheme="minorEastAsia" w:eastAsiaTheme="minorEastAsia"/>
          <w:color w:val="auto"/>
          <w:sz w:val="24"/>
          <w:highlight w:val="none"/>
        </w:rPr>
        <w:t>.1</w:t>
      </w:r>
      <w:r>
        <w:rPr>
          <w:rFonts w:hint="eastAsia" w:cs="华文仿宋" w:asciiTheme="minorEastAsia" w:hAnsiTheme="minorEastAsia" w:eastAsiaTheme="minorEastAsia"/>
          <w:color w:val="auto"/>
          <w:sz w:val="24"/>
          <w:highlight w:val="none"/>
        </w:rPr>
        <w:t>编写要求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突发事件总体应急预案/</w:t>
      </w:r>
      <w:r>
        <w:rPr>
          <w:rFonts w:asciiTheme="minorEastAsia" w:hAnsiTheme="minorEastAsia" w:eastAsiaTheme="minorEastAsia"/>
          <w:color w:val="auto"/>
          <w:sz w:val="24"/>
          <w:highlight w:val="none"/>
        </w:rPr>
        <w:t>生产安全事故应急</w:t>
      </w:r>
      <w:r>
        <w:rPr>
          <w:rFonts w:hint="eastAsia" w:asciiTheme="minorEastAsia" w:hAnsiTheme="minorEastAsia" w:eastAsiaTheme="minorEastAsia"/>
          <w:color w:val="auto"/>
          <w:sz w:val="24"/>
          <w:highlight w:val="none"/>
          <w:lang w:val="en-US" w:eastAsia="zh-CN"/>
        </w:rPr>
        <w:t>预案</w:t>
      </w:r>
      <w:r>
        <w:rPr>
          <w:rFonts w:asciiTheme="minorEastAsia" w:hAnsiTheme="minorEastAsia" w:eastAsiaTheme="minorEastAsia"/>
          <w:color w:val="auto"/>
          <w:sz w:val="24"/>
          <w:highlight w:val="none"/>
        </w:rPr>
        <w:t>编写要求，内容包括</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符合有关法律、法规、规章和标准的</w:t>
      </w:r>
      <w:r>
        <w:rPr>
          <w:rFonts w:hint="eastAsia" w:asciiTheme="minorEastAsia" w:hAnsiTheme="minorEastAsia" w:eastAsiaTheme="minorEastAsia"/>
          <w:color w:val="auto"/>
          <w:sz w:val="24"/>
          <w:highlight w:val="none"/>
          <w:lang w:val="en-US" w:eastAsia="zh-CN"/>
        </w:rPr>
        <w:t>要求</w:t>
      </w:r>
      <w:r>
        <w:rPr>
          <w:rFonts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结合本地区、本单位的安全生产实际分析情况；</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结合本地区、本单位的危险性分析情况；</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应急</w:t>
      </w:r>
      <w:r>
        <w:rPr>
          <w:rFonts w:hint="eastAsia" w:asciiTheme="minorEastAsia" w:hAnsiTheme="minorEastAsia" w:eastAsiaTheme="minorEastAsia"/>
          <w:color w:val="auto"/>
          <w:sz w:val="24"/>
          <w:highlight w:val="none"/>
          <w:lang w:val="en-US" w:eastAsia="zh-CN"/>
        </w:rPr>
        <w:t>部门、</w:t>
      </w:r>
      <w:r>
        <w:rPr>
          <w:rFonts w:asciiTheme="minorEastAsia" w:hAnsiTheme="minorEastAsia" w:eastAsiaTheme="minorEastAsia"/>
          <w:color w:val="auto"/>
          <w:sz w:val="24"/>
          <w:highlight w:val="none"/>
        </w:rPr>
        <w:t>组织和人员的职责分工明确，并有具体的落实措施；</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有明确、具体的应急程序，并与其应急能力相适应；</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有明确的应急保障措施，并能满足本地区、本单位的应急工作要求；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预案基本要素齐全、完整；</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预案内容与</w:t>
      </w:r>
      <w:r>
        <w:rPr>
          <w:rFonts w:hint="eastAsia" w:asciiTheme="minorEastAsia" w:hAnsiTheme="minorEastAsia" w:eastAsiaTheme="minorEastAsia"/>
          <w:color w:val="auto"/>
          <w:sz w:val="24"/>
          <w:highlight w:val="none"/>
        </w:rPr>
        <w:t>上级</w:t>
      </w:r>
      <w:r>
        <w:rPr>
          <w:rFonts w:asciiTheme="minorEastAsia" w:hAnsiTheme="minorEastAsia" w:eastAsiaTheme="minorEastAsia"/>
          <w:color w:val="auto"/>
          <w:sz w:val="24"/>
          <w:highlight w:val="none"/>
        </w:rPr>
        <w:t>相关应急预案编制内容相互衔接</w:t>
      </w:r>
      <w:r>
        <w:rPr>
          <w:rFonts w:hint="eastAsia" w:asciiTheme="minorEastAsia" w:hAnsiTheme="minorEastAsia" w:eastAsiaTheme="minorEastAsia"/>
          <w:color w:val="auto"/>
          <w:sz w:val="24"/>
          <w:highlight w:val="none"/>
          <w:lang w:val="en-US" w:eastAsia="zh-CN"/>
        </w:rPr>
        <w:t>并对集团直属企业有指导作用</w:t>
      </w:r>
      <w:r>
        <w:rPr>
          <w:rFonts w:asciiTheme="minorEastAsia" w:hAnsiTheme="minorEastAsia" w:eastAsiaTheme="minorEastAsia"/>
          <w:color w:val="auto"/>
          <w:sz w:val="24"/>
          <w:highlight w:val="none"/>
        </w:rPr>
        <w:t>。</w:t>
      </w:r>
    </w:p>
    <w:p>
      <w:pPr>
        <w:spacing w:line="360" w:lineRule="auto"/>
        <w:rPr>
          <w:rFonts w:cs="华文仿宋" w:asciiTheme="minorEastAsia" w:hAnsiTheme="minorEastAsia" w:eastAsiaTheme="minorEastAsia"/>
          <w:color w:val="auto"/>
          <w:sz w:val="24"/>
          <w:highlight w:val="none"/>
        </w:rPr>
      </w:pPr>
      <w:r>
        <w:rPr>
          <w:rFonts w:hint="eastAsia" w:cs="华文仿宋" w:asciiTheme="minorEastAsia" w:hAnsiTheme="minorEastAsia" w:eastAsiaTheme="minorEastAsia"/>
          <w:color w:val="auto"/>
          <w:sz w:val="24"/>
          <w:highlight w:val="none"/>
          <w:lang w:val="en-US" w:eastAsia="zh-CN"/>
        </w:rPr>
        <w:t>2</w:t>
      </w:r>
      <w:r>
        <w:rPr>
          <w:rFonts w:cs="华文仿宋" w:asciiTheme="minorEastAsia" w:hAnsiTheme="minorEastAsia" w:eastAsiaTheme="minorEastAsia"/>
          <w:color w:val="auto"/>
          <w:sz w:val="24"/>
          <w:highlight w:val="none"/>
        </w:rPr>
        <w:t>.2</w:t>
      </w:r>
      <w:r>
        <w:rPr>
          <w:rFonts w:hint="eastAsia" w:cs="华文仿宋" w:asciiTheme="minorEastAsia" w:hAnsiTheme="minorEastAsia" w:eastAsiaTheme="minorEastAsia"/>
          <w:color w:val="auto"/>
          <w:sz w:val="24"/>
          <w:highlight w:val="none"/>
        </w:rPr>
        <w:t>质量标准和规范</w:t>
      </w:r>
    </w:p>
    <w:p>
      <w:pPr>
        <w:spacing w:line="360" w:lineRule="auto"/>
        <w:ind w:firstLine="480" w:firstLineChars="200"/>
        <w:rPr>
          <w:rFonts w:cs="华文仿宋" w:asciiTheme="minorEastAsia" w:hAnsiTheme="minorEastAsia" w:eastAsiaTheme="minorEastAsia"/>
          <w:color w:val="auto"/>
          <w:sz w:val="24"/>
          <w:highlight w:val="none"/>
        </w:rPr>
      </w:pPr>
      <w:r>
        <w:rPr>
          <w:rFonts w:hint="eastAsia" w:cs="华文仿宋" w:asciiTheme="minorEastAsia" w:hAnsiTheme="minorEastAsia" w:eastAsiaTheme="minorEastAsia"/>
          <w:color w:val="auto"/>
          <w:sz w:val="24"/>
          <w:highlight w:val="none"/>
        </w:rPr>
        <w:t>所编写的</w:t>
      </w:r>
      <w:r>
        <w:rPr>
          <w:rFonts w:hint="eastAsia" w:asciiTheme="minorEastAsia" w:hAnsiTheme="minorEastAsia" w:eastAsiaTheme="minorEastAsia"/>
          <w:color w:val="auto"/>
          <w:sz w:val="24"/>
          <w:highlight w:val="none"/>
          <w:lang w:val="en-US" w:eastAsia="zh-CN"/>
        </w:rPr>
        <w:t>突发事件总体应急预案/</w:t>
      </w:r>
      <w:r>
        <w:rPr>
          <w:rFonts w:asciiTheme="minorEastAsia" w:hAnsiTheme="minorEastAsia" w:eastAsiaTheme="minorEastAsia"/>
          <w:color w:val="auto"/>
          <w:sz w:val="24"/>
          <w:highlight w:val="none"/>
        </w:rPr>
        <w:t>生产安全事故应急预案</w:t>
      </w:r>
      <w:r>
        <w:rPr>
          <w:rFonts w:hint="eastAsia" w:cs="华文仿宋" w:asciiTheme="minorEastAsia" w:hAnsiTheme="minorEastAsia" w:eastAsiaTheme="minorEastAsia"/>
          <w:color w:val="auto"/>
          <w:sz w:val="24"/>
          <w:highlight w:val="none"/>
        </w:rPr>
        <w:t>应符合中华人民共和国国家有关标准和规范，下列标准所包含的部分条文在本文件中引用，报价人所提供的服务必须符合这些要求；未被引用的部分同样也被视为必须遵循的标准，并且这些标准会被修订，报价人应按最新的版本执行。当本文件要求高于国标、部标时，应满足本文件的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《中华人民共和国安全生产法》（中华人民共和国主席令第</w:t>
      </w:r>
      <w:r>
        <w:rPr>
          <w:rFonts w:hint="eastAsia" w:asciiTheme="minorEastAsia" w:hAnsiTheme="minorEastAsia" w:eastAsiaTheme="minorEastAsia"/>
          <w:color w:val="auto"/>
          <w:sz w:val="24"/>
          <w:highlight w:val="none"/>
        </w:rPr>
        <w:t>88</w:t>
      </w:r>
      <w:r>
        <w:rPr>
          <w:rFonts w:asciiTheme="minorEastAsia" w:hAnsiTheme="minorEastAsia" w:eastAsiaTheme="minorEastAsia"/>
          <w:color w:val="auto"/>
          <w:sz w:val="24"/>
          <w:highlight w:val="none"/>
        </w:rPr>
        <w:t>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 xml:space="preserve">《中华人民共和国职业病防治法》（中华人民共和国主席令第52号）；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《中华人民共和国消防法》（中华人民共和国主席令第6号）；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《中华人民共和国突发事件应对法》（中华人民共和国主席令第69号）；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《广东省突发事件应对条例》（2010年6月2日广东省第十一届人民代表大会常务委员会第十九次会议通过）；</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《生产经营单位生产安全事故应急预案编制导则》（GB/T 29639-2020）；</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《生产安全事故应急预案管理办法》（</w:t>
      </w:r>
      <w:r>
        <w:rPr>
          <w:rFonts w:hint="eastAsia" w:asciiTheme="minorEastAsia" w:hAnsiTheme="minorEastAsia" w:eastAsiaTheme="minorEastAsia"/>
          <w:color w:val="auto"/>
          <w:sz w:val="24"/>
          <w:highlight w:val="none"/>
        </w:rPr>
        <w:t>应急管理部</w:t>
      </w:r>
      <w:r>
        <w:rPr>
          <w:rFonts w:asciiTheme="minorEastAsia" w:hAnsiTheme="minorEastAsia" w:eastAsiaTheme="minorEastAsia"/>
          <w:color w:val="auto"/>
          <w:sz w:val="24"/>
          <w:highlight w:val="none"/>
        </w:rPr>
        <w:t>令第2号）；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《生产经营单位生产安全事故应急预案评审指南（试行）》（安监总厅应急[2009]73号）；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《国家安全监管总局办公厅关于贯彻实施〈生产安全事故应急预案管理办法〉的通知》（安监总厅应急[2009]84号）；</w:t>
      </w:r>
    </w:p>
    <w:p>
      <w:pPr>
        <w:spacing w:line="360" w:lineRule="auto"/>
        <w:ind w:firstLine="480" w:firstLineChars="200"/>
        <w:rPr>
          <w:rFonts w:asciiTheme="minorEastAsia" w:hAnsiTheme="minorEastAsia" w:eastAsiaTheme="minorEastAsia"/>
          <w:color w:val="auto"/>
          <w:sz w:val="24"/>
          <w:highlight w:val="none"/>
        </w:rPr>
      </w:pPr>
      <w:bookmarkStart w:id="6" w:name="_Toc184658802"/>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《生产安全事故报告和调查处理条例</w:t>
      </w:r>
      <w:bookmarkEnd w:id="6"/>
      <w:r>
        <w:rPr>
          <w:rFonts w:asciiTheme="minorEastAsia" w:hAnsiTheme="minorEastAsia" w:eastAsiaTheme="minorEastAsia"/>
          <w:color w:val="auto"/>
          <w:sz w:val="24"/>
          <w:highlight w:val="none"/>
        </w:rPr>
        <w:t>》（中华人民共和国国务院令第493号）；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《广东省安全生产条例》（广东省第十届人民代表大会常务委员会公告（2006年）第62号）；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《生产安全事故信息报告和处置办法》（国家安全生产监督管理总局令第21号）；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《关于深入贯彻〈生产安全事故应急预案管理办法实施细则〉的通知》（粤安办[2011]22号）；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《关于加强行业安全生产应急预案管理工作的通知》（粤安监[2011] 182号）；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《企业职工伤亡事故分类标准》（GB6441－86）；</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广东省安全生产监督管理局关于印发《广东省安全生产监督管理局关于〈生产安全事故应急预案管理办法〉的实施细则》的通知（粤安监应急〔2017〕9号）；</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关于印发《生产安全事故应急预案备案办事指南（2017版）》的通知（东安监管[2017]235号）</w:t>
      </w:r>
      <w:r>
        <w:rPr>
          <w:rFonts w:hint="eastAsia" w:asciiTheme="minorEastAsia" w:hAnsiTheme="minorEastAsia" w:eastAsiaTheme="minorEastAsia"/>
          <w:color w:val="auto"/>
          <w:sz w:val="24"/>
          <w:highlight w:val="none"/>
        </w:rPr>
        <w:t>。</w:t>
      </w:r>
    </w:p>
    <w:p>
      <w:pPr>
        <w:pStyle w:val="2"/>
        <w:spacing w:line="360" w:lineRule="auto"/>
        <w:ind w:left="0" w:leftChars="0"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东莞市突发事件总体应急预案</w:t>
      </w:r>
      <w:r>
        <w:rPr>
          <w:rFonts w:hint="eastAsia" w:asciiTheme="minorEastAsia" w:hAnsiTheme="minorEastAsia" w:eastAsiaTheme="minorEastAsia"/>
          <w:color w:val="auto"/>
          <w:sz w:val="24"/>
          <w:highlight w:val="none"/>
          <w:lang w:eastAsia="zh-CN"/>
        </w:rPr>
        <w:t>》</w:t>
      </w:r>
    </w:p>
    <w:p>
      <w:pPr>
        <w:pStyle w:val="2"/>
        <w:spacing w:line="360" w:lineRule="auto"/>
        <w:ind w:left="0" w:leftChars="0"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19</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东莞市工贸行业生产安全事故应急预案</w:t>
      </w:r>
      <w:r>
        <w:rPr>
          <w:rFonts w:hint="eastAsia" w:asciiTheme="minorEastAsia" w:hAnsiTheme="minorEastAsia" w:eastAsiaTheme="minorEastAsia"/>
          <w:color w:val="auto"/>
          <w:sz w:val="24"/>
          <w:highlight w:val="none"/>
          <w:lang w:eastAsia="zh-CN"/>
        </w:rPr>
        <w:t>》</w:t>
      </w:r>
    </w:p>
    <w:p>
      <w:pPr>
        <w:pStyle w:val="2"/>
        <w:spacing w:line="360" w:lineRule="auto"/>
        <w:ind w:left="0" w:leftChars="0"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其它未列相关法律、法规、规章及标准和规范</w:t>
      </w:r>
    </w:p>
    <w:p>
      <w:pPr>
        <w:spacing w:line="360" w:lineRule="auto"/>
        <w:rPr>
          <w:rFonts w:asciiTheme="minorEastAsia" w:hAnsiTheme="minorEastAsia" w:eastAsiaTheme="minorEastAsia"/>
          <w:color w:val="auto"/>
          <w:sz w:val="24"/>
          <w:highlight w:val="none"/>
        </w:rPr>
      </w:pPr>
      <w:r>
        <w:rPr>
          <w:rFonts w:hint="eastAsia" w:cs="华文仿宋" w:asciiTheme="minorEastAsia" w:hAnsiTheme="minorEastAsia" w:eastAsiaTheme="minorEastAsia"/>
          <w:color w:val="auto"/>
          <w:sz w:val="24"/>
          <w:highlight w:val="none"/>
          <w:lang w:val="en-US" w:eastAsia="zh-CN"/>
        </w:rPr>
        <w:t>2</w:t>
      </w:r>
      <w:r>
        <w:rPr>
          <w:rFonts w:cs="华文仿宋" w:asciiTheme="minorEastAsia" w:hAnsiTheme="minorEastAsia" w:eastAsiaTheme="minorEastAsia"/>
          <w:color w:val="auto"/>
          <w:sz w:val="24"/>
          <w:highlight w:val="none"/>
        </w:rPr>
        <w:t>.3</w:t>
      </w:r>
      <w:r>
        <w:rPr>
          <w:rFonts w:hint="eastAsia" w:cs="华文仿宋" w:asciiTheme="minorEastAsia" w:hAnsiTheme="minorEastAsia" w:eastAsiaTheme="minorEastAsia"/>
          <w:color w:val="auto"/>
          <w:sz w:val="24"/>
          <w:highlight w:val="none"/>
          <w:lang w:val="en-US" w:eastAsia="zh-CN"/>
        </w:rPr>
        <w:t>服务</w:t>
      </w:r>
      <w:r>
        <w:rPr>
          <w:rFonts w:hint="eastAsia" w:cs="华文仿宋" w:asciiTheme="minorEastAsia" w:hAnsiTheme="minorEastAsia" w:eastAsiaTheme="minorEastAsia"/>
          <w:color w:val="auto"/>
          <w:sz w:val="24"/>
          <w:highlight w:val="none"/>
        </w:rPr>
        <w:t>单位要求</w:t>
      </w:r>
    </w:p>
    <w:p>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根据《中华人民共和国安全生产法》规定，生产经营单位应当制定本单位</w:t>
      </w:r>
      <w:r>
        <w:rPr>
          <w:rFonts w:hint="eastAsia" w:asciiTheme="minorEastAsia" w:hAnsiTheme="minorEastAsia" w:eastAsiaTheme="minorEastAsia"/>
          <w:color w:val="auto"/>
          <w:sz w:val="24"/>
          <w:highlight w:val="none"/>
          <w:lang w:val="en-US" w:eastAsia="zh-CN"/>
        </w:rPr>
        <w:t>突发事件总体应急预案/</w:t>
      </w:r>
      <w:r>
        <w:rPr>
          <w:rFonts w:asciiTheme="minorEastAsia" w:hAnsiTheme="minorEastAsia" w:eastAsiaTheme="minorEastAsia"/>
          <w:color w:val="auto"/>
          <w:sz w:val="24"/>
          <w:highlight w:val="none"/>
        </w:rPr>
        <w:t>生产安全事故应急预案</w:t>
      </w:r>
      <w:r>
        <w:rPr>
          <w:rFonts w:hint="eastAsia" w:cs="仿宋" w:asciiTheme="minorEastAsia" w:hAnsiTheme="minorEastAsia" w:eastAsiaTheme="minorEastAsia"/>
          <w:color w:val="auto"/>
          <w:sz w:val="24"/>
          <w:highlight w:val="none"/>
        </w:rPr>
        <w:t>的要求，需要采购</w:t>
      </w:r>
      <w:r>
        <w:rPr>
          <w:rFonts w:hint="eastAsia" w:asciiTheme="minorEastAsia" w:hAnsiTheme="minorEastAsia" w:eastAsiaTheme="minorEastAsia"/>
          <w:color w:val="auto"/>
          <w:sz w:val="24"/>
          <w:highlight w:val="none"/>
          <w:lang w:val="en-US" w:eastAsia="zh-CN"/>
        </w:rPr>
        <w:t>突发事件总体应急预案/</w:t>
      </w:r>
      <w:r>
        <w:rPr>
          <w:rFonts w:asciiTheme="minorEastAsia" w:hAnsiTheme="minorEastAsia" w:eastAsiaTheme="minorEastAsia"/>
          <w:color w:val="auto"/>
          <w:sz w:val="24"/>
          <w:highlight w:val="none"/>
        </w:rPr>
        <w:t>生产安全事故应急预案</w:t>
      </w:r>
      <w:r>
        <w:rPr>
          <w:rFonts w:hint="eastAsia" w:cs="仿宋" w:asciiTheme="minorEastAsia" w:hAnsiTheme="minorEastAsia" w:eastAsiaTheme="minorEastAsia"/>
          <w:color w:val="auto"/>
          <w:sz w:val="24"/>
          <w:highlight w:val="none"/>
        </w:rPr>
        <w:t>服务，供应商的服务资质要求是具备参与和开展应急预案技术服务工作的条件和能力的单位。</w:t>
      </w:r>
    </w:p>
    <w:p>
      <w:pPr>
        <w:pStyle w:val="2"/>
        <w:spacing w:line="360" w:lineRule="auto"/>
        <w:ind w:firstLine="560"/>
        <w:rPr>
          <w:color w:val="auto"/>
          <w:highlight w:val="none"/>
        </w:rPr>
      </w:pPr>
    </w:p>
    <w:p>
      <w:pPr>
        <w:spacing w:line="360" w:lineRule="auto"/>
        <w:rPr>
          <w:rFonts w:cs="华文仿宋" w:asciiTheme="majorEastAsia" w:hAnsiTheme="majorEastAsia" w:eastAsiaTheme="majorEastAsia"/>
          <w:b/>
          <w:color w:val="auto"/>
          <w:sz w:val="24"/>
          <w:highlight w:val="none"/>
        </w:rPr>
      </w:pPr>
      <w:r>
        <w:rPr>
          <w:rFonts w:hint="eastAsia" w:cs="华文仿宋" w:asciiTheme="majorEastAsia" w:hAnsiTheme="majorEastAsia" w:eastAsiaTheme="majorEastAsia"/>
          <w:b/>
          <w:color w:val="auto"/>
          <w:sz w:val="28"/>
          <w:szCs w:val="28"/>
          <w:highlight w:val="none"/>
          <w:lang w:val="en-US" w:eastAsia="zh-CN"/>
        </w:rPr>
        <w:t>3</w:t>
      </w:r>
      <w:r>
        <w:rPr>
          <w:rFonts w:cs="华文仿宋" w:asciiTheme="majorEastAsia" w:hAnsiTheme="majorEastAsia" w:eastAsiaTheme="majorEastAsia"/>
          <w:b/>
          <w:color w:val="auto"/>
          <w:sz w:val="28"/>
          <w:szCs w:val="28"/>
          <w:highlight w:val="none"/>
        </w:rPr>
        <w:t xml:space="preserve">. </w:t>
      </w:r>
      <w:r>
        <w:rPr>
          <w:rFonts w:hint="eastAsia" w:cs="华文仿宋" w:asciiTheme="majorEastAsia" w:hAnsiTheme="majorEastAsia" w:eastAsiaTheme="majorEastAsia"/>
          <w:b/>
          <w:color w:val="auto"/>
          <w:sz w:val="28"/>
          <w:szCs w:val="28"/>
          <w:highlight w:val="none"/>
        </w:rPr>
        <w:t>成果要求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分别</w:t>
      </w:r>
      <w:r>
        <w:rPr>
          <w:rFonts w:asciiTheme="minorEastAsia" w:hAnsiTheme="minorEastAsia" w:eastAsiaTheme="minorEastAsia"/>
          <w:color w:val="auto"/>
          <w:sz w:val="24"/>
          <w:highlight w:val="none"/>
        </w:rPr>
        <w:t>完成</w:t>
      </w:r>
      <w:r>
        <w:rPr>
          <w:rFonts w:hint="eastAsia" w:asciiTheme="minorEastAsia" w:hAnsiTheme="minorEastAsia" w:eastAsiaTheme="minorEastAsia"/>
          <w:color w:val="auto"/>
          <w:sz w:val="24"/>
          <w:highlight w:val="none"/>
          <w:lang w:val="en-US" w:eastAsia="zh-CN"/>
        </w:rPr>
        <w:t>突发事件总体应急预案修编及</w:t>
      </w:r>
      <w:r>
        <w:rPr>
          <w:rFonts w:asciiTheme="minorEastAsia" w:hAnsiTheme="minorEastAsia" w:eastAsiaTheme="minorEastAsia"/>
          <w:color w:val="auto"/>
          <w:sz w:val="24"/>
          <w:highlight w:val="none"/>
        </w:rPr>
        <w:t>生产安全事故应急预案</w:t>
      </w:r>
      <w:r>
        <w:rPr>
          <w:rFonts w:hint="eastAsia" w:asciiTheme="minorEastAsia" w:hAnsiTheme="minorEastAsia" w:eastAsiaTheme="minorEastAsia"/>
          <w:color w:val="auto"/>
          <w:sz w:val="24"/>
          <w:highlight w:val="none"/>
          <w:lang w:val="en-US" w:eastAsia="zh-CN"/>
        </w:rPr>
        <w:t>新</w:t>
      </w:r>
      <w:r>
        <w:rPr>
          <w:rFonts w:asciiTheme="minorEastAsia" w:hAnsiTheme="minorEastAsia" w:eastAsiaTheme="minorEastAsia"/>
          <w:color w:val="auto"/>
          <w:sz w:val="24"/>
          <w:highlight w:val="none"/>
        </w:rPr>
        <w:t>编。</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组织专家评审，通过专家评审</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协助甲方报备或备案</w:t>
      </w:r>
      <w:r>
        <w:rPr>
          <w:rFonts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按照新编制的</w:t>
      </w:r>
      <w:r>
        <w:rPr>
          <w:rFonts w:asciiTheme="minorEastAsia" w:hAnsiTheme="minorEastAsia" w:eastAsiaTheme="minorEastAsia"/>
          <w:color w:val="auto"/>
          <w:sz w:val="24"/>
          <w:highlight w:val="none"/>
        </w:rPr>
        <w:t>应急预案</w:t>
      </w:r>
      <w:r>
        <w:rPr>
          <w:rFonts w:hint="eastAsia" w:asciiTheme="minorEastAsia" w:hAnsiTheme="minorEastAsia" w:eastAsiaTheme="minorEastAsia"/>
          <w:color w:val="auto"/>
          <w:sz w:val="24"/>
          <w:highlight w:val="none"/>
          <w:lang w:val="en-US" w:eastAsia="zh-CN"/>
        </w:rPr>
        <w:t>分别组织应急演练</w:t>
      </w:r>
      <w:r>
        <w:rPr>
          <w:rFonts w:asciiTheme="minorEastAsia" w:hAnsiTheme="minorEastAsia" w:eastAsiaTheme="minorEastAsia"/>
          <w:color w:val="auto"/>
          <w:sz w:val="24"/>
          <w:highlight w:val="none"/>
        </w:rPr>
        <w:t>一次。</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应急预案文本电子版（光盘）及纸质版预案文本</w:t>
      </w:r>
      <w:r>
        <w:rPr>
          <w:rFonts w:hint="eastAsia" w:asciiTheme="minorEastAsia" w:hAnsiTheme="minorEastAsia" w:eastAsiaTheme="minorEastAsia"/>
          <w:color w:val="auto"/>
          <w:sz w:val="24"/>
          <w:highlight w:val="none"/>
          <w:lang w:val="en-US" w:eastAsia="zh-CN"/>
        </w:rPr>
        <w:t>各</w:t>
      </w:r>
      <w:r>
        <w:rPr>
          <w:rFonts w:asciiTheme="minorEastAsia" w:hAnsiTheme="minorEastAsia" w:eastAsiaTheme="minorEastAsia"/>
          <w:color w:val="auto"/>
          <w:sz w:val="24"/>
          <w:highlight w:val="none"/>
        </w:rPr>
        <w:t>一式</w:t>
      </w:r>
      <w:r>
        <w:rPr>
          <w:rFonts w:hint="eastAsia" w:asciiTheme="minorEastAsia" w:hAnsiTheme="minorEastAsia" w:eastAsiaTheme="minorEastAsia"/>
          <w:color w:val="auto"/>
          <w:sz w:val="24"/>
          <w:highlight w:val="none"/>
          <w:lang w:val="en-US" w:eastAsia="zh-CN"/>
        </w:rPr>
        <w:t>十</w:t>
      </w:r>
      <w:r>
        <w:rPr>
          <w:rFonts w:asciiTheme="minorEastAsia" w:hAnsiTheme="minorEastAsia" w:eastAsiaTheme="minorEastAsia"/>
          <w:color w:val="auto"/>
          <w:sz w:val="24"/>
          <w:highlight w:val="none"/>
        </w:rPr>
        <w:t>份，专家评审</w:t>
      </w:r>
      <w:r>
        <w:rPr>
          <w:rFonts w:hint="eastAsia" w:asciiTheme="minorEastAsia" w:hAnsiTheme="minorEastAsia" w:eastAsiaTheme="minorEastAsia"/>
          <w:color w:val="auto"/>
          <w:sz w:val="24"/>
          <w:highlight w:val="none"/>
        </w:rPr>
        <w:t>相关资料</w:t>
      </w:r>
      <w:r>
        <w:rPr>
          <w:rFonts w:hint="eastAsia" w:asciiTheme="minorEastAsia" w:hAnsiTheme="minorEastAsia" w:eastAsiaTheme="minorEastAsia"/>
          <w:color w:val="auto"/>
          <w:sz w:val="24"/>
          <w:highlight w:val="none"/>
          <w:lang w:val="en-US" w:eastAsia="zh-CN"/>
        </w:rPr>
        <w:t>各</w:t>
      </w:r>
      <w:r>
        <w:rPr>
          <w:rFonts w:hint="eastAsia" w:asciiTheme="minorEastAsia" w:hAnsiTheme="minorEastAsia" w:eastAsiaTheme="minorEastAsia"/>
          <w:color w:val="auto"/>
          <w:sz w:val="24"/>
          <w:highlight w:val="none"/>
        </w:rPr>
        <w:t>一式二份</w:t>
      </w:r>
      <w:r>
        <w:rPr>
          <w:rFonts w:asciiTheme="minorEastAsia" w:hAnsiTheme="minorEastAsia" w:eastAsiaTheme="minorEastAsia"/>
          <w:color w:val="auto"/>
          <w:sz w:val="24"/>
          <w:highlight w:val="none"/>
        </w:rPr>
        <w:t>。</w:t>
      </w:r>
    </w:p>
    <w:p>
      <w:pPr>
        <w:pStyle w:val="2"/>
        <w:spacing w:line="360" w:lineRule="auto"/>
        <w:ind w:firstLine="560"/>
        <w:rPr>
          <w:color w:val="auto"/>
          <w:highlight w:val="none"/>
        </w:rPr>
      </w:pPr>
    </w:p>
    <w:p>
      <w:pPr>
        <w:spacing w:line="360" w:lineRule="auto"/>
        <w:rPr>
          <w:rFonts w:cs="华文仿宋" w:asciiTheme="majorEastAsia" w:hAnsiTheme="majorEastAsia" w:eastAsiaTheme="majorEastAsia"/>
          <w:b/>
          <w:color w:val="auto"/>
          <w:sz w:val="28"/>
          <w:szCs w:val="28"/>
          <w:highlight w:val="none"/>
        </w:rPr>
      </w:pPr>
      <w:r>
        <w:rPr>
          <w:rFonts w:hint="eastAsia" w:cs="华文仿宋" w:asciiTheme="majorEastAsia" w:hAnsiTheme="majorEastAsia" w:eastAsiaTheme="majorEastAsia"/>
          <w:b/>
          <w:color w:val="auto"/>
          <w:sz w:val="28"/>
          <w:szCs w:val="28"/>
          <w:highlight w:val="none"/>
          <w:lang w:val="en-US" w:eastAsia="zh-CN"/>
        </w:rPr>
        <w:t>4</w:t>
      </w:r>
      <w:r>
        <w:rPr>
          <w:rFonts w:cs="华文仿宋" w:asciiTheme="majorEastAsia" w:hAnsiTheme="majorEastAsia" w:eastAsiaTheme="majorEastAsia"/>
          <w:b/>
          <w:color w:val="auto"/>
          <w:sz w:val="28"/>
          <w:szCs w:val="28"/>
          <w:highlight w:val="none"/>
        </w:rPr>
        <w:t xml:space="preserve">. </w:t>
      </w:r>
      <w:r>
        <w:rPr>
          <w:rFonts w:hint="eastAsia" w:cs="华文仿宋" w:asciiTheme="majorEastAsia" w:hAnsiTheme="majorEastAsia" w:eastAsiaTheme="majorEastAsia"/>
          <w:b/>
          <w:color w:val="auto"/>
          <w:sz w:val="28"/>
          <w:szCs w:val="28"/>
          <w:highlight w:val="none"/>
        </w:rPr>
        <w:t>服务期限要求</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自</w:t>
      </w:r>
      <w:r>
        <w:rPr>
          <w:rFonts w:hint="eastAsia" w:asciiTheme="minorEastAsia" w:hAnsiTheme="minorEastAsia" w:eastAsiaTheme="minorEastAsia"/>
          <w:color w:val="auto"/>
          <w:sz w:val="24"/>
          <w:highlight w:val="none"/>
        </w:rPr>
        <w:t>采购人通知之日</w:t>
      </w:r>
      <w:r>
        <w:rPr>
          <w:rFonts w:asciiTheme="minorEastAsia" w:hAnsiTheme="minorEastAsia" w:eastAsiaTheme="minorEastAsia"/>
          <w:color w:val="auto"/>
          <w:sz w:val="24"/>
          <w:highlight w:val="none"/>
        </w:rPr>
        <w:t>起</w:t>
      </w:r>
      <w:r>
        <w:rPr>
          <w:rFonts w:hint="eastAsia" w:asciiTheme="minorEastAsia" w:hAnsiTheme="minorEastAsia" w:eastAsiaTheme="minorEastAsia"/>
          <w:color w:val="auto"/>
          <w:sz w:val="24"/>
          <w:highlight w:val="none"/>
          <w:lang w:val="en-US" w:eastAsia="zh-CN"/>
        </w:rPr>
        <w:t>至2024年7</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底前</w:t>
      </w:r>
      <w:r>
        <w:rPr>
          <w:rFonts w:asciiTheme="minorEastAsia" w:hAnsiTheme="minorEastAsia" w:eastAsiaTheme="minorEastAsia"/>
          <w:color w:val="auto"/>
          <w:sz w:val="24"/>
          <w:highlight w:val="none"/>
        </w:rPr>
        <w:t>完成</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东莞市水务集团有限</w:t>
      </w:r>
      <w:r>
        <w:rPr>
          <w:rFonts w:asciiTheme="minorEastAsia" w:hAnsiTheme="minorEastAsia" w:eastAsiaTheme="minorEastAsia"/>
          <w:color w:val="auto"/>
          <w:sz w:val="24"/>
          <w:highlight w:val="none"/>
        </w:rPr>
        <w:t>公司</w:t>
      </w:r>
      <w:r>
        <w:rPr>
          <w:rFonts w:hint="eastAsia" w:asciiTheme="minorEastAsia" w:hAnsiTheme="minorEastAsia" w:eastAsiaTheme="minorEastAsia"/>
          <w:color w:val="auto"/>
          <w:sz w:val="24"/>
          <w:highlight w:val="none"/>
          <w:lang w:val="en-US" w:eastAsia="zh-CN"/>
        </w:rPr>
        <w:t>突发事件总体应急预案》修编所要求的全部服务内容；2024年11月底前完成《东莞市水务集团有限</w:t>
      </w:r>
      <w:r>
        <w:rPr>
          <w:rFonts w:asciiTheme="minorEastAsia" w:hAnsiTheme="minorEastAsia" w:eastAsiaTheme="minorEastAsia"/>
          <w:color w:val="auto"/>
          <w:sz w:val="24"/>
          <w:highlight w:val="none"/>
        </w:rPr>
        <w:t>公司生产安全事故应急预案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新编所要求的全部服务内容</w:t>
      </w:r>
      <w:r>
        <w:rPr>
          <w:rFonts w:asciiTheme="minorEastAsia" w:hAnsiTheme="minorEastAsia" w:eastAsiaTheme="minorEastAsia"/>
          <w:color w:val="auto"/>
          <w:sz w:val="24"/>
          <w:highlight w:val="none"/>
        </w:rPr>
        <w:t>。</w:t>
      </w:r>
    </w:p>
    <w:p>
      <w:pPr>
        <w:pStyle w:val="2"/>
        <w:spacing w:line="360" w:lineRule="auto"/>
        <w:rPr>
          <w:color w:val="auto"/>
          <w:highlight w:val="none"/>
        </w:rPr>
      </w:pPr>
    </w:p>
    <w:p>
      <w:pPr>
        <w:numPr>
          <w:ilvl w:val="0"/>
          <w:numId w:val="1"/>
        </w:numPr>
        <w:spacing w:line="360" w:lineRule="auto"/>
        <w:rPr>
          <w:rFonts w:hint="eastAsia" w:cs="华文仿宋" w:asciiTheme="majorEastAsia" w:hAnsiTheme="majorEastAsia" w:eastAsiaTheme="majorEastAsia"/>
          <w:b/>
          <w:color w:val="auto"/>
          <w:sz w:val="28"/>
          <w:szCs w:val="28"/>
          <w:highlight w:val="none"/>
          <w:lang w:val="en-US" w:eastAsia="zh-CN"/>
        </w:rPr>
      </w:pPr>
      <w:r>
        <w:rPr>
          <w:rFonts w:hint="eastAsia" w:cs="华文仿宋" w:asciiTheme="majorEastAsia" w:hAnsiTheme="majorEastAsia" w:eastAsiaTheme="majorEastAsia"/>
          <w:b/>
          <w:color w:val="auto"/>
          <w:sz w:val="28"/>
          <w:szCs w:val="28"/>
          <w:highlight w:val="none"/>
          <w:lang w:val="en-US" w:eastAsia="zh-CN"/>
        </w:rPr>
        <w:t>其它要求</w:t>
      </w:r>
    </w:p>
    <w:p>
      <w:pPr>
        <w:pStyle w:val="2"/>
        <w:numPr>
          <w:ilvl w:val="0"/>
          <w:numId w:val="0"/>
        </w:numPr>
        <w:spacing w:line="360" w:lineRule="auto"/>
        <w:ind w:leftChars="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 xml:space="preserve">   5.1报价文件内容应包括：指导思想及方案目标、应急预案编制依据、工作任务与实施步骤、项目团队、报价方案。</w:t>
      </w:r>
    </w:p>
    <w:p>
      <w:pPr>
        <w:pStyle w:val="2"/>
        <w:numPr>
          <w:ilvl w:val="0"/>
          <w:numId w:val="0"/>
        </w:numPr>
        <w:spacing w:line="360" w:lineRule="auto"/>
        <w:ind w:leftChars="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 xml:space="preserve">   5.2工作任务与实施步骤应有详细的时间计划与进度安排。</w:t>
      </w:r>
    </w:p>
    <w:p>
      <w:pPr>
        <w:pStyle w:val="2"/>
        <w:numPr>
          <w:ilvl w:val="0"/>
          <w:numId w:val="0"/>
        </w:numPr>
        <w:spacing w:line="360" w:lineRule="auto"/>
        <w:ind w:leftChars="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 xml:space="preserve">   5.3项目团队应不少于3人，其中项目负责人及至少一名工作人员应分别具备注册安全工程师职业资格。</w:t>
      </w:r>
    </w:p>
    <w:p>
      <w:pPr>
        <w:pStyle w:val="2"/>
        <w:numPr>
          <w:ilvl w:val="0"/>
          <w:numId w:val="0"/>
        </w:numPr>
        <w:spacing w:line="360" w:lineRule="auto"/>
        <w:ind w:leftChars="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 xml:space="preserve">   5.4报价方案中应对《东莞市水务集团有限公司突发事件总体应急预案》修编、《东莞市水务集团有限公司生产安全事故应急预案》新编分别进行报价并汇总。 </w:t>
      </w:r>
    </w:p>
    <w:p>
      <w:pPr>
        <w:pageBreakBefore w:val="0"/>
        <w:widowControl/>
        <w:kinsoku/>
        <w:overflowPunct/>
        <w:topLinePunct w:val="0"/>
        <w:bidi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outlineLvl w:val="0"/>
        <w:rPr>
          <w:rFonts w:hint="eastAsia" w:ascii="宋体" w:hAnsi="宋体" w:eastAsia="宋体" w:cs="宋体"/>
          <w:color w:val="auto"/>
          <w:szCs w:val="32"/>
          <w:highlight w:val="none"/>
        </w:rPr>
      </w:pPr>
      <w:bookmarkStart w:id="7" w:name="_Toc29476692"/>
      <w:bookmarkStart w:id="8" w:name="_Toc27990830"/>
      <w:r>
        <w:rPr>
          <w:rFonts w:hint="eastAsia" w:ascii="宋体" w:hAnsi="宋体" w:eastAsia="宋体" w:cs="宋体"/>
          <w:color w:val="auto"/>
          <w:szCs w:val="32"/>
          <w:highlight w:val="none"/>
        </w:rPr>
        <w:t>第三章 合同条款</w:t>
      </w:r>
      <w:bookmarkEnd w:id="7"/>
      <w:bookmarkEnd w:id="8"/>
    </w:p>
    <w:p>
      <w:pPr>
        <w:pageBreakBefore w:val="0"/>
        <w:kinsoku/>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pPr>
        <w:pageBreakBefore w:val="0"/>
        <w:kinsoku/>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pPr>
        <w:spacing w:before="312" w:beforeLines="100" w:after="312" w:afterLines="100"/>
        <w:ind w:left="-707" w:leftChars="-295" w:hanging="1"/>
        <w:jc w:val="center"/>
        <w:rPr>
          <w:rFonts w:hint="eastAsia" w:hAnsi="宋体" w:cs="宋体"/>
          <w:b/>
          <w:bCs/>
          <w:snapToGrid w:val="0"/>
          <w:color w:val="auto"/>
          <w:sz w:val="48"/>
          <w:szCs w:val="48"/>
          <w:highlight w:val="none"/>
        </w:rPr>
      </w:pPr>
      <w:r>
        <w:rPr>
          <w:rFonts w:hAnsi="宋体" w:cs="宋体"/>
          <w:b/>
          <w:bCs/>
          <w:snapToGrid w:val="0"/>
          <w:color w:val="auto"/>
          <w:sz w:val="48"/>
          <w:szCs w:val="48"/>
          <w:highlight w:val="none"/>
        </w:rPr>
        <w:t>东莞市水务集团有限</w:t>
      </w:r>
      <w:r>
        <w:rPr>
          <w:rFonts w:hint="eastAsia" w:hAnsi="宋体" w:cs="宋体"/>
          <w:b/>
          <w:bCs/>
          <w:snapToGrid w:val="0"/>
          <w:color w:val="auto"/>
          <w:sz w:val="48"/>
          <w:szCs w:val="48"/>
          <w:highlight w:val="none"/>
        </w:rPr>
        <w:t>公司</w:t>
      </w:r>
    </w:p>
    <w:p>
      <w:pPr>
        <w:spacing w:before="312" w:beforeLines="100" w:after="312" w:afterLines="100"/>
        <w:ind w:left="-707" w:leftChars="-295" w:hanging="1"/>
        <w:jc w:val="center"/>
        <w:rPr>
          <w:rFonts w:hint="eastAsia" w:hAnsi="宋体" w:eastAsia="宋体" w:cs="宋体"/>
          <w:b/>
          <w:bCs/>
          <w:snapToGrid w:val="0"/>
          <w:color w:val="auto"/>
          <w:sz w:val="48"/>
          <w:szCs w:val="48"/>
          <w:highlight w:val="none"/>
          <w:lang w:val="en-US" w:eastAsia="zh-CN"/>
        </w:rPr>
      </w:pPr>
      <w:r>
        <w:rPr>
          <w:rFonts w:hint="eastAsia" w:hAnsi="宋体" w:cs="宋体"/>
          <w:b/>
          <w:bCs/>
          <w:snapToGrid w:val="0"/>
          <w:color w:val="auto"/>
          <w:sz w:val="48"/>
          <w:szCs w:val="48"/>
          <w:highlight w:val="none"/>
        </w:rPr>
        <w:t>应急预案</w:t>
      </w:r>
      <w:r>
        <w:rPr>
          <w:rFonts w:hint="eastAsia" w:hAnsi="宋体" w:cs="宋体"/>
          <w:b/>
          <w:bCs/>
          <w:snapToGrid w:val="0"/>
          <w:color w:val="auto"/>
          <w:sz w:val="48"/>
          <w:szCs w:val="48"/>
          <w:highlight w:val="none"/>
          <w:lang w:val="en-US" w:eastAsia="zh-CN"/>
        </w:rPr>
        <w:t>编制</w:t>
      </w:r>
      <w:r>
        <w:rPr>
          <w:rFonts w:hint="eastAsia" w:hAnsi="宋体" w:cs="宋体"/>
          <w:b/>
          <w:bCs/>
          <w:snapToGrid w:val="0"/>
          <w:color w:val="auto"/>
          <w:sz w:val="48"/>
          <w:szCs w:val="48"/>
          <w:highlight w:val="none"/>
        </w:rPr>
        <w:t>服务合同</w:t>
      </w:r>
    </w:p>
    <w:p>
      <w:pPr>
        <w:spacing w:before="312" w:beforeLines="100" w:after="312" w:afterLines="100"/>
        <w:ind w:left="-708" w:leftChars="-295" w:firstLine="564" w:firstLineChars="234"/>
        <w:rPr>
          <w:rFonts w:hAnsi="宋体" w:cs="宋体"/>
          <w:b/>
          <w:bCs/>
          <w:snapToGrid w:val="0"/>
          <w:color w:val="auto"/>
          <w:highlight w:val="none"/>
        </w:rPr>
      </w:pPr>
    </w:p>
    <w:p>
      <w:pPr>
        <w:spacing w:before="312" w:beforeLines="100" w:after="312" w:afterLines="100"/>
        <w:ind w:left="-708" w:leftChars="-295" w:firstLine="564" w:firstLineChars="234"/>
        <w:rPr>
          <w:rFonts w:hAnsi="宋体" w:cs="宋体"/>
          <w:b/>
          <w:bCs/>
          <w:snapToGrid w:val="0"/>
          <w:color w:val="auto"/>
          <w:highlight w:val="none"/>
        </w:rPr>
      </w:pPr>
    </w:p>
    <w:p>
      <w:pPr>
        <w:spacing w:before="312" w:beforeLines="100" w:after="312" w:afterLines="100"/>
        <w:ind w:left="-708" w:leftChars="-295" w:firstLine="561" w:firstLineChars="234"/>
        <w:rPr>
          <w:rFonts w:hAnsi="宋体"/>
          <w:color w:val="auto"/>
          <w:highlight w:val="none"/>
          <w:u w:val="single"/>
        </w:rPr>
      </w:pPr>
    </w:p>
    <w:p>
      <w:pPr>
        <w:spacing w:before="312" w:beforeLines="100" w:after="312" w:afterLines="100"/>
        <w:ind w:left="-708" w:leftChars="-295" w:firstLine="561" w:firstLineChars="234"/>
        <w:rPr>
          <w:rFonts w:hAnsi="宋体"/>
          <w:color w:val="auto"/>
          <w:highlight w:val="none"/>
          <w:u w:val="single"/>
        </w:rPr>
      </w:pPr>
    </w:p>
    <w:p>
      <w:pPr>
        <w:spacing w:before="312" w:beforeLines="100" w:after="312" w:afterLines="100"/>
        <w:ind w:left="-708" w:leftChars="-295" w:firstLine="561" w:firstLineChars="234"/>
        <w:rPr>
          <w:rFonts w:hAnsi="宋体"/>
          <w:color w:val="auto"/>
          <w:highlight w:val="none"/>
          <w:u w:val="single"/>
        </w:rPr>
      </w:pPr>
    </w:p>
    <w:p>
      <w:pPr>
        <w:spacing w:before="312" w:beforeLines="100" w:after="312" w:afterLines="100"/>
        <w:ind w:left="-708" w:leftChars="-295" w:firstLine="561" w:firstLineChars="234"/>
        <w:rPr>
          <w:rFonts w:hAnsi="宋体"/>
          <w:color w:val="auto"/>
          <w:highlight w:val="none"/>
          <w:u w:val="single"/>
        </w:rPr>
      </w:pPr>
    </w:p>
    <w:p>
      <w:pPr>
        <w:spacing w:before="312" w:beforeLines="100" w:after="312" w:afterLines="100"/>
        <w:ind w:left="-708" w:leftChars="-295" w:firstLine="561" w:firstLineChars="234"/>
        <w:rPr>
          <w:rFonts w:hAnsi="宋体"/>
          <w:color w:val="auto"/>
          <w:highlight w:val="none"/>
          <w:u w:val="single"/>
        </w:rPr>
      </w:pPr>
    </w:p>
    <w:p>
      <w:pPr>
        <w:spacing w:line="480" w:lineRule="auto"/>
        <w:rPr>
          <w:rFonts w:hAnsi="宋体" w:cs="宋体"/>
          <w:b/>
          <w:color w:val="auto"/>
          <w:sz w:val="28"/>
          <w:szCs w:val="28"/>
          <w:highlight w:val="none"/>
        </w:rPr>
      </w:pPr>
    </w:p>
    <w:p>
      <w:pPr>
        <w:spacing w:after="60" w:line="360" w:lineRule="auto"/>
        <w:ind w:left="-283" w:leftChars="-118" w:firstLine="752" w:firstLineChars="234"/>
        <w:rPr>
          <w:rFonts w:hAnsi="宋体"/>
          <w:b/>
          <w:color w:val="auto"/>
          <w:sz w:val="32"/>
          <w:highlight w:val="none"/>
          <w:u w:val="single"/>
        </w:rPr>
      </w:pPr>
      <w:r>
        <w:rPr>
          <w:rFonts w:hint="eastAsia" w:hAnsi="宋体"/>
          <w:b/>
          <w:color w:val="auto"/>
          <w:sz w:val="32"/>
          <w:highlight w:val="none"/>
        </w:rPr>
        <w:t>甲方（委托人）：</w:t>
      </w:r>
      <w:r>
        <w:rPr>
          <w:rFonts w:hint="eastAsia" w:hAnsi="宋体"/>
          <w:b/>
          <w:color w:val="auto"/>
          <w:sz w:val="32"/>
          <w:highlight w:val="none"/>
          <w:u w:val="single"/>
        </w:rPr>
        <w:t>东莞市水务集团有限公司</w:t>
      </w:r>
    </w:p>
    <w:p>
      <w:pPr>
        <w:spacing w:after="60" w:line="360" w:lineRule="auto"/>
        <w:ind w:left="-283" w:leftChars="-118" w:firstLine="752" w:firstLineChars="234"/>
        <w:rPr>
          <w:rFonts w:hAnsi="宋体"/>
          <w:b/>
          <w:color w:val="auto"/>
          <w:sz w:val="32"/>
          <w:highlight w:val="none"/>
        </w:rPr>
      </w:pPr>
    </w:p>
    <w:p>
      <w:pPr>
        <w:spacing w:after="60" w:line="360" w:lineRule="auto"/>
        <w:ind w:left="-283" w:leftChars="-118" w:firstLine="752" w:firstLineChars="234"/>
        <w:rPr>
          <w:rFonts w:hAnsi="宋体"/>
          <w:b/>
          <w:color w:val="auto"/>
          <w:sz w:val="32"/>
          <w:highlight w:val="none"/>
          <w:u w:val="single"/>
        </w:rPr>
      </w:pPr>
      <w:r>
        <w:rPr>
          <w:rFonts w:hint="eastAsia" w:hAnsi="宋体"/>
          <w:b/>
          <w:color w:val="auto"/>
          <w:sz w:val="32"/>
          <w:highlight w:val="none"/>
        </w:rPr>
        <w:t>乙方（受托人）：</w:t>
      </w:r>
    </w:p>
    <w:p>
      <w:pPr>
        <w:spacing w:after="60" w:line="360" w:lineRule="auto"/>
        <w:ind w:left="-283" w:leftChars="-118" w:firstLine="752" w:firstLineChars="234"/>
        <w:jc w:val="center"/>
        <w:rPr>
          <w:rFonts w:hAnsi="宋体"/>
          <w:b/>
          <w:color w:val="auto"/>
          <w:sz w:val="32"/>
          <w:highlight w:val="none"/>
        </w:rPr>
      </w:pPr>
    </w:p>
    <w:p>
      <w:pPr>
        <w:spacing w:after="60" w:line="360" w:lineRule="auto"/>
        <w:ind w:left="425" w:leftChars="177" w:firstLine="752" w:firstLineChars="234"/>
        <w:rPr>
          <w:rFonts w:hAnsi="宋体"/>
          <w:b/>
          <w:color w:val="auto"/>
          <w:sz w:val="32"/>
          <w:highlight w:val="none"/>
          <w:u w:val="single"/>
        </w:rPr>
      </w:pPr>
      <w:r>
        <w:rPr>
          <w:rFonts w:hint="eastAsia" w:hAnsi="宋体"/>
          <w:b/>
          <w:color w:val="auto"/>
          <w:sz w:val="32"/>
          <w:highlight w:val="none"/>
        </w:rPr>
        <w:t>合同签订时间：</w:t>
      </w:r>
      <w:r>
        <w:rPr>
          <w:rFonts w:hint="eastAsia" w:hAnsi="宋体"/>
          <w:b/>
          <w:color w:val="auto"/>
          <w:sz w:val="32"/>
          <w:highlight w:val="none"/>
          <w:u w:val="single"/>
        </w:rPr>
        <w:t xml:space="preserve">    年   月   日</w:t>
      </w:r>
    </w:p>
    <w:p>
      <w:pPr>
        <w:spacing w:after="60" w:line="360" w:lineRule="auto"/>
        <w:ind w:left="425" w:leftChars="177" w:firstLine="752" w:firstLineChars="234"/>
        <w:rPr>
          <w:rFonts w:hAnsi="宋体"/>
          <w:b/>
          <w:color w:val="auto"/>
          <w:sz w:val="32"/>
          <w:highlight w:val="none"/>
          <w:u w:val="single"/>
        </w:rPr>
      </w:pPr>
    </w:p>
    <w:p>
      <w:pPr>
        <w:tabs>
          <w:tab w:val="left" w:pos="840"/>
        </w:tabs>
        <w:spacing w:line="360" w:lineRule="auto"/>
        <w:ind w:left="-708" w:leftChars="-295" w:firstLine="491" w:firstLineChars="234"/>
        <w:rPr>
          <w:rFonts w:hAnsi="宋体" w:cs="楷体"/>
          <w:bCs/>
          <w:color w:val="auto"/>
          <w:sz w:val="21"/>
          <w:szCs w:val="21"/>
          <w:highlight w:val="none"/>
        </w:rPr>
      </w:pPr>
    </w:p>
    <w:p>
      <w:pPr>
        <w:tabs>
          <w:tab w:val="left" w:pos="840"/>
        </w:tabs>
        <w:spacing w:line="360" w:lineRule="auto"/>
        <w:ind w:left="-708" w:leftChars="-295" w:firstLine="491" w:firstLineChars="234"/>
        <w:rPr>
          <w:rFonts w:hint="eastAsia" w:hAnsi="宋体" w:eastAsia="宋体" w:cs="楷体"/>
          <w:color w:val="auto"/>
          <w:sz w:val="21"/>
          <w:szCs w:val="21"/>
          <w:highlight w:val="none"/>
          <w:u w:val="single"/>
          <w:lang w:eastAsia="zh-CN"/>
        </w:rPr>
      </w:pPr>
      <w:r>
        <w:rPr>
          <w:rFonts w:hint="eastAsia" w:hAnsi="宋体" w:cs="楷体"/>
          <w:bCs/>
          <w:color w:val="auto"/>
          <w:sz w:val="21"/>
          <w:szCs w:val="21"/>
          <w:highlight w:val="none"/>
        </w:rPr>
        <w:t>甲方（委托人）：</w:t>
      </w:r>
      <w:r>
        <w:rPr>
          <w:rFonts w:hint="eastAsia" w:hAnsi="宋体" w:cs="楷体"/>
          <w:bCs/>
          <w:color w:val="auto"/>
          <w:sz w:val="21"/>
          <w:szCs w:val="21"/>
          <w:highlight w:val="none"/>
          <w:u w:val="single"/>
          <w:lang w:eastAsia="zh-CN"/>
        </w:rPr>
        <w:t>东莞市水务集团有限公司</w:t>
      </w:r>
    </w:p>
    <w:p>
      <w:pPr>
        <w:spacing w:line="360" w:lineRule="auto"/>
        <w:ind w:left="-708" w:leftChars="-295" w:firstLine="491" w:firstLineChars="234"/>
        <w:rPr>
          <w:rFonts w:hAnsi="宋体" w:cs="楷体"/>
          <w:bCs/>
          <w:color w:val="auto"/>
          <w:sz w:val="21"/>
          <w:szCs w:val="21"/>
          <w:highlight w:val="none"/>
        </w:rPr>
      </w:pPr>
      <w:r>
        <w:rPr>
          <w:rFonts w:hint="eastAsia" w:hAnsi="宋体" w:cs="楷体"/>
          <w:bCs/>
          <w:color w:val="auto"/>
          <w:sz w:val="21"/>
          <w:szCs w:val="21"/>
          <w:highlight w:val="none"/>
        </w:rPr>
        <w:t>乙方（受托人）：</w:t>
      </w:r>
    </w:p>
    <w:p>
      <w:pPr>
        <w:spacing w:line="360" w:lineRule="auto"/>
        <w:ind w:left="-708" w:leftChars="-295" w:firstLine="491" w:firstLineChars="234"/>
        <w:rPr>
          <w:rFonts w:hAnsi="宋体" w:cs="楷体"/>
          <w:color w:val="auto"/>
          <w:sz w:val="21"/>
          <w:szCs w:val="21"/>
          <w:highlight w:val="none"/>
        </w:rPr>
      </w:pPr>
      <w:r>
        <w:rPr>
          <w:rFonts w:hint="eastAsia" w:hAnsi="宋体" w:cs="楷体"/>
          <w:color w:val="auto"/>
          <w:sz w:val="21"/>
          <w:szCs w:val="21"/>
          <w:highlight w:val="none"/>
        </w:rPr>
        <w:t>根据《中华人民共和国合同法》等有关法律法规，甲乙双方经过平等协商，在真实、充分地表达各自意愿的基础上，甲、乙双方本着平等互利、友好合作的原则，就</w:t>
      </w:r>
      <w:r>
        <w:rPr>
          <w:rFonts w:hint="eastAsia" w:hAnsi="宋体" w:cs="楷体"/>
          <w:bCs/>
          <w:strike w:val="0"/>
          <w:dstrike w:val="0"/>
          <w:color w:val="auto"/>
          <w:sz w:val="21"/>
          <w:szCs w:val="21"/>
          <w:highlight w:val="none"/>
          <w:u w:val="none"/>
        </w:rPr>
        <w:t>乙方向甲方提供应急预案</w:t>
      </w:r>
      <w:r>
        <w:rPr>
          <w:rFonts w:hint="eastAsia" w:hAnsi="宋体" w:cs="楷体"/>
          <w:color w:val="auto"/>
          <w:sz w:val="21"/>
          <w:szCs w:val="21"/>
          <w:highlight w:val="none"/>
        </w:rPr>
        <w:t>编制、协调及组织专家评审、备案等服务事宜，达成如下合同：</w:t>
      </w:r>
    </w:p>
    <w:p>
      <w:pPr>
        <w:spacing w:line="360" w:lineRule="auto"/>
        <w:ind w:left="-708" w:leftChars="-295" w:firstLine="493" w:firstLineChars="234"/>
        <w:rPr>
          <w:rFonts w:hAnsi="宋体" w:cs="楷体"/>
          <w:b/>
          <w:bCs/>
          <w:color w:val="auto"/>
          <w:sz w:val="21"/>
          <w:szCs w:val="21"/>
          <w:highlight w:val="none"/>
        </w:rPr>
      </w:pPr>
      <w:r>
        <w:rPr>
          <w:rFonts w:hint="eastAsia" w:hAnsi="宋体" w:cs="楷体"/>
          <w:b/>
          <w:bCs/>
          <w:color w:val="auto"/>
          <w:sz w:val="21"/>
          <w:szCs w:val="21"/>
          <w:highlight w:val="none"/>
        </w:rPr>
        <w:t>一、服务概况</w:t>
      </w:r>
    </w:p>
    <w:p>
      <w:pPr>
        <w:spacing w:line="360" w:lineRule="auto"/>
        <w:ind w:left="-708" w:leftChars="-295" w:firstLine="491" w:firstLineChars="234"/>
        <w:rPr>
          <w:rFonts w:hAnsi="宋体" w:cs="宋体"/>
          <w:color w:val="auto"/>
          <w:sz w:val="21"/>
          <w:szCs w:val="21"/>
          <w:highlight w:val="none"/>
        </w:rPr>
      </w:pPr>
      <w:r>
        <w:rPr>
          <w:rFonts w:hint="eastAsia" w:hAnsi="宋体"/>
          <w:color w:val="auto"/>
          <w:sz w:val="21"/>
          <w:szCs w:val="21"/>
          <w:highlight w:val="none"/>
        </w:rPr>
        <w:t>1、乙方向甲方提供</w:t>
      </w:r>
      <w:r>
        <w:rPr>
          <w:rFonts w:hint="eastAsia" w:hAnsi="宋体" w:cs="宋体"/>
          <w:color w:val="auto"/>
          <w:sz w:val="21"/>
          <w:szCs w:val="21"/>
          <w:highlight w:val="none"/>
          <w:u w:val="single"/>
          <w:lang w:val="en-US" w:eastAsia="zh-CN"/>
        </w:rPr>
        <w:t>修</w:t>
      </w:r>
      <w:r>
        <w:rPr>
          <w:rFonts w:hint="eastAsia" w:hAnsi="宋体" w:cs="宋体"/>
          <w:color w:val="auto"/>
          <w:sz w:val="21"/>
          <w:szCs w:val="21"/>
          <w:highlight w:val="none"/>
          <w:u w:val="single"/>
        </w:rPr>
        <w:t>编</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东莞市水务集团有限</w:t>
      </w:r>
      <w:r>
        <w:rPr>
          <w:rFonts w:hint="eastAsia" w:hAnsi="宋体" w:cs="宋体"/>
          <w:color w:val="auto"/>
          <w:sz w:val="21"/>
          <w:szCs w:val="21"/>
          <w:highlight w:val="none"/>
          <w:u w:val="single"/>
        </w:rPr>
        <w:t>公司</w:t>
      </w:r>
      <w:r>
        <w:rPr>
          <w:rFonts w:hint="eastAsia" w:hAnsi="宋体" w:cs="宋体"/>
          <w:color w:val="auto"/>
          <w:sz w:val="21"/>
          <w:szCs w:val="21"/>
          <w:highlight w:val="none"/>
          <w:u w:val="single"/>
          <w:lang w:val="en-US" w:eastAsia="zh-CN"/>
        </w:rPr>
        <w:t>突发事件总体应急预案》及新编《东莞市水务集团有限</w:t>
      </w:r>
      <w:r>
        <w:rPr>
          <w:rFonts w:hint="eastAsia" w:hAnsi="宋体" w:cs="宋体"/>
          <w:color w:val="auto"/>
          <w:sz w:val="21"/>
          <w:szCs w:val="21"/>
          <w:highlight w:val="none"/>
          <w:u w:val="single"/>
        </w:rPr>
        <w:t>公司生产安全事故应急预案</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的</w:t>
      </w:r>
      <w:r>
        <w:rPr>
          <w:rFonts w:hint="eastAsia" w:hAnsi="宋体" w:cs="楷体"/>
          <w:bCs/>
          <w:color w:val="auto"/>
          <w:sz w:val="21"/>
          <w:szCs w:val="21"/>
          <w:highlight w:val="none"/>
          <w:u w:val="single"/>
        </w:rPr>
        <w:t>编制、协调及组织专家评审、备案等服务事宜</w:t>
      </w:r>
      <w:r>
        <w:rPr>
          <w:rFonts w:hint="eastAsia" w:hAnsi="宋体"/>
          <w:color w:val="auto"/>
          <w:sz w:val="21"/>
          <w:szCs w:val="21"/>
          <w:highlight w:val="none"/>
        </w:rPr>
        <w:t>。</w:t>
      </w:r>
    </w:p>
    <w:p>
      <w:pPr>
        <w:spacing w:line="360" w:lineRule="auto"/>
        <w:ind w:left="-708" w:leftChars="-295" w:firstLine="491" w:firstLineChars="234"/>
        <w:rPr>
          <w:rFonts w:hAnsi="宋体"/>
          <w:color w:val="auto"/>
          <w:sz w:val="21"/>
          <w:szCs w:val="21"/>
          <w:highlight w:val="none"/>
        </w:rPr>
      </w:pPr>
      <w:r>
        <w:rPr>
          <w:rFonts w:hint="eastAsia" w:hAnsi="宋体"/>
          <w:color w:val="auto"/>
          <w:sz w:val="21"/>
          <w:szCs w:val="21"/>
          <w:highlight w:val="none"/>
        </w:rPr>
        <w:t>2、服务内容：</w:t>
      </w:r>
    </w:p>
    <w:p>
      <w:pPr>
        <w:spacing w:line="360" w:lineRule="auto"/>
        <w:ind w:left="-708" w:leftChars="-295" w:firstLine="491" w:firstLineChars="234"/>
        <w:rPr>
          <w:rFonts w:hAnsi="宋体" w:cs="宋体"/>
          <w:color w:val="auto"/>
          <w:sz w:val="21"/>
          <w:szCs w:val="21"/>
          <w:highlight w:val="none"/>
          <w:u w:val="single"/>
        </w:rPr>
      </w:pPr>
      <w:r>
        <w:rPr>
          <w:rFonts w:hint="eastAsia" w:hAnsi="宋体" w:cs="宋体"/>
          <w:color w:val="auto"/>
          <w:sz w:val="21"/>
          <w:szCs w:val="21"/>
          <w:highlight w:val="none"/>
        </w:rPr>
        <w:t>（1）</w:t>
      </w:r>
      <w:r>
        <w:rPr>
          <w:rFonts w:hint="eastAsia" w:hAnsi="宋体" w:cs="宋体"/>
          <w:color w:val="auto"/>
          <w:sz w:val="21"/>
          <w:szCs w:val="21"/>
          <w:highlight w:val="none"/>
          <w:u w:val="single"/>
        </w:rPr>
        <w:t>针对</w:t>
      </w:r>
      <w:r>
        <w:rPr>
          <w:rFonts w:hint="eastAsia" w:hAnsi="宋体" w:cs="楷体"/>
          <w:bCs/>
          <w:color w:val="auto"/>
          <w:sz w:val="21"/>
          <w:szCs w:val="21"/>
          <w:highlight w:val="none"/>
          <w:u w:val="single"/>
        </w:rPr>
        <w:t>甲方实</w:t>
      </w:r>
      <w:r>
        <w:rPr>
          <w:rFonts w:hAnsi="宋体" w:cs="楷体"/>
          <w:bCs/>
          <w:color w:val="auto"/>
          <w:sz w:val="21"/>
          <w:szCs w:val="21"/>
          <w:highlight w:val="none"/>
          <w:u w:val="single"/>
        </w:rPr>
        <w:t>际情况，分析</w:t>
      </w:r>
      <w:r>
        <w:rPr>
          <w:rFonts w:hint="eastAsia" w:hAnsi="宋体" w:cs="宋体"/>
          <w:color w:val="auto"/>
          <w:sz w:val="21"/>
          <w:szCs w:val="21"/>
          <w:highlight w:val="none"/>
          <w:u w:val="single"/>
        </w:rPr>
        <w:t>各类可能发生的生产安全事故和所有危险源制订综合应急预案、专项应急预案和现场处置预案，并明确事前、事中和事后的各个过程和有关人员的职责</w:t>
      </w:r>
      <w:r>
        <w:rPr>
          <w:rFonts w:hint="eastAsia" w:hAnsi="宋体" w:cs="宋体"/>
          <w:color w:val="auto"/>
          <w:sz w:val="21"/>
          <w:szCs w:val="21"/>
          <w:highlight w:val="none"/>
          <w:u w:val="single"/>
          <w:lang w:eastAsia="zh-CN"/>
        </w:rPr>
        <w:t>；</w:t>
      </w:r>
    </w:p>
    <w:p>
      <w:pPr>
        <w:spacing w:line="360" w:lineRule="auto"/>
        <w:ind w:left="-708" w:leftChars="-295" w:firstLine="491" w:firstLineChars="234"/>
        <w:rPr>
          <w:rFonts w:hAnsi="宋体" w:cs="宋体"/>
          <w:color w:val="auto"/>
          <w:sz w:val="21"/>
          <w:szCs w:val="21"/>
          <w:highlight w:val="none"/>
          <w:u w:val="single"/>
        </w:rPr>
      </w:pPr>
      <w:r>
        <w:rPr>
          <w:rFonts w:hint="eastAsia" w:hAnsi="宋体" w:cs="宋体"/>
          <w:color w:val="auto"/>
          <w:sz w:val="21"/>
          <w:szCs w:val="21"/>
          <w:highlight w:val="none"/>
        </w:rPr>
        <w:t>（2）</w:t>
      </w:r>
      <w:r>
        <w:rPr>
          <w:rFonts w:hint="eastAsia" w:hAnsi="宋体" w:cs="宋体"/>
          <w:color w:val="auto"/>
          <w:sz w:val="21"/>
          <w:szCs w:val="21"/>
          <w:highlight w:val="none"/>
          <w:u w:val="single"/>
        </w:rPr>
        <w:t>对</w:t>
      </w:r>
      <w:r>
        <w:rPr>
          <w:rFonts w:hint="eastAsia" w:hAnsi="宋体" w:cs="楷体"/>
          <w:bCs/>
          <w:color w:val="auto"/>
          <w:sz w:val="21"/>
          <w:szCs w:val="21"/>
          <w:highlight w:val="none"/>
          <w:u w:val="single"/>
        </w:rPr>
        <w:t>甲方</w:t>
      </w:r>
      <w:r>
        <w:rPr>
          <w:rFonts w:hint="eastAsia" w:hAnsi="宋体" w:cs="宋体"/>
          <w:color w:val="auto"/>
          <w:sz w:val="21"/>
          <w:szCs w:val="21"/>
          <w:highlight w:val="none"/>
          <w:u w:val="single"/>
        </w:rPr>
        <w:t>应急能力及应急装备进行评估，辨识</w:t>
      </w:r>
      <w:r>
        <w:rPr>
          <w:rFonts w:hint="eastAsia" w:hAnsi="宋体" w:cs="楷体"/>
          <w:bCs/>
          <w:color w:val="auto"/>
          <w:sz w:val="21"/>
          <w:szCs w:val="21"/>
          <w:highlight w:val="none"/>
          <w:u w:val="single"/>
        </w:rPr>
        <w:t>甲方</w:t>
      </w:r>
      <w:r>
        <w:rPr>
          <w:rFonts w:hint="eastAsia" w:hAnsi="宋体" w:cs="宋体"/>
          <w:color w:val="auto"/>
          <w:sz w:val="21"/>
          <w:szCs w:val="21"/>
          <w:highlight w:val="none"/>
          <w:u w:val="single"/>
        </w:rPr>
        <w:t>存在的主要危险有害因素，确定</w:t>
      </w:r>
      <w:r>
        <w:rPr>
          <w:rFonts w:hint="eastAsia" w:hAnsi="宋体" w:cs="楷体"/>
          <w:bCs/>
          <w:color w:val="auto"/>
          <w:sz w:val="21"/>
          <w:szCs w:val="21"/>
          <w:highlight w:val="none"/>
          <w:u w:val="single"/>
        </w:rPr>
        <w:t>甲方</w:t>
      </w:r>
      <w:r>
        <w:rPr>
          <w:rFonts w:hint="eastAsia" w:hAnsi="宋体" w:cs="宋体"/>
          <w:color w:val="auto"/>
          <w:sz w:val="21"/>
          <w:szCs w:val="21"/>
          <w:highlight w:val="none"/>
          <w:u w:val="single"/>
        </w:rPr>
        <w:t>可能发生生产安全事故的危险源、事故的类型和后果，进行事故风险分析；</w:t>
      </w:r>
    </w:p>
    <w:p>
      <w:pPr>
        <w:spacing w:line="360" w:lineRule="auto"/>
        <w:ind w:left="-708" w:leftChars="-295" w:firstLine="491" w:firstLineChars="234"/>
        <w:rPr>
          <w:rFonts w:hint="eastAsia" w:hAnsi="宋体" w:cs="宋体"/>
          <w:color w:val="auto"/>
          <w:sz w:val="21"/>
          <w:szCs w:val="21"/>
          <w:highlight w:val="none"/>
          <w:u w:val="single"/>
        </w:rPr>
      </w:pPr>
      <w:r>
        <w:rPr>
          <w:rFonts w:hint="eastAsia" w:hAnsi="宋体" w:cs="宋体"/>
          <w:color w:val="auto"/>
          <w:sz w:val="21"/>
          <w:szCs w:val="21"/>
          <w:highlight w:val="none"/>
        </w:rPr>
        <w:t>（3）</w:t>
      </w:r>
      <w:r>
        <w:rPr>
          <w:rFonts w:hint="eastAsia" w:hAnsi="宋体" w:cs="宋体"/>
          <w:color w:val="auto"/>
          <w:sz w:val="21"/>
          <w:szCs w:val="21"/>
          <w:highlight w:val="none"/>
          <w:u w:val="single"/>
        </w:rPr>
        <w:t>按照国家</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省市最新颁布的法律、法规、</w:t>
      </w:r>
      <w:r>
        <w:rPr>
          <w:rFonts w:hint="eastAsia" w:hAnsi="宋体" w:cs="宋体"/>
          <w:color w:val="auto"/>
          <w:sz w:val="21"/>
          <w:szCs w:val="21"/>
          <w:highlight w:val="none"/>
          <w:u w:val="single"/>
        </w:rPr>
        <w:t>标准</w:t>
      </w:r>
      <w:r>
        <w:rPr>
          <w:rFonts w:hint="eastAsia" w:hAnsi="宋体" w:cs="宋体"/>
          <w:color w:val="auto"/>
          <w:sz w:val="21"/>
          <w:szCs w:val="21"/>
          <w:highlight w:val="none"/>
          <w:u w:val="single"/>
          <w:lang w:val="en-US" w:eastAsia="zh-CN"/>
        </w:rPr>
        <w:t>和</w:t>
      </w:r>
      <w:r>
        <w:rPr>
          <w:rFonts w:hint="eastAsia" w:hAnsi="宋体" w:cs="宋体"/>
          <w:color w:val="auto"/>
          <w:sz w:val="21"/>
          <w:szCs w:val="21"/>
          <w:highlight w:val="none"/>
          <w:u w:val="single"/>
        </w:rPr>
        <w:t>导则要求</w:t>
      </w:r>
      <w:r>
        <w:rPr>
          <w:rFonts w:hint="eastAsia" w:hAnsi="宋体" w:cs="宋体"/>
          <w:color w:val="auto"/>
          <w:sz w:val="21"/>
          <w:szCs w:val="21"/>
          <w:highlight w:val="none"/>
          <w:u w:val="single"/>
          <w:lang w:val="en-US" w:eastAsia="zh-CN"/>
        </w:rPr>
        <w:t>编写</w:t>
      </w:r>
      <w:r>
        <w:rPr>
          <w:rFonts w:hint="eastAsia" w:hAnsi="宋体" w:cs="宋体"/>
          <w:color w:val="auto"/>
          <w:sz w:val="21"/>
          <w:szCs w:val="21"/>
          <w:highlight w:val="none"/>
          <w:u w:val="single"/>
        </w:rPr>
        <w:t>；</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（4）</w:t>
      </w:r>
      <w:r>
        <w:rPr>
          <w:rFonts w:hint="eastAsia" w:hAnsi="宋体" w:cs="宋体"/>
          <w:color w:val="auto"/>
          <w:sz w:val="21"/>
          <w:szCs w:val="21"/>
          <w:highlight w:val="none"/>
          <w:u w:val="single"/>
        </w:rPr>
        <w:t>协调和组织应急预案专家评审</w:t>
      </w:r>
      <w:r>
        <w:rPr>
          <w:rFonts w:hint="eastAsia" w:hAnsi="宋体" w:cs="宋体"/>
          <w:color w:val="auto"/>
          <w:sz w:val="21"/>
          <w:szCs w:val="21"/>
          <w:highlight w:val="none"/>
        </w:rPr>
        <w:t>；</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（5）</w:t>
      </w:r>
      <w:r>
        <w:rPr>
          <w:rFonts w:hint="eastAsia" w:hAnsi="宋体" w:cs="宋体"/>
          <w:color w:val="auto"/>
          <w:sz w:val="21"/>
          <w:szCs w:val="21"/>
          <w:highlight w:val="none"/>
          <w:u w:val="single"/>
        </w:rPr>
        <w:t>组织编制预案备案申报资料；</w:t>
      </w:r>
    </w:p>
    <w:p>
      <w:pPr>
        <w:spacing w:line="360" w:lineRule="auto"/>
        <w:ind w:left="-708" w:leftChars="-295" w:firstLine="491" w:firstLineChars="234"/>
        <w:rPr>
          <w:rFonts w:hint="eastAsia" w:hAnsi="宋体" w:cs="宋体"/>
          <w:color w:val="auto"/>
          <w:sz w:val="21"/>
          <w:szCs w:val="21"/>
          <w:highlight w:val="none"/>
          <w:u w:val="single"/>
        </w:rPr>
      </w:pPr>
      <w:r>
        <w:rPr>
          <w:rFonts w:hint="eastAsia" w:hAnsi="宋体" w:cs="宋体"/>
          <w:color w:val="auto"/>
          <w:sz w:val="21"/>
          <w:szCs w:val="21"/>
          <w:highlight w:val="none"/>
        </w:rPr>
        <w:t>（6）</w:t>
      </w:r>
      <w:r>
        <w:rPr>
          <w:rFonts w:hint="eastAsia" w:hAnsi="宋体" w:cs="宋体"/>
          <w:color w:val="auto"/>
          <w:sz w:val="21"/>
          <w:szCs w:val="21"/>
          <w:highlight w:val="none"/>
          <w:u w:val="single"/>
        </w:rPr>
        <w:t>协助和指导甲方完成在相关行业主管部门的预案备案；</w:t>
      </w:r>
    </w:p>
    <w:p>
      <w:pPr>
        <w:spacing w:line="360" w:lineRule="auto"/>
        <w:ind w:left="-708" w:leftChars="-295" w:firstLine="491" w:firstLineChars="234"/>
        <w:rPr>
          <w:rFonts w:hAnsi="宋体" w:cs="宋体"/>
          <w:color w:val="auto"/>
          <w:sz w:val="21"/>
          <w:szCs w:val="21"/>
          <w:highlight w:val="none"/>
          <w:u w:val="single"/>
        </w:rPr>
      </w:pPr>
      <w:r>
        <w:rPr>
          <w:rFonts w:hAnsi="宋体" w:cs="宋体"/>
          <w:color w:val="auto"/>
          <w:sz w:val="21"/>
          <w:szCs w:val="21"/>
          <w:highlight w:val="none"/>
        </w:rPr>
        <w:t>（7）</w:t>
      </w:r>
      <w:r>
        <w:rPr>
          <w:rFonts w:hAnsi="宋体" w:cs="宋体"/>
          <w:color w:val="auto"/>
          <w:sz w:val="21"/>
          <w:szCs w:val="21"/>
          <w:highlight w:val="none"/>
          <w:u w:val="single"/>
        </w:rPr>
        <w:t>确保该预案与甲方上级主管单位的应急预案互相</w:t>
      </w:r>
      <w:r>
        <w:rPr>
          <w:rFonts w:hint="eastAsia" w:hAnsi="宋体" w:cs="宋体"/>
          <w:color w:val="auto"/>
          <w:sz w:val="21"/>
          <w:szCs w:val="21"/>
          <w:highlight w:val="none"/>
          <w:u w:val="single"/>
        </w:rPr>
        <w:t>衔接</w:t>
      </w:r>
      <w:r>
        <w:rPr>
          <w:rFonts w:hint="eastAsia" w:hAnsi="宋体" w:cs="宋体"/>
          <w:color w:val="auto"/>
          <w:sz w:val="21"/>
          <w:szCs w:val="21"/>
          <w:highlight w:val="none"/>
          <w:u w:val="single"/>
          <w:lang w:val="en-US" w:eastAsia="zh-CN"/>
        </w:rPr>
        <w:t>并对集团直属企业有指导作用；</w:t>
      </w:r>
    </w:p>
    <w:p>
      <w:pPr>
        <w:spacing w:line="360" w:lineRule="auto"/>
        <w:ind w:left="-708" w:leftChars="-295" w:firstLine="491" w:firstLineChars="234"/>
        <w:rPr>
          <w:rFonts w:hint="eastAsia" w:hAnsi="宋体" w:cs="宋体"/>
          <w:color w:val="auto"/>
          <w:sz w:val="21"/>
          <w:szCs w:val="21"/>
          <w:highlight w:val="none"/>
        </w:rPr>
      </w:pPr>
      <w:r>
        <w:rPr>
          <w:rFonts w:hint="eastAsia" w:hAnsi="宋体" w:cs="宋体"/>
          <w:color w:val="auto"/>
          <w:sz w:val="21"/>
          <w:szCs w:val="21"/>
          <w:highlight w:val="none"/>
        </w:rPr>
        <w:t>（</w:t>
      </w:r>
      <w:r>
        <w:rPr>
          <w:rFonts w:hAnsi="宋体" w:cs="宋体"/>
          <w:color w:val="auto"/>
          <w:sz w:val="21"/>
          <w:szCs w:val="21"/>
          <w:highlight w:val="none"/>
        </w:rPr>
        <w:t>8</w:t>
      </w:r>
      <w:r>
        <w:rPr>
          <w:rFonts w:hint="eastAsia" w:hAnsi="宋体" w:cs="宋体"/>
          <w:color w:val="auto"/>
          <w:sz w:val="21"/>
          <w:szCs w:val="21"/>
          <w:highlight w:val="none"/>
        </w:rPr>
        <w:t>）</w:t>
      </w:r>
      <w:r>
        <w:rPr>
          <w:rFonts w:hint="eastAsia" w:hAnsi="宋体" w:cs="宋体"/>
          <w:color w:val="auto"/>
          <w:sz w:val="21"/>
          <w:szCs w:val="21"/>
          <w:highlight w:val="none"/>
          <w:u w:val="single"/>
        </w:rPr>
        <w:t>结合专家评审通过后的应急预案内容，</w:t>
      </w:r>
      <w:r>
        <w:rPr>
          <w:rFonts w:hint="eastAsia" w:hAnsi="宋体" w:cs="宋体"/>
          <w:color w:val="auto"/>
          <w:sz w:val="21"/>
          <w:szCs w:val="21"/>
          <w:highlight w:val="none"/>
          <w:u w:val="single"/>
          <w:lang w:val="en-US" w:eastAsia="zh-CN"/>
        </w:rPr>
        <w:t>组织</w:t>
      </w:r>
      <w:r>
        <w:rPr>
          <w:rFonts w:hint="eastAsia" w:hAnsi="宋体" w:cs="宋体"/>
          <w:color w:val="auto"/>
          <w:sz w:val="21"/>
          <w:szCs w:val="21"/>
          <w:highlight w:val="none"/>
          <w:u w:val="single"/>
        </w:rPr>
        <w:t>甲方相关人员实施</w:t>
      </w:r>
      <w:r>
        <w:rPr>
          <w:rFonts w:hint="eastAsia" w:hAnsi="宋体" w:cs="宋体"/>
          <w:color w:val="auto"/>
          <w:sz w:val="21"/>
          <w:szCs w:val="21"/>
          <w:highlight w:val="none"/>
          <w:u w:val="single"/>
          <w:lang w:val="en-US" w:eastAsia="zh-CN"/>
        </w:rPr>
        <w:t>应急演练各</w:t>
      </w:r>
      <w:r>
        <w:rPr>
          <w:rFonts w:hint="eastAsia" w:hAnsi="宋体" w:cs="宋体"/>
          <w:color w:val="auto"/>
          <w:sz w:val="21"/>
          <w:szCs w:val="21"/>
          <w:highlight w:val="none"/>
          <w:u w:val="single"/>
        </w:rPr>
        <w:t>一次。要求</w:t>
      </w:r>
      <w:r>
        <w:rPr>
          <w:rFonts w:hint="eastAsia" w:hAnsi="宋体" w:cs="宋体"/>
          <w:color w:val="auto"/>
          <w:sz w:val="21"/>
          <w:szCs w:val="21"/>
          <w:highlight w:val="none"/>
          <w:u w:val="single"/>
          <w:lang w:val="en-US" w:eastAsia="zh-CN"/>
        </w:rPr>
        <w:t>演练</w:t>
      </w:r>
      <w:r>
        <w:rPr>
          <w:rFonts w:hint="eastAsia" w:hAnsi="宋体" w:cs="宋体"/>
          <w:color w:val="auto"/>
          <w:sz w:val="21"/>
          <w:szCs w:val="21"/>
          <w:highlight w:val="none"/>
          <w:u w:val="single"/>
        </w:rPr>
        <w:t>后，甲方相关人员达到知晓并掌握应急预案的实施和操作流程</w:t>
      </w:r>
      <w:r>
        <w:rPr>
          <w:rFonts w:hint="eastAsia" w:hAnsi="宋体" w:cs="宋体"/>
          <w:color w:val="auto"/>
          <w:sz w:val="21"/>
          <w:szCs w:val="21"/>
          <w:highlight w:val="none"/>
        </w:rPr>
        <w:t>。</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3、服务时间要求：乙</w:t>
      </w:r>
      <w:r>
        <w:rPr>
          <w:rFonts w:hint="eastAsia" w:hAnsi="宋体" w:cs="楷体"/>
          <w:color w:val="auto"/>
          <w:sz w:val="21"/>
          <w:szCs w:val="21"/>
          <w:highlight w:val="none"/>
        </w:rPr>
        <w:t>方应自采购人通知之日起</w:t>
      </w:r>
      <w:r>
        <w:rPr>
          <w:rFonts w:hint="eastAsia" w:hAnsi="宋体" w:cs="楷体"/>
          <w:color w:val="auto"/>
          <w:sz w:val="21"/>
          <w:szCs w:val="21"/>
          <w:highlight w:val="none"/>
          <w:lang w:val="en-US" w:eastAsia="zh-CN"/>
        </w:rPr>
        <w:t>至2024年7</w:t>
      </w:r>
      <w:r>
        <w:rPr>
          <w:rFonts w:hint="eastAsia" w:hAnsi="宋体" w:cs="楷体"/>
          <w:color w:val="auto"/>
          <w:sz w:val="21"/>
          <w:szCs w:val="21"/>
          <w:highlight w:val="none"/>
        </w:rPr>
        <w:t>月</w:t>
      </w:r>
      <w:r>
        <w:rPr>
          <w:rFonts w:hint="eastAsia" w:hAnsi="宋体" w:cs="楷体"/>
          <w:color w:val="auto"/>
          <w:sz w:val="21"/>
          <w:szCs w:val="21"/>
          <w:highlight w:val="none"/>
          <w:lang w:val="en-US" w:eastAsia="zh-CN"/>
        </w:rPr>
        <w:t>31日前</w:t>
      </w:r>
      <w:r>
        <w:rPr>
          <w:rFonts w:hint="eastAsia" w:hAnsi="宋体" w:cs="楷体"/>
          <w:color w:val="auto"/>
          <w:sz w:val="21"/>
          <w:szCs w:val="21"/>
          <w:highlight w:val="none"/>
        </w:rPr>
        <w:t>完成</w:t>
      </w: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东莞市水务集团有限</w:t>
      </w:r>
      <w:r>
        <w:rPr>
          <w:rFonts w:hint="eastAsia" w:hAnsi="宋体" w:cs="楷体"/>
          <w:color w:val="auto"/>
          <w:sz w:val="21"/>
          <w:szCs w:val="21"/>
          <w:highlight w:val="none"/>
        </w:rPr>
        <w:t>公司</w:t>
      </w:r>
      <w:r>
        <w:rPr>
          <w:rFonts w:hint="eastAsia" w:hAnsi="宋体" w:cs="楷体"/>
          <w:color w:val="auto"/>
          <w:sz w:val="21"/>
          <w:szCs w:val="21"/>
          <w:highlight w:val="none"/>
          <w:lang w:val="en-US" w:eastAsia="zh-CN"/>
        </w:rPr>
        <w:t>突发事件总体应急预案》修编所要求的全部服务内容；2024年11月30前完成《东莞市水务集团有限</w:t>
      </w:r>
      <w:r>
        <w:rPr>
          <w:rFonts w:hint="eastAsia" w:hAnsi="宋体" w:cs="楷体"/>
          <w:color w:val="auto"/>
          <w:sz w:val="21"/>
          <w:szCs w:val="21"/>
          <w:highlight w:val="none"/>
        </w:rPr>
        <w:t>公司生产安全事故应急预案</w:t>
      </w: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新编所要求的全部服务内容</w:t>
      </w:r>
      <w:r>
        <w:rPr>
          <w:rFonts w:hint="eastAsia" w:hAnsi="宋体" w:cs="楷体"/>
          <w:color w:val="auto"/>
          <w:sz w:val="21"/>
          <w:szCs w:val="21"/>
          <w:highlight w:val="none"/>
        </w:rPr>
        <w:t>。</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4、服务地点：</w:t>
      </w:r>
      <w:r>
        <w:rPr>
          <w:rFonts w:hint="eastAsia" w:hAnsi="宋体" w:cs="宋体"/>
          <w:color w:val="auto"/>
          <w:sz w:val="21"/>
          <w:szCs w:val="21"/>
          <w:highlight w:val="none"/>
          <w:u w:val="single"/>
          <w:lang w:val="en-US" w:eastAsia="zh-CN"/>
        </w:rPr>
        <w:t xml:space="preserve">  东莞市                     </w:t>
      </w:r>
    </w:p>
    <w:p>
      <w:pPr>
        <w:spacing w:line="360" w:lineRule="auto"/>
        <w:ind w:left="-708" w:leftChars="-295" w:firstLine="491" w:firstLineChars="234"/>
        <w:rPr>
          <w:rFonts w:hAnsi="宋体" w:cs="楷体"/>
          <w:bCs/>
          <w:color w:val="auto"/>
          <w:sz w:val="21"/>
          <w:szCs w:val="21"/>
          <w:highlight w:val="none"/>
        </w:rPr>
      </w:pPr>
    </w:p>
    <w:p>
      <w:pPr>
        <w:numPr>
          <w:ilvl w:val="0"/>
          <w:numId w:val="0"/>
        </w:numPr>
        <w:spacing w:line="360" w:lineRule="auto"/>
        <w:ind w:leftChars="-61"/>
        <w:rPr>
          <w:rFonts w:hint="eastAsia" w:ascii="宋体" w:hAnsi="宋体" w:eastAsia="宋体" w:cs="楷体"/>
          <w:bCs/>
          <w:color w:val="auto"/>
          <w:sz w:val="21"/>
          <w:szCs w:val="21"/>
          <w:highlight w:val="none"/>
          <w:lang w:val="en-US" w:eastAsia="zh-CN" w:bidi="ar-SA"/>
        </w:rPr>
      </w:pPr>
      <w:r>
        <w:rPr>
          <w:rFonts w:hint="eastAsia" w:hAnsi="宋体" w:cs="楷体"/>
          <w:b/>
          <w:bCs/>
          <w:color w:val="auto"/>
          <w:sz w:val="21"/>
          <w:szCs w:val="21"/>
          <w:highlight w:val="none"/>
          <w:lang w:val="en-US" w:eastAsia="zh-CN"/>
        </w:rPr>
        <w:t>二、</w:t>
      </w:r>
      <w:r>
        <w:rPr>
          <w:rFonts w:hint="eastAsia" w:hAnsi="宋体" w:cs="楷体"/>
          <w:b/>
          <w:bCs/>
          <w:color w:val="auto"/>
          <w:sz w:val="21"/>
          <w:szCs w:val="21"/>
          <w:highlight w:val="none"/>
        </w:rPr>
        <w:t>服务价格</w:t>
      </w:r>
      <w:r>
        <w:rPr>
          <w:rFonts w:hint="eastAsia" w:hAnsi="宋体" w:cs="楷体"/>
          <w:b/>
          <w:bCs/>
          <w:color w:val="auto"/>
          <w:sz w:val="21"/>
          <w:szCs w:val="21"/>
          <w:highlight w:val="none"/>
          <w:lang w:val="en-US" w:eastAsia="zh-CN"/>
        </w:rPr>
        <w:t xml:space="preserve">                                                                                 </w:t>
      </w:r>
    </w:p>
    <w:p>
      <w:pPr>
        <w:numPr>
          <w:ilvl w:val="0"/>
          <w:numId w:val="0"/>
        </w:numPr>
        <w:spacing w:line="360" w:lineRule="auto"/>
        <w:ind w:leftChars="-61"/>
        <w:rPr>
          <w:rFonts w:hAnsi="宋体" w:cs="楷体"/>
          <w:bCs/>
          <w:color w:val="auto"/>
          <w:sz w:val="21"/>
          <w:szCs w:val="21"/>
          <w:highlight w:val="none"/>
        </w:rPr>
      </w:pPr>
      <w:r>
        <w:rPr>
          <w:rFonts w:hint="eastAsia" w:hAnsi="宋体" w:cs="楷体"/>
          <w:b/>
          <w:bCs/>
          <w:color w:val="auto"/>
          <w:sz w:val="21"/>
          <w:szCs w:val="21"/>
          <w:highlight w:val="none"/>
          <w:lang w:val="en-US" w:eastAsia="zh-CN"/>
        </w:rPr>
        <w:t>1、</w:t>
      </w:r>
      <w:r>
        <w:rPr>
          <w:rFonts w:hint="eastAsia" w:hAnsi="宋体" w:cs="宋体"/>
          <w:color w:val="auto"/>
          <w:sz w:val="21"/>
          <w:szCs w:val="21"/>
          <w:highlight w:val="none"/>
          <w:u w:val="none"/>
          <w:lang w:val="en-US" w:eastAsia="zh-CN"/>
        </w:rPr>
        <w:t>修</w:t>
      </w:r>
      <w:r>
        <w:rPr>
          <w:rFonts w:hint="eastAsia" w:hAnsi="宋体" w:cs="宋体"/>
          <w:color w:val="auto"/>
          <w:sz w:val="21"/>
          <w:szCs w:val="21"/>
          <w:highlight w:val="none"/>
          <w:u w:val="none"/>
        </w:rPr>
        <w:t>编</w:t>
      </w:r>
      <w:r>
        <w:rPr>
          <w:rFonts w:hint="eastAsia" w:hAnsi="宋体" w:cs="宋体"/>
          <w:color w:val="auto"/>
          <w:sz w:val="21"/>
          <w:szCs w:val="21"/>
          <w:highlight w:val="none"/>
          <w:u w:val="none"/>
          <w:lang w:eastAsia="zh-CN"/>
        </w:rPr>
        <w:t>《</w:t>
      </w:r>
      <w:r>
        <w:rPr>
          <w:rFonts w:hint="eastAsia" w:hAnsi="宋体" w:cs="宋体"/>
          <w:color w:val="auto"/>
          <w:sz w:val="21"/>
          <w:szCs w:val="21"/>
          <w:highlight w:val="none"/>
          <w:u w:val="none"/>
          <w:lang w:val="en-US" w:eastAsia="zh-CN"/>
        </w:rPr>
        <w:t>东莞市水务集团有限</w:t>
      </w:r>
      <w:r>
        <w:rPr>
          <w:rFonts w:hint="eastAsia" w:hAnsi="宋体" w:cs="宋体"/>
          <w:color w:val="auto"/>
          <w:sz w:val="21"/>
          <w:szCs w:val="21"/>
          <w:highlight w:val="none"/>
          <w:u w:val="none"/>
        </w:rPr>
        <w:t>公司</w:t>
      </w:r>
      <w:r>
        <w:rPr>
          <w:rFonts w:hint="eastAsia" w:hAnsi="宋体" w:cs="宋体"/>
          <w:color w:val="auto"/>
          <w:sz w:val="21"/>
          <w:szCs w:val="21"/>
          <w:highlight w:val="none"/>
          <w:u w:val="none"/>
          <w:lang w:val="en-US" w:eastAsia="zh-CN"/>
        </w:rPr>
        <w:t>突发事件总体应急预案》</w:t>
      </w:r>
      <w:r>
        <w:rPr>
          <w:rFonts w:hint="eastAsia" w:ascii="宋体" w:hAnsi="宋体" w:eastAsia="宋体" w:cs="楷体"/>
          <w:bCs/>
          <w:color w:val="auto"/>
          <w:sz w:val="21"/>
          <w:szCs w:val="21"/>
          <w:highlight w:val="none"/>
          <w:lang w:val="en-US" w:eastAsia="zh-CN" w:bidi="ar-SA"/>
        </w:rPr>
        <w:t>服务费用为</w:t>
      </w:r>
      <w:r>
        <w:rPr>
          <w:rFonts w:hint="eastAsia" w:hAnsi="宋体" w:cs="楷体"/>
          <w:bCs/>
          <w:color w:val="auto"/>
          <w:sz w:val="21"/>
          <w:szCs w:val="21"/>
          <w:highlight w:val="none"/>
        </w:rPr>
        <w:t>¥</w:t>
      </w:r>
      <w:r>
        <w:rPr>
          <w:rFonts w:hint="eastAsia" w:hAnsi="宋体" w:cs="楷体"/>
          <w:color w:val="auto"/>
          <w:sz w:val="21"/>
          <w:szCs w:val="21"/>
          <w:highlight w:val="none"/>
          <w:u w:val="single"/>
        </w:rPr>
        <w:t xml:space="preserve"> </w:t>
      </w:r>
      <w:r>
        <w:rPr>
          <w:rFonts w:hint="eastAsia" w:hAnsi="宋体" w:cs="楷体"/>
          <w:color w:val="auto"/>
          <w:sz w:val="21"/>
          <w:szCs w:val="21"/>
          <w:highlight w:val="none"/>
          <w:u w:val="single"/>
          <w:lang w:val="en-US" w:eastAsia="zh-CN"/>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rPr>
        <w:t>元（大写：</w:t>
      </w:r>
      <w:r>
        <w:rPr>
          <w:rFonts w:hint="eastAsia" w:hAnsi="宋体" w:cs="楷体"/>
          <w:color w:val="auto"/>
          <w:sz w:val="21"/>
          <w:szCs w:val="21"/>
          <w:highlight w:val="none"/>
          <w:u w:val="single"/>
          <w:lang w:val="en-US" w:eastAsia="zh-CN"/>
        </w:rPr>
        <w:t xml:space="preserve">     </w:t>
      </w:r>
      <w:r>
        <w:rPr>
          <w:rFonts w:hAnsi="宋体" w:cs="楷体"/>
          <w:color w:val="auto"/>
          <w:sz w:val="21"/>
          <w:szCs w:val="21"/>
          <w:highlight w:val="none"/>
          <w:u w:val="single"/>
        </w:rPr>
        <w:t>元整</w:t>
      </w:r>
      <w:r>
        <w:rPr>
          <w:rFonts w:hint="eastAsia" w:hAnsi="宋体" w:cs="楷体"/>
          <w:color w:val="auto"/>
          <w:sz w:val="21"/>
          <w:szCs w:val="21"/>
          <w:highlight w:val="none"/>
        </w:rPr>
        <w:t>）</w:t>
      </w:r>
      <w:r>
        <w:rPr>
          <w:rFonts w:hint="eastAsia" w:ascii="宋体" w:hAnsi="宋体" w:eastAsia="宋体" w:cs="楷体"/>
          <w:bCs/>
          <w:color w:val="auto"/>
          <w:sz w:val="21"/>
          <w:szCs w:val="21"/>
          <w:highlight w:val="none"/>
          <w:lang w:val="en-US" w:eastAsia="zh-CN" w:bidi="ar-SA"/>
        </w:rPr>
        <w:t>含增值税费。</w:t>
      </w:r>
    </w:p>
    <w:p>
      <w:pPr>
        <w:numPr>
          <w:ilvl w:val="0"/>
          <w:numId w:val="0"/>
        </w:numPr>
        <w:spacing w:line="360" w:lineRule="auto"/>
        <w:ind w:leftChars="-61"/>
        <w:rPr>
          <w:rFonts w:hint="eastAsia" w:ascii="宋体" w:hAnsi="宋体" w:eastAsia="宋体" w:cs="楷体"/>
          <w:bCs/>
          <w:color w:val="auto"/>
          <w:sz w:val="21"/>
          <w:szCs w:val="21"/>
          <w:highlight w:val="none"/>
          <w:lang w:val="en-US" w:eastAsia="zh-CN" w:bidi="ar-SA"/>
        </w:rPr>
      </w:pPr>
      <w:r>
        <w:rPr>
          <w:rFonts w:hint="eastAsia" w:hAnsi="宋体" w:cs="楷体"/>
          <w:bCs/>
          <w:color w:val="auto"/>
          <w:sz w:val="21"/>
          <w:szCs w:val="21"/>
          <w:highlight w:val="none"/>
        </w:rPr>
        <w:t>2、</w:t>
      </w:r>
      <w:r>
        <w:rPr>
          <w:rFonts w:hint="eastAsia" w:hAnsi="宋体" w:cs="宋体"/>
          <w:color w:val="auto"/>
          <w:sz w:val="21"/>
          <w:szCs w:val="21"/>
          <w:highlight w:val="none"/>
          <w:u w:val="none"/>
          <w:lang w:val="en-US" w:eastAsia="zh-CN"/>
        </w:rPr>
        <w:t>新编《东莞市水务集团有限</w:t>
      </w:r>
      <w:r>
        <w:rPr>
          <w:rFonts w:hint="eastAsia" w:hAnsi="宋体" w:cs="宋体"/>
          <w:color w:val="auto"/>
          <w:sz w:val="21"/>
          <w:szCs w:val="21"/>
          <w:highlight w:val="none"/>
          <w:u w:val="none"/>
        </w:rPr>
        <w:t>公司生产安全事故应急预案</w:t>
      </w:r>
      <w:r>
        <w:rPr>
          <w:rFonts w:hint="eastAsia" w:hAnsi="宋体" w:cs="宋体"/>
          <w:color w:val="auto"/>
          <w:sz w:val="21"/>
          <w:szCs w:val="21"/>
          <w:highlight w:val="none"/>
          <w:u w:val="none"/>
          <w:lang w:eastAsia="zh-CN"/>
        </w:rPr>
        <w:t>》</w:t>
      </w:r>
      <w:r>
        <w:rPr>
          <w:rFonts w:hint="eastAsia" w:ascii="宋体" w:hAnsi="宋体" w:eastAsia="宋体" w:cs="楷体"/>
          <w:bCs/>
          <w:color w:val="auto"/>
          <w:sz w:val="21"/>
          <w:szCs w:val="21"/>
          <w:highlight w:val="none"/>
          <w:lang w:val="en-US" w:eastAsia="zh-CN" w:bidi="ar-SA"/>
        </w:rPr>
        <w:t>服务费用为</w:t>
      </w:r>
      <w:r>
        <w:rPr>
          <w:rFonts w:hint="eastAsia" w:hAnsi="宋体" w:cs="楷体"/>
          <w:color w:val="auto"/>
          <w:sz w:val="21"/>
          <w:szCs w:val="21"/>
          <w:highlight w:val="none"/>
        </w:rPr>
        <w:t>人民币</w:t>
      </w:r>
      <w:r>
        <w:rPr>
          <w:rFonts w:hint="eastAsia" w:hAnsi="宋体" w:cs="楷体"/>
          <w:bCs/>
          <w:color w:val="auto"/>
          <w:sz w:val="21"/>
          <w:szCs w:val="21"/>
          <w:highlight w:val="none"/>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u w:val="single"/>
          <w:lang w:val="en-US" w:eastAsia="zh-CN"/>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rPr>
        <w:t>元（大写：</w:t>
      </w:r>
      <w:r>
        <w:rPr>
          <w:rFonts w:hint="eastAsia" w:hAnsi="宋体" w:cs="楷体"/>
          <w:color w:val="auto"/>
          <w:sz w:val="21"/>
          <w:szCs w:val="21"/>
          <w:highlight w:val="none"/>
          <w:u w:val="single"/>
          <w:lang w:val="en-US" w:eastAsia="zh-CN"/>
        </w:rPr>
        <w:t xml:space="preserve">     </w:t>
      </w:r>
      <w:r>
        <w:rPr>
          <w:rFonts w:hAnsi="宋体" w:cs="楷体"/>
          <w:color w:val="auto"/>
          <w:sz w:val="21"/>
          <w:szCs w:val="21"/>
          <w:highlight w:val="none"/>
          <w:u w:val="single"/>
        </w:rPr>
        <w:t>元整</w:t>
      </w:r>
      <w:r>
        <w:rPr>
          <w:rFonts w:hint="eastAsia" w:hAnsi="宋体" w:cs="楷体"/>
          <w:color w:val="auto"/>
          <w:sz w:val="21"/>
          <w:szCs w:val="21"/>
          <w:highlight w:val="none"/>
        </w:rPr>
        <w:t>）</w:t>
      </w:r>
      <w:r>
        <w:rPr>
          <w:rFonts w:hint="eastAsia" w:ascii="宋体" w:hAnsi="宋体" w:eastAsia="宋体" w:cs="楷体"/>
          <w:bCs/>
          <w:color w:val="auto"/>
          <w:sz w:val="21"/>
          <w:szCs w:val="21"/>
          <w:highlight w:val="none"/>
          <w:lang w:val="en-US" w:eastAsia="zh-CN" w:bidi="ar-SA"/>
        </w:rPr>
        <w:t>含增值税费。</w:t>
      </w:r>
    </w:p>
    <w:p>
      <w:pPr>
        <w:numPr>
          <w:ilvl w:val="0"/>
          <w:numId w:val="0"/>
        </w:numPr>
        <w:spacing w:line="360" w:lineRule="auto"/>
        <w:ind w:left="-146" w:leftChars="-61" w:firstLine="0" w:firstLineChars="0"/>
        <w:rPr>
          <w:rFonts w:hAnsi="宋体" w:cs="楷体"/>
          <w:bCs/>
          <w:color w:val="auto"/>
          <w:sz w:val="21"/>
          <w:szCs w:val="21"/>
          <w:highlight w:val="none"/>
        </w:rPr>
      </w:pPr>
      <w:r>
        <w:rPr>
          <w:rFonts w:hint="eastAsia" w:hAnsi="宋体" w:cs="楷体"/>
          <w:bCs/>
          <w:color w:val="auto"/>
          <w:sz w:val="21"/>
          <w:szCs w:val="21"/>
          <w:highlight w:val="none"/>
        </w:rPr>
        <w:t>3、合同价合计为</w:t>
      </w:r>
      <w:r>
        <w:rPr>
          <w:rFonts w:hint="eastAsia" w:hAnsi="宋体" w:cs="楷体"/>
          <w:color w:val="auto"/>
          <w:sz w:val="21"/>
          <w:szCs w:val="21"/>
          <w:highlight w:val="none"/>
        </w:rPr>
        <w:t>人民币</w:t>
      </w:r>
      <w:r>
        <w:rPr>
          <w:rFonts w:hint="eastAsia" w:hAnsi="宋体" w:cs="楷体"/>
          <w:bCs/>
          <w:color w:val="auto"/>
          <w:sz w:val="21"/>
          <w:szCs w:val="21"/>
          <w:highlight w:val="none"/>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u w:val="single"/>
          <w:lang w:val="en-US" w:eastAsia="zh-CN"/>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rPr>
        <w:t>元（大写：</w:t>
      </w:r>
      <w:r>
        <w:rPr>
          <w:rFonts w:hint="eastAsia" w:hAnsi="宋体" w:cs="楷体"/>
          <w:color w:val="auto"/>
          <w:sz w:val="21"/>
          <w:szCs w:val="21"/>
          <w:highlight w:val="none"/>
          <w:u w:val="single"/>
          <w:lang w:val="en-US" w:eastAsia="zh-CN"/>
        </w:rPr>
        <w:t xml:space="preserve">     </w:t>
      </w:r>
      <w:r>
        <w:rPr>
          <w:rFonts w:hAnsi="宋体" w:cs="楷体"/>
          <w:color w:val="auto"/>
          <w:sz w:val="21"/>
          <w:szCs w:val="21"/>
          <w:highlight w:val="none"/>
          <w:u w:val="single"/>
        </w:rPr>
        <w:t>元整</w:t>
      </w:r>
      <w:r>
        <w:rPr>
          <w:rFonts w:hint="eastAsia" w:hAnsi="宋体" w:cs="楷体"/>
          <w:color w:val="auto"/>
          <w:sz w:val="21"/>
          <w:szCs w:val="21"/>
          <w:highlight w:val="none"/>
        </w:rPr>
        <w:t>）</w:t>
      </w:r>
      <w:r>
        <w:rPr>
          <w:rFonts w:hint="eastAsia" w:hAnsi="宋体" w:cs="楷体"/>
          <w:bCs/>
          <w:color w:val="auto"/>
          <w:sz w:val="21"/>
          <w:szCs w:val="21"/>
          <w:highlight w:val="none"/>
        </w:rPr>
        <w:t>，本合同上述费用包括但不限于：</w:t>
      </w:r>
    </w:p>
    <w:p>
      <w:pPr>
        <w:tabs>
          <w:tab w:val="left" w:pos="567"/>
        </w:tabs>
        <w:spacing w:line="360" w:lineRule="auto"/>
        <w:ind w:left="-708" w:leftChars="-295" w:firstLine="491" w:firstLineChars="234"/>
        <w:jc w:val="both"/>
        <w:rPr>
          <w:rFonts w:hAnsi="宋体" w:cs="楷体"/>
          <w:color w:val="auto"/>
          <w:sz w:val="21"/>
          <w:szCs w:val="21"/>
          <w:highlight w:val="none"/>
        </w:rPr>
      </w:pPr>
      <w:r>
        <w:rPr>
          <w:rFonts w:hint="eastAsia" w:hAnsi="宋体"/>
          <w:color w:val="auto"/>
          <w:sz w:val="21"/>
          <w:szCs w:val="21"/>
          <w:highlight w:val="none"/>
        </w:rPr>
        <w:t>（1）应急预案（含编制说明）编制费</w:t>
      </w:r>
      <w:r>
        <w:rPr>
          <w:rFonts w:hint="eastAsia" w:hAnsi="宋体" w:cs="楷体"/>
          <w:color w:val="auto"/>
          <w:sz w:val="21"/>
          <w:szCs w:val="21"/>
          <w:highlight w:val="none"/>
        </w:rPr>
        <w:t>、专家评审费、培训费、管理费、利润等在预案服务及评审过程中乙方产生的各项支出费用；</w:t>
      </w:r>
    </w:p>
    <w:p>
      <w:pPr>
        <w:spacing w:line="360" w:lineRule="auto"/>
        <w:ind w:left="-708" w:leftChars="-295" w:firstLine="491" w:firstLineChars="234"/>
        <w:rPr>
          <w:rFonts w:hAnsi="宋体" w:cs="楷体"/>
          <w:bCs/>
          <w:color w:val="auto"/>
          <w:sz w:val="21"/>
          <w:szCs w:val="21"/>
          <w:highlight w:val="none"/>
        </w:rPr>
      </w:pPr>
      <w:r>
        <w:rPr>
          <w:rFonts w:hint="eastAsia" w:hAnsi="宋体" w:cs="楷体"/>
          <w:bCs/>
          <w:color w:val="auto"/>
          <w:sz w:val="21"/>
          <w:szCs w:val="21"/>
          <w:highlight w:val="none"/>
        </w:rPr>
        <w:t>（2）为开展本项目所需的现场勘查费、人工费、人员社会保险、人身意外保险、第三方责任险、差旅费、食宿费、交通费、通讯费等费用；</w:t>
      </w:r>
    </w:p>
    <w:p>
      <w:pPr>
        <w:spacing w:line="360" w:lineRule="auto"/>
        <w:ind w:left="-708" w:leftChars="-295" w:firstLine="491" w:firstLineChars="234"/>
        <w:rPr>
          <w:rFonts w:hint="eastAsia" w:hAnsi="宋体" w:cs="楷体"/>
          <w:bCs/>
          <w:color w:val="auto"/>
          <w:sz w:val="21"/>
          <w:szCs w:val="21"/>
          <w:highlight w:val="none"/>
        </w:rPr>
      </w:pPr>
      <w:r>
        <w:rPr>
          <w:rFonts w:hint="eastAsia" w:hAnsi="宋体" w:cs="楷体"/>
          <w:bCs/>
          <w:color w:val="auto"/>
          <w:sz w:val="21"/>
          <w:szCs w:val="21"/>
          <w:highlight w:val="none"/>
        </w:rPr>
        <w:t>（3）为提供本合同服务及达成本合同目的所产生的其他费用。</w:t>
      </w:r>
    </w:p>
    <w:p>
      <w:pPr>
        <w:spacing w:line="360" w:lineRule="auto"/>
        <w:ind w:left="-708" w:leftChars="-295" w:firstLine="491" w:firstLineChars="234"/>
        <w:rPr>
          <w:rFonts w:hint="eastAsia" w:hAnsi="宋体" w:cs="楷体"/>
          <w:bCs/>
          <w:color w:val="auto"/>
          <w:sz w:val="21"/>
          <w:szCs w:val="21"/>
          <w:highlight w:val="none"/>
        </w:rPr>
      </w:pPr>
      <w:r>
        <w:rPr>
          <w:rFonts w:hint="eastAsia" w:hAnsi="宋体" w:cs="楷体"/>
          <w:bCs/>
          <w:color w:val="auto"/>
          <w:sz w:val="21"/>
          <w:szCs w:val="21"/>
          <w:highlight w:val="none"/>
        </w:rPr>
        <w:t>（</w:t>
      </w:r>
      <w:r>
        <w:rPr>
          <w:rFonts w:hint="eastAsia" w:hAnsi="宋体" w:cs="楷体"/>
          <w:bCs/>
          <w:color w:val="auto"/>
          <w:sz w:val="21"/>
          <w:szCs w:val="21"/>
          <w:highlight w:val="none"/>
          <w:lang w:val="en-US" w:eastAsia="zh-CN"/>
        </w:rPr>
        <w:t>4</w:t>
      </w:r>
      <w:r>
        <w:rPr>
          <w:rFonts w:hint="eastAsia" w:hAnsi="宋体" w:cs="楷体"/>
          <w:bCs/>
          <w:color w:val="auto"/>
          <w:sz w:val="21"/>
          <w:szCs w:val="21"/>
          <w:highlight w:val="none"/>
        </w:rPr>
        <w:t>）在本合同履行过程中，合同价不随法律法规政策、物价人工、工期调整而进行调整，未经甲方书面确认，乙方无权增加任何费用。</w:t>
      </w:r>
    </w:p>
    <w:p>
      <w:pPr>
        <w:spacing w:line="360" w:lineRule="auto"/>
        <w:ind w:left="-708" w:leftChars="-295" w:firstLine="491" w:firstLineChars="234"/>
        <w:rPr>
          <w:rFonts w:hAnsi="宋体" w:cs="楷体"/>
          <w:bCs/>
          <w:color w:val="auto"/>
          <w:sz w:val="21"/>
          <w:szCs w:val="21"/>
          <w:highlight w:val="none"/>
        </w:rPr>
      </w:pPr>
    </w:p>
    <w:p>
      <w:pPr>
        <w:spacing w:line="360" w:lineRule="auto"/>
        <w:ind w:left="-708" w:leftChars="-295" w:firstLine="493" w:firstLineChars="234"/>
        <w:rPr>
          <w:rFonts w:hAnsi="宋体" w:cs="楷体"/>
          <w:b/>
          <w:bCs/>
          <w:color w:val="auto"/>
          <w:sz w:val="21"/>
          <w:szCs w:val="21"/>
          <w:highlight w:val="none"/>
        </w:rPr>
      </w:pPr>
      <w:r>
        <w:rPr>
          <w:rFonts w:hint="eastAsia" w:hAnsi="宋体" w:cs="楷体"/>
          <w:b/>
          <w:bCs/>
          <w:color w:val="auto"/>
          <w:sz w:val="21"/>
          <w:szCs w:val="21"/>
          <w:highlight w:val="none"/>
        </w:rPr>
        <w:t>三、付款方式</w:t>
      </w:r>
    </w:p>
    <w:p>
      <w:pPr>
        <w:spacing w:line="360" w:lineRule="auto"/>
        <w:ind w:left="-708" w:leftChars="-295" w:firstLine="491" w:firstLineChars="234"/>
        <w:rPr>
          <w:rFonts w:hint="eastAsia" w:hAnsi="宋体" w:cs="楷体"/>
          <w:color w:val="auto"/>
          <w:sz w:val="21"/>
          <w:szCs w:val="21"/>
          <w:highlight w:val="none"/>
          <w:lang w:val="en-US" w:eastAsia="zh-CN"/>
        </w:rPr>
      </w:pPr>
      <w:r>
        <w:rPr>
          <w:rFonts w:hint="eastAsia" w:hAnsi="宋体" w:cs="楷体"/>
          <w:color w:val="auto"/>
          <w:sz w:val="21"/>
          <w:szCs w:val="21"/>
          <w:highlight w:val="none"/>
          <w:lang w:val="en-US" w:eastAsia="zh-CN"/>
        </w:rPr>
        <w:t>1、乙方完成</w:t>
      </w:r>
      <w:r>
        <w:rPr>
          <w:rFonts w:hint="eastAsia" w:hAnsi="宋体" w:cs="宋体"/>
          <w:color w:val="auto"/>
          <w:sz w:val="21"/>
          <w:szCs w:val="21"/>
          <w:highlight w:val="none"/>
          <w:u w:val="none"/>
          <w:lang w:eastAsia="zh-CN"/>
        </w:rPr>
        <w:t>《</w:t>
      </w:r>
      <w:r>
        <w:rPr>
          <w:rFonts w:hint="eastAsia" w:hAnsi="宋体" w:cs="宋体"/>
          <w:color w:val="auto"/>
          <w:sz w:val="21"/>
          <w:szCs w:val="21"/>
          <w:highlight w:val="none"/>
          <w:u w:val="none"/>
          <w:lang w:val="en-US" w:eastAsia="zh-CN"/>
        </w:rPr>
        <w:t>东莞市水务集团有限</w:t>
      </w:r>
      <w:r>
        <w:rPr>
          <w:rFonts w:hint="eastAsia" w:hAnsi="宋体" w:cs="宋体"/>
          <w:color w:val="auto"/>
          <w:sz w:val="21"/>
          <w:szCs w:val="21"/>
          <w:highlight w:val="none"/>
          <w:u w:val="none"/>
        </w:rPr>
        <w:t>公司</w:t>
      </w:r>
      <w:r>
        <w:rPr>
          <w:rFonts w:hint="eastAsia" w:hAnsi="宋体" w:cs="宋体"/>
          <w:color w:val="auto"/>
          <w:sz w:val="21"/>
          <w:szCs w:val="21"/>
          <w:highlight w:val="none"/>
          <w:u w:val="none"/>
          <w:lang w:val="en-US" w:eastAsia="zh-CN"/>
        </w:rPr>
        <w:t>突发事件总体应急预案》编制相应服务内容后，应</w:t>
      </w:r>
      <w:r>
        <w:rPr>
          <w:rFonts w:hint="eastAsia" w:hAnsi="宋体" w:cs="楷体"/>
          <w:bCs/>
          <w:color w:val="auto"/>
          <w:sz w:val="21"/>
          <w:szCs w:val="21"/>
          <w:highlight w:val="none"/>
          <w:lang w:val="en-US" w:eastAsia="zh-CN" w:bidi="ar-SA"/>
        </w:rPr>
        <w:t>向甲方提交申请及符合要求的</w:t>
      </w:r>
      <w:r>
        <w:rPr>
          <w:rFonts w:hint="eastAsia" w:hAnsi="宋体" w:cs="楷体"/>
          <w:color w:val="auto"/>
          <w:sz w:val="21"/>
          <w:szCs w:val="21"/>
          <w:highlight w:val="none"/>
        </w:rPr>
        <w:t>请款资料</w:t>
      </w:r>
      <w:r>
        <w:rPr>
          <w:rFonts w:hint="eastAsia" w:hAnsi="宋体" w:cs="楷体"/>
          <w:bCs/>
          <w:color w:val="auto"/>
          <w:sz w:val="21"/>
          <w:szCs w:val="21"/>
          <w:highlight w:val="none"/>
          <w:lang w:val="en-US" w:eastAsia="zh-CN" w:bidi="ar-SA"/>
        </w:rPr>
        <w:t>，甲方审核无误后15个工作日内一次性支付本次</w:t>
      </w:r>
      <w:r>
        <w:rPr>
          <w:rFonts w:hint="eastAsia" w:ascii="宋体" w:hAnsi="宋体" w:eastAsia="宋体" w:cs="楷体"/>
          <w:bCs/>
          <w:color w:val="auto"/>
          <w:sz w:val="21"/>
          <w:szCs w:val="21"/>
          <w:highlight w:val="none"/>
          <w:lang w:val="en-US" w:eastAsia="zh-CN" w:bidi="ar-SA"/>
        </w:rPr>
        <w:t>服务费用</w:t>
      </w:r>
      <w:r>
        <w:rPr>
          <w:rFonts w:hint="eastAsia" w:hAnsi="宋体" w:cs="楷体"/>
          <w:color w:val="auto"/>
          <w:sz w:val="21"/>
          <w:szCs w:val="21"/>
          <w:highlight w:val="none"/>
        </w:rPr>
        <w:t>，即人民币</w:t>
      </w:r>
      <w:r>
        <w:rPr>
          <w:rFonts w:hint="eastAsia" w:hAnsi="宋体" w:cs="楷体"/>
          <w:bCs/>
          <w:color w:val="auto"/>
          <w:sz w:val="21"/>
          <w:szCs w:val="21"/>
          <w:highlight w:val="none"/>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u w:val="single"/>
          <w:lang w:val="en-US" w:eastAsia="zh-CN"/>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rPr>
        <w:t>元（大写：</w:t>
      </w:r>
      <w:r>
        <w:rPr>
          <w:rFonts w:hint="eastAsia" w:hAnsi="宋体" w:cs="楷体"/>
          <w:color w:val="auto"/>
          <w:sz w:val="21"/>
          <w:szCs w:val="21"/>
          <w:highlight w:val="none"/>
          <w:u w:val="single"/>
          <w:lang w:val="en-US" w:eastAsia="zh-CN"/>
        </w:rPr>
        <w:t xml:space="preserve">     </w:t>
      </w:r>
      <w:r>
        <w:rPr>
          <w:rFonts w:hAnsi="宋体" w:cs="楷体"/>
          <w:color w:val="auto"/>
          <w:sz w:val="21"/>
          <w:szCs w:val="21"/>
          <w:highlight w:val="none"/>
          <w:u w:val="single"/>
        </w:rPr>
        <w:t>元整</w:t>
      </w:r>
      <w:r>
        <w:rPr>
          <w:rFonts w:hint="eastAsia" w:hAnsi="宋体" w:cs="楷体"/>
          <w:color w:val="auto"/>
          <w:sz w:val="21"/>
          <w:szCs w:val="21"/>
          <w:highlight w:val="none"/>
        </w:rPr>
        <w:t>）</w:t>
      </w:r>
      <w:r>
        <w:rPr>
          <w:rFonts w:hint="eastAsia" w:ascii="宋体" w:hAnsi="宋体" w:eastAsia="宋体" w:cs="楷体"/>
          <w:bCs/>
          <w:color w:val="auto"/>
          <w:sz w:val="21"/>
          <w:szCs w:val="21"/>
          <w:highlight w:val="none"/>
          <w:lang w:val="en-US" w:eastAsia="zh-CN" w:bidi="ar-SA"/>
        </w:rPr>
        <w:t>。</w:t>
      </w:r>
    </w:p>
    <w:p>
      <w:pPr>
        <w:spacing w:line="360" w:lineRule="auto"/>
        <w:ind w:left="-708" w:leftChars="-295" w:firstLine="491" w:firstLineChars="234"/>
        <w:rPr>
          <w:rFonts w:hint="eastAsia" w:hAnsi="宋体" w:cs="楷体"/>
          <w:color w:val="auto"/>
          <w:sz w:val="21"/>
          <w:szCs w:val="21"/>
          <w:highlight w:val="none"/>
          <w:lang w:val="en-US" w:eastAsia="zh-CN"/>
        </w:rPr>
      </w:pPr>
      <w:r>
        <w:rPr>
          <w:rFonts w:hint="eastAsia" w:hAnsi="宋体" w:cs="楷体"/>
          <w:color w:val="auto"/>
          <w:sz w:val="21"/>
          <w:szCs w:val="21"/>
          <w:highlight w:val="none"/>
          <w:lang w:val="en-US" w:eastAsia="zh-CN"/>
        </w:rPr>
        <w:t>2、乙方完成</w:t>
      </w:r>
      <w:r>
        <w:rPr>
          <w:rFonts w:hint="eastAsia" w:hAnsi="宋体" w:cs="宋体"/>
          <w:color w:val="auto"/>
          <w:sz w:val="21"/>
          <w:szCs w:val="21"/>
          <w:highlight w:val="none"/>
          <w:u w:val="none"/>
          <w:lang w:val="en-US" w:eastAsia="zh-CN"/>
        </w:rPr>
        <w:t>《东莞市水务集团有限</w:t>
      </w:r>
      <w:r>
        <w:rPr>
          <w:rFonts w:hint="eastAsia" w:hAnsi="宋体" w:cs="宋体"/>
          <w:color w:val="auto"/>
          <w:sz w:val="21"/>
          <w:szCs w:val="21"/>
          <w:highlight w:val="none"/>
          <w:u w:val="none"/>
        </w:rPr>
        <w:t>公司生产安全事故应急预案</w:t>
      </w:r>
      <w:r>
        <w:rPr>
          <w:rFonts w:hint="eastAsia" w:hAnsi="宋体" w:cs="宋体"/>
          <w:color w:val="auto"/>
          <w:sz w:val="21"/>
          <w:szCs w:val="21"/>
          <w:highlight w:val="none"/>
          <w:u w:val="none"/>
          <w:lang w:eastAsia="zh-CN"/>
        </w:rPr>
        <w:t>》</w:t>
      </w:r>
      <w:r>
        <w:rPr>
          <w:rFonts w:hint="eastAsia" w:hAnsi="宋体" w:cs="宋体"/>
          <w:color w:val="auto"/>
          <w:sz w:val="21"/>
          <w:szCs w:val="21"/>
          <w:highlight w:val="none"/>
          <w:u w:val="none"/>
          <w:lang w:val="en-US" w:eastAsia="zh-CN"/>
        </w:rPr>
        <w:t>编制相应服务内容后，应</w:t>
      </w:r>
      <w:r>
        <w:rPr>
          <w:rFonts w:hint="eastAsia" w:hAnsi="宋体" w:cs="楷体"/>
          <w:bCs/>
          <w:color w:val="auto"/>
          <w:sz w:val="21"/>
          <w:szCs w:val="21"/>
          <w:highlight w:val="none"/>
          <w:lang w:val="en-US" w:eastAsia="zh-CN" w:bidi="ar-SA"/>
        </w:rPr>
        <w:t>向甲方提交申请及符合要求的</w:t>
      </w:r>
      <w:r>
        <w:rPr>
          <w:rFonts w:hint="eastAsia" w:hAnsi="宋体" w:cs="楷体"/>
          <w:color w:val="auto"/>
          <w:sz w:val="21"/>
          <w:szCs w:val="21"/>
          <w:highlight w:val="none"/>
        </w:rPr>
        <w:t>请款资料</w:t>
      </w:r>
      <w:r>
        <w:rPr>
          <w:rFonts w:hint="eastAsia" w:hAnsi="宋体" w:cs="楷体"/>
          <w:bCs/>
          <w:color w:val="auto"/>
          <w:sz w:val="21"/>
          <w:szCs w:val="21"/>
          <w:highlight w:val="none"/>
          <w:lang w:val="en-US" w:eastAsia="zh-CN" w:bidi="ar-SA"/>
        </w:rPr>
        <w:t>，甲方审核无误后15个工作日内一次性支付本次</w:t>
      </w:r>
      <w:r>
        <w:rPr>
          <w:rFonts w:hint="eastAsia" w:ascii="宋体" w:hAnsi="宋体" w:eastAsia="宋体" w:cs="楷体"/>
          <w:bCs/>
          <w:color w:val="auto"/>
          <w:sz w:val="21"/>
          <w:szCs w:val="21"/>
          <w:highlight w:val="none"/>
          <w:lang w:val="en-US" w:eastAsia="zh-CN" w:bidi="ar-SA"/>
        </w:rPr>
        <w:t>服务费用</w:t>
      </w:r>
      <w:r>
        <w:rPr>
          <w:rFonts w:hint="eastAsia" w:hAnsi="宋体" w:cs="楷体"/>
          <w:color w:val="auto"/>
          <w:sz w:val="21"/>
          <w:szCs w:val="21"/>
          <w:highlight w:val="none"/>
        </w:rPr>
        <w:t>，即人民币</w:t>
      </w:r>
      <w:r>
        <w:rPr>
          <w:rFonts w:hint="eastAsia" w:hAnsi="宋体" w:cs="楷体"/>
          <w:bCs/>
          <w:color w:val="auto"/>
          <w:sz w:val="21"/>
          <w:szCs w:val="21"/>
          <w:highlight w:val="none"/>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u w:val="single"/>
          <w:lang w:val="en-US" w:eastAsia="zh-CN"/>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rPr>
        <w:t>元（大写：</w:t>
      </w:r>
      <w:r>
        <w:rPr>
          <w:rFonts w:hint="eastAsia" w:hAnsi="宋体" w:cs="楷体"/>
          <w:color w:val="auto"/>
          <w:sz w:val="21"/>
          <w:szCs w:val="21"/>
          <w:highlight w:val="none"/>
          <w:u w:val="single"/>
          <w:lang w:val="en-US" w:eastAsia="zh-CN"/>
        </w:rPr>
        <w:t xml:space="preserve">     </w:t>
      </w:r>
      <w:r>
        <w:rPr>
          <w:rFonts w:hAnsi="宋体" w:cs="楷体"/>
          <w:color w:val="auto"/>
          <w:sz w:val="21"/>
          <w:szCs w:val="21"/>
          <w:highlight w:val="none"/>
          <w:u w:val="single"/>
        </w:rPr>
        <w:t>元整</w:t>
      </w:r>
      <w:r>
        <w:rPr>
          <w:rFonts w:hint="eastAsia" w:hAnsi="宋体" w:cs="楷体"/>
          <w:color w:val="auto"/>
          <w:sz w:val="21"/>
          <w:szCs w:val="21"/>
          <w:highlight w:val="none"/>
        </w:rPr>
        <w:t>）</w:t>
      </w:r>
      <w:r>
        <w:rPr>
          <w:rFonts w:hint="eastAsia" w:ascii="宋体" w:hAnsi="宋体" w:eastAsia="宋体" w:cs="楷体"/>
          <w:bCs/>
          <w:color w:val="auto"/>
          <w:sz w:val="21"/>
          <w:szCs w:val="21"/>
          <w:highlight w:val="none"/>
          <w:lang w:val="en-US" w:eastAsia="zh-CN" w:bidi="ar-SA"/>
        </w:rPr>
        <w:t>。</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lang w:val="en-US" w:eastAsia="zh-CN"/>
        </w:rPr>
        <w:t>3、请款前乙方应向甲方提交</w:t>
      </w:r>
      <w:r>
        <w:rPr>
          <w:rFonts w:hint="eastAsia" w:hAnsi="宋体" w:cs="楷体"/>
          <w:color w:val="auto"/>
          <w:sz w:val="21"/>
          <w:szCs w:val="21"/>
          <w:highlight w:val="none"/>
        </w:rPr>
        <w:t>请款资料和</w:t>
      </w:r>
      <w:r>
        <w:rPr>
          <w:rFonts w:hint="eastAsia" w:hAnsi="宋体" w:cs="楷体"/>
          <w:color w:val="auto"/>
          <w:sz w:val="21"/>
          <w:szCs w:val="21"/>
          <w:highlight w:val="none"/>
          <w:lang w:val="en-US" w:eastAsia="zh-CN"/>
        </w:rPr>
        <w:t>增值税专用</w:t>
      </w:r>
      <w:r>
        <w:rPr>
          <w:rFonts w:hint="eastAsia" w:hAnsi="宋体" w:cs="楷体"/>
          <w:color w:val="auto"/>
          <w:sz w:val="21"/>
          <w:szCs w:val="21"/>
          <w:highlight w:val="none"/>
        </w:rPr>
        <w:t>发票</w:t>
      </w:r>
      <w:r>
        <w:rPr>
          <w:rFonts w:hint="eastAsia" w:hAnsi="宋体" w:cs="楷体"/>
          <w:color w:val="auto"/>
          <w:sz w:val="21"/>
          <w:szCs w:val="21"/>
          <w:highlight w:val="none"/>
          <w:lang w:eastAsia="zh-CN"/>
        </w:rPr>
        <w:t>，</w:t>
      </w:r>
      <w:r>
        <w:rPr>
          <w:rFonts w:hint="eastAsia" w:hAnsi="宋体" w:cs="楷体"/>
          <w:color w:val="auto"/>
          <w:sz w:val="21"/>
          <w:szCs w:val="21"/>
          <w:highlight w:val="none"/>
        </w:rPr>
        <w:t>乙方逾期提交请款资料和发票或提交资料和发票不符合甲方要求的，甲方有权顺延支付相应款项，并不承担逾期付款的违约责任。由于乙方提供的发票不符合合同约定及税法规定，给甲方造成的损失由乙方承担赔偿责任，乙方不得因甲方顺延付款时间而拒绝履行合同义务。</w:t>
      </w:r>
    </w:p>
    <w:p>
      <w:pPr>
        <w:spacing w:line="360" w:lineRule="auto"/>
        <w:ind w:left="-708" w:leftChars="-295" w:firstLine="491" w:firstLineChars="234"/>
        <w:rPr>
          <w:rFonts w:hint="default" w:hAnsi="宋体" w:eastAsia="宋体" w:cs="楷体"/>
          <w:color w:val="auto"/>
          <w:sz w:val="21"/>
          <w:szCs w:val="21"/>
          <w:highlight w:val="none"/>
          <w:lang w:val="en-US" w:eastAsia="zh-CN"/>
        </w:rPr>
      </w:pPr>
      <w:r>
        <w:rPr>
          <w:rFonts w:hint="eastAsia" w:hAnsi="宋体" w:cs="楷体"/>
          <w:color w:val="auto"/>
          <w:sz w:val="21"/>
          <w:szCs w:val="21"/>
          <w:highlight w:val="none"/>
          <w:lang w:val="en-US" w:eastAsia="zh-CN"/>
        </w:rPr>
        <w:t>4、乙方银行账户信息如有变更的，应提前【7】个工作日以书面形式通知甲方。乙方未及时通知的，由此造成的一切损失自行承担。</w:t>
      </w:r>
    </w:p>
    <w:p>
      <w:pPr>
        <w:spacing w:line="360" w:lineRule="auto"/>
        <w:ind w:left="-708" w:leftChars="-295" w:firstLine="491" w:firstLineChars="234"/>
        <w:rPr>
          <w:rFonts w:hAnsi="宋体" w:cs="楷体"/>
          <w:bCs/>
          <w:color w:val="auto"/>
          <w:sz w:val="21"/>
          <w:szCs w:val="21"/>
          <w:highlight w:val="none"/>
        </w:rPr>
      </w:pPr>
    </w:p>
    <w:p>
      <w:pPr>
        <w:numPr>
          <w:ilvl w:val="0"/>
          <w:numId w:val="0"/>
        </w:numPr>
        <w:spacing w:line="360" w:lineRule="auto"/>
        <w:rPr>
          <w:rFonts w:hint="eastAsia" w:hAnsi="宋体" w:cs="楷体"/>
          <w:b/>
          <w:bCs/>
          <w:color w:val="auto"/>
          <w:sz w:val="21"/>
          <w:szCs w:val="21"/>
          <w:highlight w:val="none"/>
        </w:rPr>
      </w:pPr>
      <w:r>
        <w:rPr>
          <w:rFonts w:hint="eastAsia" w:hAnsi="宋体" w:cs="楷体"/>
          <w:b/>
          <w:bCs/>
          <w:color w:val="auto"/>
          <w:sz w:val="21"/>
          <w:szCs w:val="21"/>
          <w:highlight w:val="none"/>
          <w:lang w:val="en-US" w:eastAsia="zh-CN"/>
        </w:rPr>
        <w:t>四、</w:t>
      </w:r>
      <w:r>
        <w:rPr>
          <w:rFonts w:hint="eastAsia" w:hAnsi="宋体" w:cs="楷体"/>
          <w:b/>
          <w:bCs/>
          <w:color w:val="auto"/>
          <w:sz w:val="21"/>
          <w:szCs w:val="21"/>
          <w:highlight w:val="none"/>
        </w:rPr>
        <w:t>质量要求</w:t>
      </w:r>
    </w:p>
    <w:p>
      <w:pPr>
        <w:spacing w:line="360" w:lineRule="auto"/>
        <w:ind w:left="-708" w:leftChars="-295" w:firstLine="491" w:firstLineChars="234"/>
        <w:rPr>
          <w:rFonts w:hint="eastAsia" w:hAnsi="宋体" w:cs="楷体"/>
          <w:color w:val="auto"/>
          <w:sz w:val="21"/>
          <w:szCs w:val="21"/>
          <w:highlight w:val="none"/>
          <w:lang w:val="en-US" w:eastAsia="zh-CN"/>
        </w:rPr>
      </w:pPr>
      <w:r>
        <w:rPr>
          <w:rFonts w:hint="eastAsia" w:hAnsi="宋体" w:cs="楷体"/>
          <w:color w:val="auto"/>
          <w:sz w:val="21"/>
          <w:szCs w:val="21"/>
          <w:highlight w:val="none"/>
          <w:lang w:val="en-US" w:eastAsia="zh-CN"/>
        </w:rPr>
        <w:t>1、</w:t>
      </w:r>
      <w:r>
        <w:rPr>
          <w:rFonts w:hint="eastAsia" w:hAnsi="宋体"/>
          <w:color w:val="auto"/>
          <w:sz w:val="21"/>
          <w:szCs w:val="21"/>
          <w:highlight w:val="none"/>
          <w:lang w:val="en-US" w:eastAsia="zh-CN"/>
        </w:rPr>
        <w:t>编制要求</w:t>
      </w:r>
      <w:r>
        <w:rPr>
          <w:rFonts w:hint="eastAsia" w:hAnsi="宋体"/>
          <w:color w:val="auto"/>
          <w:sz w:val="21"/>
          <w:szCs w:val="21"/>
          <w:highlight w:val="none"/>
        </w:rPr>
        <w:t>：</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（1）符合有关法律、法规、规章和标准的</w:t>
      </w:r>
      <w:r>
        <w:rPr>
          <w:rFonts w:hint="eastAsia" w:hAnsi="宋体" w:cs="楷体"/>
          <w:color w:val="auto"/>
          <w:sz w:val="21"/>
          <w:szCs w:val="21"/>
          <w:highlight w:val="none"/>
          <w:lang w:val="en-US" w:eastAsia="zh-CN"/>
        </w:rPr>
        <w:t>要求</w:t>
      </w:r>
      <w:r>
        <w:rPr>
          <w:rFonts w:hint="eastAsia" w:hAnsi="宋体" w:cs="楷体"/>
          <w:color w:val="auto"/>
          <w:sz w:val="21"/>
          <w:szCs w:val="21"/>
          <w:highlight w:val="none"/>
        </w:rPr>
        <w:t>；</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（2）结合本地区、本单位的安全生产实际分析情况；</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（3）结合本地区、本单位的危险性分析情况；</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（4）应急</w:t>
      </w:r>
      <w:r>
        <w:rPr>
          <w:rFonts w:hint="eastAsia" w:hAnsi="宋体" w:cs="楷体"/>
          <w:color w:val="auto"/>
          <w:sz w:val="21"/>
          <w:szCs w:val="21"/>
          <w:highlight w:val="none"/>
          <w:lang w:val="en-US" w:eastAsia="zh-CN"/>
        </w:rPr>
        <w:t>部门、</w:t>
      </w:r>
      <w:r>
        <w:rPr>
          <w:rFonts w:hint="eastAsia" w:hAnsi="宋体" w:cs="楷体"/>
          <w:color w:val="auto"/>
          <w:sz w:val="21"/>
          <w:szCs w:val="21"/>
          <w:highlight w:val="none"/>
        </w:rPr>
        <w:t>组织和人员的职责分工明确，并有具体的落实措施；</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（5）有明确、具体的应急程序，并与其应急能力相适应；</w:t>
      </w:r>
    </w:p>
    <w:p>
      <w:pPr>
        <w:numPr>
          <w:ilvl w:val="0"/>
          <w:numId w:val="2"/>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有明确的应急保障措施，并能满足本地区、本单位的应急工作要求；</w:t>
      </w:r>
    </w:p>
    <w:p>
      <w:pPr>
        <w:numPr>
          <w:ilvl w:val="0"/>
          <w:numId w:val="3"/>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预案基本要素齐全、完整；</w:t>
      </w:r>
    </w:p>
    <w:p>
      <w:pPr>
        <w:numPr>
          <w:ilvl w:val="0"/>
          <w:numId w:val="4"/>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预案内容与上级相关应急预案编制内容相互衔接</w:t>
      </w:r>
      <w:r>
        <w:rPr>
          <w:rFonts w:hint="eastAsia" w:hAnsi="宋体" w:cs="楷体"/>
          <w:color w:val="auto"/>
          <w:sz w:val="21"/>
          <w:szCs w:val="21"/>
          <w:highlight w:val="none"/>
          <w:lang w:val="en-US" w:eastAsia="zh-CN"/>
        </w:rPr>
        <w:t>并对集团直属企业有指导作用；</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（9）参考广州、深圳等</w:t>
      </w:r>
      <w:r>
        <w:rPr>
          <w:rFonts w:hint="eastAsia" w:hAnsi="宋体" w:cs="楷体"/>
          <w:color w:val="auto"/>
          <w:sz w:val="21"/>
          <w:szCs w:val="21"/>
          <w:highlight w:val="none"/>
          <w:lang w:val="en-US" w:eastAsia="zh-CN"/>
        </w:rPr>
        <w:t>水务</w:t>
      </w:r>
      <w:r>
        <w:rPr>
          <w:rFonts w:hint="eastAsia" w:hAnsi="宋体" w:cs="楷体"/>
          <w:color w:val="auto"/>
          <w:sz w:val="21"/>
          <w:szCs w:val="21"/>
          <w:highlight w:val="none"/>
        </w:rPr>
        <w:t>公司的先进应急管理经验。</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2、质量标准和规范</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所编写的</w:t>
      </w:r>
      <w:r>
        <w:rPr>
          <w:rFonts w:hint="eastAsia" w:hAnsi="宋体" w:cs="楷体"/>
          <w:color w:val="auto"/>
          <w:sz w:val="21"/>
          <w:szCs w:val="21"/>
          <w:highlight w:val="none"/>
          <w:lang w:val="en-US" w:eastAsia="zh-CN"/>
        </w:rPr>
        <w:t>突发事件总体应急预案/</w:t>
      </w:r>
      <w:r>
        <w:rPr>
          <w:rFonts w:hint="eastAsia" w:hAnsi="宋体" w:cs="楷体"/>
          <w:color w:val="auto"/>
          <w:sz w:val="21"/>
          <w:szCs w:val="21"/>
          <w:highlight w:val="none"/>
        </w:rPr>
        <w:t>生产安全事故应急预案应符合中华人民共和国国家有关标准和规范，下列标准所包含的部分条文在本文件中引用，报价人所提供的服务必须符合这些要求；未被引用的部分同样也被视为必须遵循的标准，并且这些标准会被修订，报价人应按最新的版本执行。当本文件要求高于国标、部标时，应满足本文件的要求。</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（1）《中华人民共和国安全生产法》（中华人民共和国主席令第88号）；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 xml:space="preserve">（2）《中华人民共和国职业病防治法》（中华人民共和国主席令第52号）； </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（3）《中华人民共和国消防法》（中华人民共和国主席令第6号）；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（4）《中华人民共和国突发事件应对法》（中华人民共和国主席令第69号）；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（5）《广东省突发事件应对条例》（2010年6月2日广东省第十一届人民代表大会常务委员会第十九次会议通过）；</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（6）《生产经营单位生产安全事故应急预案编制导则》（GB/T 29639-2020）；</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（7）《生产安全事故应急预案管理办法》（应急管理部令第2号）；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（8）《生产经营单位生产安全事故应急预案评审指南（试行）》（安监总厅应急[2009]73号）；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（9）《国家安全监管总局办公厅关于贯彻实施〈生产安全事故应急预案管理办法〉的通知》（安监总厅应急[2009]84号）；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（10）《生产安全事故报告和调查处理条例》（中华人民共和国国务院令第493号）；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（11）《广东省安全生产条例》（广东省第十届人民代表大会常务委员会公告（2006年）第62号）；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（12）《生产安全事故信息报告和处置办法》（国家安全生产监督管理总局令第21号）；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（13）《关于深入贯彻〈生产安全事故应急预案管理办法实施细则〉的通知》（粤安办[2011]22号）；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（14）《关于加强行业安全生产应急预案管理工作的通知》（粤安监[2011] 182号）；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（15）《企业职工伤亡事故分类标准》（GB6441－86）；</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（16）广东省安全生产监督管理局关于印发《广东省安全生产监督管理局关于〈生产安全事故应急预案管理办法〉的实施细则》的通知（粤安监应急〔2017〕9号）；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（17）关于印发《生产安全事故应急预案备案办事指南（2017版）》的通知（东安监管[2017]235号）</w:t>
      </w:r>
      <w:r>
        <w:rPr>
          <w:rFonts w:hint="eastAsia" w:hAnsi="宋体" w:cs="楷体"/>
          <w:color w:val="auto"/>
          <w:sz w:val="21"/>
          <w:szCs w:val="21"/>
          <w:highlight w:val="none"/>
          <w:lang w:eastAsia="zh-CN"/>
        </w:rPr>
        <w:t>；</w:t>
      </w:r>
    </w:p>
    <w:p>
      <w:pPr>
        <w:spacing w:line="360" w:lineRule="auto"/>
        <w:ind w:left="-708" w:leftChars="-295" w:firstLine="491" w:firstLineChars="234"/>
        <w:rPr>
          <w:rFonts w:hint="eastAsia" w:hAnsi="宋体" w:cs="楷体"/>
          <w:color w:val="auto"/>
          <w:sz w:val="21"/>
          <w:szCs w:val="21"/>
          <w:highlight w:val="none"/>
          <w:lang w:eastAsia="zh-CN"/>
        </w:rPr>
      </w:pPr>
      <w:r>
        <w:rPr>
          <w:rFonts w:hint="eastAsia" w:hAnsi="宋体" w:cs="楷体"/>
          <w:color w:val="auto"/>
          <w:sz w:val="21"/>
          <w:szCs w:val="21"/>
          <w:highlight w:val="none"/>
        </w:rPr>
        <w:t>（</w:t>
      </w:r>
      <w:r>
        <w:rPr>
          <w:rFonts w:hint="eastAsia" w:hAnsi="宋体" w:cs="楷体"/>
          <w:color w:val="auto"/>
          <w:sz w:val="21"/>
          <w:szCs w:val="21"/>
          <w:highlight w:val="none"/>
          <w:lang w:val="en-US" w:eastAsia="zh-CN"/>
        </w:rPr>
        <w:t>18</w:t>
      </w:r>
      <w:r>
        <w:rPr>
          <w:rFonts w:hint="eastAsia" w:hAnsi="宋体" w:cs="楷体"/>
          <w:color w:val="auto"/>
          <w:sz w:val="21"/>
          <w:szCs w:val="21"/>
          <w:highlight w:val="none"/>
        </w:rPr>
        <w:t>）</w:t>
      </w: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东莞市突发事件总体应急预案</w:t>
      </w:r>
      <w:r>
        <w:rPr>
          <w:rFonts w:hint="eastAsia" w:hAnsi="宋体" w:cs="楷体"/>
          <w:color w:val="auto"/>
          <w:sz w:val="21"/>
          <w:szCs w:val="21"/>
          <w:highlight w:val="none"/>
          <w:lang w:eastAsia="zh-CN"/>
        </w:rPr>
        <w:t>》；</w:t>
      </w:r>
    </w:p>
    <w:p>
      <w:pPr>
        <w:spacing w:line="360" w:lineRule="auto"/>
        <w:ind w:left="-708" w:leftChars="-295" w:firstLine="491" w:firstLineChars="234"/>
        <w:rPr>
          <w:rFonts w:hint="eastAsia" w:hAnsi="宋体" w:cs="楷体"/>
          <w:color w:val="auto"/>
          <w:sz w:val="21"/>
          <w:szCs w:val="21"/>
          <w:highlight w:val="none"/>
          <w:lang w:eastAsia="zh-CN"/>
        </w:rPr>
      </w:pPr>
      <w:r>
        <w:rPr>
          <w:rFonts w:hint="eastAsia" w:hAnsi="宋体" w:cs="楷体"/>
          <w:color w:val="auto"/>
          <w:sz w:val="21"/>
          <w:szCs w:val="21"/>
          <w:highlight w:val="none"/>
        </w:rPr>
        <w:t>（</w:t>
      </w:r>
      <w:r>
        <w:rPr>
          <w:rFonts w:hint="eastAsia" w:hAnsi="宋体" w:cs="楷体"/>
          <w:color w:val="auto"/>
          <w:sz w:val="21"/>
          <w:szCs w:val="21"/>
          <w:highlight w:val="none"/>
          <w:lang w:val="en-US" w:eastAsia="zh-CN"/>
        </w:rPr>
        <w:t>19</w:t>
      </w:r>
      <w:r>
        <w:rPr>
          <w:rFonts w:hint="eastAsia" w:hAnsi="宋体" w:cs="楷体"/>
          <w:color w:val="auto"/>
          <w:sz w:val="21"/>
          <w:szCs w:val="21"/>
          <w:highlight w:val="none"/>
        </w:rPr>
        <w:t>）</w:t>
      </w: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东莞市工贸行业生产安全事故应急预案</w:t>
      </w:r>
      <w:r>
        <w:rPr>
          <w:rFonts w:hint="eastAsia" w:hAnsi="宋体" w:cs="楷体"/>
          <w:color w:val="auto"/>
          <w:sz w:val="21"/>
          <w:szCs w:val="21"/>
          <w:highlight w:val="none"/>
          <w:lang w:eastAsia="zh-CN"/>
        </w:rPr>
        <w:t>》；</w:t>
      </w:r>
    </w:p>
    <w:p>
      <w:pPr>
        <w:spacing w:line="360" w:lineRule="auto"/>
        <w:ind w:left="-708" w:leftChars="-295" w:firstLine="491" w:firstLineChars="234"/>
        <w:rPr>
          <w:rFonts w:hint="default" w:hAnsi="宋体" w:cs="楷体"/>
          <w:color w:val="auto"/>
          <w:sz w:val="21"/>
          <w:szCs w:val="21"/>
          <w:highlight w:val="none"/>
          <w:lang w:val="en-US" w:eastAsia="zh-CN"/>
        </w:rPr>
      </w:pP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20</w:t>
      </w: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其它未列相关法律、法规、规章及标准和规范。</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3、单位资质要求</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乙方须在东莞市安全生产事故应急预案技术服务机构名单内，并具备参与和开展应急预案技术服务工作的条件和能力。</w:t>
      </w:r>
    </w:p>
    <w:p>
      <w:pPr>
        <w:spacing w:line="360" w:lineRule="auto"/>
        <w:ind w:left="-708" w:leftChars="-295" w:firstLine="493" w:firstLineChars="234"/>
        <w:rPr>
          <w:rFonts w:hAnsi="宋体" w:cs="楷体"/>
          <w:b/>
          <w:bCs/>
          <w:color w:val="auto"/>
          <w:sz w:val="21"/>
          <w:szCs w:val="21"/>
          <w:highlight w:val="none"/>
        </w:rPr>
      </w:pPr>
      <w:r>
        <w:rPr>
          <w:rFonts w:hint="eastAsia" w:hAnsi="宋体" w:cs="楷体"/>
          <w:b/>
          <w:bCs/>
          <w:color w:val="auto"/>
          <w:sz w:val="21"/>
          <w:szCs w:val="21"/>
          <w:highlight w:val="none"/>
          <w:lang w:val="en-US" w:eastAsia="zh-CN"/>
        </w:rPr>
        <w:t>五</w:t>
      </w:r>
      <w:r>
        <w:rPr>
          <w:rFonts w:hint="eastAsia" w:hAnsi="宋体" w:cs="楷体"/>
          <w:b/>
          <w:bCs/>
          <w:color w:val="auto"/>
          <w:sz w:val="21"/>
          <w:szCs w:val="21"/>
          <w:highlight w:val="none"/>
        </w:rPr>
        <w:t>、成果要求</w:t>
      </w:r>
      <w:r>
        <w:rPr>
          <w:rStyle w:val="11"/>
          <w:rFonts w:hint="eastAsia"/>
          <w:b/>
          <w:bCs/>
          <w:color w:val="auto"/>
          <w:highlight w:val="none"/>
        </w:rPr>
        <w:t>及验收标准</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1、成果要求如下：</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（1）完成应急预案编写；</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（2）组织专家评审，通过专家评审；</w:t>
      </w:r>
    </w:p>
    <w:p>
      <w:pPr>
        <w:spacing w:line="360" w:lineRule="auto"/>
        <w:ind w:left="-708" w:leftChars="-295" w:firstLine="491" w:firstLineChars="234"/>
        <w:rPr>
          <w:rFonts w:hint="eastAsia" w:hAnsi="宋体" w:eastAsia="宋体" w:cs="宋体"/>
          <w:color w:val="auto"/>
          <w:sz w:val="21"/>
          <w:szCs w:val="21"/>
          <w:highlight w:val="none"/>
          <w:lang w:eastAsia="zh-CN"/>
        </w:rPr>
      </w:pPr>
      <w:r>
        <w:rPr>
          <w:rFonts w:hAnsi="宋体" w:cs="宋体"/>
          <w:color w:val="auto"/>
          <w:sz w:val="21"/>
          <w:szCs w:val="21"/>
          <w:highlight w:val="none"/>
        </w:rPr>
        <w:t>（</w:t>
      </w:r>
      <w:r>
        <w:rPr>
          <w:rFonts w:hint="eastAsia" w:hAnsi="宋体" w:cs="宋体"/>
          <w:color w:val="auto"/>
          <w:sz w:val="21"/>
          <w:szCs w:val="21"/>
          <w:highlight w:val="none"/>
        </w:rPr>
        <w:t>3）协助和指导甲方完成在相关行业主管部门的预案备案，并取得备案凭证；同时协助甲方通过其上级主管单位的预案备案</w:t>
      </w:r>
      <w:r>
        <w:rPr>
          <w:rFonts w:hAnsi="宋体" w:cs="宋体"/>
          <w:color w:val="auto"/>
          <w:sz w:val="21"/>
          <w:szCs w:val="21"/>
          <w:highlight w:val="none"/>
        </w:rPr>
        <w:t>，确保该预案与甲方上级主管单位的预案相互衔接；</w:t>
      </w:r>
      <w:r>
        <w:rPr>
          <w:rFonts w:hint="eastAsia" w:hAnsi="宋体" w:cs="宋体"/>
          <w:color w:val="auto"/>
          <w:sz w:val="21"/>
          <w:szCs w:val="21"/>
          <w:highlight w:val="none"/>
        </w:rPr>
        <w:t>若相关职能部门不要求备案，则完成报备工作即可</w:t>
      </w:r>
      <w:r>
        <w:rPr>
          <w:rFonts w:hint="eastAsia" w:hAnsi="宋体" w:cs="宋体"/>
          <w:color w:val="auto"/>
          <w:sz w:val="21"/>
          <w:szCs w:val="21"/>
          <w:highlight w:val="none"/>
          <w:lang w:eastAsia="zh-CN"/>
        </w:rPr>
        <w:t>；</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w:t>
      </w:r>
      <w:r>
        <w:rPr>
          <w:rFonts w:hAnsi="宋体" w:cs="宋体"/>
          <w:color w:val="auto"/>
          <w:sz w:val="21"/>
          <w:szCs w:val="21"/>
          <w:highlight w:val="none"/>
        </w:rPr>
        <w:t>4</w:t>
      </w:r>
      <w:r>
        <w:rPr>
          <w:rFonts w:hint="eastAsia" w:hAnsi="宋体" w:cs="宋体"/>
          <w:color w:val="auto"/>
          <w:sz w:val="21"/>
          <w:szCs w:val="21"/>
          <w:highlight w:val="none"/>
        </w:rPr>
        <w:t>）结合专家评审通过后的应急预案内容，</w:t>
      </w:r>
      <w:r>
        <w:rPr>
          <w:rFonts w:hint="eastAsia" w:hAnsi="宋体" w:cs="宋体"/>
          <w:color w:val="auto"/>
          <w:sz w:val="21"/>
          <w:szCs w:val="21"/>
          <w:highlight w:val="none"/>
          <w:lang w:val="en-US" w:eastAsia="zh-CN"/>
        </w:rPr>
        <w:t>组织应急演练各</w:t>
      </w:r>
      <w:r>
        <w:rPr>
          <w:rFonts w:hint="eastAsia" w:hAnsi="宋体" w:cs="宋体"/>
          <w:color w:val="auto"/>
          <w:sz w:val="21"/>
          <w:szCs w:val="21"/>
          <w:highlight w:val="none"/>
        </w:rPr>
        <w:t>一次；</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w:t>
      </w:r>
      <w:r>
        <w:rPr>
          <w:rFonts w:hAnsi="宋体" w:cs="宋体"/>
          <w:color w:val="auto"/>
          <w:sz w:val="21"/>
          <w:szCs w:val="21"/>
          <w:highlight w:val="none"/>
        </w:rPr>
        <w:t>5</w:t>
      </w:r>
      <w:r>
        <w:rPr>
          <w:rFonts w:hint="eastAsia" w:hAnsi="宋体" w:cs="宋体"/>
          <w:color w:val="auto"/>
          <w:sz w:val="21"/>
          <w:szCs w:val="21"/>
          <w:highlight w:val="none"/>
        </w:rPr>
        <w:t>）应急预案文本电子版（光盘）及纸质版（纸质版含预案文本、专家评审意见）一式</w:t>
      </w:r>
      <w:r>
        <w:rPr>
          <w:rFonts w:hint="eastAsia" w:hAnsi="宋体" w:cs="宋体"/>
          <w:color w:val="auto"/>
          <w:sz w:val="21"/>
          <w:szCs w:val="21"/>
          <w:highlight w:val="none"/>
          <w:lang w:val="en-US" w:eastAsia="zh-CN"/>
        </w:rPr>
        <w:t>十</w:t>
      </w:r>
      <w:r>
        <w:rPr>
          <w:rFonts w:hint="eastAsia" w:hAnsi="宋体" w:cs="宋体"/>
          <w:color w:val="auto"/>
          <w:sz w:val="21"/>
          <w:szCs w:val="21"/>
          <w:highlight w:val="none"/>
        </w:rPr>
        <w:t>份。</w:t>
      </w:r>
    </w:p>
    <w:p>
      <w:pPr>
        <w:spacing w:line="360" w:lineRule="auto"/>
        <w:ind w:left="-708" w:leftChars="-295" w:firstLine="491" w:firstLineChars="234"/>
        <w:rPr>
          <w:rFonts w:hAnsi="宋体"/>
          <w:color w:val="auto"/>
          <w:sz w:val="21"/>
          <w:szCs w:val="21"/>
          <w:highlight w:val="none"/>
        </w:rPr>
      </w:pPr>
      <w:r>
        <w:rPr>
          <w:rFonts w:hint="eastAsia" w:hAnsi="宋体"/>
          <w:color w:val="auto"/>
          <w:sz w:val="21"/>
          <w:szCs w:val="21"/>
          <w:highlight w:val="none"/>
        </w:rPr>
        <w:t>2、如因甲方未能及时提供预案编制所须资料或现场整改工作不及时等原因，双方可根据实际情况另行协商成果文件的完成提交时间。</w:t>
      </w:r>
    </w:p>
    <w:p>
      <w:pPr>
        <w:spacing w:line="360" w:lineRule="auto"/>
        <w:ind w:left="-708" w:leftChars="-295" w:firstLine="491" w:firstLineChars="234"/>
        <w:rPr>
          <w:rFonts w:hint="eastAsia" w:hAnsi="宋体" w:eastAsia="宋体"/>
          <w:color w:val="auto"/>
          <w:sz w:val="21"/>
          <w:szCs w:val="21"/>
          <w:highlight w:val="none"/>
          <w:lang w:eastAsia="zh-CN"/>
        </w:rPr>
      </w:pPr>
      <w:r>
        <w:rPr>
          <w:rFonts w:hint="eastAsia" w:hAnsi="宋体"/>
          <w:color w:val="auto"/>
          <w:sz w:val="21"/>
          <w:szCs w:val="21"/>
          <w:highlight w:val="none"/>
        </w:rPr>
        <w:t>3、成果验收标准：应急预案通过专家评审</w:t>
      </w:r>
      <w:r>
        <w:rPr>
          <w:rFonts w:hAnsi="宋体"/>
          <w:color w:val="auto"/>
          <w:sz w:val="21"/>
          <w:szCs w:val="21"/>
          <w:highlight w:val="none"/>
        </w:rPr>
        <w:t>，且</w:t>
      </w:r>
      <w:r>
        <w:rPr>
          <w:rFonts w:hint="eastAsia" w:hAnsi="宋体" w:cs="宋体"/>
          <w:color w:val="auto"/>
          <w:sz w:val="21"/>
          <w:szCs w:val="21"/>
          <w:highlight w:val="none"/>
        </w:rPr>
        <w:t>协助和指导甲方完成在相关行业主管部门的预案备案并取得备案凭证；同时协助甲方通过其上级主管单位的预案备案，</w:t>
      </w:r>
      <w:r>
        <w:rPr>
          <w:rFonts w:hAnsi="宋体" w:cs="宋体"/>
          <w:color w:val="auto"/>
          <w:sz w:val="21"/>
          <w:szCs w:val="21"/>
          <w:highlight w:val="none"/>
        </w:rPr>
        <w:t>确保该预案与甲方上级主管单位的预案相互衔接。</w:t>
      </w:r>
      <w:r>
        <w:rPr>
          <w:rFonts w:hint="eastAsia" w:hAnsi="宋体" w:cs="宋体"/>
          <w:color w:val="auto"/>
          <w:sz w:val="21"/>
          <w:szCs w:val="21"/>
          <w:highlight w:val="none"/>
        </w:rPr>
        <w:t>若相关职能部门不要求备案，则完成报备工作即可</w:t>
      </w:r>
      <w:r>
        <w:rPr>
          <w:rFonts w:hint="eastAsia" w:hAnsi="宋体" w:cs="宋体"/>
          <w:color w:val="auto"/>
          <w:sz w:val="21"/>
          <w:szCs w:val="21"/>
          <w:highlight w:val="none"/>
          <w:lang w:eastAsia="zh-CN"/>
        </w:rPr>
        <w:t>。</w:t>
      </w:r>
    </w:p>
    <w:p>
      <w:pPr>
        <w:spacing w:line="360" w:lineRule="auto"/>
        <w:ind w:left="-708" w:leftChars="-295" w:firstLine="493" w:firstLineChars="234"/>
        <w:rPr>
          <w:rFonts w:hAnsi="宋体" w:cs="楷体"/>
          <w:b/>
          <w:bCs/>
          <w:color w:val="auto"/>
          <w:sz w:val="21"/>
          <w:szCs w:val="21"/>
          <w:highlight w:val="none"/>
        </w:rPr>
      </w:pPr>
      <w:r>
        <w:rPr>
          <w:rFonts w:hint="eastAsia" w:hAnsi="宋体" w:cs="楷体"/>
          <w:b/>
          <w:bCs/>
          <w:color w:val="auto"/>
          <w:sz w:val="21"/>
          <w:szCs w:val="21"/>
          <w:highlight w:val="none"/>
          <w:lang w:val="en-US" w:eastAsia="zh-CN"/>
        </w:rPr>
        <w:t>六</w:t>
      </w:r>
      <w:r>
        <w:rPr>
          <w:rFonts w:hint="eastAsia" w:hAnsi="宋体" w:cs="楷体"/>
          <w:b/>
          <w:bCs/>
          <w:color w:val="auto"/>
          <w:sz w:val="21"/>
          <w:szCs w:val="21"/>
          <w:highlight w:val="none"/>
        </w:rPr>
        <w:t>、甲方权利和义务</w:t>
      </w:r>
    </w:p>
    <w:p>
      <w:pPr>
        <w:spacing w:line="360" w:lineRule="auto"/>
        <w:ind w:left="-708" w:leftChars="-295" w:firstLine="491" w:firstLineChars="234"/>
        <w:rPr>
          <w:rFonts w:hAnsi="宋体" w:cs="楷体"/>
          <w:color w:val="auto"/>
          <w:sz w:val="21"/>
          <w:szCs w:val="21"/>
          <w:highlight w:val="none"/>
        </w:rPr>
      </w:pPr>
      <w:r>
        <w:rPr>
          <w:rFonts w:hint="eastAsia" w:hAnsi="宋体" w:cs="楷体"/>
          <w:color w:val="auto"/>
          <w:sz w:val="21"/>
          <w:szCs w:val="21"/>
          <w:highlight w:val="none"/>
        </w:rPr>
        <w:t>1、甲方在合同签订后及时向乙方提供与本项目有关的必要的资料，并保证资料的真实性。</w:t>
      </w:r>
    </w:p>
    <w:p>
      <w:pPr>
        <w:spacing w:line="360" w:lineRule="auto"/>
        <w:ind w:left="-708" w:leftChars="-295" w:firstLine="491" w:firstLineChars="234"/>
        <w:rPr>
          <w:rFonts w:hAnsi="宋体" w:cs="楷体"/>
          <w:color w:val="auto"/>
          <w:sz w:val="21"/>
          <w:szCs w:val="21"/>
          <w:highlight w:val="none"/>
        </w:rPr>
      </w:pPr>
      <w:r>
        <w:rPr>
          <w:rFonts w:hint="eastAsia" w:hAnsi="宋体" w:cs="楷体"/>
          <w:color w:val="auto"/>
          <w:sz w:val="21"/>
          <w:szCs w:val="21"/>
          <w:highlight w:val="none"/>
        </w:rPr>
        <w:t>2、配合乙方人员的工作，向乙方提供工作方便及必要的工作条件，以便乙方顺利开展相关工作。</w:t>
      </w:r>
    </w:p>
    <w:p>
      <w:pPr>
        <w:spacing w:line="360" w:lineRule="auto"/>
        <w:ind w:left="-708" w:leftChars="-295" w:firstLine="491" w:firstLineChars="234"/>
        <w:rPr>
          <w:rFonts w:hAnsi="宋体" w:cs="宋体"/>
          <w:color w:val="auto"/>
          <w:sz w:val="21"/>
          <w:szCs w:val="21"/>
          <w:highlight w:val="none"/>
        </w:rPr>
      </w:pPr>
      <w:r>
        <w:rPr>
          <w:rFonts w:hint="eastAsia" w:hAnsi="宋体"/>
          <w:color w:val="auto"/>
          <w:sz w:val="21"/>
          <w:szCs w:val="21"/>
          <w:highlight w:val="none"/>
        </w:rPr>
        <w:t>3、</w:t>
      </w:r>
      <w:r>
        <w:rPr>
          <w:rFonts w:hint="eastAsia" w:hAnsi="宋体" w:cs="宋体"/>
          <w:color w:val="auto"/>
          <w:sz w:val="21"/>
          <w:szCs w:val="21"/>
          <w:highlight w:val="none"/>
        </w:rPr>
        <w:t>甲方有权对乙方服务人员、设备投入、工作进展等进行监督、检查。</w:t>
      </w:r>
    </w:p>
    <w:p>
      <w:pPr>
        <w:spacing w:line="360" w:lineRule="auto"/>
        <w:ind w:left="-708" w:leftChars="-295" w:firstLine="491" w:firstLineChars="234"/>
        <w:rPr>
          <w:rFonts w:hAnsi="宋体" w:cs="宋体"/>
          <w:color w:val="auto"/>
          <w:sz w:val="21"/>
          <w:szCs w:val="21"/>
          <w:highlight w:val="none"/>
        </w:rPr>
      </w:pPr>
      <w:r>
        <w:rPr>
          <w:rFonts w:hint="eastAsia" w:hAnsi="宋体"/>
          <w:color w:val="auto"/>
          <w:sz w:val="21"/>
          <w:szCs w:val="21"/>
          <w:highlight w:val="none"/>
        </w:rPr>
        <w:t>4、</w:t>
      </w:r>
      <w:r>
        <w:rPr>
          <w:rFonts w:hint="eastAsia" w:hAnsi="宋体" w:cs="宋体"/>
          <w:color w:val="auto"/>
          <w:sz w:val="21"/>
          <w:szCs w:val="21"/>
          <w:highlight w:val="none"/>
        </w:rPr>
        <w:t>对发现乙方违反本合同有关规定或承诺，甲方有权要求乙方限期改正，并有权要求乙方按本合同总价款的</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0%向甲方支付违约金，如违约金无法弥补甲方损失的，乙方须足额赔偿甲方损失。如乙方未在甲方限定的期限内改正或改正后仍不符合甲方要求的，甲方有权单方解除本合同且仍有权要求乙方按前述规定承担违约及赔偿责任。</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5、按照合同要求，及时按约定的时间和方式向乙方支付服务费用，如甲方无正当理由逾期未支付费用的，自逾期之日起，须按逾期付款金额的千分之五每日向乙方支付滞纳金。</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6、甲方按照约定时间落实乙方提出的合法合理的工作建议和整改建议。</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7、甲方对本合同产生的所有工作成果（包括最终成果及半成品）享有完全、独立、排他的所有权和知识产权，若因乙方的工作成果侵犯任何第三方的知识产权或其它权利的情况，乙方需承担全部责任（包括但不限于赔偿第三方、甲方的损失），同时甲方有权要求乙方向其支付合同总价的</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0%作为违约金。</w:t>
      </w:r>
    </w:p>
    <w:p>
      <w:pPr>
        <w:spacing w:line="360" w:lineRule="auto"/>
        <w:ind w:left="-708" w:leftChars="-295" w:firstLine="493" w:firstLineChars="234"/>
        <w:rPr>
          <w:rFonts w:hAnsi="宋体" w:cs="楷体"/>
          <w:b/>
          <w:bCs/>
          <w:color w:val="auto"/>
          <w:sz w:val="21"/>
          <w:szCs w:val="21"/>
          <w:highlight w:val="none"/>
        </w:rPr>
      </w:pPr>
      <w:r>
        <w:rPr>
          <w:rFonts w:hint="eastAsia" w:hAnsi="宋体" w:cs="楷体"/>
          <w:b/>
          <w:bCs/>
          <w:color w:val="auto"/>
          <w:sz w:val="21"/>
          <w:szCs w:val="21"/>
          <w:highlight w:val="none"/>
          <w:lang w:val="en-US" w:eastAsia="zh-CN"/>
        </w:rPr>
        <w:t>七</w:t>
      </w:r>
      <w:r>
        <w:rPr>
          <w:rFonts w:hint="eastAsia" w:hAnsi="宋体" w:cs="楷体"/>
          <w:b/>
          <w:bCs/>
          <w:color w:val="auto"/>
          <w:sz w:val="21"/>
          <w:szCs w:val="21"/>
          <w:highlight w:val="none"/>
        </w:rPr>
        <w:t>、乙方权利和义务</w:t>
      </w:r>
    </w:p>
    <w:p>
      <w:pPr>
        <w:tabs>
          <w:tab w:val="left" w:pos="-540"/>
        </w:tabs>
        <w:spacing w:line="360" w:lineRule="auto"/>
        <w:ind w:left="-708" w:leftChars="-295" w:firstLine="491" w:firstLineChars="234"/>
        <w:rPr>
          <w:rFonts w:hAnsi="宋体" w:cs="楷体"/>
          <w:color w:val="auto"/>
          <w:sz w:val="21"/>
          <w:szCs w:val="21"/>
          <w:highlight w:val="none"/>
        </w:rPr>
      </w:pPr>
      <w:r>
        <w:rPr>
          <w:rFonts w:hint="eastAsia" w:hAnsi="宋体" w:cs="楷体"/>
          <w:color w:val="auto"/>
          <w:sz w:val="21"/>
          <w:szCs w:val="21"/>
          <w:highlight w:val="none"/>
        </w:rPr>
        <w:t>1、在合同的履行期间，乙方应当保持相应资质的合法性、有效性，且具备在东莞市开展应急预案编制及相关服务的资格条件。合同履行期间内，乙方相应资质有效性丧失的，甲方有权单方解除本合同，要求乙方返还全部费用，并有权另行委托有资质的第三方提供相应服务，由此产生的费用由乙方承担，乙方迟延退款的，应按未退款项的【20%】每日向甲方支付违约金。</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2、本合同履行过程中，乙方的服务人员应保持相对稳定，以保证服务工作正常进行。</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3、乙方更换服务人员时，应提前7天向甲方书面报告，经甲方书面同意后方可更换，否则应向甲方支付【1000】元/人/次的违约金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若该服务人员不符合甲方要求的，还应在【2】日内完成人员更换</w:t>
      </w:r>
      <w:r>
        <w:rPr>
          <w:rFonts w:hint="eastAsia" w:hAnsi="宋体" w:cs="宋体"/>
          <w:color w:val="auto"/>
          <w:sz w:val="21"/>
          <w:szCs w:val="21"/>
          <w:highlight w:val="none"/>
        </w:rPr>
        <w:t>。</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4、乙方向甲方提供的相关成果应保证齐全可靠，符合国家或行业有关规程、规范，并对其合法性、真实性、准确性、完整性负责。</w:t>
      </w:r>
      <w:r>
        <w:rPr>
          <w:rFonts w:hint="eastAsia" w:hAnsi="宋体"/>
          <w:color w:val="auto"/>
          <w:sz w:val="21"/>
          <w:szCs w:val="21"/>
          <w:highlight w:val="none"/>
        </w:rPr>
        <w:t>因乙方原因导致甲方损失的，乙方应当向甲方一次性足额予以赔偿。</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5、乙方应对最终成果文件出现的遗漏或错误无条件负责修改或补充，使其达到安全主管等部门、甲方上级主管部门及甲方要求。</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6、乙方在本合同项下的任何行为均应严格遵守法律、法规的规定，包括但不限于应当符合有关依法纳税、知识产权、劳动保护、劳动保险与待遇等各方面的规定。如有违反，由乙方承担相应的法律责任，由此给甲方造成损失的，乙方应当承担全部的赔偿责任。</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7、未经甲方书面同意，乙方不得将本合同或本合同项下服务内容全部或部分转由第三方执行，否则应向甲方支付本合同总价款金额【20%】的违约金。</w:t>
      </w:r>
    </w:p>
    <w:p>
      <w:pPr>
        <w:tabs>
          <w:tab w:val="left" w:pos="-540"/>
        </w:tabs>
        <w:spacing w:line="360" w:lineRule="auto"/>
        <w:ind w:left="-708" w:leftChars="-295" w:firstLine="491" w:firstLineChars="234"/>
        <w:rPr>
          <w:rFonts w:hAnsi="宋体"/>
          <w:color w:val="auto"/>
          <w:sz w:val="21"/>
          <w:szCs w:val="21"/>
          <w:highlight w:val="none"/>
        </w:rPr>
      </w:pPr>
      <w:r>
        <w:rPr>
          <w:rFonts w:hint="eastAsia" w:hAnsi="宋体"/>
          <w:color w:val="auto"/>
          <w:sz w:val="21"/>
          <w:szCs w:val="21"/>
          <w:highlight w:val="none"/>
        </w:rPr>
        <w:t>8、乙方保证在开展本项目有关工作时，严格遵守国家有关安全生产管理规定，并采取必要的安全防护措施，消除安全事故隐患。由于乙方未采取有效安全措施造成事故或</w:t>
      </w:r>
      <w:r>
        <w:rPr>
          <w:rFonts w:hint="eastAsia" w:hAnsi="宋体" w:cs="楷体"/>
          <w:color w:val="auto"/>
          <w:sz w:val="21"/>
          <w:szCs w:val="21"/>
          <w:highlight w:val="none"/>
        </w:rPr>
        <w:t>任意一方或第三方人身和财产损失的</w:t>
      </w:r>
      <w:r>
        <w:rPr>
          <w:rFonts w:hint="eastAsia" w:hAnsi="宋体"/>
          <w:color w:val="auto"/>
          <w:sz w:val="21"/>
          <w:szCs w:val="21"/>
          <w:highlight w:val="none"/>
        </w:rPr>
        <w:t>，其责任和由此发生的一切费用均由乙方承担。</w:t>
      </w:r>
    </w:p>
    <w:p>
      <w:pPr>
        <w:tabs>
          <w:tab w:val="left" w:pos="-540"/>
        </w:tabs>
        <w:spacing w:line="360" w:lineRule="auto"/>
        <w:ind w:left="-708" w:leftChars="-295" w:firstLine="491" w:firstLineChars="234"/>
        <w:rPr>
          <w:rFonts w:hAnsi="宋体"/>
          <w:color w:val="auto"/>
          <w:sz w:val="21"/>
          <w:szCs w:val="21"/>
          <w:highlight w:val="none"/>
        </w:rPr>
      </w:pPr>
      <w:r>
        <w:rPr>
          <w:rFonts w:hint="eastAsia" w:hAnsi="宋体"/>
          <w:color w:val="auto"/>
          <w:sz w:val="21"/>
          <w:szCs w:val="21"/>
          <w:highlight w:val="none"/>
        </w:rPr>
        <w:t>9、</w:t>
      </w:r>
      <w:r>
        <w:rPr>
          <w:rFonts w:hint="eastAsia" w:hAnsi="宋体" w:cs="宋体"/>
          <w:color w:val="auto"/>
          <w:sz w:val="21"/>
          <w:szCs w:val="21"/>
          <w:highlight w:val="none"/>
        </w:rPr>
        <w:t>保障甲方的利益，保守甲方的商业和技术机密，不得向任何不相关的第三方透露与甲方的合同信息以及在本合同履行过程中获取的甲方有关信息，否则应承担给甲方造成的损失</w:t>
      </w:r>
      <w:r>
        <w:rPr>
          <w:rFonts w:hint="eastAsia" w:hAnsi="宋体"/>
          <w:color w:val="auto"/>
          <w:sz w:val="21"/>
          <w:szCs w:val="21"/>
          <w:highlight w:val="none"/>
        </w:rPr>
        <w:t>。</w:t>
      </w:r>
      <w:r>
        <w:rPr>
          <w:rFonts w:hint="eastAsia" w:hAnsi="宋体"/>
          <w:color w:val="auto"/>
          <w:sz w:val="21"/>
          <w:szCs w:val="21"/>
          <w:highlight w:val="none"/>
          <w:lang w:val="en-US" w:eastAsia="zh-CN"/>
        </w:rPr>
        <w:t>无论</w:t>
      </w:r>
      <w:r>
        <w:rPr>
          <w:rFonts w:hint="eastAsia" w:hAnsi="宋体"/>
          <w:color w:val="auto"/>
          <w:sz w:val="21"/>
          <w:szCs w:val="21"/>
          <w:highlight w:val="none"/>
        </w:rPr>
        <w:t>合同变更、解除或者终止，乙方均应继续承担约定的保密义务，直至相关保密信息被依法公开时止。</w:t>
      </w:r>
    </w:p>
    <w:p>
      <w:pPr>
        <w:tabs>
          <w:tab w:val="left" w:pos="-540"/>
        </w:tabs>
        <w:spacing w:line="360" w:lineRule="auto"/>
        <w:ind w:left="-708" w:leftChars="-295" w:firstLine="491" w:firstLineChars="234"/>
        <w:rPr>
          <w:rFonts w:hAnsi="宋体" w:cs="宋体"/>
          <w:color w:val="auto"/>
          <w:sz w:val="21"/>
          <w:szCs w:val="21"/>
          <w:highlight w:val="none"/>
        </w:rPr>
      </w:pPr>
      <w:r>
        <w:rPr>
          <w:rFonts w:hint="eastAsia" w:hAnsi="宋体"/>
          <w:color w:val="auto"/>
          <w:sz w:val="21"/>
          <w:szCs w:val="21"/>
          <w:highlight w:val="none"/>
        </w:rPr>
        <w:t>10、乙方未按服务时间要求</w:t>
      </w:r>
      <w:r>
        <w:rPr>
          <w:rFonts w:hint="eastAsia" w:hAnsi="宋体" w:cs="宋体"/>
          <w:color w:val="auto"/>
          <w:sz w:val="21"/>
          <w:szCs w:val="21"/>
          <w:highlight w:val="none"/>
        </w:rPr>
        <w:t>完成</w:t>
      </w:r>
      <w:r>
        <w:rPr>
          <w:rFonts w:hAnsi="宋体" w:cs="宋体"/>
          <w:color w:val="auto"/>
          <w:sz w:val="21"/>
          <w:szCs w:val="21"/>
          <w:highlight w:val="none"/>
        </w:rPr>
        <w:t>应急预案编写、应急预案专家评审、应急预案的备案</w:t>
      </w:r>
      <w:r>
        <w:rPr>
          <w:rFonts w:hint="eastAsia" w:hAnsi="宋体" w:cs="宋体"/>
          <w:color w:val="auto"/>
          <w:sz w:val="21"/>
          <w:szCs w:val="21"/>
          <w:highlight w:val="none"/>
        </w:rPr>
        <w:t>并取得备案凭证</w:t>
      </w:r>
      <w:r>
        <w:rPr>
          <w:rFonts w:hAnsi="宋体" w:cs="宋体"/>
          <w:color w:val="auto"/>
          <w:sz w:val="21"/>
          <w:szCs w:val="21"/>
          <w:highlight w:val="none"/>
        </w:rPr>
        <w:t>和应急预案的实施培训</w:t>
      </w:r>
      <w:r>
        <w:rPr>
          <w:rFonts w:hint="eastAsia" w:hAnsi="宋体" w:cs="宋体"/>
          <w:color w:val="auto"/>
          <w:sz w:val="21"/>
          <w:szCs w:val="21"/>
          <w:highlight w:val="none"/>
        </w:rPr>
        <w:t>（成果验收不合格视为未按服务时间要求完成），每逾期一日，乙方应按合同总价的千分之五支付违约金；逾期15日以上（含15日），甲方有权单方解除合同，且无论甲方是否单方解除合同，乙方除支付逾期付款违约金外，还需另行向甲方支付合同总价</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0%的违约金。违约金不足以赔偿甲方损失的，乙方还需足额赔偿。</w:t>
      </w:r>
    </w:p>
    <w:p>
      <w:pPr>
        <w:tabs>
          <w:tab w:val="left" w:pos="-540"/>
        </w:tabs>
        <w:spacing w:line="360" w:lineRule="auto"/>
        <w:ind w:left="-708" w:leftChars="-295" w:firstLine="493" w:firstLineChars="234"/>
        <w:rPr>
          <w:rFonts w:hAnsi="宋体"/>
          <w:color w:val="auto"/>
          <w:sz w:val="21"/>
          <w:szCs w:val="21"/>
          <w:highlight w:val="none"/>
        </w:rPr>
      </w:pPr>
      <w:r>
        <w:rPr>
          <w:rFonts w:hint="eastAsia" w:hAnsi="宋体" w:cs="楷体"/>
          <w:b/>
          <w:bCs/>
          <w:color w:val="auto"/>
          <w:sz w:val="21"/>
          <w:szCs w:val="21"/>
          <w:highlight w:val="none"/>
          <w:lang w:val="en-US" w:eastAsia="zh-CN"/>
        </w:rPr>
        <w:t>八</w:t>
      </w:r>
      <w:r>
        <w:rPr>
          <w:rFonts w:hint="eastAsia" w:hAnsi="宋体" w:cs="楷体"/>
          <w:b/>
          <w:bCs/>
          <w:color w:val="auto"/>
          <w:sz w:val="21"/>
          <w:szCs w:val="21"/>
          <w:highlight w:val="none"/>
        </w:rPr>
        <w:t>、争议解决</w:t>
      </w:r>
    </w:p>
    <w:p>
      <w:pPr>
        <w:spacing w:line="360" w:lineRule="auto"/>
        <w:ind w:left="-708" w:leftChars="-295" w:firstLine="491" w:firstLineChars="234"/>
        <w:rPr>
          <w:rFonts w:hAnsi="宋体" w:cs="楷体"/>
          <w:color w:val="auto"/>
          <w:sz w:val="21"/>
          <w:szCs w:val="21"/>
          <w:highlight w:val="none"/>
        </w:rPr>
      </w:pPr>
      <w:r>
        <w:rPr>
          <w:rFonts w:hint="eastAsia" w:hAnsi="宋体" w:cs="楷体"/>
          <w:color w:val="auto"/>
          <w:sz w:val="21"/>
          <w:szCs w:val="21"/>
          <w:highlight w:val="none"/>
        </w:rPr>
        <w:t>双方在履行合同时发生争议，首先本着友好态度协商解决，若经协商仍不能解决，甲乙双方可要求主管部门调解，调解不成的，双方一致同意提交甲方住所地有管辖权的人民法院诉讼解决。</w:t>
      </w:r>
    </w:p>
    <w:p>
      <w:pPr>
        <w:tabs>
          <w:tab w:val="left" w:pos="-540"/>
        </w:tabs>
        <w:spacing w:line="360" w:lineRule="auto"/>
        <w:ind w:left="-708" w:leftChars="-295" w:firstLine="493" w:firstLineChars="234"/>
        <w:rPr>
          <w:rFonts w:hAnsi="宋体"/>
          <w:color w:val="auto"/>
          <w:sz w:val="21"/>
          <w:szCs w:val="21"/>
          <w:highlight w:val="none"/>
        </w:rPr>
      </w:pPr>
      <w:r>
        <w:rPr>
          <w:rFonts w:hint="eastAsia" w:hAnsi="宋体" w:cs="楷体"/>
          <w:b/>
          <w:bCs/>
          <w:color w:val="auto"/>
          <w:sz w:val="21"/>
          <w:szCs w:val="21"/>
          <w:highlight w:val="none"/>
          <w:lang w:val="en-US" w:eastAsia="zh-CN"/>
        </w:rPr>
        <w:t>九</w:t>
      </w:r>
      <w:r>
        <w:rPr>
          <w:rFonts w:hint="eastAsia" w:hAnsi="宋体" w:cs="楷体"/>
          <w:b/>
          <w:bCs/>
          <w:color w:val="auto"/>
          <w:sz w:val="21"/>
          <w:szCs w:val="21"/>
          <w:highlight w:val="none"/>
        </w:rPr>
        <w:t>、合同的生效、变更、终止</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1、本合同一式</w:t>
      </w:r>
      <w:r>
        <w:rPr>
          <w:rFonts w:hint="eastAsia" w:hAnsi="宋体" w:cs="宋体"/>
          <w:color w:val="auto"/>
          <w:sz w:val="21"/>
          <w:szCs w:val="21"/>
          <w:highlight w:val="none"/>
          <w:u w:val="single"/>
          <w:lang w:val="en-US" w:eastAsia="zh-CN"/>
        </w:rPr>
        <w:t xml:space="preserve">  六 </w:t>
      </w:r>
      <w:r>
        <w:rPr>
          <w:rFonts w:hint="eastAsia" w:hAnsi="宋体" w:cs="宋体"/>
          <w:color w:val="auto"/>
          <w:sz w:val="21"/>
          <w:szCs w:val="21"/>
          <w:highlight w:val="none"/>
        </w:rPr>
        <w:t>份，甲方执</w:t>
      </w:r>
      <w:r>
        <w:rPr>
          <w:rFonts w:hint="eastAsia" w:hAnsi="宋体" w:cs="宋体"/>
          <w:color w:val="auto"/>
          <w:sz w:val="21"/>
          <w:szCs w:val="21"/>
          <w:highlight w:val="none"/>
          <w:u w:val="single"/>
          <w:lang w:val="en-US" w:eastAsia="zh-CN"/>
        </w:rPr>
        <w:t xml:space="preserve"> 三  </w:t>
      </w:r>
      <w:r>
        <w:rPr>
          <w:rFonts w:hint="eastAsia" w:hAnsi="宋体" w:cs="宋体"/>
          <w:color w:val="auto"/>
          <w:sz w:val="21"/>
          <w:szCs w:val="21"/>
          <w:highlight w:val="none"/>
        </w:rPr>
        <w:t>份，乙方执</w:t>
      </w:r>
      <w:r>
        <w:rPr>
          <w:rFonts w:hint="eastAsia" w:hAnsi="宋体" w:cs="宋体"/>
          <w:color w:val="auto"/>
          <w:sz w:val="21"/>
          <w:szCs w:val="21"/>
          <w:highlight w:val="none"/>
          <w:u w:val="single"/>
          <w:lang w:val="en-US" w:eastAsia="zh-CN"/>
        </w:rPr>
        <w:t xml:space="preserve">  三 </w:t>
      </w:r>
      <w:r>
        <w:rPr>
          <w:rFonts w:hint="eastAsia" w:hAnsi="宋体" w:cs="宋体"/>
          <w:color w:val="auto"/>
          <w:sz w:val="21"/>
          <w:szCs w:val="21"/>
          <w:highlight w:val="none"/>
        </w:rPr>
        <w:t>份，每份均具有同等法律效力，本合同自双方法定代表人或签约代表签字并加盖公章之日起生效，在双方的权利与义务履行完毕后终止。</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2、双方确定，出现下列情形，致使本合同的履行成为不必要或不可能时，双方可以协商解除本合同：</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（1）发生不可抗力；</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（2）国家有关政策发生变化。</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3、合同未尽事项，双方可协商解决。协商达成一致意见的，双方以签订补充协议形式进行约定。</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4、本合同附件为本合同不可分割内容，与本合同同时生效、同具法律效力。当本合同附件与本合同内容不一致时，以本合同内容为准。</w:t>
      </w:r>
    </w:p>
    <w:p>
      <w:pPr>
        <w:spacing w:line="360" w:lineRule="auto"/>
        <w:ind w:left="-708" w:leftChars="-295" w:firstLine="491" w:firstLineChars="234"/>
        <w:rPr>
          <w:rFonts w:hAnsi="宋体" w:cs="宋体"/>
          <w:color w:val="auto"/>
          <w:sz w:val="21"/>
          <w:szCs w:val="21"/>
          <w:highlight w:val="none"/>
        </w:rPr>
      </w:pPr>
      <w:r>
        <w:rPr>
          <w:rFonts w:hAnsi="宋体" w:cs="宋体"/>
          <w:color w:val="auto"/>
          <w:sz w:val="21"/>
          <w:szCs w:val="21"/>
          <w:highlight w:val="none"/>
        </w:rPr>
        <w:t>附件：用户需求书</w:t>
      </w:r>
    </w:p>
    <w:p>
      <w:pPr>
        <w:spacing w:line="360" w:lineRule="auto"/>
        <w:ind w:left="-708" w:leftChars="-295" w:firstLine="491" w:firstLineChars="234"/>
        <w:rPr>
          <w:rFonts w:hAnsi="宋体" w:cs="宋体"/>
          <w:color w:val="auto"/>
          <w:sz w:val="21"/>
          <w:szCs w:val="21"/>
          <w:highlight w:val="none"/>
        </w:rPr>
      </w:pPr>
      <w:r>
        <w:rPr>
          <w:rFonts w:hAnsi="宋体" w:cs="宋体"/>
          <w:color w:val="auto"/>
          <w:sz w:val="21"/>
          <w:szCs w:val="21"/>
          <w:highlight w:val="none"/>
        </w:rPr>
        <w:t>（以下无正文）</w:t>
      </w:r>
    </w:p>
    <w:p>
      <w:pPr>
        <w:spacing w:line="360" w:lineRule="auto"/>
        <w:ind w:left="-708" w:leftChars="-295" w:firstLine="491" w:firstLineChars="234"/>
        <w:rPr>
          <w:rFonts w:hAnsi="宋体" w:cs="宋体"/>
          <w:color w:val="auto"/>
          <w:sz w:val="21"/>
          <w:szCs w:val="21"/>
          <w:highlight w:val="none"/>
        </w:rPr>
      </w:pPr>
    </w:p>
    <w:p>
      <w:pPr>
        <w:spacing w:line="360" w:lineRule="auto"/>
        <w:ind w:left="-708" w:leftChars="-295" w:right="-624" w:rightChars="-260" w:firstLine="493" w:firstLineChars="234"/>
        <w:rPr>
          <w:rFonts w:hAnsi="宋体" w:cs="楷体"/>
          <w:b/>
          <w:bCs/>
          <w:color w:val="auto"/>
          <w:sz w:val="21"/>
          <w:szCs w:val="21"/>
          <w:highlight w:val="none"/>
        </w:rPr>
      </w:pPr>
    </w:p>
    <w:tbl>
      <w:tblPr>
        <w:tblStyle w:val="12"/>
        <w:tblW w:w="9885" w:type="dxa"/>
        <w:tblInd w:w="-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4"/>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4784" w:type="dxa"/>
            <w:tcBorders>
              <w:top w:val="single" w:color="auto" w:sz="4" w:space="0"/>
              <w:left w:val="single" w:color="auto" w:sz="4" w:space="0"/>
              <w:bottom w:val="single" w:color="auto" w:sz="4" w:space="0"/>
              <w:right w:val="single" w:color="auto" w:sz="4" w:space="0"/>
            </w:tcBorders>
          </w:tcPr>
          <w:p>
            <w:pPr>
              <w:spacing w:line="480" w:lineRule="exact"/>
              <w:rPr>
                <w:rFonts w:hint="eastAsia" w:eastAsia="宋体"/>
                <w:color w:val="auto"/>
                <w:highlight w:val="none"/>
                <w:lang w:eastAsia="zh-CN"/>
              </w:rPr>
            </w:pPr>
            <w:r>
              <w:rPr>
                <w:rFonts w:hint="eastAsia"/>
                <w:color w:val="auto"/>
                <w:highlight w:val="none"/>
              </w:rPr>
              <w:t>甲方：</w:t>
            </w:r>
            <w:r>
              <w:rPr>
                <w:rFonts w:hint="eastAsia"/>
                <w:color w:val="auto"/>
                <w:highlight w:val="none"/>
                <w:u w:val="single"/>
                <w:lang w:eastAsia="zh-CN"/>
              </w:rPr>
              <w:t>东莞市水务集团有限公司</w:t>
            </w:r>
          </w:p>
          <w:p>
            <w:pPr>
              <w:spacing w:line="480" w:lineRule="exact"/>
              <w:ind w:firstLine="1080" w:firstLineChars="450"/>
              <w:rPr>
                <w:color w:val="auto"/>
                <w:highlight w:val="none"/>
              </w:rPr>
            </w:pPr>
            <w:r>
              <w:rPr>
                <w:rFonts w:hint="eastAsia"/>
                <w:color w:val="auto"/>
                <w:highlight w:val="none"/>
              </w:rPr>
              <w:t xml:space="preserve">     （盖章）</w:t>
            </w:r>
          </w:p>
        </w:tc>
        <w:tc>
          <w:tcPr>
            <w:tcW w:w="5101" w:type="dxa"/>
            <w:tcBorders>
              <w:top w:val="single" w:color="auto" w:sz="4" w:space="0"/>
              <w:left w:val="single" w:color="auto" w:sz="4" w:space="0"/>
              <w:bottom w:val="single" w:color="auto" w:sz="4" w:space="0"/>
              <w:right w:val="single" w:color="auto" w:sz="4" w:space="0"/>
            </w:tcBorders>
          </w:tcPr>
          <w:p>
            <w:pPr>
              <w:spacing w:line="480" w:lineRule="exact"/>
              <w:rPr>
                <w:color w:val="auto"/>
                <w:highlight w:val="none"/>
                <w:u w:val="single"/>
              </w:rPr>
            </w:pPr>
            <w:r>
              <w:rPr>
                <w:rFonts w:hint="eastAsia"/>
                <w:color w:val="auto"/>
                <w:highlight w:val="none"/>
              </w:rPr>
              <w:t>乙方：</w:t>
            </w:r>
          </w:p>
          <w:p>
            <w:pPr>
              <w:spacing w:line="480" w:lineRule="exact"/>
              <w:ind w:firstLine="1080" w:firstLineChars="450"/>
              <w:rPr>
                <w:color w:val="auto"/>
                <w:highlight w:val="none"/>
              </w:rPr>
            </w:pPr>
            <w:r>
              <w:rPr>
                <w:rFonts w:hint="eastAsia"/>
                <w:color w:val="auto"/>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4784" w:type="dxa"/>
            <w:tcBorders>
              <w:top w:val="single" w:color="auto" w:sz="4" w:space="0"/>
              <w:left w:val="single" w:color="auto" w:sz="4" w:space="0"/>
              <w:bottom w:val="single" w:color="auto" w:sz="4" w:space="0"/>
              <w:right w:val="single" w:color="auto" w:sz="4" w:space="0"/>
            </w:tcBorders>
            <w:vAlign w:val="bottom"/>
          </w:tcPr>
          <w:p>
            <w:pPr>
              <w:spacing w:line="480" w:lineRule="exact"/>
              <w:rPr>
                <w:color w:val="auto"/>
                <w:highlight w:val="none"/>
                <w:u w:val="single"/>
              </w:rPr>
            </w:pPr>
            <w:r>
              <w:rPr>
                <w:rFonts w:hint="eastAsia"/>
                <w:color w:val="auto"/>
                <w:highlight w:val="none"/>
              </w:rPr>
              <w:t>法定代表人或</w:t>
            </w:r>
            <w:r>
              <w:rPr>
                <w:rFonts w:hint="eastAsia"/>
                <w:color w:val="auto"/>
                <w:highlight w:val="none"/>
                <w:lang w:val="en-US" w:eastAsia="zh-CN"/>
              </w:rPr>
              <w:t>授权</w:t>
            </w:r>
            <w:r>
              <w:rPr>
                <w:rFonts w:hint="eastAsia"/>
                <w:color w:val="auto"/>
                <w:highlight w:val="none"/>
              </w:rPr>
              <w:t>代表（签名）：</w:t>
            </w:r>
          </w:p>
        </w:tc>
        <w:tc>
          <w:tcPr>
            <w:tcW w:w="5101" w:type="dxa"/>
            <w:tcBorders>
              <w:top w:val="single" w:color="auto" w:sz="4" w:space="0"/>
              <w:left w:val="single" w:color="auto" w:sz="4" w:space="0"/>
              <w:bottom w:val="single" w:color="auto" w:sz="4" w:space="0"/>
              <w:right w:val="single" w:color="auto" w:sz="4" w:space="0"/>
            </w:tcBorders>
            <w:vAlign w:val="bottom"/>
          </w:tcPr>
          <w:p>
            <w:pPr>
              <w:spacing w:line="480" w:lineRule="exact"/>
              <w:rPr>
                <w:color w:val="auto"/>
                <w:highlight w:val="none"/>
                <w:u w:val="single"/>
              </w:rPr>
            </w:pPr>
            <w:r>
              <w:rPr>
                <w:rFonts w:hint="eastAsia"/>
                <w:color w:val="auto"/>
                <w:highlight w:val="none"/>
              </w:rPr>
              <w:t>法定代表人或</w:t>
            </w:r>
            <w:r>
              <w:rPr>
                <w:rFonts w:hint="eastAsia"/>
                <w:color w:val="auto"/>
                <w:highlight w:val="none"/>
                <w:lang w:val="en-US" w:eastAsia="zh-CN"/>
              </w:rPr>
              <w:t>授权</w:t>
            </w:r>
            <w:r>
              <w:rPr>
                <w:rFonts w:hint="eastAsia"/>
                <w:color w:val="auto"/>
                <w:highlight w:val="none"/>
              </w:rPr>
              <w:t>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4784" w:type="dxa"/>
            <w:tcBorders>
              <w:top w:val="single" w:color="auto" w:sz="4" w:space="0"/>
              <w:left w:val="single" w:color="auto" w:sz="4" w:space="0"/>
              <w:bottom w:val="single" w:color="auto" w:sz="4" w:space="0"/>
              <w:right w:val="single" w:color="auto" w:sz="4" w:space="0"/>
            </w:tcBorders>
          </w:tcPr>
          <w:p>
            <w:pPr>
              <w:spacing w:line="480" w:lineRule="exact"/>
              <w:rPr>
                <w:color w:val="auto"/>
                <w:highlight w:val="none"/>
                <w:u w:val="single"/>
              </w:rPr>
            </w:pPr>
            <w:r>
              <w:rPr>
                <w:rFonts w:hint="eastAsia"/>
                <w:color w:val="auto"/>
                <w:highlight w:val="none"/>
              </w:rPr>
              <w:t>甲方地址：</w:t>
            </w:r>
          </w:p>
        </w:tc>
        <w:tc>
          <w:tcPr>
            <w:tcW w:w="5101" w:type="dxa"/>
            <w:tcBorders>
              <w:top w:val="single" w:color="auto" w:sz="4" w:space="0"/>
              <w:left w:val="single" w:color="auto" w:sz="4" w:space="0"/>
              <w:bottom w:val="single" w:color="auto" w:sz="4" w:space="0"/>
              <w:right w:val="single" w:color="auto" w:sz="4" w:space="0"/>
            </w:tcBorders>
          </w:tcPr>
          <w:p>
            <w:pPr>
              <w:spacing w:line="480" w:lineRule="exact"/>
              <w:ind w:left="1200" w:hanging="1200" w:hangingChars="500"/>
              <w:rPr>
                <w:rFonts w:hint="default" w:eastAsia="宋体"/>
                <w:color w:val="auto"/>
                <w:highlight w:val="none"/>
                <w:u w:val="single"/>
                <w:lang w:val="en-US" w:eastAsia="zh-CN"/>
              </w:rPr>
            </w:pPr>
            <w:r>
              <w:rPr>
                <w:rFonts w:hint="eastAsia"/>
                <w:color w:val="auto"/>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4784" w:type="dxa"/>
            <w:tcBorders>
              <w:top w:val="single" w:color="auto" w:sz="4" w:space="0"/>
              <w:left w:val="single" w:color="auto" w:sz="4" w:space="0"/>
              <w:bottom w:val="single" w:color="auto" w:sz="4" w:space="0"/>
              <w:right w:val="single" w:color="auto" w:sz="4" w:space="0"/>
            </w:tcBorders>
          </w:tcPr>
          <w:p>
            <w:pPr>
              <w:spacing w:line="480" w:lineRule="exact"/>
              <w:rPr>
                <w:color w:val="auto"/>
                <w:highlight w:val="none"/>
                <w:u w:val="single"/>
              </w:rPr>
            </w:pPr>
            <w:r>
              <w:rPr>
                <w:rFonts w:hint="eastAsia"/>
                <w:color w:val="auto"/>
                <w:highlight w:val="none"/>
              </w:rPr>
              <w:t>手机：</w:t>
            </w:r>
          </w:p>
          <w:p>
            <w:pPr>
              <w:spacing w:line="480" w:lineRule="exact"/>
              <w:rPr>
                <w:color w:val="auto"/>
                <w:highlight w:val="none"/>
                <w:u w:val="single"/>
              </w:rPr>
            </w:pPr>
            <w:r>
              <w:rPr>
                <w:rFonts w:hint="eastAsia"/>
                <w:color w:val="auto"/>
                <w:highlight w:val="none"/>
              </w:rPr>
              <w:t>电话：</w:t>
            </w:r>
          </w:p>
          <w:p>
            <w:pPr>
              <w:spacing w:line="480" w:lineRule="exact"/>
              <w:rPr>
                <w:color w:val="auto"/>
                <w:highlight w:val="none"/>
                <w:u w:val="single"/>
              </w:rPr>
            </w:pPr>
            <w:r>
              <w:rPr>
                <w:rFonts w:hint="eastAsia"/>
                <w:color w:val="auto"/>
                <w:highlight w:val="none"/>
              </w:rPr>
              <w:t>传真：</w:t>
            </w:r>
          </w:p>
        </w:tc>
        <w:tc>
          <w:tcPr>
            <w:tcW w:w="5101" w:type="dxa"/>
            <w:tcBorders>
              <w:top w:val="single" w:color="auto" w:sz="4" w:space="0"/>
              <w:left w:val="single" w:color="auto" w:sz="4" w:space="0"/>
              <w:bottom w:val="single" w:color="auto" w:sz="4" w:space="0"/>
              <w:right w:val="single" w:color="auto" w:sz="4" w:space="0"/>
            </w:tcBorders>
          </w:tcPr>
          <w:p>
            <w:pPr>
              <w:spacing w:line="480" w:lineRule="exact"/>
              <w:rPr>
                <w:rFonts w:hint="eastAsia"/>
                <w:color w:val="auto"/>
                <w:highlight w:val="none"/>
              </w:rPr>
            </w:pPr>
            <w:r>
              <w:rPr>
                <w:rFonts w:hint="eastAsia"/>
                <w:color w:val="auto"/>
                <w:highlight w:val="none"/>
              </w:rPr>
              <w:t>电话：</w:t>
            </w:r>
          </w:p>
          <w:p>
            <w:pPr>
              <w:spacing w:line="480" w:lineRule="exact"/>
              <w:rPr>
                <w:rFonts w:hint="eastAsia" w:eastAsia="宋体"/>
                <w:color w:val="auto"/>
                <w:highlight w:val="none"/>
                <w:lang w:eastAsia="zh-CN"/>
              </w:rPr>
            </w:pPr>
            <w:r>
              <w:rPr>
                <w:rFonts w:hint="eastAsia"/>
                <w:color w:val="auto"/>
                <w:highlight w:val="none"/>
                <w:lang w:eastAsia="zh-CN"/>
              </w:rPr>
              <w:t>手机：</w:t>
            </w:r>
          </w:p>
          <w:p>
            <w:pPr>
              <w:spacing w:line="480" w:lineRule="exact"/>
              <w:rPr>
                <w:color w:val="auto"/>
                <w:highlight w:val="none"/>
                <w:u w:val="single"/>
              </w:rPr>
            </w:pPr>
            <w:r>
              <w:rPr>
                <w:rFonts w:hint="eastAsia"/>
                <w:color w:val="auto"/>
                <w:highlight w:val="none"/>
              </w:rPr>
              <w:t>传真</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4784" w:type="dxa"/>
            <w:tcBorders>
              <w:top w:val="single" w:color="auto" w:sz="4" w:space="0"/>
              <w:left w:val="single" w:color="auto" w:sz="4" w:space="0"/>
              <w:bottom w:val="single" w:color="auto" w:sz="4" w:space="0"/>
              <w:right w:val="single" w:color="auto" w:sz="4" w:space="0"/>
            </w:tcBorders>
            <w:vAlign w:val="bottom"/>
          </w:tcPr>
          <w:p>
            <w:pPr>
              <w:spacing w:line="480" w:lineRule="exact"/>
              <w:rPr>
                <w:color w:val="auto"/>
                <w:highlight w:val="none"/>
                <w:u w:val="single"/>
              </w:rPr>
            </w:pPr>
            <w:r>
              <w:rPr>
                <w:rFonts w:hint="eastAsia"/>
                <w:color w:val="auto"/>
                <w:highlight w:val="none"/>
              </w:rPr>
              <w:t>日期：</w:t>
            </w:r>
            <w:r>
              <w:rPr>
                <w:rFonts w:hint="eastAsia"/>
                <w:color w:val="auto"/>
                <w:highlight w:val="none"/>
                <w:u w:val="single"/>
              </w:rPr>
              <w:t xml:space="preserve">      年    月    日</w:t>
            </w:r>
          </w:p>
        </w:tc>
        <w:tc>
          <w:tcPr>
            <w:tcW w:w="5101" w:type="dxa"/>
            <w:tcBorders>
              <w:top w:val="single" w:color="auto" w:sz="4" w:space="0"/>
              <w:left w:val="single" w:color="auto" w:sz="4" w:space="0"/>
              <w:bottom w:val="single" w:color="auto" w:sz="4" w:space="0"/>
              <w:right w:val="single" w:color="auto" w:sz="4" w:space="0"/>
            </w:tcBorders>
            <w:vAlign w:val="bottom"/>
          </w:tcPr>
          <w:p>
            <w:pPr>
              <w:spacing w:line="480" w:lineRule="exact"/>
              <w:rPr>
                <w:color w:val="auto"/>
                <w:highlight w:val="none"/>
                <w:u w:val="single"/>
              </w:rPr>
            </w:pPr>
            <w:r>
              <w:rPr>
                <w:rFonts w:hint="eastAsia"/>
                <w:color w:val="auto"/>
                <w:highlight w:val="none"/>
              </w:rPr>
              <w:t>日期：</w:t>
            </w:r>
            <w:r>
              <w:rPr>
                <w:rFonts w:hint="eastAsia"/>
                <w:color w:val="auto"/>
                <w:highlight w:val="none"/>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trPr>
        <w:tc>
          <w:tcPr>
            <w:tcW w:w="9885" w:type="dxa"/>
            <w:gridSpan w:val="2"/>
            <w:tcBorders>
              <w:top w:val="single" w:color="auto" w:sz="4" w:space="0"/>
              <w:left w:val="single" w:color="auto" w:sz="4" w:space="0"/>
              <w:bottom w:val="single" w:color="auto" w:sz="4" w:space="0"/>
              <w:right w:val="single" w:color="auto" w:sz="4" w:space="0"/>
            </w:tcBorders>
            <w:vAlign w:val="bottom"/>
          </w:tcPr>
          <w:p>
            <w:pPr>
              <w:spacing w:line="480" w:lineRule="exact"/>
              <w:rPr>
                <w:rFonts w:hint="eastAsia"/>
                <w:color w:val="auto"/>
                <w:highlight w:val="none"/>
              </w:rPr>
            </w:pPr>
            <w:r>
              <w:rPr>
                <w:rFonts w:hint="eastAsia"/>
                <w:color w:val="auto"/>
                <w:highlight w:val="none"/>
              </w:rPr>
              <w:t>乙方开户银行：</w:t>
            </w:r>
          </w:p>
          <w:p>
            <w:pPr>
              <w:spacing w:line="480" w:lineRule="exact"/>
              <w:rPr>
                <w:color w:val="auto"/>
                <w:highlight w:val="none"/>
              </w:rPr>
            </w:pPr>
            <w:r>
              <w:rPr>
                <w:rFonts w:hint="eastAsia"/>
                <w:color w:val="auto"/>
                <w:highlight w:val="none"/>
              </w:rPr>
              <w:t>户名：</w:t>
            </w:r>
          </w:p>
          <w:p>
            <w:pPr>
              <w:spacing w:line="480" w:lineRule="exact"/>
              <w:rPr>
                <w:color w:val="auto"/>
                <w:highlight w:val="none"/>
              </w:rPr>
            </w:pPr>
            <w:r>
              <w:rPr>
                <w:rFonts w:hint="eastAsia"/>
                <w:color w:val="auto"/>
                <w:highlight w:val="none"/>
              </w:rPr>
              <w:t>账户号：</w:t>
            </w:r>
          </w:p>
        </w:tc>
      </w:tr>
    </w:tbl>
    <w:p>
      <w:pPr>
        <w:rPr>
          <w:color w:val="auto"/>
          <w:highlight w:val="none"/>
        </w:rPr>
      </w:pPr>
    </w:p>
    <w:p>
      <w:pPr>
        <w:pageBreakBefore w:val="0"/>
        <w:kinsoku/>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580" w:lineRule="exact"/>
        <w:jc w:val="center"/>
        <w:rPr>
          <w:rFonts w:hint="default" w:ascii="Times New Roman" w:hAnsi="Times New Roman" w:eastAsia="仿宋_GB2312" w:cs="Times New Roman"/>
          <w:b/>
          <w:bCs/>
          <w:color w:val="auto"/>
          <w:sz w:val="36"/>
          <w:szCs w:val="36"/>
          <w:highlight w:val="none"/>
        </w:rPr>
      </w:pPr>
      <w:r>
        <w:rPr>
          <w:rFonts w:hint="eastAsia" w:ascii="宋体" w:hAnsi="宋体" w:eastAsia="宋体" w:cs="宋体"/>
          <w:b/>
          <w:bCs w:val="0"/>
          <w:color w:val="auto"/>
          <w:sz w:val="36"/>
          <w:szCs w:val="36"/>
          <w:highlight w:val="none"/>
        </w:rPr>
        <w:t>阳光合作告知函</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15"/>
        <w:snapToGrid w:val="0"/>
        <w:spacing w:line="5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w:t>
      </w:r>
      <w:r>
        <w:rPr>
          <w:rFonts w:hint="eastAsia" w:ascii="宋体" w:hAnsi="宋体" w:eastAsia="宋体" w:cs="宋体"/>
          <w:color w:val="auto"/>
          <w:sz w:val="24"/>
          <w:szCs w:val="24"/>
          <w:highlight w:val="none"/>
          <w:lang w:val="en-US" w:eastAsia="zh-CN"/>
        </w:rPr>
        <w:t>我集团</w:t>
      </w:r>
      <w:r>
        <w:rPr>
          <w:rFonts w:hint="eastAsia" w:ascii="宋体" w:hAnsi="宋体" w:eastAsia="宋体" w:cs="宋体"/>
          <w:color w:val="auto"/>
          <w:sz w:val="24"/>
          <w:szCs w:val="24"/>
          <w:highlight w:val="none"/>
        </w:rPr>
        <w:t>人员廉洁从业，规范和鼓励诚信交易行为，防止腐败和商业贿赂发生，推动双方建立阳光合作关系，现将我方推行阳光合作的相关管理规定函告如下：</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一、我方负责对本单位有关人员进行阳光合作教育和管理。</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二、我方人员有责任向贵方介绍本单位有关阳光合作的相关规定。</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三、我方人员应本着诚实守信、公平公开、平等互利原则开展交易合作，遵守国家相关法律法规。</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四、我方人员应廉洁从业，自觉抵制商业贿赂及不正当交易行为，在交易业务中涉及本人、亲属或其他相关人员时，应主动提请回避。</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五、在业务合作过程中，我方人员不得有以下违法违规行为：</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（一）合作过程中通过各种方式向贵方索贿、行贿，或为亲属、其他相关人员索取其他协助或服务； </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），不得参加贵方提供的旅游或其他可能影响职务廉洁的活动；</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（三）擅自截留、挪用或侵占贵方财物； </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（四）以各种形式参与民间借贷，帮助贵方过桥借贷； </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（五）参与黄、赌、毒等违法犯罪活动；</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（六）其他违反国家法律法规和违反廉洁从业的行为。 </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七、烦请贵方及贵方人员在投诉举报时，积极配合我方的相关调查工作，并提供联系方式等，便于我方纪检监察机构联系与调查核实。我方承诺对贵方的投诉举报人进行保密。</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八、贵方投诉举报的情况，经查证属实，我方将视情节轻重和影响恶劣程度对相关人员进行内部处理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构成犯罪的，依法移送司法机关处置，并将调查结果及时向贵方反馈。</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九、如贵方经办人员或其他相关人员主动诱使我方人员作出本告知函第五点列明的违法违规行为的，我方有权终止双方的合作，由此造成的损失由贵方承担。</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十、我方对如实举报和严格遵守阳光合作精神的合作方，在同等条件下给予后续合作的优先权。</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bookmarkStart w:id="9" w:name="OLE_LINK1"/>
      <w:r>
        <w:rPr>
          <w:rFonts w:hint="eastAsia" w:ascii="宋体" w:hAnsi="宋体" w:eastAsia="宋体" w:cs="宋体"/>
          <w:color w:val="auto"/>
          <w:sz w:val="24"/>
          <w:szCs w:val="24"/>
          <w:highlight w:val="none"/>
        </w:rPr>
        <w:t>其他</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（一）本告知函所言“其他相关人员”是指经办人以外的与合作项目有直接或间接利益关系的人员，包括但不仅限于项目经办人的亲友。</w:t>
      </w:r>
    </w:p>
    <w:bookmarkEnd w:id="9"/>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（二）我方常设投诉举报受理部门及联系方式： </w:t>
      </w:r>
    </w:p>
    <w:p>
      <w:pPr>
        <w:pStyle w:val="15"/>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1.投诉举报受理部门：</w:t>
      </w:r>
      <w:r>
        <w:rPr>
          <w:rFonts w:hint="eastAsia" w:ascii="宋体" w:hAnsi="宋体" w:eastAsia="宋体" w:cs="宋体"/>
          <w:color w:val="auto"/>
          <w:sz w:val="24"/>
          <w:szCs w:val="24"/>
          <w:highlight w:val="none"/>
          <w:lang w:val="en-US" w:eastAsia="zh-CN"/>
        </w:rPr>
        <w:t>东莞市水务集团有限公司</w:t>
      </w:r>
      <w:r>
        <w:rPr>
          <w:rFonts w:hint="eastAsia" w:ascii="宋体" w:hAnsi="宋体" w:eastAsia="宋体" w:cs="宋体"/>
          <w:color w:val="auto"/>
          <w:sz w:val="24"/>
          <w:szCs w:val="24"/>
          <w:highlight w:val="none"/>
        </w:rPr>
        <w:t>纪检监察部；</w:t>
      </w:r>
    </w:p>
    <w:p>
      <w:pPr>
        <w:pStyle w:val="15"/>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.投诉举报电话：</w:t>
      </w:r>
      <w:r>
        <w:rPr>
          <w:rFonts w:hint="eastAsia" w:ascii="宋体" w:hAnsi="宋体" w:eastAsia="宋体" w:cs="宋体"/>
          <w:color w:val="auto"/>
          <w:sz w:val="24"/>
          <w:szCs w:val="24"/>
          <w:highlight w:val="none"/>
        </w:rPr>
        <w:t>0769–28823293（</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一至</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pPr>
        <w:pStyle w:val="15"/>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.联系地址：</w:t>
      </w:r>
      <w:r>
        <w:rPr>
          <w:rFonts w:hint="eastAsia" w:ascii="宋体" w:hAnsi="宋体" w:eastAsia="宋体" w:cs="宋体"/>
          <w:color w:val="auto"/>
          <w:sz w:val="24"/>
          <w:szCs w:val="24"/>
          <w:highlight w:val="none"/>
        </w:rPr>
        <w:t>东莞市东城街道育华路1号；</w:t>
      </w:r>
    </w:p>
    <w:p>
      <w:pPr>
        <w:pStyle w:val="15"/>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.邮编：</w:t>
      </w:r>
      <w:r>
        <w:rPr>
          <w:rFonts w:hint="eastAsia" w:ascii="宋体" w:hAnsi="宋体" w:eastAsia="宋体" w:cs="宋体"/>
          <w:color w:val="auto"/>
          <w:sz w:val="24"/>
          <w:szCs w:val="24"/>
          <w:highlight w:val="none"/>
        </w:rPr>
        <w:t>523000。</w:t>
      </w:r>
    </w:p>
    <w:p>
      <w:pPr>
        <w:pStyle w:val="15"/>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让我们共同为建立健康、公平的商业秩序和实现双赢而努力</w:t>
      </w:r>
      <w:r>
        <w:rPr>
          <w:rFonts w:hint="eastAsia" w:ascii="宋体" w:hAnsi="宋体" w:eastAsia="宋体" w:cs="宋体"/>
          <w:color w:val="auto"/>
          <w:sz w:val="24"/>
          <w:szCs w:val="24"/>
          <w:highlight w:val="none"/>
          <w:lang w:val="en-US" w:eastAsia="zh-CN"/>
        </w:rPr>
        <w:t>。</w:t>
      </w:r>
    </w:p>
    <w:p>
      <w:pPr>
        <w:pStyle w:val="15"/>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特此致函</w:t>
      </w:r>
      <w:r>
        <w:rPr>
          <w:rFonts w:hint="eastAsia" w:ascii="宋体" w:hAnsi="宋体" w:eastAsia="宋体" w:cs="宋体"/>
          <w:color w:val="auto"/>
          <w:sz w:val="24"/>
          <w:szCs w:val="24"/>
          <w:highlight w:val="none"/>
          <w:lang w:eastAsia="zh-CN"/>
        </w:rPr>
        <w:t>。</w:t>
      </w:r>
    </w:p>
    <w:p>
      <w:pPr>
        <w:pStyle w:val="15"/>
        <w:snapToGrid w:val="0"/>
        <w:spacing w:line="580" w:lineRule="exact"/>
        <w:ind w:left="0" w:leftChars="0" w:firstLine="0" w:firstLineChars="0"/>
        <w:rPr>
          <w:rFonts w:hint="eastAsia" w:ascii="宋体" w:hAnsi="宋体" w:eastAsia="宋体" w:cs="宋体"/>
          <w:color w:val="auto"/>
          <w:sz w:val="24"/>
          <w:szCs w:val="24"/>
          <w:highlight w:val="none"/>
        </w:rPr>
      </w:pPr>
    </w:p>
    <w:p>
      <w:pPr>
        <w:pStyle w:val="15"/>
        <w:wordWrap w:val="0"/>
        <w:snapToGrid w:val="0"/>
        <w:spacing w:line="580" w:lineRule="exact"/>
        <w:ind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东莞市水务集团有限公司</w:t>
      </w:r>
    </w:p>
    <w:p>
      <w:pPr>
        <w:pStyle w:val="15"/>
        <w:snapToGrid w:val="0"/>
        <w:spacing w:line="580" w:lineRule="exact"/>
        <w:ind w:firstLine="3900" w:firstLineChars="162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bookmarkStart w:id="10" w:name="现场签证通知单"/>
      <w:bookmarkEnd w:id="10"/>
      <w:bookmarkStart w:id="11" w:name="设计变更通知单"/>
      <w:bookmarkEnd w:id="11"/>
    </w:p>
    <w:p>
      <w:pPr>
        <w:pStyle w:val="15"/>
        <w:snapToGrid w:val="0"/>
        <w:spacing w:line="580" w:lineRule="exact"/>
        <w:ind w:firstLine="3900" w:firstLineChars="162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5"/>
        <w:snapToGrid w:val="0"/>
        <w:spacing w:line="580" w:lineRule="exact"/>
        <w:ind w:firstLine="0"/>
        <w:jc w:val="center"/>
        <w:rPr>
          <w:rFonts w:ascii="Times New Roman" w:hAnsi="Times New Roman" w:eastAsia="黑体"/>
          <w:color w:val="auto"/>
          <w:sz w:val="36"/>
          <w:szCs w:val="36"/>
          <w:highlight w:val="none"/>
          <w:lang w:val="zh-CN"/>
        </w:rPr>
      </w:pPr>
      <w:r>
        <w:rPr>
          <w:rFonts w:hint="eastAsia" w:ascii="Times New Roman" w:hAnsi="Times New Roman" w:eastAsia="黑体"/>
          <w:color w:val="auto"/>
          <w:sz w:val="36"/>
          <w:szCs w:val="36"/>
          <w:highlight w:val="none"/>
          <w:lang w:val="zh-CN"/>
        </w:rPr>
        <w:t>阳光合作告知函回执</w:t>
      </w:r>
    </w:p>
    <w:p>
      <w:pPr>
        <w:pStyle w:val="15"/>
        <w:snapToGrid w:val="0"/>
        <w:spacing w:line="58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5"/>
        <w:snapToGrid w:val="0"/>
        <w:spacing w:line="580" w:lineRule="exact"/>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编号：</w:t>
      </w:r>
      <w:r>
        <w:rPr>
          <w:rFonts w:hint="eastAsia" w:ascii="宋体" w:hAnsi="宋体" w:eastAsia="宋体" w:cs="宋体"/>
          <w:color w:val="auto"/>
          <w:sz w:val="24"/>
          <w:szCs w:val="24"/>
          <w:highlight w:val="none"/>
          <w:lang w:val="en-US" w:eastAsia="zh-CN"/>
        </w:rPr>
        <w:t xml:space="preserve">   </w:t>
      </w:r>
    </w:p>
    <w:p>
      <w:pPr>
        <w:pStyle w:val="15"/>
        <w:snapToGrid w:val="0"/>
        <w:spacing w:line="580" w:lineRule="exact"/>
        <w:ind w:firstLine="0"/>
        <w:jc w:val="center"/>
        <w:rPr>
          <w:rFonts w:hint="eastAsia" w:ascii="宋体" w:hAnsi="宋体" w:eastAsia="宋体" w:cs="宋体"/>
          <w:color w:val="auto"/>
          <w:sz w:val="24"/>
          <w:szCs w:val="24"/>
          <w:highlight w:val="none"/>
          <w:lang w:val="zh-CN"/>
        </w:rPr>
      </w:pPr>
    </w:p>
    <w:p>
      <w:pPr>
        <w:autoSpaceDE w:val="0"/>
        <w:autoSpaceDN w:val="0"/>
        <w:adjustRightInd w:val="0"/>
        <w:spacing w:line="580" w:lineRule="exact"/>
        <w:ind w:firstLine="600" w:firstLineChars="25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我单位于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日收到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公司</w:t>
      </w:r>
      <w:r>
        <w:rPr>
          <w:rFonts w:hint="eastAsia" w:ascii="宋体" w:hAnsi="宋体" w:eastAsia="宋体" w:cs="宋体"/>
          <w:color w:val="auto"/>
          <w:sz w:val="24"/>
          <w:szCs w:val="24"/>
          <w:highlight w:val="none"/>
          <w:lang w:val="zh-CN"/>
        </w:rPr>
        <w:t>的《阳光合作告知</w:t>
      </w:r>
      <w:r>
        <w:rPr>
          <w:rFonts w:hint="eastAsia" w:ascii="宋体" w:hAnsi="宋体" w:eastAsia="宋体" w:cs="宋体"/>
          <w:color w:val="auto"/>
          <w:kern w:val="0"/>
          <w:sz w:val="24"/>
          <w:szCs w:val="24"/>
          <w:highlight w:val="none"/>
          <w:lang w:val="zh-CN"/>
        </w:rPr>
        <w:t>函</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，承诺理解函告内容并告知相关人员严格执行其中规定。</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公司</w:t>
      </w:r>
      <w:r>
        <w:rPr>
          <w:rFonts w:hint="eastAsia" w:ascii="宋体" w:hAnsi="宋体" w:eastAsia="宋体" w:cs="宋体"/>
          <w:color w:val="auto"/>
          <w:sz w:val="24"/>
          <w:szCs w:val="24"/>
          <w:highlight w:val="none"/>
          <w:lang w:val="zh-CN"/>
        </w:rPr>
        <w:t>（盖章）</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ind w:right="1280"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pPr>
        <w:wordWrap w:val="0"/>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ageBreakBefore w:val="0"/>
        <w:kinsoku/>
        <w:overflowPunct/>
        <w:topLinePunct w:val="0"/>
        <w:bidi w:val="0"/>
        <w:snapToGrid/>
        <w:spacing w:line="360" w:lineRule="auto"/>
        <w:jc w:val="center"/>
        <w:textAlignment w:val="auto"/>
        <w:rPr>
          <w:rFonts w:hint="eastAsia" w:ascii="宋体" w:hAnsi="宋体" w:eastAsia="宋体" w:cs="宋体"/>
          <w:b/>
          <w:color w:val="auto"/>
          <w:sz w:val="28"/>
          <w:szCs w:val="28"/>
          <w:highlight w:val="none"/>
        </w:rPr>
        <w:sectPr>
          <w:footerReference r:id="rId4" w:type="default"/>
          <w:pgSz w:w="11906" w:h="16838"/>
          <w:pgMar w:top="1440" w:right="1803" w:bottom="1440" w:left="1803" w:header="851" w:footer="992" w:gutter="0"/>
          <w:cols w:space="0" w:num="1"/>
          <w:rtlGutter w:val="0"/>
          <w:docGrid w:type="lines" w:linePitch="332" w:charSpace="0"/>
        </w:sectPr>
      </w:pPr>
    </w:p>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outlineLvl w:val="0"/>
        <w:rPr>
          <w:rFonts w:hint="eastAsia" w:ascii="宋体" w:hAnsi="宋体" w:eastAsia="宋体" w:cs="宋体"/>
          <w:color w:val="auto"/>
          <w:szCs w:val="32"/>
          <w:highlight w:val="none"/>
        </w:rPr>
      </w:pPr>
      <w:bookmarkStart w:id="12" w:name="_Toc29476707"/>
      <w:r>
        <w:rPr>
          <w:rFonts w:hint="eastAsia" w:ascii="宋体" w:hAnsi="宋体" w:eastAsia="宋体" w:cs="宋体"/>
          <w:color w:val="auto"/>
          <w:szCs w:val="32"/>
          <w:highlight w:val="none"/>
        </w:rPr>
        <w:t>第四章 报价须知</w:t>
      </w:r>
      <w:bookmarkEnd w:id="12"/>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一、项目费用说明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报价人应按询价文件要求及企业的自身情况进行报价。所报的价格包含完成询价文件规定的工作所需的全部费用（除了报价人销项税额），并承担所有相应项目风险。</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二、报价文件的组成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1.报价表（含分项报价表）；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2.用户需求偏离表；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3.合同条款偏离表；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营业执照</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报价人202</w:t>
      </w:r>
      <w:r>
        <w:rPr>
          <w:rFonts w:hint="eastAsia" w:hAnsi="宋体" w:cs="宋体"/>
          <w:color w:val="auto"/>
          <w:highlight w:val="none"/>
          <w:lang w:val="en-US" w:eastAsia="zh-CN"/>
        </w:rPr>
        <w:t>1</w:t>
      </w:r>
      <w:r>
        <w:rPr>
          <w:rFonts w:hint="eastAsia" w:ascii="宋体" w:hAnsi="宋体" w:eastAsia="宋体" w:cs="宋体"/>
          <w:color w:val="auto"/>
          <w:highlight w:val="none"/>
          <w:lang w:val="en-US" w:eastAsia="zh-CN"/>
        </w:rPr>
        <w:t>年1月1日以来</w:t>
      </w:r>
      <w:r>
        <w:rPr>
          <w:rFonts w:hint="eastAsia" w:hAnsi="宋体" w:cs="宋体"/>
          <w:color w:val="auto"/>
          <w:highlight w:val="none"/>
          <w:lang w:val="en-US" w:eastAsia="zh-CN"/>
        </w:rPr>
        <w:t>的</w:t>
      </w:r>
      <w:r>
        <w:rPr>
          <w:rFonts w:hint="eastAsia" w:ascii="宋体" w:hAnsi="宋体" w:eastAsia="宋体" w:cs="宋体"/>
          <w:color w:val="auto"/>
          <w:highlight w:val="none"/>
          <w:lang w:val="en-US" w:eastAsia="zh-CN"/>
        </w:rPr>
        <w:t>一个应急预案编制服务业绩（合同签订日期为2021年1月1日或以后）</w:t>
      </w:r>
      <w:r>
        <w:rPr>
          <w:rFonts w:hint="eastAsia" w:hAnsi="宋体" w:cs="宋体"/>
          <w:color w:val="auto"/>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hAnsi="宋体" w:cs="宋体"/>
          <w:color w:val="auto"/>
          <w:highlight w:val="none"/>
          <w:lang w:val="en-US" w:eastAsia="zh-CN"/>
        </w:rPr>
        <w:t>6</w:t>
      </w:r>
      <w:r>
        <w:rPr>
          <w:rFonts w:hint="eastAsia" w:ascii="宋体" w:hAnsi="宋体" w:eastAsia="宋体" w:cs="宋体"/>
          <w:color w:val="auto"/>
          <w:highlight w:val="none"/>
        </w:rPr>
        <w:t>.项目配备人员；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hAnsi="宋体" w:cs="宋体"/>
          <w:color w:val="auto"/>
          <w:highlight w:val="none"/>
          <w:lang w:val="en-US" w:eastAsia="zh-CN"/>
        </w:rPr>
        <w:t>7</w:t>
      </w:r>
      <w:r>
        <w:rPr>
          <w:rFonts w:hint="eastAsia" w:ascii="宋体" w:hAnsi="宋体" w:eastAsia="宋体" w:cs="宋体"/>
          <w:color w:val="auto"/>
          <w:highlight w:val="none"/>
        </w:rPr>
        <w:t>.信用中国网站截图；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hAnsi="宋体" w:cs="宋体"/>
          <w:color w:val="auto"/>
          <w:highlight w:val="none"/>
          <w:lang w:val="en-US" w:eastAsia="zh-CN"/>
        </w:rPr>
        <w:t>8.</w:t>
      </w:r>
      <w:r>
        <w:rPr>
          <w:rFonts w:hint="eastAsia" w:ascii="宋体" w:hAnsi="宋体" w:eastAsia="宋体" w:cs="宋体"/>
          <w:color w:val="auto"/>
          <w:highlight w:val="none"/>
        </w:rPr>
        <w:t>报价人认为有必要提供的资料。</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三、报价文件的封装和递交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b/>
          <w:bCs/>
          <w:color w:val="auto"/>
          <w:highlight w:val="none"/>
          <w:lang w:val="en-US" w:eastAsia="zh-CN"/>
        </w:rPr>
        <w:t>报价文件无须装订成册。</w:t>
      </w:r>
      <w:r>
        <w:rPr>
          <w:rFonts w:hint="eastAsia" w:ascii="宋体" w:hAnsi="宋体" w:eastAsia="宋体" w:cs="宋体"/>
          <w:color w:val="auto"/>
          <w:highlight w:val="none"/>
          <w:lang w:val="en-US" w:eastAsia="zh-CN"/>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b/>
          <w:bCs/>
          <w:color w:val="auto"/>
          <w:highlight w:val="none"/>
        </w:rPr>
        <w:t>密封好的报价文件，应于询价邀请函中规定的截止时间前递交到采购人指定的递交地点，否则视为放弃参与本项目。</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四、报价有效性说明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1.不含税总报价不得高于本项目不含税最高限价，否则视为无效报价；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2.对用户需求书、合同条款响应有负偏离的，按无效响应处理；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3.报价人未按报价文件格式提供相应材料的，按无效报价处理；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pageBreakBefore w:val="0"/>
        <w:kinsoku/>
        <w:overflowPunct/>
        <w:topLinePunct w:val="0"/>
        <w:bidi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outlineLvl w:val="0"/>
        <w:rPr>
          <w:rFonts w:hint="eastAsia" w:ascii="宋体" w:hAnsi="宋体" w:eastAsia="宋体" w:cs="宋体"/>
          <w:color w:val="auto"/>
          <w:szCs w:val="32"/>
          <w:highlight w:val="none"/>
        </w:rPr>
      </w:pPr>
      <w:bookmarkStart w:id="13" w:name="_Toc29476708"/>
      <w:r>
        <w:rPr>
          <w:rFonts w:hint="eastAsia" w:ascii="宋体" w:hAnsi="宋体" w:eastAsia="宋体" w:cs="宋体"/>
          <w:color w:val="auto"/>
          <w:szCs w:val="32"/>
          <w:highlight w:val="none"/>
        </w:rPr>
        <w:t>第五章 报价文件（格式）</w:t>
      </w:r>
      <w:bookmarkEnd w:id="13"/>
    </w:p>
    <w:p>
      <w:pPr>
        <w:pageBreakBefore w:val="0"/>
        <w:kinsoku/>
        <w:overflowPunct/>
        <w:topLinePunct w:val="0"/>
        <w:bidi w:val="0"/>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报价表</w:t>
      </w:r>
    </w:p>
    <w:tbl>
      <w:tblPr>
        <w:tblStyle w:val="12"/>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项目名称</w:t>
            </w:r>
          </w:p>
        </w:tc>
        <w:tc>
          <w:tcPr>
            <w:tcW w:w="6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Cs w:val="28"/>
                <w:highlight w:val="none"/>
                <w:lang w:eastAsia="zh-CN"/>
              </w:rPr>
            </w:pPr>
            <w:r>
              <w:rPr>
                <w:rFonts w:hint="eastAsia" w:hAnsi="宋体" w:cs="宋体"/>
                <w:color w:val="auto"/>
                <w:szCs w:val="28"/>
                <w:highlight w:val="none"/>
                <w:lang w:eastAsia="zh-CN"/>
              </w:rPr>
              <w:t>东莞市水务集团有限公司应急预案编制服务采购项目（二次询价）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不含税总报价</w:t>
            </w:r>
          </w:p>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（单位：元）</w:t>
            </w:r>
          </w:p>
        </w:tc>
        <w:tc>
          <w:tcPr>
            <w:tcW w:w="6804"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rPr>
              <w:t>人民币（小写）</w:t>
            </w:r>
            <w:r>
              <w:rPr>
                <w:rFonts w:hint="eastAsia" w:hAnsi="宋体" w:cs="宋体"/>
                <w:color w:val="auto"/>
                <w:sz w:val="24"/>
                <w:szCs w:val="28"/>
                <w:highlight w:val="none"/>
                <w:lang w:eastAsia="zh-CN"/>
              </w:rPr>
              <w:t>：</w:t>
            </w:r>
            <w:r>
              <w:rPr>
                <w:rFonts w:hint="eastAsia" w:ascii="宋体" w:hAnsi="宋体" w:eastAsia="宋体" w:cs="宋体"/>
                <w:color w:val="auto"/>
                <w:sz w:val="24"/>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rPr>
              <w:t>完成时间</w:t>
            </w:r>
          </w:p>
        </w:tc>
        <w:tc>
          <w:tcPr>
            <w:tcW w:w="6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自采购人通知之日起至2024年7月底前完成《东莞市水务集团有限公司突发事件总体应急预案》修编所要求的全部服务内容；2024年11月底前完成《东莞市水务集团有限公司生产安全事故应急预案》新编所要求的全部服务内容</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报价人纳税类型</w:t>
            </w:r>
          </w:p>
        </w:tc>
        <w:tc>
          <w:tcPr>
            <w:tcW w:w="6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0" w:firstLineChars="750"/>
              <w:textAlignment w:val="auto"/>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 一般纳税人</w:t>
            </w:r>
          </w:p>
          <w:p>
            <w:pPr>
              <w:keepNext w:val="0"/>
              <w:keepLines w:val="0"/>
              <w:pageBreakBefore w:val="0"/>
              <w:widowControl w:val="0"/>
              <w:kinsoku/>
              <w:wordWrap/>
              <w:overflowPunct/>
              <w:topLinePunct w:val="0"/>
              <w:autoSpaceDE/>
              <w:autoSpaceDN/>
              <w:bidi w:val="0"/>
              <w:adjustRightInd/>
              <w:snapToGrid/>
              <w:spacing w:line="240" w:lineRule="auto"/>
              <w:ind w:firstLine="1800" w:firstLineChars="750"/>
              <w:textAlignment w:val="auto"/>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4"/>
                <w:szCs w:val="28"/>
                <w:highlight w:val="none"/>
              </w:rPr>
            </w:pPr>
            <w:r>
              <w:rPr>
                <w:rFonts w:hint="eastAsia" w:ascii="宋体" w:hAnsi="宋体" w:eastAsia="宋体" w:cs="宋体"/>
                <w:b w:val="0"/>
                <w:bCs w:val="0"/>
                <w:color w:val="auto"/>
                <w:sz w:val="24"/>
                <w:szCs w:val="28"/>
                <w:highlight w:val="none"/>
              </w:rPr>
              <w:t>报价人提供的增值税专用发票的税率</w:t>
            </w:r>
          </w:p>
        </w:tc>
        <w:tc>
          <w:tcPr>
            <w:tcW w:w="6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c>
          <w:tcPr>
            <w:tcW w:w="6804" w:type="dxa"/>
            <w:shd w:val="clear" w:color="auto"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本次所报价格为不含销项税额，包含</w:t>
            </w:r>
            <w:r>
              <w:rPr>
                <w:rFonts w:hint="eastAsia" w:hAnsi="宋体" w:cs="宋体"/>
                <w:b/>
                <w:bCs/>
                <w:color w:val="auto"/>
                <w:highlight w:val="none"/>
                <w:lang w:val="en-US" w:eastAsia="zh-CN"/>
              </w:rPr>
              <w:t>供应商</w:t>
            </w:r>
            <w:r>
              <w:rPr>
                <w:rFonts w:hint="eastAsia" w:ascii="宋体" w:hAnsi="宋体" w:eastAsia="宋体" w:cs="宋体"/>
                <w:b/>
                <w:bCs/>
                <w:color w:val="auto"/>
                <w:highlight w:val="none"/>
              </w:rPr>
              <w:t>销项税额以外的税费及完成本项目所需的全部费用。</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不含税总报价不得高于本项目不含税最高限价（</w:t>
            </w:r>
            <w:r>
              <w:rPr>
                <w:rFonts w:hint="eastAsia" w:ascii="宋体" w:hAnsi="宋体" w:eastAsia="宋体" w:cs="宋体"/>
                <w:b/>
                <w:bCs/>
                <w:color w:val="auto"/>
                <w:highlight w:val="none"/>
                <w:lang w:val="en-US" w:eastAsia="zh-CN"/>
              </w:rPr>
              <w:t>54,641.51</w:t>
            </w:r>
            <w:r>
              <w:rPr>
                <w:rFonts w:hint="eastAsia" w:ascii="宋体" w:hAnsi="宋体" w:eastAsia="宋体" w:cs="宋体"/>
                <w:b/>
                <w:bCs/>
                <w:color w:val="auto"/>
                <w:highlight w:val="none"/>
              </w:rPr>
              <w:t>元），否则视为无效报价。</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当分项报价明细表内累计与报价表不符时，以报价表为准，修正分项报价明细表内的各项报价；不遵从修正原则的视为无效报价。</w:t>
            </w:r>
          </w:p>
        </w:tc>
      </w:tr>
    </w:tbl>
    <w:p>
      <w:pPr>
        <w:pStyle w:val="5"/>
        <w:spacing w:line="360" w:lineRule="auto"/>
        <w:rPr>
          <w:rFonts w:hint="eastAsia" w:ascii="宋体" w:hAnsi="宋体" w:eastAsia="宋体" w:cs="宋体"/>
          <w:color w:val="auto"/>
          <w:sz w:val="24"/>
          <w:szCs w:val="24"/>
          <w:highlight w:val="none"/>
        </w:rPr>
      </w:pPr>
    </w:p>
    <w:p>
      <w:pPr>
        <w:pStyle w:val="5"/>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联系人：                          联系电话：</w:t>
      </w:r>
    </w:p>
    <w:p>
      <w:pPr>
        <w:pStyle w:val="5"/>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联系地址：</w:t>
      </w:r>
    </w:p>
    <w:p>
      <w:pPr>
        <w:wordWrap w:val="0"/>
        <w:spacing w:line="360" w:lineRule="auto"/>
        <w:jc w:val="right"/>
        <w:rPr>
          <w:rFonts w:hint="eastAsia" w:ascii="宋体" w:hAnsi="宋体" w:eastAsia="宋体" w:cs="宋体"/>
          <w:color w:val="auto"/>
          <w:kern w:val="2"/>
          <w:szCs w:val="28"/>
          <w:highlight w:val="none"/>
          <w:lang w:val="en-US" w:eastAsia="zh-CN"/>
        </w:rPr>
      </w:pPr>
      <w:r>
        <w:rPr>
          <w:rFonts w:hint="eastAsia" w:ascii="宋体" w:hAnsi="宋体" w:eastAsia="宋体" w:cs="宋体"/>
          <w:color w:val="auto"/>
          <w:kern w:val="2"/>
          <w:szCs w:val="28"/>
          <w:highlight w:val="none"/>
          <w:lang w:val="zh-CN"/>
        </w:rPr>
        <w:t>报价人：（公章）</w:t>
      </w:r>
      <w:r>
        <w:rPr>
          <w:rFonts w:hint="eastAsia" w:ascii="宋体" w:hAnsi="宋体" w:eastAsia="宋体" w:cs="宋体"/>
          <w:color w:val="auto"/>
          <w:kern w:val="2"/>
          <w:szCs w:val="28"/>
          <w:highlight w:val="none"/>
          <w:lang w:val="en-US" w:eastAsia="zh-CN"/>
        </w:rPr>
        <w:t xml:space="preserve">       </w:t>
      </w:r>
    </w:p>
    <w:p>
      <w:pPr>
        <w:spacing w:line="360" w:lineRule="auto"/>
        <w:jc w:val="right"/>
        <w:rPr>
          <w:rFonts w:hint="eastAsia" w:ascii="宋体" w:hAnsi="宋体" w:eastAsia="宋体" w:cs="宋体"/>
          <w:color w:val="auto"/>
          <w:kern w:val="2"/>
          <w:szCs w:val="28"/>
          <w:highlight w:val="none"/>
          <w:lang w:val="zh-CN"/>
        </w:rPr>
        <w:sectPr>
          <w:pgSz w:w="11906" w:h="16838"/>
          <w:pgMar w:top="1440" w:right="1803" w:bottom="1440" w:left="1803" w:header="851" w:footer="992" w:gutter="0"/>
          <w:cols w:space="0" w:num="1"/>
          <w:rtlGutter w:val="0"/>
          <w:docGrid w:type="lines" w:linePitch="332" w:charSpace="0"/>
        </w:sectPr>
      </w:pPr>
      <w:r>
        <w:rPr>
          <w:rFonts w:hint="eastAsia" w:ascii="宋体" w:hAnsi="宋体" w:eastAsia="宋体" w:cs="宋体"/>
          <w:color w:val="auto"/>
          <w:kern w:val="2"/>
          <w:szCs w:val="28"/>
          <w:highlight w:val="none"/>
          <w:lang w:val="zh-CN"/>
        </w:rPr>
        <w:t>日期：   年    月   日</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分项报价表</w:t>
      </w:r>
    </w:p>
    <w:tbl>
      <w:tblPr>
        <w:tblStyle w:val="12"/>
        <w:tblW w:w="93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4"/>
        <w:gridCol w:w="4685"/>
        <w:gridCol w:w="2575"/>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序号</w:t>
            </w:r>
          </w:p>
        </w:tc>
        <w:tc>
          <w:tcPr>
            <w:tcW w:w="468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sz w:val="21"/>
                <w:szCs w:val="21"/>
                <w:highlight w:val="none"/>
                <w:u w:val="none"/>
              </w:rPr>
            </w:pPr>
            <w:r>
              <w:rPr>
                <w:rFonts w:hint="eastAsia" w:ascii="Times New Roman" w:hAnsi="Times New Roman" w:eastAsia="宋体" w:cs="Times New Roman"/>
                <w:b/>
                <w:i w:val="0"/>
                <w:color w:val="auto"/>
                <w:kern w:val="0"/>
                <w:sz w:val="21"/>
                <w:szCs w:val="21"/>
                <w:highlight w:val="none"/>
                <w:u w:val="none"/>
                <w:lang w:val="en-US" w:eastAsia="zh-CN" w:bidi="ar"/>
              </w:rPr>
              <w:t>服务项目</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kern w:val="0"/>
                <w:sz w:val="21"/>
                <w:szCs w:val="21"/>
                <w:highlight w:val="none"/>
                <w:u w:val="none"/>
                <w:lang w:val="en-US" w:eastAsia="zh-CN" w:bidi="ar"/>
              </w:rPr>
            </w:pPr>
            <w:r>
              <w:rPr>
                <w:rFonts w:hint="default" w:ascii="Times New Roman" w:hAnsi="Times New Roman" w:eastAsia="宋体" w:cs="Times New Roman"/>
                <w:b/>
                <w:i w:val="0"/>
                <w:color w:val="auto"/>
                <w:kern w:val="0"/>
                <w:sz w:val="21"/>
                <w:szCs w:val="21"/>
                <w:highlight w:val="none"/>
                <w:u w:val="none"/>
                <w:lang w:val="en-US" w:eastAsia="zh-CN" w:bidi="ar"/>
              </w:rPr>
              <w:t>不含税</w:t>
            </w:r>
            <w:r>
              <w:rPr>
                <w:rFonts w:hint="eastAsia" w:ascii="Times New Roman" w:hAnsi="Times New Roman" w:eastAsia="宋体" w:cs="Times New Roman"/>
                <w:b/>
                <w:i w:val="0"/>
                <w:color w:val="auto"/>
                <w:kern w:val="0"/>
                <w:sz w:val="21"/>
                <w:szCs w:val="21"/>
                <w:highlight w:val="none"/>
                <w:u w:val="none"/>
                <w:lang w:val="en-US" w:eastAsia="zh-CN" w:bidi="ar"/>
              </w:rPr>
              <w:t>报价</w:t>
            </w:r>
          </w:p>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（元）</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468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《东莞市水务集团有限公司突发事件总体应急预案》修编</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468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《东莞市水务集团有限公司生产安全事故应急预案》新编</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jc w:val="center"/>
        </w:trPr>
        <w:tc>
          <w:tcPr>
            <w:tcW w:w="5359" w:type="dxa"/>
            <w:gridSpan w:val="2"/>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kern w:val="0"/>
                <w:sz w:val="21"/>
                <w:szCs w:val="21"/>
                <w:highlight w:val="none"/>
                <w:u w:val="none"/>
                <w:lang w:val="en-US" w:eastAsia="zh-CN" w:bidi="ar"/>
              </w:rPr>
            </w:pPr>
            <w:r>
              <w:rPr>
                <w:rFonts w:hint="default" w:ascii="Times New Roman" w:hAnsi="Times New Roman" w:eastAsia="宋体" w:cs="Times New Roman"/>
                <w:b/>
                <w:i w:val="0"/>
                <w:color w:val="auto"/>
                <w:kern w:val="0"/>
                <w:sz w:val="21"/>
                <w:szCs w:val="21"/>
                <w:highlight w:val="none"/>
                <w:u w:val="none"/>
                <w:lang w:val="en-US" w:eastAsia="zh-CN" w:bidi="ar"/>
              </w:rPr>
              <w:t>不含税总计（元）</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9316" w:type="dxa"/>
            <w:gridSpan w:val="4"/>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备注：</w:t>
            </w:r>
            <w:r>
              <w:rPr>
                <w:rFonts w:hint="default" w:ascii="Times New Roman" w:hAnsi="Times New Roman" w:eastAsia="宋体" w:cs="Times New Roman"/>
                <w:i w:val="0"/>
                <w:color w:val="auto"/>
                <w:kern w:val="0"/>
                <w:sz w:val="21"/>
                <w:szCs w:val="21"/>
                <w:highlight w:val="none"/>
                <w:u w:val="none"/>
                <w:lang w:val="en-US" w:eastAsia="zh-CN" w:bidi="ar"/>
              </w:rPr>
              <w:br w:type="textWrapping"/>
            </w:r>
            <w:r>
              <w:rPr>
                <w:rFonts w:hint="default" w:ascii="Times New Roman" w:hAnsi="Times New Roman" w:eastAsia="宋体" w:cs="Times New Roman"/>
                <w:i w:val="0"/>
                <w:color w:val="auto"/>
                <w:kern w:val="0"/>
                <w:sz w:val="21"/>
                <w:szCs w:val="21"/>
                <w:highlight w:val="none"/>
                <w:u w:val="none"/>
                <w:lang w:val="en-US" w:eastAsia="zh-CN" w:bidi="ar"/>
              </w:rPr>
              <w:t>当分项报价明细表内累计与报价表不符时，以报价表为准，修正分项报价明细表内的各项报价；不遵从修正原则的视为无效报价。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9316" w:type="dxa"/>
            <w:gridSpan w:val="4"/>
            <w:shd w:val="clear" w:color="auto" w:fill="auto"/>
            <w:tcMar>
              <w:top w:w="57" w:type="dxa"/>
              <w:left w:w="57" w:type="dxa"/>
              <w:bottom w:w="57" w:type="dxa"/>
              <w:right w:w="57" w:type="dxa"/>
            </w:tcMar>
            <w:vAlign w:val="bottom"/>
          </w:tcPr>
          <w:p>
            <w:pPr>
              <w:keepNext w:val="0"/>
              <w:keepLines w:val="0"/>
              <w:widowControl/>
              <w:suppressLineNumbers w:val="0"/>
              <w:spacing w:line="240" w:lineRule="auto"/>
              <w:jc w:val="right"/>
              <w:textAlignment w:val="bottom"/>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报价人：（公章）</w:t>
            </w:r>
            <w:r>
              <w:rPr>
                <w:rFonts w:hint="default" w:ascii="Times New Roman" w:hAnsi="Times New Roman" w:eastAsia="宋体" w:cs="Times New Roman"/>
                <w:i w:val="0"/>
                <w:color w:val="auto"/>
                <w:kern w:val="0"/>
                <w:sz w:val="21"/>
                <w:szCs w:val="21"/>
                <w:highlight w:val="none"/>
                <w:u w:val="none"/>
                <w:lang w:val="en-US" w:eastAsia="zh-CN" w:bidi="ar"/>
              </w:rPr>
              <w:br w:type="textWrapping"/>
            </w:r>
            <w:r>
              <w:rPr>
                <w:rFonts w:hint="default" w:ascii="Times New Roman" w:hAnsi="Times New Roman" w:eastAsia="宋体" w:cs="Times New Roman"/>
                <w:i w:val="0"/>
                <w:color w:val="auto"/>
                <w:kern w:val="0"/>
                <w:sz w:val="21"/>
                <w:szCs w:val="21"/>
                <w:highlight w:val="none"/>
                <w:u w:val="none"/>
                <w:lang w:val="en-US" w:eastAsia="zh-CN" w:bidi="ar"/>
              </w:rPr>
              <w:br w:type="textWrapping"/>
            </w:r>
            <w:r>
              <w:rPr>
                <w:rFonts w:hint="default" w:ascii="Times New Roman" w:hAnsi="Times New Roman" w:eastAsia="宋体" w:cs="Times New Roman"/>
                <w:i w:val="0"/>
                <w:color w:val="auto"/>
                <w:kern w:val="0"/>
                <w:sz w:val="21"/>
                <w:szCs w:val="21"/>
                <w:highlight w:val="none"/>
                <w:u w:val="none"/>
                <w:lang w:val="en-US" w:eastAsia="zh-CN" w:bidi="ar"/>
              </w:rPr>
              <w:t xml:space="preserve">日期：   年    月   日   </w:t>
            </w:r>
          </w:p>
        </w:tc>
      </w:tr>
    </w:tbl>
    <w:p>
      <w:pPr>
        <w:pStyle w:val="5"/>
        <w:spacing w:line="360" w:lineRule="auto"/>
        <w:rPr>
          <w:rFonts w:hint="eastAsia" w:ascii="宋体" w:hAnsi="宋体" w:eastAsia="宋体" w:cs="宋体"/>
          <w:color w:val="auto"/>
          <w:sz w:val="24"/>
          <w:szCs w:val="28"/>
          <w:highlight w:val="none"/>
        </w:rPr>
      </w:pPr>
    </w:p>
    <w:p>
      <w:pPr>
        <w:spacing w:line="360" w:lineRule="auto"/>
        <w:rPr>
          <w:rFonts w:hint="eastAsia" w:ascii="宋体" w:hAnsi="宋体" w:eastAsia="宋体" w:cs="宋体"/>
          <w:b/>
          <w:color w:val="auto"/>
          <w:sz w:val="28"/>
          <w:szCs w:val="28"/>
          <w:highlight w:val="none"/>
        </w:rPr>
        <w:sectPr>
          <w:pgSz w:w="11906" w:h="16838"/>
          <w:pgMar w:top="1440" w:right="1803" w:bottom="1440" w:left="1803" w:header="851" w:footer="992" w:gutter="0"/>
          <w:cols w:space="0" w:num="1"/>
          <w:rtlGutter w:val="0"/>
          <w:docGrid w:type="lines" w:linePitch="332" w:charSpace="0"/>
        </w:sectPr>
      </w:pPr>
    </w:p>
    <w:p>
      <w:pPr>
        <w:numPr>
          <w:ilvl w:val="0"/>
          <w:numId w:val="6"/>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用户需求偏离表</w:t>
      </w:r>
    </w:p>
    <w:p>
      <w:pPr>
        <w:spacing w:line="360" w:lineRule="auto"/>
        <w:jc w:val="center"/>
        <w:rPr>
          <w:rFonts w:hint="eastAsia" w:ascii="宋体" w:hAnsi="宋体" w:eastAsia="宋体" w:cs="宋体"/>
          <w:b/>
          <w:color w:val="auto"/>
          <w:sz w:val="28"/>
          <w:szCs w:val="28"/>
          <w:highlight w:val="none"/>
        </w:rPr>
      </w:pPr>
      <w:bookmarkStart w:id="14" w:name="_Hlk26973180"/>
      <w:r>
        <w:rPr>
          <w:rFonts w:hint="eastAsia" w:ascii="宋体" w:hAnsi="宋体" w:eastAsia="宋体" w:cs="宋体"/>
          <w:b/>
          <w:color w:val="auto"/>
          <w:sz w:val="28"/>
          <w:szCs w:val="28"/>
          <w:highlight w:val="none"/>
          <w:lang w:val="zh-CN"/>
        </w:rPr>
        <w:t>用户需求偏离表</w:t>
      </w:r>
    </w:p>
    <w:bookmarkEnd w:id="14"/>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6" w:type="dxa"/>
            <w:vMerge w:val="restart"/>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200" w:type="dxa"/>
            <w:gridSpan w:val="2"/>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需求书要求</w:t>
            </w:r>
          </w:p>
        </w:tc>
        <w:tc>
          <w:tcPr>
            <w:tcW w:w="5180" w:type="dxa"/>
            <w:gridSpan w:val="2"/>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6" w:type="dxa"/>
            <w:vMerge w:val="continue"/>
            <w:vAlign w:val="center"/>
          </w:tcPr>
          <w:p>
            <w:pPr>
              <w:spacing w:line="240" w:lineRule="auto"/>
              <w:jc w:val="center"/>
              <w:rPr>
                <w:rFonts w:hint="eastAsia" w:ascii="宋体" w:hAnsi="宋体" w:eastAsia="宋体" w:cs="宋体"/>
                <w:b/>
                <w:bCs/>
                <w:color w:val="auto"/>
                <w:szCs w:val="21"/>
                <w:highlight w:val="none"/>
              </w:rPr>
            </w:pPr>
          </w:p>
        </w:tc>
        <w:tc>
          <w:tcPr>
            <w:tcW w:w="954"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2246"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简要内容</w:t>
            </w:r>
          </w:p>
        </w:tc>
        <w:tc>
          <w:tcPr>
            <w:tcW w:w="2431"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偏离情况</w:t>
            </w:r>
          </w:p>
        </w:tc>
        <w:tc>
          <w:tcPr>
            <w:tcW w:w="2749"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46" w:type="dxa"/>
            <w:vAlign w:val="center"/>
          </w:tcPr>
          <w:p>
            <w:pPr>
              <w:autoSpaceDE/>
              <w:autoSpaceDN/>
              <w:adjustRightInd/>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44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44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440" w:lineRule="exact"/>
        <w:ind w:left="0" w:lef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偏离情况分为：正偏离、负偏离、无偏离。正偏离是指报价人提供的</w:t>
      </w:r>
      <w:r>
        <w:rPr>
          <w:rFonts w:hint="eastAsia" w:ascii="宋体" w:hAnsi="宋体" w:eastAsia="宋体" w:cs="宋体"/>
          <w:b/>
          <w:bCs/>
          <w:color w:val="auto"/>
          <w:sz w:val="21"/>
          <w:szCs w:val="21"/>
          <w:highlight w:val="none"/>
          <w:lang w:val="en-US" w:eastAsia="zh-CN"/>
        </w:rPr>
        <w:t>货物（或</w:t>
      </w:r>
      <w:r>
        <w:rPr>
          <w:rFonts w:hint="eastAsia" w:ascii="宋体" w:hAnsi="宋体" w:eastAsia="宋体" w:cs="宋体"/>
          <w:b/>
          <w:bCs/>
          <w:color w:val="auto"/>
          <w:sz w:val="21"/>
          <w:szCs w:val="21"/>
          <w:highlight w:val="none"/>
        </w:rPr>
        <w:t>服务）优于用户需求书的要求；负偏离是指报价人提供的货物（或服务）不满足或不完全响应用户需求书的要求；无偏离是指报价人提供的货物（或服务）完全响应用户需求书的要求。</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440" w:lineRule="exact"/>
        <w:ind w:left="0" w:lef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“偏离情况”项为正偏离（或负偏离）的，必须在“具体偏离内容”项内详细说明与用户需求书的偏离内容，“偏离情况”项为无偏离的，在“具体偏离内容”项内填“无”。 </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440" w:lineRule="exact"/>
        <w:ind w:left="0" w:lef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如报价人差异内容较多可另附页说明。</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5040" w:firstLineChars="2400"/>
        <w:jc w:val="right"/>
        <w:textAlignment w:val="auto"/>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报价人：（加盖报价人公章）</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040" w:firstLineChars="2400"/>
        <w:jc w:val="right"/>
        <w:textAlignment w:val="auto"/>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日  期：  </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 xml:space="preserve"> 年   月   日</w:t>
      </w:r>
      <w:bookmarkStart w:id="15" w:name="_Toc534278252"/>
      <w:bookmarkStart w:id="16" w:name="_Toc513226437"/>
      <w:bookmarkStart w:id="17" w:name="_Toc534701786"/>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outlineLvl w:val="9"/>
        <w:rPr>
          <w:rFonts w:hint="eastAsia" w:ascii="宋体" w:hAnsi="宋体" w:eastAsia="宋体" w:cs="宋体"/>
          <w:color w:val="auto"/>
          <w:sz w:val="21"/>
          <w:szCs w:val="21"/>
          <w:highlight w:val="none"/>
        </w:rPr>
        <w:sectPr>
          <w:pgSz w:w="11906" w:h="16838"/>
          <w:pgMar w:top="1440" w:right="1803" w:bottom="1440" w:left="1803" w:header="851" w:footer="992" w:gutter="0"/>
          <w:cols w:space="0" w:num="1"/>
          <w:rtlGutter w:val="0"/>
          <w:docGrid w:type="lines" w:linePitch="332" w:charSpace="0"/>
        </w:sectPr>
      </w:pPr>
    </w:p>
    <w:p>
      <w:pPr>
        <w:numPr>
          <w:ilvl w:val="0"/>
          <w:numId w:val="6"/>
        </w:numPr>
        <w:spacing w:line="360" w:lineRule="auto"/>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合同条款偏离表</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zh-CN"/>
        </w:rPr>
        <w:t>合同条款偏离表</w:t>
      </w:r>
    </w:p>
    <w:tbl>
      <w:tblPr>
        <w:tblStyle w:val="12"/>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6" w:type="dxa"/>
            <w:vMerge w:val="restart"/>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767" w:type="dxa"/>
            <w:gridSpan w:val="2"/>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合同要求</w:t>
            </w:r>
          </w:p>
        </w:tc>
        <w:tc>
          <w:tcPr>
            <w:tcW w:w="4933" w:type="dxa"/>
            <w:gridSpan w:val="2"/>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6" w:type="dxa"/>
            <w:vMerge w:val="continue"/>
            <w:vAlign w:val="center"/>
          </w:tcPr>
          <w:p>
            <w:pPr>
              <w:spacing w:line="240" w:lineRule="auto"/>
              <w:jc w:val="center"/>
              <w:rPr>
                <w:rFonts w:hint="eastAsia" w:ascii="宋体" w:hAnsi="宋体" w:eastAsia="宋体" w:cs="宋体"/>
                <w:b/>
                <w:color w:val="auto"/>
                <w:szCs w:val="21"/>
                <w:highlight w:val="none"/>
              </w:rPr>
            </w:pPr>
          </w:p>
        </w:tc>
        <w:tc>
          <w:tcPr>
            <w:tcW w:w="954" w:type="dxa"/>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813" w:type="dxa"/>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简要内容</w:t>
            </w:r>
          </w:p>
        </w:tc>
        <w:tc>
          <w:tcPr>
            <w:tcW w:w="1864" w:type="dxa"/>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偏离情况</w:t>
            </w:r>
          </w:p>
        </w:tc>
        <w:tc>
          <w:tcPr>
            <w:tcW w:w="3069" w:type="dxa"/>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80" w:lineRule="exact"/>
        <w:ind w:right="139" w:rightChars="58" w:firstLine="426" w:firstLineChars="20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80" w:lineRule="exact"/>
        <w:ind w:right="139" w:rightChars="58" w:firstLine="426" w:firstLineChars="20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报价人应对照合同响应，逐条、如实地填写“偏离情况”，若发现虚假填写本表，或伪造、变造证明材料，或对合同及其附件响应有负偏离的，按无效响应处理。若发现此表未逐条填写视为完全响应合同要求。</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80" w:lineRule="exact"/>
        <w:ind w:left="0" w:leftChars="0" w:right="139" w:rightChars="58" w:firstLine="426" w:firstLineChars="20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80" w:lineRule="exact"/>
        <w:ind w:left="0" w:leftChars="0" w:right="139" w:rightChars="58" w:firstLine="426" w:firstLineChars="20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“偏离情况”项为正偏离（或负偏离）的，必须在“具体偏离内容”项内详细说明与合同的偏离内容，“偏离情况”项为无偏离的，在“具体偏离内容”项内填“无”。 </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80" w:lineRule="exact"/>
        <w:ind w:left="0" w:leftChars="0" w:right="139" w:rightChars="58" w:firstLine="426" w:firstLineChars="20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如报价人差异内容较多可另附页说明。</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380" w:lineRule="exact"/>
        <w:ind w:firstLine="5040" w:firstLineChars="2400"/>
        <w:jc w:val="right"/>
        <w:textAlignment w:val="auto"/>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报价人：（加盖报价人公章）</w:t>
      </w:r>
    </w:p>
    <w:p>
      <w:pPr>
        <w:keepNext w:val="0"/>
        <w:keepLines w:val="0"/>
        <w:pageBreakBefore w:val="0"/>
        <w:widowControl w:val="0"/>
        <w:kinsoku/>
        <w:wordWrap/>
        <w:overflowPunct/>
        <w:topLinePunct w:val="0"/>
        <w:autoSpaceDE w:val="0"/>
        <w:autoSpaceDN w:val="0"/>
        <w:bidi w:val="0"/>
        <w:adjustRightInd w:val="0"/>
        <w:snapToGrid/>
        <w:spacing w:line="380" w:lineRule="exact"/>
        <w:ind w:firstLine="5040" w:firstLineChars="2400"/>
        <w:jc w:val="right"/>
        <w:textAlignment w:val="auto"/>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日  期： </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 xml:space="preserve">  年   月   日</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宋体" w:hAnsi="宋体" w:eastAsia="宋体" w:cs="宋体"/>
          <w:color w:val="auto"/>
          <w:kern w:val="2"/>
          <w:sz w:val="21"/>
          <w:highlight w:val="none"/>
          <w:lang w:val="zh-CN"/>
        </w:rPr>
        <w:sectPr>
          <w:pgSz w:w="11906" w:h="16838"/>
          <w:pgMar w:top="1440" w:right="1803" w:bottom="1440" w:left="1803" w:header="851" w:footer="992" w:gutter="0"/>
          <w:cols w:space="0" w:num="1"/>
          <w:rtlGutter w:val="0"/>
          <w:docGrid w:type="lines" w:linePitch="332" w:charSpace="0"/>
        </w:sectPr>
      </w:pPr>
    </w:p>
    <w:bookmarkEnd w:id="15"/>
    <w:bookmarkEnd w:id="16"/>
    <w:bookmarkEnd w:id="17"/>
    <w:p>
      <w:pPr>
        <w:numPr>
          <w:ilvl w:val="0"/>
          <w:numId w:val="6"/>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hAnsi="宋体" w:cs="宋体"/>
          <w:b/>
          <w:bCs w:val="0"/>
          <w:color w:val="auto"/>
          <w:sz w:val="28"/>
          <w:szCs w:val="28"/>
          <w:highlight w:val="none"/>
          <w:lang w:val="en-US" w:eastAsia="zh-CN"/>
        </w:rPr>
        <w:t>营业执照</w:t>
      </w:r>
    </w:p>
    <w:p>
      <w:pPr>
        <w:keepNext/>
        <w:keepLines/>
        <w:numPr>
          <w:ilvl w:val="-1"/>
          <w:numId w:val="0"/>
        </w:numPr>
        <w:spacing w:before="340" w:after="330" w:line="360" w:lineRule="auto"/>
        <w:ind w:leftChars="0"/>
        <w:jc w:val="both"/>
        <w:outlineLvl w:val="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br w:type="page"/>
      </w:r>
    </w:p>
    <w:p>
      <w:pPr>
        <w:numPr>
          <w:ilvl w:val="0"/>
          <w:numId w:val="6"/>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报价人2021年1月1日以来的一个应急预案编制服务业绩（合同签订日期为2021年1月1日或以后）（需提供项目合同要点：包括签约时间、项目名称、关键服务内容、双方盖章等关键页，若合同无法反映上述要点，需提供合同买方出具书面情况说明文件（加盖买方公章））</w:t>
      </w:r>
    </w:p>
    <w:p>
      <w:pPr>
        <w:numPr>
          <w:ilvl w:val="-1"/>
          <w:numId w:val="0"/>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br w:type="page"/>
      </w:r>
    </w:p>
    <w:p>
      <w:pPr>
        <w:numPr>
          <w:ilvl w:val="0"/>
          <w:numId w:val="6"/>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配备项目人员</w:t>
      </w:r>
    </w:p>
    <w:tbl>
      <w:tblPr>
        <w:tblStyle w:val="12"/>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1"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序号</w:t>
            </w:r>
          </w:p>
        </w:tc>
        <w:tc>
          <w:tcPr>
            <w:tcW w:w="1354"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val="en-US" w:eastAsia="zh-CN" w:bidi="ar"/>
              </w:rPr>
              <w:t>职位</w:t>
            </w:r>
          </w:p>
        </w:tc>
        <w:tc>
          <w:tcPr>
            <w:tcW w:w="1466"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姓名</w:t>
            </w:r>
          </w:p>
        </w:tc>
        <w:tc>
          <w:tcPr>
            <w:tcW w:w="1560"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学历</w:t>
            </w:r>
          </w:p>
        </w:tc>
        <w:tc>
          <w:tcPr>
            <w:tcW w:w="3989"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职称及工作经验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1354" w:type="dxa"/>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1466" w:type="dxa"/>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1560" w:type="dxa"/>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1354"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146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156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7"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bl>
    <w:p>
      <w:pPr>
        <w:widowControl w:val="0"/>
        <w:numPr>
          <w:ilvl w:val="0"/>
          <w:numId w:val="0"/>
        </w:numPr>
        <w:autoSpaceDE w:val="0"/>
        <w:autoSpaceDN w:val="0"/>
        <w:adjustRightInd w:val="0"/>
        <w:spacing w:line="360" w:lineRule="auto"/>
        <w:rPr>
          <w:rFonts w:hint="eastAsia" w:ascii="Times New Roman"/>
          <w:b/>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auto"/>
          <w:sz w:val="21"/>
          <w:szCs w:val="21"/>
          <w:highlight w:val="none"/>
        </w:rPr>
      </w:pPr>
      <w:r>
        <w:rPr>
          <w:rFonts w:hint="eastAsia" w:ascii="Times New Roman"/>
          <w:b/>
          <w:color w:val="auto"/>
          <w:sz w:val="21"/>
          <w:szCs w:val="21"/>
          <w:highlight w:val="none"/>
          <w:lang w:val="en-US" w:eastAsia="zh-CN"/>
        </w:rPr>
        <w:t>备注：</w:t>
      </w:r>
      <w:r>
        <w:rPr>
          <w:rFonts w:hint="eastAsia" w:ascii="Times New Roman"/>
          <w:b/>
          <w:color w:val="auto"/>
          <w:sz w:val="21"/>
          <w:szCs w:val="21"/>
          <w:highlight w:val="none"/>
        </w:rPr>
        <w:t>配备的人员要求如下（提供证明材料）：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textAlignment w:val="auto"/>
        <w:rPr>
          <w:rFonts w:hint="eastAsia" w:ascii="Times New Roman" w:eastAsia="宋体"/>
          <w:b/>
          <w:color w:val="auto"/>
          <w:sz w:val="21"/>
          <w:szCs w:val="21"/>
          <w:highlight w:val="none"/>
          <w:lang w:eastAsia="zh-CN"/>
        </w:rPr>
      </w:pPr>
      <w:r>
        <w:rPr>
          <w:rFonts w:hint="eastAsia" w:ascii="Times New Roman"/>
          <w:b/>
          <w:color w:val="auto"/>
          <w:sz w:val="21"/>
          <w:szCs w:val="21"/>
          <w:highlight w:val="none"/>
        </w:rPr>
        <w:t>（1）项目负责人1人，要求具备注册安全工程师</w:t>
      </w:r>
      <w:r>
        <w:rPr>
          <w:rFonts w:hint="eastAsia" w:ascii="Times New Roman"/>
          <w:b/>
          <w:color w:val="auto"/>
          <w:sz w:val="21"/>
          <w:szCs w:val="21"/>
          <w:highlight w:val="none"/>
          <w:lang w:val="en-US" w:eastAsia="zh-CN"/>
        </w:rPr>
        <w:t>职业资格</w:t>
      </w:r>
      <w:r>
        <w:rPr>
          <w:rFonts w:hint="eastAsia" w:ascii="Times New Roman"/>
          <w:b/>
          <w:color w:val="auto"/>
          <w:sz w:val="21"/>
          <w:szCs w:val="21"/>
          <w:highlight w:val="none"/>
        </w:rPr>
        <w:t>（需提供相关证书的复印件）；</w:t>
      </w:r>
    </w:p>
    <w:p>
      <w:pPr>
        <w:widowControl w:val="0"/>
        <w:numPr>
          <w:ilvl w:val="0"/>
          <w:numId w:val="0"/>
        </w:numPr>
        <w:autoSpaceDE w:val="0"/>
        <w:autoSpaceDN w:val="0"/>
        <w:adjustRightInd/>
        <w:spacing w:line="360" w:lineRule="auto"/>
        <w:ind w:firstLine="422" w:firstLineChars="200"/>
        <w:rPr>
          <w:rFonts w:hint="default" w:ascii="Times New Roman"/>
          <w:b/>
          <w:color w:val="auto"/>
          <w:sz w:val="21"/>
          <w:szCs w:val="21"/>
          <w:highlight w:val="none"/>
          <w:lang w:val="en-US" w:eastAsia="zh-CN"/>
        </w:rPr>
      </w:pPr>
      <w:r>
        <w:rPr>
          <w:rFonts w:hint="eastAsia" w:ascii="Times New Roman"/>
          <w:b/>
          <w:color w:val="auto"/>
          <w:sz w:val="21"/>
          <w:szCs w:val="21"/>
          <w:highlight w:val="none"/>
        </w:rPr>
        <w:t>（2）</w:t>
      </w:r>
      <w:r>
        <w:rPr>
          <w:rFonts w:hint="eastAsia" w:ascii="Times New Roman"/>
          <w:b/>
          <w:color w:val="auto"/>
          <w:sz w:val="21"/>
          <w:szCs w:val="21"/>
          <w:highlight w:val="none"/>
          <w:lang w:val="en-US" w:eastAsia="zh-CN"/>
        </w:rPr>
        <w:t>其他人员</w:t>
      </w:r>
      <w:r>
        <w:rPr>
          <w:rFonts w:hint="eastAsia" w:ascii="Times New Roman"/>
          <w:b/>
          <w:color w:val="auto"/>
          <w:sz w:val="21"/>
          <w:szCs w:val="21"/>
          <w:highlight w:val="none"/>
        </w:rPr>
        <w:t>不少于</w:t>
      </w:r>
      <w:r>
        <w:rPr>
          <w:rFonts w:hint="eastAsia" w:ascii="Times New Roman"/>
          <w:b/>
          <w:color w:val="auto"/>
          <w:sz w:val="21"/>
          <w:szCs w:val="21"/>
          <w:highlight w:val="none"/>
          <w:lang w:val="en-US" w:eastAsia="zh-CN"/>
        </w:rPr>
        <w:t>2</w:t>
      </w:r>
      <w:r>
        <w:rPr>
          <w:rFonts w:hint="eastAsia" w:ascii="Times New Roman"/>
          <w:b/>
          <w:color w:val="auto"/>
          <w:sz w:val="21"/>
          <w:szCs w:val="21"/>
          <w:highlight w:val="none"/>
        </w:rPr>
        <w:t>人，要求不少于</w:t>
      </w:r>
      <w:r>
        <w:rPr>
          <w:rFonts w:hint="eastAsia" w:ascii="Times New Roman"/>
          <w:b/>
          <w:color w:val="auto"/>
          <w:sz w:val="21"/>
          <w:szCs w:val="21"/>
          <w:highlight w:val="none"/>
          <w:lang w:val="en-US" w:eastAsia="zh-CN"/>
        </w:rPr>
        <w:t>1</w:t>
      </w:r>
      <w:r>
        <w:rPr>
          <w:rFonts w:hint="eastAsia" w:ascii="Times New Roman"/>
          <w:b/>
          <w:color w:val="auto"/>
          <w:sz w:val="21"/>
          <w:szCs w:val="21"/>
          <w:highlight w:val="none"/>
        </w:rPr>
        <w:t>人具备注册安全工程师职业资格（需提供相关证书的复印件）</w:t>
      </w:r>
      <w:r>
        <w:rPr>
          <w:rFonts w:hint="eastAsia" w:ascii="Times New Roman"/>
          <w:b/>
          <w:color w:val="auto"/>
          <w:sz w:val="21"/>
          <w:szCs w:val="21"/>
          <w:highlight w:val="none"/>
          <w:lang w:val="en-US" w:eastAsia="zh-CN"/>
        </w:rPr>
        <w:t>。</w:t>
      </w:r>
    </w:p>
    <w:p>
      <w:pPr>
        <w:numPr>
          <w:ilvl w:val="-1"/>
          <w:numId w:val="0"/>
        </w:numPr>
        <w:spacing w:line="360" w:lineRule="auto"/>
        <w:ind w:left="0" w:leftChars="0" w:firstLine="0" w:firstLineChars="0"/>
        <w:rPr>
          <w:rFonts w:hint="eastAsia" w:ascii="宋体" w:hAnsi="宋体" w:eastAsia="宋体" w:cs="宋体"/>
          <w:b/>
          <w:bCs w:val="0"/>
          <w:color w:val="auto"/>
          <w:sz w:val="28"/>
          <w:szCs w:val="28"/>
          <w:highlight w:val="none"/>
        </w:rPr>
      </w:pPr>
    </w:p>
    <w:p>
      <w:pPr>
        <w:numPr>
          <w:ilvl w:val="-1"/>
          <w:numId w:val="0"/>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br w:type="page"/>
      </w:r>
    </w:p>
    <w:p>
      <w:pPr>
        <w:numPr>
          <w:ilvl w:val="0"/>
          <w:numId w:val="6"/>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信用中国网站截图</w:t>
      </w:r>
    </w:p>
    <w:p>
      <w:pPr>
        <w:numPr>
          <w:ilvl w:val="-1"/>
          <w:numId w:val="0"/>
        </w:numPr>
        <w:spacing w:line="360" w:lineRule="auto"/>
        <w:ind w:left="0" w:leftChars="0"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报价人未被列入“信用中国”网站（www.creditchina.gov.cn）失信被执行人、重大税收违法失信主体、政府采购严重违法失信行为记录名单（处罚期限届满的除外）</w:t>
      </w:r>
      <w:r>
        <w:rPr>
          <w:rFonts w:hint="eastAsia"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br w:type="page"/>
      </w:r>
    </w:p>
    <w:p>
      <w:pPr>
        <w:numPr>
          <w:ilvl w:val="0"/>
          <w:numId w:val="6"/>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报价人认为有必要提供的资料</w:t>
      </w:r>
    </w:p>
    <w:p>
      <w:pPr>
        <w:pStyle w:val="2"/>
        <w:ind w:left="0" w:leftChars="0" w:firstLine="0" w:firstLineChars="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（应包含但不限于指导思想及方案目标、应急预案编制依据、工作任务与实施步骤、项目团队、报价方案）</w:t>
      </w:r>
    </w:p>
    <w:sectPr>
      <w:pgSz w:w="11906" w:h="16838"/>
      <w:pgMar w:top="1440" w:right="1803" w:bottom="1440" w:left="1803"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8E918"/>
    <w:multiLevelType w:val="singleLevel"/>
    <w:tmpl w:val="90C8E918"/>
    <w:lvl w:ilvl="0" w:tentative="0">
      <w:start w:val="5"/>
      <w:numFmt w:val="decimal"/>
      <w:suff w:val="space"/>
      <w:lvlText w:val="%1."/>
      <w:lvlJc w:val="left"/>
    </w:lvl>
  </w:abstractNum>
  <w:abstractNum w:abstractNumId="1">
    <w:nsid w:val="FE1D2219"/>
    <w:multiLevelType w:val="singleLevel"/>
    <w:tmpl w:val="FE1D2219"/>
    <w:lvl w:ilvl="0" w:tentative="0">
      <w:start w:val="1"/>
      <w:numFmt w:val="decimal"/>
      <w:suff w:val="space"/>
      <w:lvlText w:val="%1."/>
      <w:lvlJc w:val="left"/>
    </w:lvl>
  </w:abstractNum>
  <w:abstractNum w:abstractNumId="2">
    <w:nsid w:val="FEE83312"/>
    <w:multiLevelType w:val="singleLevel"/>
    <w:tmpl w:val="FEE83312"/>
    <w:lvl w:ilvl="0" w:tentative="0">
      <w:start w:val="8"/>
      <w:numFmt w:val="decimal"/>
      <w:suff w:val="nothing"/>
      <w:lvlText w:val="（%1）"/>
      <w:lvlJc w:val="left"/>
    </w:lvl>
  </w:abstractNum>
  <w:abstractNum w:abstractNumId="3">
    <w:nsid w:val="04D0FE94"/>
    <w:multiLevelType w:val="singleLevel"/>
    <w:tmpl w:val="04D0FE94"/>
    <w:lvl w:ilvl="0" w:tentative="0">
      <w:start w:val="2"/>
      <w:numFmt w:val="decimal"/>
      <w:suff w:val="space"/>
      <w:lvlText w:val="%1."/>
      <w:lvlJc w:val="left"/>
    </w:lvl>
  </w:abstractNum>
  <w:abstractNum w:abstractNumId="4">
    <w:nsid w:val="32F89823"/>
    <w:multiLevelType w:val="singleLevel"/>
    <w:tmpl w:val="32F89823"/>
    <w:lvl w:ilvl="0" w:tentative="0">
      <w:start w:val="7"/>
      <w:numFmt w:val="decimal"/>
      <w:suff w:val="nothing"/>
      <w:lvlText w:val="（%1）"/>
      <w:lvlJc w:val="left"/>
    </w:lvl>
  </w:abstractNum>
  <w:abstractNum w:abstractNumId="5">
    <w:nsid w:val="3E3AD925"/>
    <w:multiLevelType w:val="singleLevel"/>
    <w:tmpl w:val="3E3AD925"/>
    <w:lvl w:ilvl="0" w:tentative="0">
      <w:start w:val="6"/>
      <w:numFmt w:val="decimal"/>
      <w:suff w:val="nothing"/>
      <w:lvlText w:val="（%1）"/>
      <w:lvlJc w:val="left"/>
    </w:lvl>
  </w:abstractNum>
  <w:abstractNum w:abstractNumId="6">
    <w:nsid w:val="44C0D9F0"/>
    <w:multiLevelType w:val="singleLevel"/>
    <w:tmpl w:val="44C0D9F0"/>
    <w:lvl w:ilvl="0" w:tentative="0">
      <w:start w:val="1"/>
      <w:numFmt w:val="decimal"/>
      <w:suff w:val="space"/>
      <w:lvlText w:val="(%1)"/>
      <w:lvlJc w:val="left"/>
    </w:lvl>
  </w:abstractNum>
  <w:abstractNum w:abstractNumId="7">
    <w:nsid w:val="481B6FC2"/>
    <w:multiLevelType w:val="singleLevel"/>
    <w:tmpl w:val="481B6FC2"/>
    <w:lvl w:ilvl="0" w:tentative="0">
      <w:start w:val="1"/>
      <w:numFmt w:val="decimal"/>
      <w:suff w:val="space"/>
      <w:lvlText w:val="(%1)"/>
      <w:lvlJc w:val="left"/>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206"/>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0807"/>
    <w:rsid w:val="03C10EEF"/>
    <w:rsid w:val="06E27ADA"/>
    <w:rsid w:val="077D580C"/>
    <w:rsid w:val="099B162A"/>
    <w:rsid w:val="120E0B43"/>
    <w:rsid w:val="12F12BD0"/>
    <w:rsid w:val="166C3E5C"/>
    <w:rsid w:val="1ADF70D4"/>
    <w:rsid w:val="21217D8A"/>
    <w:rsid w:val="2386555D"/>
    <w:rsid w:val="24766D99"/>
    <w:rsid w:val="24BA1E4A"/>
    <w:rsid w:val="27E162AD"/>
    <w:rsid w:val="2A631000"/>
    <w:rsid w:val="2CA9187D"/>
    <w:rsid w:val="319F2E32"/>
    <w:rsid w:val="3B0D5064"/>
    <w:rsid w:val="3B160EA6"/>
    <w:rsid w:val="3F8475F3"/>
    <w:rsid w:val="43304CED"/>
    <w:rsid w:val="4C5C43D5"/>
    <w:rsid w:val="4CC346EB"/>
    <w:rsid w:val="4CD773D3"/>
    <w:rsid w:val="4D714079"/>
    <w:rsid w:val="4DBA58AE"/>
    <w:rsid w:val="4DC81F78"/>
    <w:rsid w:val="4E3F1C21"/>
    <w:rsid w:val="4F7244C4"/>
    <w:rsid w:val="50FB5439"/>
    <w:rsid w:val="52C22D6D"/>
    <w:rsid w:val="54800227"/>
    <w:rsid w:val="5F673E9D"/>
    <w:rsid w:val="5F9D2B92"/>
    <w:rsid w:val="60A60CCB"/>
    <w:rsid w:val="63143EF4"/>
    <w:rsid w:val="65316E3C"/>
    <w:rsid w:val="65330D56"/>
    <w:rsid w:val="6A71104A"/>
    <w:rsid w:val="6AED5C1F"/>
    <w:rsid w:val="6F420807"/>
    <w:rsid w:val="7071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kern w:val="0"/>
      <w:sz w:val="24"/>
      <w:szCs w:val="24"/>
      <w:lang w:val="en-US" w:eastAsia="zh-CN" w:bidi="ar-SA"/>
    </w:rPr>
  </w:style>
  <w:style w:type="paragraph" w:styleId="4">
    <w:name w:val="heading 1"/>
    <w:basedOn w:val="1"/>
    <w:next w:val="1"/>
    <w:qFormat/>
    <w:uiPriority w:val="9"/>
    <w:pPr>
      <w:keepNext/>
      <w:keepLines/>
      <w:spacing w:before="340" w:after="330" w:line="360" w:lineRule="auto"/>
      <w:outlineLvl w:val="0"/>
    </w:pPr>
    <w:rPr>
      <w:b/>
      <w:bCs/>
      <w:kern w:val="44"/>
      <w:sz w:val="32"/>
      <w:szCs w:val="44"/>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1218"/>
        <w:tab w:val="left" w:pos="3544"/>
      </w:tabs>
      <w:adjustRightInd w:val="0"/>
      <w:snapToGrid w:val="0"/>
      <w:spacing w:line="300" w:lineRule="auto"/>
      <w:ind w:firstLine="420" w:firstLineChars="200"/>
    </w:pPr>
    <w:rPr>
      <w:sz w:val="28"/>
      <w:szCs w:val="28"/>
    </w:rPr>
  </w:style>
  <w:style w:type="paragraph" w:styleId="3">
    <w:name w:val="Body Text Indent"/>
    <w:basedOn w:val="1"/>
    <w:qFormat/>
    <w:uiPriority w:val="0"/>
    <w:pPr>
      <w:spacing w:line="360" w:lineRule="auto"/>
      <w:ind w:left="454"/>
    </w:pPr>
  </w:style>
  <w:style w:type="paragraph" w:styleId="5">
    <w:name w:val="Plain Text"/>
    <w:basedOn w:val="1"/>
    <w:qFormat/>
    <w:uiPriority w:val="0"/>
    <w:pPr>
      <w:autoSpaceDE/>
      <w:autoSpaceDN/>
      <w:adjustRightInd/>
      <w:jc w:val="both"/>
    </w:pPr>
    <w:rPr>
      <w:rFonts w:hAnsi="Courier New"/>
      <w:kern w:val="2"/>
      <w:sz w:val="21"/>
      <w:szCs w:val="20"/>
    </w:rPr>
  </w:style>
  <w:style w:type="paragraph" w:styleId="6">
    <w:name w:val="footer"/>
    <w:basedOn w:val="1"/>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296"/>
      </w:tabs>
      <w:spacing w:line="360" w:lineRule="auto"/>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semiHidden/>
    <w:unhideWhenUsed/>
    <w:qFormat/>
    <w:uiPriority w:val="99"/>
    <w:rPr>
      <w:sz w:val="21"/>
      <w:szCs w:val="21"/>
    </w:rPr>
  </w:style>
  <w:style w:type="paragraph" w:customStyle="1" w:styleId="13">
    <w:name w:val="TOC Heading"/>
    <w:basedOn w:val="4"/>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14">
    <w:name w:val="List Paragraph"/>
    <w:basedOn w:val="1"/>
    <w:qFormat/>
    <w:uiPriority w:val="99"/>
    <w:pPr>
      <w:ind w:firstLine="420" w:firstLineChars="200"/>
    </w:pPr>
  </w:style>
  <w:style w:type="paragraph" w:customStyle="1" w:styleId="15">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2020-06-16T02:32:00Z</dcterms:created>
  <dc:creator>LKC</dc:creator>
  <cp:lastModifiedBy>李建聪</cp:lastModifiedBy>
  <dcterms:modified xsi:type="dcterms:W3CDTF">2024-05-27T11:09:24Z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