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r>
        <w:rPr>
          <w:rFonts w:hint="eastAsia" w:ascii="宋体" w:hAnsi="宋体" w:eastAsia="宋体" w:cs="宋体"/>
          <w:b/>
          <w:bCs/>
          <w:color w:val="auto"/>
          <w:kern w:val="0"/>
          <w:sz w:val="60"/>
          <w:szCs w:val="60"/>
          <w:highlight w:val="none"/>
          <w:lang w:val="zh-CN"/>
        </w:rPr>
        <w:t>东莞市茶山镇污水处理厂改扩建项目第三方监测服务采购项目</w:t>
      </w:r>
    </w:p>
    <w:p>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号：HSDG2024006</w:t>
      </w:r>
    </w:p>
    <w:p>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人：东莞市水务集团建设管理有限公司</w:t>
      </w:r>
    </w:p>
    <w:p>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招标代理机构：广东和盛招标代理有限公司</w:t>
      </w:r>
    </w:p>
    <w:p>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5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17 </w:t>
      </w:r>
      <w:r>
        <w:rPr>
          <w:rFonts w:hint="eastAsia" w:ascii="宋体" w:hAnsi="宋体" w:eastAsia="宋体" w:cs="宋体"/>
          <w:b/>
          <w:bCs/>
          <w:color w:val="auto"/>
          <w:sz w:val="32"/>
          <w:szCs w:val="32"/>
          <w:highlight w:val="none"/>
          <w:lang w:val="zh-CN"/>
        </w:rPr>
        <w:t>日</w:t>
      </w:r>
    </w:p>
    <w:p>
      <w:pPr>
        <w:rPr>
          <w:rFonts w:hint="eastAsia" w:ascii="宋体" w:hAnsi="宋体" w:eastAsia="宋体" w:cs="宋体"/>
          <w:b/>
          <w:bCs/>
          <w:color w:val="auto"/>
          <w:kern w:val="44"/>
          <w:sz w:val="32"/>
          <w:szCs w:val="32"/>
          <w:highlight w:val="none"/>
          <w:lang w:val="zh-CN"/>
        </w:rPr>
      </w:pPr>
      <w:bookmarkStart w:id="0" w:name="_Toc450662846"/>
      <w:bookmarkStart w:id="1" w:name="_Toc4869"/>
      <w:bookmarkStart w:id="2" w:name="_Toc2723_WPSOffice_Level1"/>
      <w:bookmarkStart w:id="3" w:name="_Toc486167660"/>
      <w:bookmarkStart w:id="4" w:name="_Toc17326"/>
      <w:bookmarkStart w:id="5" w:name="_Toc142508310"/>
      <w:bookmarkStart w:id="6" w:name="_Toc9414"/>
      <w:bookmarkStart w:id="7" w:name="_Toc20249"/>
      <w:r>
        <w:rPr>
          <w:rFonts w:hint="eastAsia" w:ascii="宋体" w:hAnsi="宋体" w:eastAsia="宋体" w:cs="宋体"/>
          <w:b/>
          <w:bCs/>
          <w:color w:val="auto"/>
          <w:kern w:val="44"/>
          <w:sz w:val="32"/>
          <w:szCs w:val="32"/>
          <w:highlight w:val="none"/>
          <w:lang w:val="zh-CN"/>
        </w:rPr>
        <w:br w:type="page"/>
      </w:r>
    </w:p>
    <w:p>
      <w:pPr>
        <w:jc w:val="center"/>
        <w:rPr>
          <w:rFonts w:hint="eastAsia"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t>目录</w:t>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_Toc23143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_Toc23143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_Toc32686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_Toc32686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_Toc8303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_Toc8303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_Toc14593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_Toc4319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_Toc24502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_Toc32333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_Toc30481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证明服务的合格性并符合招标文件规定的声明文件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_Toc28327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_Toc28327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_Toc11659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_Toc11659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_Toc31380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_Toc31380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_Toc24267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_Toc24267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_Toc32449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_Toc32449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_Toc18785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_Toc9267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_Toc22061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_Toc15392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_Toc15392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_Toc12707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_Toc17602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_Toc21982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_Toc9691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_Toc9691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_Toc18442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_Toc4472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_Toc4472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_Toc12779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_Toc13371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_Toc13371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_Toc22137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_Toc4113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_Toc4113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_Toc17936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44"/>
          <w:sz w:val="21"/>
          <w:szCs w:val="21"/>
          <w:highlight w:val="none"/>
          <w:lang w:val="zh-CN"/>
        </w:rPr>
      </w:pPr>
      <w:r>
        <w:rPr>
          <w:rFonts w:hint="eastAsia" w:ascii="宋体" w:hAnsi="宋体" w:eastAsia="宋体" w:cs="宋体"/>
          <w:b/>
          <w:bCs/>
          <w:color w:val="auto"/>
          <w:kern w:val="44"/>
          <w:sz w:val="21"/>
          <w:szCs w:val="21"/>
          <w:highlight w:val="none"/>
          <w:lang w:val="zh-CN"/>
        </w:rPr>
        <w:br w:type="page"/>
      </w:r>
    </w:p>
    <w:p>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44"/>
          <w:szCs w:val="44"/>
          <w:highlight w:val="none"/>
          <w:lang w:val="zh-CN"/>
        </w:rPr>
      </w:pPr>
      <w:bookmarkStart w:id="8" w:name="_Toc27653"/>
      <w:bookmarkStart w:id="9" w:name="_Toc19059"/>
      <w:r>
        <w:rPr>
          <w:rFonts w:hint="eastAsia" w:ascii="宋体" w:hAnsi="宋体" w:eastAsia="宋体" w:cs="宋体"/>
          <w:b/>
          <w:bCs/>
          <w:color w:val="auto"/>
          <w:kern w:val="44"/>
          <w:sz w:val="32"/>
          <w:szCs w:val="32"/>
          <w:highlight w:val="none"/>
          <w:lang w:val="zh-CN"/>
        </w:rPr>
        <w:t>第一篇 招标公告</w:t>
      </w:r>
      <w:bookmarkEnd w:id="0"/>
      <w:bookmarkEnd w:id="1"/>
      <w:bookmarkEnd w:id="2"/>
      <w:bookmarkEnd w:id="3"/>
      <w:bookmarkEnd w:id="4"/>
      <w:bookmarkEnd w:id="5"/>
      <w:bookmarkEnd w:id="6"/>
      <w:bookmarkEnd w:id="7"/>
      <w:bookmarkEnd w:id="8"/>
      <w:bookmarkEnd w:id="9"/>
    </w:p>
    <w:p>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eastAsia="zh-CN"/>
        </w:rPr>
        <w:t>广东和盛招标代理有限公司</w:t>
      </w:r>
      <w:r>
        <w:rPr>
          <w:rFonts w:hint="eastAsia" w:ascii="宋体" w:hAnsi="宋体" w:eastAsia="宋体" w:cs="宋体"/>
          <w:color w:val="auto"/>
          <w:szCs w:val="21"/>
          <w:highlight w:val="none"/>
          <w:lang w:val="zh-CN"/>
        </w:rPr>
        <w:t>（以下简称“招标代理机构”）受</w:t>
      </w:r>
      <w:r>
        <w:rPr>
          <w:rFonts w:hint="eastAsia" w:ascii="宋体" w:hAnsi="宋体" w:eastAsia="宋体" w:cs="宋体"/>
          <w:color w:val="auto"/>
          <w:kern w:val="0"/>
          <w:szCs w:val="21"/>
          <w:highlight w:val="none"/>
        </w:rPr>
        <w:t>东莞市水务集团建设管理有限公司</w:t>
      </w:r>
      <w:r>
        <w:rPr>
          <w:rFonts w:hint="eastAsia" w:ascii="宋体" w:hAnsi="宋体" w:eastAsia="宋体" w:cs="宋体"/>
          <w:color w:val="auto"/>
          <w:szCs w:val="21"/>
          <w:highlight w:val="none"/>
          <w:lang w:val="zh-CN"/>
        </w:rPr>
        <w:t>（以下简称“招标人”）的委托，对</w:t>
      </w:r>
      <w:bookmarkStart w:id="10" w:name="_Hlk41903390"/>
      <w:r>
        <w:rPr>
          <w:rFonts w:hint="eastAsia" w:ascii="宋体" w:hAnsi="宋体" w:eastAsia="宋体" w:cs="宋体"/>
          <w:color w:val="auto"/>
          <w:kern w:val="0"/>
          <w:szCs w:val="21"/>
          <w:highlight w:val="none"/>
          <w:lang w:eastAsia="zh-CN"/>
        </w:rPr>
        <w:t>东莞市茶山镇污水处理厂改扩建项目第三方监测服务采购项目</w:t>
      </w:r>
      <w:r>
        <w:rPr>
          <w:rFonts w:hint="eastAsia" w:ascii="宋体" w:hAnsi="宋体" w:eastAsia="宋体" w:cs="宋体"/>
          <w:color w:val="auto"/>
          <w:szCs w:val="21"/>
          <w:highlight w:val="none"/>
          <w:lang w:val="zh-CN"/>
        </w:rPr>
        <w:t>(招标编号：HSDG2024006)</w:t>
      </w:r>
      <w:bookmarkEnd w:id="10"/>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pPr>
        <w:numPr>
          <w:ilvl w:val="0"/>
          <w:numId w:val="2"/>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本项目由东莞市水务集团建设管理有限公司（以下简称“招标人”或“委托人”）采购一家监测服务单位（以下简称“中标人”）对东莞市石鼓净水有限公司（以下简称“项目业主”）委托招标人代建的东莞市茶山镇污水处理厂改扩建项目（以下简称“本工程”）进行工程监测及相关技术工作（具体内容详见：第三篇用户需求书）。</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p>
    <w:p>
      <w:pPr>
        <w:numPr>
          <w:ilvl w:val="0"/>
          <w:numId w:val="2"/>
        </w:numPr>
        <w:autoSpaceDE w:val="0"/>
        <w:autoSpaceDN w:val="0"/>
        <w:adjustRightInd w:val="0"/>
        <w:snapToGrid w:val="0"/>
        <w:spacing w:line="360" w:lineRule="auto"/>
        <w:ind w:right="-34"/>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pPr>
        <w:pStyle w:val="157"/>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pPr>
        <w:pStyle w:val="157"/>
        <w:spacing w:line="360" w:lineRule="auto"/>
        <w:ind w:left="422" w:leftChars="0" w:right="-29" w:rightChars="-14" w:hanging="422" w:hangingChars="200"/>
        <w:jc w:val="both"/>
        <w:rPr>
          <w:rFonts w:hint="eastAsia" w:ascii="宋体" w:hAnsi="宋体" w:eastAsia="宋体" w:cs="宋体"/>
          <w:b/>
          <w:color w:val="auto"/>
          <w:sz w:val="21"/>
          <w:szCs w:val="21"/>
          <w:highlight w:val="none"/>
          <w:lang w:val="zh-CN"/>
        </w:rPr>
      </w:pPr>
      <w:bookmarkStart w:id="11" w:name="_Toc25819"/>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 xml:space="preserve"> 具备建设行政主管部门核发</w:t>
      </w:r>
      <w:r>
        <w:rPr>
          <w:rFonts w:hint="eastAsia" w:ascii="宋体" w:hAnsi="宋体" w:eastAsia="宋体" w:cs="宋体"/>
          <w:b/>
          <w:color w:val="auto"/>
          <w:sz w:val="21"/>
          <w:szCs w:val="21"/>
          <w:highlight w:val="none"/>
          <w:lang w:val="en-US" w:eastAsia="zh-CN"/>
        </w:rPr>
        <w:t>有效</w:t>
      </w:r>
      <w:r>
        <w:rPr>
          <w:rFonts w:hint="eastAsia" w:ascii="宋体" w:hAnsi="宋体" w:eastAsia="宋体" w:cs="宋体"/>
          <w:b/>
          <w:color w:val="auto"/>
          <w:sz w:val="21"/>
          <w:szCs w:val="21"/>
          <w:highlight w:val="none"/>
          <w:lang w:val="zh-CN"/>
        </w:rPr>
        <w:t>的工程勘察综合类甲级资质，或同时具备有效的工程勘察专业类岩土工程</w:t>
      </w:r>
      <w:r>
        <w:rPr>
          <w:rFonts w:hint="eastAsia" w:ascii="宋体" w:hAnsi="宋体" w:eastAsia="宋体" w:cs="宋体"/>
          <w:b/>
          <w:color w:val="auto"/>
          <w:sz w:val="21"/>
          <w:szCs w:val="21"/>
          <w:highlight w:val="none"/>
          <w:lang w:val="zh-CN" w:eastAsia="zh-CN"/>
        </w:rPr>
        <w:t>乙</w:t>
      </w:r>
      <w:r>
        <w:rPr>
          <w:rFonts w:hint="eastAsia" w:ascii="宋体" w:hAnsi="宋体" w:eastAsia="宋体" w:cs="宋体"/>
          <w:b/>
          <w:color w:val="auto"/>
          <w:sz w:val="21"/>
          <w:szCs w:val="21"/>
          <w:highlight w:val="none"/>
          <w:lang w:val="zh-CN"/>
        </w:rPr>
        <w:t>级（</w:t>
      </w:r>
      <w:r>
        <w:rPr>
          <w:rFonts w:hint="eastAsia" w:ascii="宋体" w:hAnsi="宋体" w:eastAsia="宋体" w:cs="宋体"/>
          <w:b/>
          <w:color w:val="auto"/>
          <w:sz w:val="21"/>
          <w:szCs w:val="21"/>
          <w:highlight w:val="none"/>
          <w:lang w:val="zh-CN" w:eastAsia="zh-CN"/>
        </w:rPr>
        <w:t>或以上</w:t>
      </w:r>
      <w:r>
        <w:rPr>
          <w:rFonts w:hint="eastAsia" w:ascii="宋体" w:hAnsi="宋体" w:eastAsia="宋体" w:cs="宋体"/>
          <w:b/>
          <w:color w:val="auto"/>
          <w:sz w:val="21"/>
          <w:szCs w:val="21"/>
          <w:highlight w:val="none"/>
          <w:lang w:val="zh-CN"/>
        </w:rPr>
        <w:t>）和工程测量</w:t>
      </w:r>
      <w:r>
        <w:rPr>
          <w:rFonts w:hint="eastAsia" w:ascii="宋体" w:hAnsi="宋体" w:eastAsia="宋体" w:cs="宋体"/>
          <w:b/>
          <w:color w:val="auto"/>
          <w:sz w:val="21"/>
          <w:szCs w:val="21"/>
          <w:highlight w:val="none"/>
          <w:lang w:val="zh-CN" w:eastAsia="zh-CN"/>
        </w:rPr>
        <w:t>乙级（或以上）</w:t>
      </w:r>
      <w:r>
        <w:rPr>
          <w:rFonts w:hint="eastAsia" w:ascii="宋体" w:hAnsi="宋体" w:eastAsia="宋体" w:cs="宋体"/>
          <w:b/>
          <w:color w:val="auto"/>
          <w:sz w:val="21"/>
          <w:szCs w:val="21"/>
          <w:highlight w:val="none"/>
          <w:lang w:val="zh-CN"/>
        </w:rPr>
        <w:t>资质；</w:t>
      </w:r>
    </w:p>
    <w:p>
      <w:pPr>
        <w:pStyle w:val="157"/>
        <w:spacing w:line="360" w:lineRule="auto"/>
        <w:ind w:left="420" w:leftChars="200"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w:t>
      </w:r>
      <w:r>
        <w:rPr>
          <w:rFonts w:hint="eastAsia" w:ascii="宋体" w:hAnsi="宋体" w:eastAsia="宋体" w:cs="宋体"/>
          <w:b/>
          <w:i w:val="0"/>
          <w:iCs w:val="0"/>
          <w:caps w:val="0"/>
          <w:color w:val="auto"/>
          <w:spacing w:val="0"/>
          <w:sz w:val="21"/>
          <w:szCs w:val="21"/>
          <w:highlight w:val="none"/>
          <w:shd w:val="clear"/>
          <w:lang w:val="zh-CN"/>
        </w:rPr>
        <w:t>如资质证书已过有效期，但依据资质证书主管部门相关通知/发文属于资质有效期延期的情况，资质证书有效，提供相关通知/发文截图以及官方网站网址链接</w:t>
      </w:r>
      <w:r>
        <w:rPr>
          <w:rFonts w:hint="eastAsia" w:ascii="宋体" w:hAnsi="宋体" w:eastAsia="宋体" w:cs="宋体"/>
          <w:b/>
          <w:i w:val="0"/>
          <w:iCs w:val="0"/>
          <w:caps w:val="0"/>
          <w:color w:val="auto"/>
          <w:spacing w:val="0"/>
          <w:sz w:val="21"/>
          <w:szCs w:val="21"/>
          <w:highlight w:val="none"/>
          <w:shd w:val="clear"/>
          <w:lang w:val="zh-CN" w:eastAsia="zh-CN"/>
        </w:rPr>
        <w:t>/全国建筑市场监管公共服务平台（jzsc.mohurd.gov.cn）企业资质证书信息截图</w:t>
      </w:r>
      <w:r>
        <w:rPr>
          <w:rFonts w:hint="eastAsia" w:ascii="宋体" w:hAnsi="宋体" w:eastAsia="宋体" w:cs="宋体"/>
          <w:b/>
          <w:i w:val="0"/>
          <w:iCs w:val="0"/>
          <w:caps w:val="0"/>
          <w:color w:val="auto"/>
          <w:spacing w:val="0"/>
          <w:sz w:val="21"/>
          <w:szCs w:val="21"/>
          <w:highlight w:val="none"/>
          <w:shd w:val="clear"/>
          <w:lang w:val="zh-CN"/>
        </w:rPr>
        <w:t>。</w:t>
      </w:r>
      <w:r>
        <w:rPr>
          <w:rFonts w:hint="eastAsia" w:ascii="宋体" w:hAnsi="宋体" w:eastAsia="宋体" w:cs="宋体"/>
          <w:b/>
          <w:color w:val="auto"/>
          <w:sz w:val="21"/>
          <w:szCs w:val="21"/>
          <w:highlight w:val="none"/>
          <w:lang w:val="zh-CN"/>
        </w:rPr>
        <w:t>]</w:t>
      </w:r>
    </w:p>
    <w:p>
      <w:pPr>
        <w:pStyle w:val="157"/>
        <w:spacing w:line="360" w:lineRule="auto"/>
        <w:ind w:left="422" w:leftChars="0" w:right="-29" w:rightChars="-14" w:hanging="422" w:hangingChars="20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 xml:space="preserve"> 投标人20</w:t>
      </w:r>
      <w:r>
        <w:rPr>
          <w:rFonts w:hint="eastAsia" w:ascii="宋体" w:hAnsi="宋体" w:eastAsia="宋体" w:cs="宋体"/>
          <w:b/>
          <w:color w:val="auto"/>
          <w:sz w:val="21"/>
          <w:szCs w:val="21"/>
          <w:highlight w:val="none"/>
          <w:lang w:val="en-US" w:eastAsia="zh-CN"/>
        </w:rPr>
        <w:t>21</w:t>
      </w:r>
      <w:r>
        <w:rPr>
          <w:rFonts w:hint="eastAsia" w:ascii="宋体" w:hAnsi="宋体" w:eastAsia="宋体" w:cs="宋体"/>
          <w:b/>
          <w:color w:val="auto"/>
          <w:sz w:val="21"/>
          <w:szCs w:val="21"/>
          <w:highlight w:val="none"/>
          <w:lang w:val="zh-CN"/>
        </w:rPr>
        <w:t>年1月1日以来具有一</w:t>
      </w:r>
      <w:r>
        <w:rPr>
          <w:rFonts w:hint="eastAsia" w:ascii="宋体" w:hAnsi="宋体" w:eastAsia="宋体" w:cs="宋体"/>
          <w:b/>
          <w:color w:val="auto"/>
          <w:sz w:val="21"/>
          <w:szCs w:val="21"/>
          <w:highlight w:val="none"/>
          <w:lang w:val="en-US" w:eastAsia="zh-CN"/>
        </w:rPr>
        <w:t>项</w:t>
      </w:r>
      <w:r>
        <w:rPr>
          <w:rFonts w:hint="eastAsia" w:ascii="宋体" w:hAnsi="宋体" w:eastAsia="宋体" w:cs="宋体"/>
          <w:b/>
          <w:color w:val="auto"/>
          <w:sz w:val="21"/>
          <w:szCs w:val="21"/>
          <w:highlight w:val="none"/>
          <w:lang w:val="zh-CN"/>
        </w:rPr>
        <w:t>市政工程监测业绩（合同签订日期为20</w:t>
      </w:r>
      <w:r>
        <w:rPr>
          <w:rFonts w:hint="eastAsia" w:ascii="宋体" w:hAnsi="宋体" w:eastAsia="宋体" w:cs="宋体"/>
          <w:b/>
          <w:color w:val="auto"/>
          <w:sz w:val="21"/>
          <w:szCs w:val="21"/>
          <w:highlight w:val="none"/>
          <w:lang w:val="en-US" w:eastAsia="zh-CN"/>
        </w:rPr>
        <w:t>21</w:t>
      </w:r>
      <w:r>
        <w:rPr>
          <w:rFonts w:hint="eastAsia" w:ascii="宋体" w:hAnsi="宋体" w:eastAsia="宋体" w:cs="宋体"/>
          <w:b/>
          <w:color w:val="auto"/>
          <w:sz w:val="21"/>
          <w:szCs w:val="21"/>
          <w:highlight w:val="none"/>
          <w:lang w:val="zh-CN"/>
        </w:rPr>
        <w:t>年1月1日或以后）；</w:t>
      </w:r>
    </w:p>
    <w:p>
      <w:pPr>
        <w:pStyle w:val="157"/>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2.4 </w:t>
      </w:r>
      <w:r>
        <w:rPr>
          <w:rFonts w:hint="eastAsia" w:ascii="宋体" w:hAnsi="宋体" w:eastAsia="宋体" w:cs="宋体"/>
          <w:b/>
          <w:color w:val="auto"/>
          <w:sz w:val="21"/>
          <w:szCs w:val="21"/>
          <w:highlight w:val="none"/>
          <w:lang w:val="zh-CN"/>
        </w:rPr>
        <w:t>本项目不接受联合体投标。</w:t>
      </w:r>
      <w:bookmarkEnd w:id="11"/>
    </w:p>
    <w:p>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pPr>
        <w:numPr>
          <w:ilvl w:val="0"/>
          <w:numId w:val="2"/>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pPr>
        <w:numPr>
          <w:ilvl w:val="0"/>
          <w:numId w:val="0"/>
        </w:numPr>
        <w:autoSpaceDE w:val="0"/>
        <w:autoSpaceDN w:val="0"/>
        <w:adjustRightInd w:val="0"/>
        <w:snapToGrid w:val="0"/>
        <w:spacing w:line="360" w:lineRule="auto"/>
        <w:ind w:leftChars="-100" w:right="-34" w:rightChars="0"/>
        <w:jc w:val="left"/>
        <w:rPr>
          <w:rFonts w:hint="eastAsia" w:ascii="宋体" w:hAnsi="宋体" w:eastAsia="宋体" w:cs="宋体"/>
          <w:color w:val="auto"/>
          <w:szCs w:val="21"/>
          <w:highlight w:val="none"/>
          <w:lang w:val="zh-CN"/>
        </w:rPr>
      </w:pPr>
    </w:p>
    <w:p>
      <w:pPr>
        <w:numPr>
          <w:ilvl w:val="0"/>
          <w:numId w:val="2"/>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pPr>
        <w:autoSpaceDE w:val="0"/>
        <w:autoSpaceDN w:val="0"/>
        <w:adjustRightInd w:val="0"/>
        <w:spacing w:line="360" w:lineRule="auto"/>
        <w:ind w:right="-29" w:rightChars="-14" w:firstLine="420"/>
        <w:rPr>
          <w:rFonts w:hint="eastAsia" w:ascii="宋体" w:hAnsi="宋体" w:eastAsia="宋体" w:cs="宋体"/>
          <w:color w:val="auto"/>
          <w:szCs w:val="21"/>
          <w:highlight w:val="none"/>
          <w:lang w:val="zh-CN"/>
        </w:rPr>
      </w:pPr>
    </w:p>
    <w:p>
      <w:pPr>
        <w:numPr>
          <w:ilvl w:val="0"/>
          <w:numId w:val="2"/>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Cs w:val="21"/>
          <w:highlight w:val="none"/>
          <w:lang w:val="zh-CN"/>
        </w:rPr>
        <w:t>年</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Cs w:val="21"/>
          <w:highlight w:val="none"/>
          <w:lang w:val="zh-CN"/>
        </w:rPr>
        <w:t>日</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00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Cs w:val="21"/>
          <w:highlight w:val="none"/>
          <w:lang w:val="zh-CN"/>
        </w:rPr>
        <w:t>年</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11</w:t>
      </w:r>
      <w:bookmarkStart w:id="888" w:name="_GoBack"/>
      <w:bookmarkEnd w:id="888"/>
      <w:r>
        <w:rPr>
          <w:rFonts w:hint="eastAsia" w:ascii="宋体" w:hAnsi="宋体" w:eastAsia="宋体" w:cs="宋体"/>
          <w:color w:val="auto"/>
          <w:szCs w:val="21"/>
          <w:highlight w:val="none"/>
          <w:lang w:val="zh-CN"/>
        </w:rPr>
        <w:t>日</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val="zh-CN"/>
        </w:rPr>
        <w:t>；</w:t>
      </w:r>
    </w:p>
    <w:p>
      <w:pPr>
        <w:autoSpaceDE w:val="0"/>
        <w:autoSpaceDN w:val="0"/>
        <w:adjustRightInd w:val="0"/>
        <w:spacing w:line="360" w:lineRule="auto"/>
        <w:ind w:right="-29" w:rightChars="-1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zh-CN"/>
        </w:rPr>
        <w:t>5.3 投标及开标地点：广东省东莞市南城街道元美东路6号303室。</w:t>
      </w:r>
    </w:p>
    <w:p>
      <w:pPr>
        <w:autoSpaceDE w:val="0"/>
        <w:autoSpaceDN w:val="0"/>
        <w:adjustRightInd w:val="0"/>
        <w:spacing w:line="360" w:lineRule="auto"/>
        <w:ind w:right="-29" w:rightChars="-14" w:firstLine="210" w:firstLineChars="100"/>
        <w:rPr>
          <w:rFonts w:hint="eastAsia" w:ascii="宋体" w:hAnsi="宋体" w:eastAsia="宋体" w:cs="宋体"/>
          <w:color w:val="auto"/>
          <w:kern w:val="0"/>
          <w:szCs w:val="21"/>
          <w:highlight w:val="none"/>
        </w:rPr>
      </w:pPr>
    </w:p>
    <w:p>
      <w:pPr>
        <w:numPr>
          <w:ilvl w:val="0"/>
          <w:numId w:val="2"/>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hint="eastAsia" w:ascii="宋体" w:hAnsi="宋体" w:eastAsia="宋体" w:cs="宋体"/>
          <w:color w:val="auto"/>
          <w:szCs w:val="21"/>
          <w:highlight w:val="none"/>
          <w:lang w:val="zh-CN"/>
        </w:rPr>
      </w:pPr>
    </w:p>
    <w:p>
      <w:pPr>
        <w:numPr>
          <w:ilvl w:val="0"/>
          <w:numId w:val="2"/>
        </w:numPr>
        <w:autoSpaceDE w:val="0"/>
        <w:autoSpaceDN w:val="0"/>
        <w:adjustRightInd w:val="0"/>
        <w:snapToGrid w:val="0"/>
        <w:spacing w:line="360" w:lineRule="auto"/>
        <w:ind w:right="-34"/>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t>
      </w:r>
      <w:r>
        <w:rPr>
          <w:rFonts w:hint="eastAsia" w:ascii="宋体" w:hAnsi="宋体" w:eastAsia="宋体" w:cs="宋体"/>
          <w:bCs/>
          <w:color w:val="auto"/>
          <w:szCs w:val="21"/>
          <w:highlight w:val="none"/>
          <w:lang w:val="zh-CN"/>
        </w:rPr>
        <w:t>www.gdhsbid.com</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lang w:val="zh-CN"/>
        </w:rPr>
        <w:t>。</w:t>
      </w:r>
    </w:p>
    <w:p>
      <w:pPr>
        <w:numPr>
          <w:ilvl w:val="0"/>
          <w:numId w:val="0"/>
        </w:numPr>
        <w:autoSpaceDE w:val="0"/>
        <w:autoSpaceDN w:val="0"/>
        <w:adjustRightInd w:val="0"/>
        <w:snapToGrid w:val="0"/>
        <w:spacing w:line="360" w:lineRule="auto"/>
        <w:ind w:leftChars="0" w:right="-34" w:rightChars="0"/>
        <w:jc w:val="left"/>
        <w:rPr>
          <w:rFonts w:hint="eastAsia" w:ascii="宋体" w:hAnsi="宋体" w:eastAsia="宋体" w:cs="宋体"/>
          <w:bCs/>
          <w:color w:val="auto"/>
          <w:szCs w:val="21"/>
          <w:highlight w:val="none"/>
        </w:rPr>
      </w:pPr>
    </w:p>
    <w:p>
      <w:pPr>
        <w:numPr>
          <w:ilvl w:val="0"/>
          <w:numId w:val="2"/>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招标人：东莞市水务集团建设管理有限公司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  址：</w:t>
      </w:r>
      <w:bookmarkStart w:id="12" w:name="_Hlk80199690"/>
      <w:r>
        <w:rPr>
          <w:rFonts w:hint="eastAsia" w:ascii="宋体" w:hAnsi="宋体" w:eastAsia="宋体" w:cs="宋体"/>
          <w:color w:val="auto"/>
          <w:kern w:val="0"/>
          <w:szCs w:val="21"/>
          <w:highlight w:val="none"/>
          <w:lang w:eastAsia="zh-CN"/>
        </w:rPr>
        <w:t>广东省东莞市南城街道滨河路100号一期1号楼102室</w:t>
      </w:r>
    </w:p>
    <w:bookmarkEnd w:id="12"/>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联系人：陈方凯</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话：0769-22008759</w:t>
      </w:r>
    </w:p>
    <w:p>
      <w:pPr>
        <w:autoSpaceDE w:val="0"/>
        <w:autoSpaceDN w:val="0"/>
        <w:adjustRightInd w:val="0"/>
        <w:spacing w:line="360" w:lineRule="auto"/>
        <w:ind w:right="-29" w:rightChars="-14" w:firstLine="420"/>
        <w:rPr>
          <w:rFonts w:hint="eastAsia" w:ascii="宋体" w:hAnsi="宋体" w:eastAsia="宋体" w:cs="宋体"/>
          <w:color w:val="auto"/>
          <w:kern w:val="0"/>
          <w:szCs w:val="21"/>
          <w:highlight w:val="none"/>
        </w:rPr>
      </w:pPr>
    </w:p>
    <w:p>
      <w:pPr>
        <w:numPr>
          <w:ilvl w:val="0"/>
          <w:numId w:val="2"/>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bookmarkStart w:id="13" w:name="_Toc486167661"/>
      <w:bookmarkStart w:id="14" w:name="_Toc31764_WPSOffice_Level1"/>
      <w:bookmarkStart w:id="15" w:name="_Toc450662847"/>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lang w:eastAsia="zh-CN"/>
        </w:rPr>
        <w:t>广东和盛招标代理有限公司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lang w:eastAsia="zh-CN"/>
        </w:rPr>
        <w:t>广东省东莞市南城街道元美东路6号303室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联系人：钟秀芳</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话：0769-22019033</w:t>
      </w:r>
    </w:p>
    <w:p>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16" w:name="_Toc18212"/>
      <w:bookmarkStart w:id="17" w:name="_Toc25341"/>
      <w:bookmarkStart w:id="18" w:name="_Toc142508311"/>
      <w:bookmarkStart w:id="19" w:name="_Toc15111"/>
      <w:bookmarkStart w:id="20" w:name="_Toc23143"/>
      <w:bookmarkStart w:id="21" w:name="_Toc28815"/>
      <w:bookmarkStart w:id="22" w:name="_Toc31498"/>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3"/>
      <w:bookmarkEnd w:id="14"/>
      <w:bookmarkEnd w:id="15"/>
      <w:bookmarkEnd w:id="16"/>
      <w:bookmarkEnd w:id="17"/>
      <w:bookmarkEnd w:id="18"/>
      <w:bookmarkEnd w:id="19"/>
      <w:bookmarkEnd w:id="20"/>
      <w:bookmarkEnd w:id="21"/>
      <w:bookmarkEnd w:id="22"/>
    </w:p>
    <w:p>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3" w:name="_Toc7089"/>
      <w:bookmarkStart w:id="24" w:name="_Toc9555"/>
      <w:bookmarkStart w:id="25" w:name="_Toc486167662"/>
      <w:bookmarkStart w:id="26" w:name="_Toc140596871"/>
      <w:bookmarkStart w:id="27" w:name="_Toc142508312"/>
      <w:bookmarkStart w:id="28" w:name="_Toc15366_WPSOffice_Level2"/>
      <w:bookmarkStart w:id="29" w:name="_Toc20678"/>
      <w:bookmarkStart w:id="30" w:name="_Toc11520"/>
      <w:bookmarkStart w:id="31" w:name="_Toc24479"/>
      <w:bookmarkStart w:id="32" w:name="_Toc17462"/>
      <w:bookmarkStart w:id="33" w:name="_Toc450662848"/>
      <w:r>
        <w:rPr>
          <w:rFonts w:hint="eastAsia" w:ascii="宋体" w:hAnsi="宋体" w:eastAsia="宋体" w:cs="宋体"/>
          <w:b/>
          <w:bCs/>
          <w:color w:val="auto"/>
          <w:kern w:val="44"/>
          <w:szCs w:val="21"/>
          <w:highlight w:val="none"/>
          <w:lang w:val="zh-CN"/>
        </w:rPr>
        <w:t>一、总则</w:t>
      </w:r>
      <w:bookmarkEnd w:id="23"/>
      <w:bookmarkEnd w:id="24"/>
      <w:bookmarkEnd w:id="25"/>
      <w:bookmarkEnd w:id="26"/>
      <w:bookmarkEnd w:id="27"/>
      <w:bookmarkEnd w:id="28"/>
      <w:bookmarkEnd w:id="29"/>
      <w:bookmarkEnd w:id="30"/>
      <w:bookmarkEnd w:id="31"/>
      <w:bookmarkEnd w:id="32"/>
      <w:bookmarkEnd w:id="33"/>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4" w:name="_Toc450662849"/>
      <w:bookmarkStart w:id="35" w:name="_Toc142508313"/>
      <w:bookmarkStart w:id="36" w:name="_Toc23333"/>
      <w:bookmarkStart w:id="37" w:name="_Toc32686"/>
      <w:bookmarkStart w:id="38" w:name="_Toc16303"/>
      <w:bookmarkStart w:id="39" w:name="_Toc28380"/>
      <w:bookmarkStart w:id="40" w:name="_Toc486167663"/>
      <w:bookmarkStart w:id="41" w:name="_Toc21710_WPSOffice_Level3"/>
      <w:bookmarkStart w:id="42" w:name="_Toc9608"/>
      <w:bookmarkStart w:id="43" w:name="_Toc15044"/>
      <w:r>
        <w:rPr>
          <w:rFonts w:hint="eastAsia" w:ascii="宋体" w:hAnsi="宋体" w:eastAsia="宋体" w:cs="宋体"/>
          <w:color w:val="auto"/>
          <w:szCs w:val="21"/>
          <w:highlight w:val="none"/>
          <w:lang w:val="zh-CN"/>
        </w:rPr>
        <w:t>1 资金来源：企业自筹资金。</w:t>
      </w:r>
      <w:bookmarkEnd w:id="34"/>
      <w:bookmarkEnd w:id="35"/>
      <w:bookmarkEnd w:id="36"/>
      <w:bookmarkEnd w:id="37"/>
      <w:bookmarkEnd w:id="38"/>
      <w:bookmarkEnd w:id="39"/>
      <w:bookmarkEnd w:id="40"/>
      <w:bookmarkEnd w:id="41"/>
      <w:bookmarkEnd w:id="42"/>
      <w:bookmarkEnd w:id="43"/>
    </w:p>
    <w:p>
      <w:pPr>
        <w:autoSpaceDE w:val="0"/>
        <w:autoSpaceDN w:val="0"/>
        <w:adjustRightInd w:val="0"/>
        <w:jc w:val="left"/>
        <w:rPr>
          <w:rFonts w:hint="eastAsia"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44" w:name="_Toc28698"/>
      <w:bookmarkStart w:id="45" w:name="_Toc13461"/>
      <w:bookmarkStart w:id="46" w:name="_Toc142508314"/>
      <w:bookmarkStart w:id="47" w:name="_Toc14801"/>
      <w:bookmarkStart w:id="48" w:name="_Toc450662850"/>
      <w:bookmarkStart w:id="49" w:name="_Toc18557"/>
      <w:bookmarkStart w:id="50" w:name="_Toc80_WPSOffice_Level3"/>
      <w:bookmarkStart w:id="51" w:name="_Toc24103"/>
      <w:bookmarkStart w:id="52" w:name="_Toc32244"/>
      <w:bookmarkStart w:id="53" w:name="_Toc486167664"/>
      <w:r>
        <w:rPr>
          <w:rFonts w:hint="eastAsia" w:ascii="宋体" w:hAnsi="宋体" w:eastAsia="宋体" w:cs="宋体"/>
          <w:b/>
          <w:color w:val="auto"/>
          <w:szCs w:val="21"/>
          <w:highlight w:val="none"/>
          <w:lang w:val="zh-CN"/>
        </w:rPr>
        <w:t>2 合格的投标人</w:t>
      </w:r>
      <w:bookmarkEnd w:id="44"/>
      <w:bookmarkEnd w:id="45"/>
      <w:bookmarkEnd w:id="46"/>
      <w:bookmarkEnd w:id="47"/>
      <w:bookmarkEnd w:id="48"/>
      <w:bookmarkEnd w:id="49"/>
      <w:bookmarkEnd w:id="50"/>
      <w:bookmarkEnd w:id="51"/>
      <w:bookmarkEnd w:id="52"/>
      <w:bookmarkEnd w:id="53"/>
    </w:p>
    <w:p>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 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autoSpaceDE w:val="0"/>
        <w:autoSpaceDN w:val="0"/>
        <w:adjustRightInd w:val="0"/>
        <w:spacing w:line="360" w:lineRule="auto"/>
        <w:ind w:left="317" w:leftChars="-100" w:hanging="527" w:hangingChars="250"/>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54" w:name="_Toc23847_WPSOffice_Level3"/>
      <w:bookmarkStart w:id="55" w:name="_Toc142508315"/>
      <w:bookmarkStart w:id="56" w:name="_Toc19774"/>
      <w:bookmarkStart w:id="57" w:name="_Toc10742"/>
      <w:bookmarkStart w:id="58" w:name="_Toc16100"/>
      <w:bookmarkStart w:id="59" w:name="_Toc21660"/>
      <w:bookmarkStart w:id="60" w:name="_Toc29693"/>
      <w:bookmarkStart w:id="61" w:name="_Toc11689"/>
      <w:bookmarkStart w:id="62" w:name="_Toc450662851"/>
      <w:bookmarkStart w:id="63" w:name="_Toc486167665"/>
      <w:r>
        <w:rPr>
          <w:rFonts w:hint="eastAsia" w:ascii="宋体" w:hAnsi="宋体" w:eastAsia="宋体" w:cs="宋体"/>
          <w:b/>
          <w:color w:val="auto"/>
          <w:szCs w:val="21"/>
          <w:highlight w:val="none"/>
          <w:lang w:val="zh-CN"/>
        </w:rPr>
        <w:t>3 合格的</w:t>
      </w:r>
      <w:bookmarkEnd w:id="54"/>
      <w:bookmarkEnd w:id="55"/>
      <w:r>
        <w:rPr>
          <w:rFonts w:hint="eastAsia" w:ascii="宋体" w:hAnsi="宋体" w:eastAsia="宋体" w:cs="宋体"/>
          <w:b/>
          <w:color w:val="auto"/>
          <w:szCs w:val="21"/>
          <w:highlight w:val="none"/>
          <w:lang w:val="en-US" w:eastAsia="zh-CN"/>
        </w:rPr>
        <w:t>服务</w:t>
      </w:r>
      <w:bookmarkEnd w:id="56"/>
      <w:bookmarkEnd w:id="57"/>
      <w:bookmarkEnd w:id="58"/>
      <w:bookmarkEnd w:id="59"/>
      <w:bookmarkEnd w:id="60"/>
      <w:bookmarkEnd w:id="61"/>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64" w:name="_Toc1977663"/>
      <w:bookmarkStart w:id="65" w:name="_Toc533708063"/>
      <w:r>
        <w:rPr>
          <w:rFonts w:hint="eastAsia" w:ascii="宋体" w:hAnsi="宋体" w:eastAsia="宋体" w:cs="宋体"/>
          <w:color w:val="auto"/>
          <w:szCs w:val="21"/>
          <w:highlight w:val="none"/>
          <w:lang w:val="zh-CN"/>
        </w:rPr>
        <w:t xml:space="preserve">3.2  </w:t>
      </w:r>
      <w:bookmarkEnd w:id="64"/>
      <w:bookmarkEnd w:id="65"/>
      <w:bookmarkStart w:id="66" w:name="_Toc1977665"/>
      <w:bookmarkStart w:id="67" w:name="_Toc5337080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66"/>
      <w:bookmarkEnd w:id="67"/>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68" w:name="_Toc1977666"/>
      <w:bookmarkStart w:id="69"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8"/>
      <w:bookmarkEnd w:id="69"/>
      <w:bookmarkStart w:id="70" w:name="_Toc1977667"/>
      <w:bookmarkStart w:id="71" w:name="_Toc5337080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0"/>
      <w:bookmarkEnd w:id="71"/>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72" w:name="_Toc533708068"/>
      <w:bookmarkStart w:id="73"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72"/>
      <w:bookmarkEnd w:id="73"/>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pPr>
        <w:autoSpaceDE w:val="0"/>
        <w:autoSpaceDN w:val="0"/>
        <w:adjustRightInd w:val="0"/>
        <w:spacing w:line="360" w:lineRule="auto"/>
        <w:jc w:val="left"/>
        <w:rPr>
          <w:rFonts w:hint="eastAsia"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74" w:name="_Toc11533"/>
      <w:bookmarkStart w:id="75" w:name="_Toc142508316"/>
      <w:bookmarkStart w:id="76" w:name="_Toc8469"/>
      <w:bookmarkStart w:id="77" w:name="_Toc9658_WPSOffice_Level3"/>
      <w:bookmarkStart w:id="78" w:name="_Toc13063"/>
      <w:bookmarkStart w:id="79" w:name="_Toc3404"/>
      <w:bookmarkStart w:id="80" w:name="_Toc9753"/>
      <w:bookmarkStart w:id="81" w:name="_Toc10626"/>
      <w:r>
        <w:rPr>
          <w:rFonts w:hint="eastAsia" w:ascii="宋体" w:hAnsi="宋体" w:eastAsia="宋体" w:cs="宋体"/>
          <w:color w:val="auto"/>
          <w:szCs w:val="21"/>
          <w:highlight w:val="none"/>
          <w:lang w:val="zh-CN"/>
        </w:rPr>
        <w:t>4 其它说明</w:t>
      </w:r>
      <w:bookmarkEnd w:id="74"/>
      <w:bookmarkEnd w:id="75"/>
      <w:bookmarkEnd w:id="76"/>
      <w:bookmarkEnd w:id="77"/>
      <w:bookmarkEnd w:id="78"/>
      <w:bookmarkEnd w:id="79"/>
      <w:bookmarkEnd w:id="80"/>
      <w:bookmarkEnd w:id="81"/>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82" w:name="_Toc1977670"/>
      <w:bookmarkStart w:id="83" w:name="_Toc533708070"/>
      <w:r>
        <w:rPr>
          <w:rFonts w:hint="eastAsia" w:ascii="宋体" w:hAnsi="宋体" w:eastAsia="宋体" w:cs="宋体"/>
          <w:color w:val="auto"/>
          <w:szCs w:val="21"/>
          <w:highlight w:val="none"/>
          <w:lang w:val="zh-CN"/>
        </w:rPr>
        <w:t>4.1  投标费用</w:t>
      </w:r>
      <w:bookmarkEnd w:id="82"/>
      <w:bookmarkEnd w:id="83"/>
    </w:p>
    <w:p>
      <w:pPr>
        <w:autoSpaceDE w:val="0"/>
        <w:autoSpaceDN w:val="0"/>
        <w:adjustRightInd w:val="0"/>
        <w:spacing w:line="360" w:lineRule="auto"/>
        <w:ind w:left="210" w:leftChars="100" w:firstLine="420" w:firstLineChars="200"/>
        <w:rPr>
          <w:rFonts w:hint="eastAsia" w:ascii="宋体" w:hAnsi="宋体" w:eastAsia="宋体" w:cs="宋体"/>
          <w:color w:val="auto"/>
          <w:szCs w:val="21"/>
          <w:highlight w:val="none"/>
          <w:lang w:val="zh-CN"/>
        </w:rPr>
      </w:pPr>
      <w:bookmarkStart w:id="84" w:name="_Toc1977672"/>
      <w:bookmarkStart w:id="85" w:name="_Toc5337080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84"/>
      <w:bookmarkEnd w:id="85"/>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86" w:name="_Toc533708073"/>
      <w:bookmarkStart w:id="87" w:name="_Toc1977673"/>
      <w:r>
        <w:rPr>
          <w:rFonts w:hint="eastAsia" w:ascii="宋体" w:hAnsi="宋体" w:eastAsia="宋体" w:cs="宋体"/>
          <w:color w:val="auto"/>
          <w:szCs w:val="21"/>
          <w:highlight w:val="none"/>
          <w:lang w:val="zh-CN"/>
        </w:rPr>
        <w:t>4.2  踏勘现场</w:t>
      </w:r>
      <w:bookmarkEnd w:id="86"/>
      <w:bookmarkEnd w:id="87"/>
    </w:p>
    <w:p>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bookmarkStart w:id="88" w:name="_Toc1977676"/>
      <w:bookmarkStart w:id="89" w:name="_Toc533708076"/>
      <w:r>
        <w:rPr>
          <w:rFonts w:hint="eastAsia" w:ascii="宋体" w:hAnsi="宋体" w:eastAsia="宋体" w:cs="宋体"/>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w:t>
      </w:r>
      <w:r>
        <w:rPr>
          <w:rFonts w:hint="eastAsia" w:ascii="宋体" w:hAnsi="宋体" w:eastAsia="宋体" w:cs="宋体"/>
          <w:color w:val="auto"/>
          <w:kern w:val="0"/>
          <w:szCs w:val="21"/>
          <w:highlight w:val="none"/>
          <w:lang w:val="en-US" w:eastAsia="zh-CN"/>
        </w:rPr>
        <w:t>其</w:t>
      </w:r>
      <w:r>
        <w:rPr>
          <w:rFonts w:hint="eastAsia" w:ascii="宋体" w:hAnsi="宋体" w:eastAsia="宋体" w:cs="宋体"/>
          <w:color w:val="auto"/>
          <w:kern w:val="0"/>
          <w:szCs w:val="21"/>
          <w:highlight w:val="none"/>
        </w:rPr>
        <w:t>他情况。</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bookmarkEnd w:id="62"/>
    <w:bookmarkEnd w:id="63"/>
    <w:bookmarkEnd w:id="88"/>
    <w:bookmarkEnd w:id="89"/>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90" w:name="_Toc140596876"/>
      <w:bookmarkStart w:id="91" w:name="_Toc486167667"/>
      <w:bookmarkStart w:id="92" w:name="_Toc30727"/>
      <w:bookmarkStart w:id="93" w:name="_Toc23213"/>
      <w:bookmarkStart w:id="94" w:name="_Toc1565"/>
      <w:bookmarkStart w:id="95" w:name="_Toc12600"/>
      <w:bookmarkStart w:id="96" w:name="_Toc30507_WPSOffice_Level2"/>
      <w:bookmarkStart w:id="97" w:name="_Toc5395"/>
      <w:bookmarkStart w:id="98" w:name="_Toc30472"/>
      <w:bookmarkStart w:id="99" w:name="_Toc450662853"/>
      <w:bookmarkStart w:id="100" w:name="_Toc142508317"/>
      <w:r>
        <w:rPr>
          <w:rFonts w:hint="eastAsia" w:ascii="宋体" w:hAnsi="宋体" w:eastAsia="宋体" w:cs="宋体"/>
          <w:b/>
          <w:bCs/>
          <w:color w:val="auto"/>
          <w:kern w:val="44"/>
          <w:szCs w:val="21"/>
          <w:highlight w:val="none"/>
          <w:lang w:val="zh-CN"/>
        </w:rPr>
        <w:t>二、招标文件</w:t>
      </w:r>
      <w:bookmarkEnd w:id="90"/>
      <w:bookmarkEnd w:id="91"/>
      <w:bookmarkEnd w:id="92"/>
      <w:bookmarkEnd w:id="93"/>
      <w:bookmarkEnd w:id="94"/>
      <w:bookmarkEnd w:id="95"/>
      <w:bookmarkEnd w:id="96"/>
      <w:bookmarkEnd w:id="97"/>
      <w:bookmarkEnd w:id="98"/>
      <w:bookmarkEnd w:id="99"/>
      <w:bookmarkEnd w:id="100"/>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01" w:name="_Toc26635_WPSOffice_Level3"/>
      <w:bookmarkStart w:id="102" w:name="_Toc142508318"/>
      <w:bookmarkStart w:id="103" w:name="_Toc486167668"/>
      <w:bookmarkStart w:id="104" w:name="_Toc3556"/>
      <w:bookmarkStart w:id="105" w:name="_Toc2406"/>
      <w:bookmarkStart w:id="106" w:name="_Toc450662854"/>
      <w:bookmarkStart w:id="107" w:name="_Toc19786"/>
      <w:bookmarkStart w:id="108" w:name="_Toc3978"/>
      <w:bookmarkStart w:id="109" w:name="_Toc8303"/>
      <w:bookmarkStart w:id="110" w:name="_Toc28893"/>
      <w:r>
        <w:rPr>
          <w:rFonts w:hint="eastAsia" w:ascii="宋体" w:hAnsi="宋体" w:eastAsia="宋体" w:cs="宋体"/>
          <w:color w:val="auto"/>
          <w:szCs w:val="21"/>
          <w:highlight w:val="none"/>
          <w:lang w:val="zh-CN"/>
        </w:rPr>
        <w:t>5 招标文件的构成</w:t>
      </w:r>
      <w:bookmarkEnd w:id="101"/>
      <w:bookmarkEnd w:id="102"/>
      <w:bookmarkEnd w:id="103"/>
      <w:bookmarkEnd w:id="104"/>
      <w:bookmarkEnd w:id="105"/>
      <w:bookmarkEnd w:id="106"/>
      <w:bookmarkEnd w:id="107"/>
      <w:bookmarkEnd w:id="108"/>
      <w:bookmarkEnd w:id="109"/>
      <w:bookmarkEnd w:id="110"/>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（1）“招标人”指东莞市水务集团建设管理有限公司；</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（2）“项目业主”指</w:t>
      </w:r>
      <w:r>
        <w:rPr>
          <w:rFonts w:hint="eastAsia" w:ascii="宋体" w:hAnsi="宋体" w:eastAsia="宋体" w:cs="宋体"/>
          <w:color w:val="auto"/>
          <w:kern w:val="0"/>
          <w:szCs w:val="21"/>
          <w:highlight w:val="none"/>
          <w:lang w:eastAsia="zh-CN"/>
        </w:rPr>
        <w:t>东莞市石鼓净水有限公司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（3）“招标代理机构”指</w:t>
      </w:r>
      <w:r>
        <w:rPr>
          <w:rFonts w:hint="eastAsia" w:ascii="宋体" w:hAnsi="宋体" w:eastAsia="宋体" w:cs="宋体"/>
          <w:color w:val="auto"/>
          <w:kern w:val="0"/>
          <w:szCs w:val="21"/>
          <w:highlight w:val="none"/>
          <w:lang w:eastAsia="zh-CN"/>
        </w:rPr>
        <w:t>广东和盛招标代理有限公司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（4）“投标人”指参加</w:t>
      </w:r>
      <w:r>
        <w:rPr>
          <w:rFonts w:hint="eastAsia" w:ascii="宋体" w:hAnsi="宋体" w:eastAsia="宋体" w:cs="宋体"/>
          <w:color w:val="auto"/>
          <w:kern w:val="0"/>
          <w:szCs w:val="21"/>
          <w:highlight w:val="none"/>
          <w:lang w:eastAsia="zh-CN"/>
        </w:rPr>
        <w:t>东莞市茶山镇污水处理厂改扩建项目第三方监测服务采购项目</w:t>
      </w:r>
      <w:r>
        <w:rPr>
          <w:rFonts w:hint="eastAsia" w:ascii="宋体" w:hAnsi="宋体" w:eastAsia="宋体" w:cs="宋体"/>
          <w:color w:val="auto"/>
          <w:kern w:val="0"/>
          <w:szCs w:val="21"/>
          <w:highlight w:val="none"/>
        </w:rPr>
        <w:t>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（6）“中标人”指其投标被招标人接受，并与招标人签订合同的当事人；</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（7）“甲方”指在合同条款中指明的购买服务的单位，即东莞市水务集团建设管理有限公司；</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（8）“乙方”指在合同条款中指明的本合同项下提供服务的公司或实体；</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（9）“招标文件”指由招标代理机构发出的本招标文件，包括全部章节和附件；</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（10）“投标文件”指投标人根据本招标文件向招标代理机构提交的全部文件；</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（11）“书面函件”指手写、打字或印刷的函件，包括电传、电报和传真；</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（12）“合同”指由本次招标所产生的合同或合约文件；</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（13）“日期”指公历日，“时间”指北京时间；</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（15）不含税价，即为《中华人民共和国增值税暂行条例》（国务院令第691号修订版）规定的销售额。本招标文件所称的</w:t>
      </w:r>
      <w:r>
        <w:rPr>
          <w:rFonts w:hint="eastAsia" w:ascii="宋体" w:hAnsi="宋体" w:eastAsia="宋体" w:cs="宋体"/>
          <w:color w:val="auto"/>
          <w:szCs w:val="21"/>
          <w:highlight w:val="none"/>
          <w:lang w:val="zh-CN"/>
        </w:rPr>
        <w:t>不含税</w:t>
      </w:r>
      <w:r>
        <w:rPr>
          <w:rFonts w:hint="eastAsia" w:ascii="宋体" w:hAnsi="宋体" w:eastAsia="宋体" w:cs="宋体"/>
          <w:color w:val="auto"/>
          <w:sz w:val="21"/>
          <w:szCs w:val="21"/>
          <w:highlight w:val="none"/>
        </w:rPr>
        <w:t>综合单价</w:t>
      </w:r>
      <w:r>
        <w:rPr>
          <w:rFonts w:hint="eastAsia" w:ascii="宋体" w:hAnsi="宋体" w:eastAsia="宋体" w:cs="宋体"/>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w:t>
      </w:r>
      <w:r>
        <w:rPr>
          <w:rFonts w:hint="eastAsia" w:ascii="宋体" w:hAnsi="宋体" w:eastAsia="宋体" w:cs="宋体"/>
          <w:color w:val="auto"/>
          <w:kern w:val="0"/>
          <w:szCs w:val="21"/>
          <w:highlight w:val="none"/>
          <w:lang w:val="en-US" w:eastAsia="zh-CN"/>
        </w:rPr>
        <w:t>项目业主</w:t>
      </w:r>
      <w:r>
        <w:rPr>
          <w:rFonts w:hint="eastAsia" w:ascii="宋体" w:hAnsi="宋体" w:eastAsia="宋体" w:cs="宋体"/>
          <w:color w:val="auto"/>
          <w:kern w:val="0"/>
          <w:szCs w:val="21"/>
          <w:highlight w:val="none"/>
        </w:rPr>
        <w:t>承担，不计入投标报价。</w:t>
      </w:r>
    </w:p>
    <w:p>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11" w:name="_Toc450662855"/>
      <w:bookmarkStart w:id="112" w:name="_Toc1433"/>
      <w:bookmarkStart w:id="113" w:name="_Toc25512"/>
      <w:bookmarkStart w:id="114" w:name="_Toc14593"/>
      <w:bookmarkStart w:id="115" w:name="_Toc486167669"/>
      <w:bookmarkStart w:id="116" w:name="_Toc29125_WPSOffice_Level3"/>
      <w:bookmarkStart w:id="117" w:name="_Toc3727"/>
      <w:bookmarkStart w:id="118" w:name="_Toc142508319"/>
      <w:bookmarkStart w:id="119" w:name="_Toc5780"/>
      <w:bookmarkStart w:id="120" w:name="_Toc11346"/>
      <w:r>
        <w:rPr>
          <w:rFonts w:hint="eastAsia" w:ascii="宋体" w:hAnsi="宋体" w:eastAsia="宋体" w:cs="宋体"/>
          <w:color w:val="auto"/>
          <w:szCs w:val="21"/>
          <w:highlight w:val="none"/>
          <w:lang w:val="zh-CN"/>
        </w:rPr>
        <w:t>6 招标文件的异议</w:t>
      </w:r>
      <w:bookmarkEnd w:id="111"/>
      <w:bookmarkEnd w:id="112"/>
      <w:bookmarkEnd w:id="113"/>
      <w:bookmarkEnd w:id="114"/>
      <w:bookmarkEnd w:id="115"/>
      <w:bookmarkEnd w:id="116"/>
      <w:bookmarkEnd w:id="117"/>
      <w:bookmarkEnd w:id="118"/>
      <w:bookmarkEnd w:id="119"/>
      <w:bookmarkEnd w:id="120"/>
    </w:p>
    <w:p>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21" w:name="_Toc17145"/>
      <w:bookmarkStart w:id="122" w:name="_Toc450662856"/>
      <w:bookmarkStart w:id="123" w:name="_Toc29462"/>
      <w:bookmarkStart w:id="124" w:name="_Toc486167670"/>
      <w:bookmarkStart w:id="125" w:name="_Toc142508320"/>
      <w:bookmarkStart w:id="126" w:name="_Toc12500"/>
      <w:bookmarkStart w:id="127" w:name="_Toc29864"/>
      <w:bookmarkStart w:id="128" w:name="_Toc39"/>
      <w:bookmarkStart w:id="129" w:name="_Toc23483_WPSOffice_Level3"/>
      <w:bookmarkStart w:id="130" w:name="_Toc4319"/>
      <w:r>
        <w:rPr>
          <w:rFonts w:hint="eastAsia" w:ascii="宋体" w:hAnsi="宋体" w:eastAsia="宋体" w:cs="宋体"/>
          <w:color w:val="auto"/>
          <w:szCs w:val="21"/>
          <w:highlight w:val="none"/>
          <w:lang w:val="zh-CN"/>
        </w:rPr>
        <w:t>7 招标文件的澄清及修改</w:t>
      </w:r>
      <w:bookmarkEnd w:id="121"/>
      <w:bookmarkEnd w:id="122"/>
      <w:bookmarkEnd w:id="123"/>
      <w:bookmarkEnd w:id="124"/>
      <w:bookmarkEnd w:id="125"/>
      <w:bookmarkEnd w:id="126"/>
      <w:bookmarkEnd w:id="127"/>
      <w:bookmarkEnd w:id="128"/>
      <w:bookmarkEnd w:id="129"/>
      <w:bookmarkEnd w:id="130"/>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sz w:val="21"/>
          <w:szCs w:val="21"/>
          <w:highlight w:val="none"/>
        </w:rPr>
        <w:t>www.dgswjt.cn）</w:t>
      </w:r>
      <w:r>
        <w:rPr>
          <w:rStyle w:val="42"/>
          <w:rFonts w:hint="eastAsia" w:ascii="宋体" w:hAnsi="宋体" w:eastAsia="宋体" w:cs="宋体"/>
          <w:color w:val="auto"/>
          <w:sz w:val="21"/>
          <w:szCs w:val="21"/>
          <w:highlight w:val="none"/>
          <w:lang w:val="zh-CN"/>
        </w:rPr>
        <w:t>、</w:t>
      </w:r>
      <w:r>
        <w:rPr>
          <w:rStyle w:val="42"/>
          <w:rFonts w:hint="eastAsia" w:ascii="宋体" w:hAnsi="宋体" w:eastAsia="宋体" w:cs="宋体"/>
          <w:bCs/>
          <w:color w:val="auto"/>
          <w:kern w:val="0"/>
          <w:sz w:val="21"/>
          <w:szCs w:val="21"/>
          <w:highlight w:val="none"/>
        </w:rPr>
        <w:t>招标代理</w:t>
      </w:r>
      <w:r>
        <w:rPr>
          <w:rStyle w:val="42"/>
          <w:rFonts w:hint="eastAsia" w:ascii="宋体" w:hAnsi="宋体" w:eastAsia="宋体" w:cs="宋体"/>
          <w:bCs/>
          <w:color w:val="auto"/>
          <w:kern w:val="0"/>
          <w:sz w:val="21"/>
          <w:szCs w:val="21"/>
          <w:highlight w:val="none"/>
          <w:lang w:val="en-US" w:eastAsia="zh-CN"/>
        </w:rPr>
        <w:t>机构</w:t>
      </w:r>
      <w:r>
        <w:rPr>
          <w:rStyle w:val="42"/>
          <w:rFonts w:hint="eastAsia" w:ascii="宋体" w:hAnsi="宋体" w:eastAsia="宋体" w:cs="宋体"/>
          <w:bCs/>
          <w:color w:val="auto"/>
          <w:kern w:val="0"/>
          <w:sz w:val="21"/>
          <w:szCs w:val="21"/>
          <w:highlight w:val="none"/>
        </w:rPr>
        <w:t>网站（</w:t>
      </w:r>
      <w:r>
        <w:rPr>
          <w:rStyle w:val="42"/>
          <w:rFonts w:hint="eastAsia" w:ascii="宋体" w:hAnsi="宋体" w:eastAsia="宋体" w:cs="宋体"/>
          <w:bCs/>
          <w:color w:val="auto"/>
          <w:kern w:val="0"/>
          <w:sz w:val="21"/>
          <w:szCs w:val="21"/>
          <w:highlight w:val="none"/>
          <w:lang w:eastAsia="zh-CN"/>
        </w:rPr>
        <w:t>www.gdhsbid.com</w:t>
      </w:r>
      <w:r>
        <w:rPr>
          <w:rStyle w:val="42"/>
          <w:rFonts w:hint="eastAsia" w:ascii="宋体" w:hAnsi="宋体" w:eastAsia="宋体" w:cs="宋体"/>
          <w:bCs/>
          <w:color w:val="auto"/>
          <w:kern w:val="0"/>
          <w:sz w:val="21"/>
          <w:szCs w:val="21"/>
          <w:highlight w:val="none"/>
        </w:rPr>
        <w:t>）</w:t>
      </w:r>
      <w:r>
        <w:rPr>
          <w:rStyle w:val="42"/>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宋体"/>
          <w:color w:val="auto"/>
          <w:szCs w:val="21"/>
          <w:highlight w:val="none"/>
          <w:lang w:val="en-US" w:eastAsia="zh-CN"/>
        </w:rPr>
        <w:t>请各投标人密切留意</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31" w:name="_Toc27196"/>
      <w:bookmarkStart w:id="132" w:name="_Toc16844"/>
      <w:bookmarkStart w:id="133" w:name="_Toc24502"/>
      <w:bookmarkStart w:id="134" w:name="_Toc17771"/>
      <w:bookmarkStart w:id="135" w:name="_Toc486167671"/>
      <w:bookmarkStart w:id="136" w:name="_Toc142508321"/>
      <w:bookmarkStart w:id="137" w:name="_Toc450662857"/>
      <w:bookmarkStart w:id="138" w:name="_Toc23342"/>
      <w:bookmarkStart w:id="139" w:name="_Toc29659_WPSOffice_Level2"/>
      <w:bookmarkStart w:id="140" w:name="_Toc8711"/>
      <w:bookmarkStart w:id="141" w:name="_Toc140596880"/>
      <w:r>
        <w:rPr>
          <w:rFonts w:hint="eastAsia" w:ascii="宋体" w:hAnsi="宋体" w:eastAsia="宋体" w:cs="宋体"/>
          <w:b/>
          <w:bCs/>
          <w:color w:val="auto"/>
          <w:kern w:val="44"/>
          <w:szCs w:val="21"/>
          <w:highlight w:val="none"/>
          <w:lang w:val="zh-CN"/>
        </w:rPr>
        <w:t>三、投标文件的编制</w:t>
      </w:r>
      <w:bookmarkEnd w:id="131"/>
      <w:bookmarkEnd w:id="132"/>
      <w:bookmarkEnd w:id="133"/>
      <w:bookmarkEnd w:id="134"/>
      <w:bookmarkEnd w:id="135"/>
      <w:bookmarkEnd w:id="136"/>
      <w:bookmarkEnd w:id="137"/>
      <w:bookmarkEnd w:id="138"/>
      <w:bookmarkEnd w:id="139"/>
      <w:bookmarkEnd w:id="140"/>
      <w:bookmarkEnd w:id="141"/>
    </w:p>
    <w:p>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42" w:name="_Toc31162"/>
      <w:bookmarkStart w:id="143" w:name="_Toc32333"/>
      <w:bookmarkStart w:id="144" w:name="_Toc6244"/>
      <w:bookmarkStart w:id="145" w:name="_Toc19584"/>
      <w:bookmarkStart w:id="146" w:name="_Toc3827"/>
      <w:bookmarkStart w:id="147" w:name="_Toc10015_WPSOffice_Level3"/>
      <w:bookmarkStart w:id="148" w:name="_Toc142508322"/>
      <w:bookmarkStart w:id="149" w:name="_Toc4392"/>
      <w:bookmarkStart w:id="150" w:name="_Toc450662858"/>
      <w:bookmarkStart w:id="151" w:name="_Toc486167672"/>
      <w:r>
        <w:rPr>
          <w:rFonts w:hint="eastAsia" w:ascii="宋体" w:hAnsi="宋体" w:eastAsia="宋体" w:cs="宋体"/>
          <w:color w:val="auto"/>
          <w:szCs w:val="21"/>
          <w:highlight w:val="none"/>
          <w:lang w:val="zh-CN"/>
        </w:rPr>
        <w:t>8 投标使用的文字及度量衡单位</w:t>
      </w:r>
      <w:bookmarkEnd w:id="142"/>
      <w:bookmarkEnd w:id="143"/>
      <w:bookmarkEnd w:id="144"/>
      <w:bookmarkEnd w:id="145"/>
      <w:bookmarkEnd w:id="146"/>
      <w:bookmarkEnd w:id="147"/>
      <w:bookmarkEnd w:id="148"/>
      <w:bookmarkEnd w:id="149"/>
      <w:bookmarkEnd w:id="150"/>
      <w:bookmarkEnd w:id="151"/>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hint="eastAsia"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auto"/>
          <w:sz w:val="24"/>
          <w:szCs w:val="24"/>
          <w:highlight w:val="none"/>
          <w:lang w:val="zh-CN"/>
        </w:rPr>
      </w:pPr>
      <w:bookmarkStart w:id="152" w:name="_Toc26462"/>
      <w:bookmarkStart w:id="153" w:name="_Toc14943"/>
      <w:bookmarkStart w:id="154" w:name="_Toc142508323"/>
      <w:bookmarkStart w:id="155" w:name="_Toc5600"/>
      <w:bookmarkStart w:id="156" w:name="_Toc30738"/>
      <w:bookmarkStart w:id="157" w:name="_Toc32036"/>
      <w:bookmarkStart w:id="158" w:name="_Toc450662859"/>
      <w:bookmarkStart w:id="159" w:name="_Toc24916_WPSOffice_Level3"/>
      <w:bookmarkStart w:id="160" w:name="_Toc7348"/>
      <w:bookmarkStart w:id="161" w:name="_Toc486167673"/>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52"/>
      <w:bookmarkEnd w:id="153"/>
      <w:bookmarkEnd w:id="154"/>
      <w:bookmarkEnd w:id="155"/>
      <w:bookmarkEnd w:id="156"/>
      <w:bookmarkEnd w:id="157"/>
      <w:bookmarkEnd w:id="158"/>
      <w:bookmarkEnd w:id="159"/>
      <w:bookmarkEnd w:id="160"/>
      <w:bookmarkEnd w:id="161"/>
    </w:p>
    <w:p>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（3）现场转换采购方式同意书；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lang w:val="zh-CN"/>
        </w:rPr>
        <w:t>）投标报价表；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具备</w:t>
      </w:r>
      <w:r>
        <w:rPr>
          <w:rFonts w:hint="eastAsia" w:ascii="宋体" w:hAnsi="宋体" w:eastAsia="宋体" w:cs="宋体"/>
          <w:color w:val="auto"/>
          <w:szCs w:val="21"/>
          <w:highlight w:val="none"/>
          <w:lang w:val="zh-CN"/>
        </w:rPr>
        <w:t>建设行政主管部门核发</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lang w:val="zh-CN"/>
        </w:rPr>
        <w:t>的工程勘察综合类甲级资质，或同时具备有效的工程勘察专业类岩土工程</w:t>
      </w:r>
      <w:r>
        <w:rPr>
          <w:rFonts w:hint="eastAsia" w:ascii="宋体" w:hAnsi="宋体" w:eastAsia="宋体" w:cs="宋体"/>
          <w:color w:val="auto"/>
          <w:szCs w:val="21"/>
          <w:highlight w:val="none"/>
          <w:lang w:val="en-US" w:eastAsia="zh-CN"/>
        </w:rPr>
        <w:t>乙级（或以上）</w:t>
      </w:r>
      <w:r>
        <w:rPr>
          <w:rFonts w:hint="eastAsia" w:ascii="宋体" w:hAnsi="宋体" w:eastAsia="宋体" w:cs="宋体"/>
          <w:color w:val="auto"/>
          <w:szCs w:val="21"/>
          <w:highlight w:val="none"/>
          <w:lang w:val="zh-CN"/>
        </w:rPr>
        <w:t>和工程测量</w:t>
      </w:r>
      <w:r>
        <w:rPr>
          <w:rFonts w:hint="eastAsia" w:ascii="宋体" w:hAnsi="宋体" w:eastAsia="宋体" w:cs="宋体"/>
          <w:color w:val="auto"/>
          <w:szCs w:val="21"/>
          <w:highlight w:val="none"/>
          <w:lang w:val="zh-CN" w:eastAsia="zh-CN"/>
        </w:rPr>
        <w:t>乙级（或以上）</w:t>
      </w:r>
      <w:r>
        <w:rPr>
          <w:rFonts w:hint="eastAsia" w:ascii="宋体" w:hAnsi="宋体" w:eastAsia="宋体" w:cs="宋体"/>
          <w:color w:val="auto"/>
          <w:szCs w:val="21"/>
          <w:highlight w:val="none"/>
          <w:lang w:val="zh-CN"/>
        </w:rPr>
        <w:t>资质，如资质证书已过有效期，但依据资质证书主管部门相关通知/发文属于资质有效期延期的情况，提供相关通知/发文截图复印件以及官方网站网址链接</w:t>
      </w:r>
      <w:r>
        <w:rPr>
          <w:rFonts w:hint="eastAsia" w:ascii="宋体" w:hAnsi="宋体" w:eastAsia="宋体" w:cs="宋体"/>
          <w:color w:val="auto"/>
          <w:sz w:val="21"/>
          <w:szCs w:val="21"/>
          <w:highlight w:val="none"/>
          <w:lang w:val="en-US" w:eastAsia="zh-CN"/>
        </w:rPr>
        <w:t>/全国建筑市场监管公共服务平台（jzsc.mohurd.gov.cn）企业资质证书信息截图</w:t>
      </w:r>
      <w:r>
        <w:rPr>
          <w:rFonts w:hint="eastAsia" w:ascii="宋体" w:hAnsi="宋体" w:eastAsia="宋体" w:cs="宋体"/>
          <w:color w:val="auto"/>
          <w:szCs w:val="21"/>
          <w:highlight w:val="none"/>
          <w:lang w:val="zh-CN"/>
        </w:rPr>
        <w:t>；</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）资格业绩【投标人提供一</w:t>
      </w:r>
      <w:r>
        <w:rPr>
          <w:rFonts w:hint="eastAsia" w:ascii="宋体" w:hAnsi="宋体" w:eastAsia="宋体" w:cs="宋体"/>
          <w:color w:val="auto"/>
          <w:szCs w:val="21"/>
          <w:highlight w:val="none"/>
          <w:lang w:eastAsia="zh-CN"/>
        </w:rPr>
        <w:t>项</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年1月1日以来市政工程监测业绩（合同签订日期为20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年1月1日或以后），资格业绩证明材料提交要求详见招标文件第六篇投标文件格式</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9</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）拟投入人员情况；</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1用户需求偏离表格式）；</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监测方案</w:t>
      </w:r>
      <w:r>
        <w:rPr>
          <w:rFonts w:hint="eastAsia" w:ascii="宋体" w:hAnsi="宋体" w:eastAsia="宋体" w:cs="宋体"/>
          <w:color w:val="auto"/>
          <w:kern w:val="0"/>
          <w:szCs w:val="21"/>
          <w:highlight w:val="none"/>
          <w:lang w:val="zh-CN"/>
        </w:rPr>
        <w:t>（投标人自行编写）；</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原始数据处理计算、整理分析方法及预警消警机制（</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）监测成果准确性承诺书（格式见附件1</w:t>
      </w:r>
      <w:r>
        <w:rPr>
          <w:rFonts w:hint="eastAsia" w:ascii="宋体" w:hAnsi="宋体" w:eastAsia="宋体" w:cs="宋体"/>
          <w:color w:val="auto"/>
          <w:kern w:val="0"/>
          <w:szCs w:val="21"/>
          <w:highlight w:val="none"/>
          <w:lang w:val="en-US" w:eastAsia="zh-CN"/>
        </w:rPr>
        <w:t>4.4</w:t>
      </w:r>
      <w:r>
        <w:rPr>
          <w:rFonts w:hint="eastAsia" w:ascii="宋体" w:hAnsi="宋体" w:eastAsia="宋体" w:cs="宋体"/>
          <w:color w:val="auto"/>
          <w:kern w:val="0"/>
          <w:szCs w:val="21"/>
          <w:highlight w:val="none"/>
          <w:lang w:val="zh-CN"/>
        </w:rPr>
        <w:t>监测成果准确性承诺书格式）；</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rPr>
        <w:t>）</w:t>
      </w:r>
      <w:bookmarkStart w:id="162" w:name="_Hlk82590478"/>
      <w:r>
        <w:rPr>
          <w:rFonts w:hint="eastAsia" w:ascii="宋体" w:hAnsi="宋体" w:eastAsia="宋体" w:cs="宋体"/>
          <w:color w:val="auto"/>
          <w:kern w:val="0"/>
          <w:szCs w:val="21"/>
          <w:highlight w:val="none"/>
          <w:lang w:val="zh-CN"/>
        </w:rPr>
        <w:t>服务响应时间承诺书（格式见附件1</w:t>
      </w:r>
      <w:r>
        <w:rPr>
          <w:rFonts w:hint="eastAsia" w:ascii="宋体" w:hAnsi="宋体" w:eastAsia="宋体" w:cs="宋体"/>
          <w:color w:val="auto"/>
          <w:kern w:val="0"/>
          <w:szCs w:val="21"/>
          <w:highlight w:val="none"/>
          <w:lang w:val="en-US" w:eastAsia="zh-CN"/>
        </w:rPr>
        <w:t>4.5</w:t>
      </w:r>
      <w:r>
        <w:rPr>
          <w:rFonts w:hint="eastAsia" w:ascii="宋体" w:hAnsi="宋体" w:eastAsia="宋体" w:cs="宋体"/>
          <w:color w:val="auto"/>
          <w:kern w:val="0"/>
          <w:szCs w:val="21"/>
          <w:highlight w:val="none"/>
          <w:lang w:val="zh-CN"/>
        </w:rPr>
        <w:t>服务响应时间承诺书格式）；</w:t>
      </w:r>
      <w:bookmarkEnd w:id="162"/>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val="zh-CN"/>
        </w:rPr>
        <w:t>）投标人认为有需要提供的其他文件（不做强制性要求）</w:t>
      </w:r>
      <w:r>
        <w:rPr>
          <w:rFonts w:hint="eastAsia" w:ascii="宋体" w:hAnsi="宋体" w:eastAsia="宋体" w:cs="宋体"/>
          <w:color w:val="auto"/>
          <w:kern w:val="0"/>
          <w:szCs w:val="21"/>
          <w:highlight w:val="none"/>
        </w:rPr>
        <w:t>。</w:t>
      </w:r>
    </w:p>
    <w:p>
      <w:pPr>
        <w:autoSpaceDE w:val="0"/>
        <w:autoSpaceDN w:val="0"/>
        <w:adjustRightInd w:val="0"/>
        <w:spacing w:line="360" w:lineRule="auto"/>
        <w:ind w:left="422" w:leftChars="-100" w:hanging="632" w:hangingChars="300"/>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pPr>
        <w:autoSpaceDE w:val="0"/>
        <w:autoSpaceDN w:val="0"/>
        <w:adjustRightInd w:val="0"/>
        <w:spacing w:line="360" w:lineRule="auto"/>
        <w:ind w:left="35" w:leftChars="-118" w:hanging="283" w:hangingChars="1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63" w:name="_Toc31771"/>
      <w:bookmarkStart w:id="164" w:name="_Toc11170"/>
      <w:bookmarkStart w:id="165" w:name="_Toc142508324"/>
      <w:bookmarkStart w:id="166" w:name="_Toc13214"/>
      <w:bookmarkStart w:id="167" w:name="_Toc8675_WPSOffice_Level3"/>
      <w:bookmarkStart w:id="168" w:name="_Toc486167674"/>
      <w:bookmarkStart w:id="169" w:name="_Toc28166"/>
      <w:bookmarkStart w:id="170" w:name="_Toc450662860"/>
      <w:bookmarkStart w:id="171" w:name="_Toc7237"/>
      <w:bookmarkStart w:id="172" w:name="_Toc30481"/>
      <w:r>
        <w:rPr>
          <w:rFonts w:hint="eastAsia" w:ascii="宋体" w:hAnsi="宋体" w:eastAsia="宋体" w:cs="宋体"/>
          <w:color w:val="auto"/>
          <w:szCs w:val="21"/>
          <w:highlight w:val="none"/>
          <w:lang w:val="zh-CN"/>
        </w:rPr>
        <w:t>10 投标函</w:t>
      </w:r>
      <w:bookmarkEnd w:id="163"/>
      <w:bookmarkEnd w:id="164"/>
      <w:bookmarkEnd w:id="165"/>
      <w:bookmarkEnd w:id="166"/>
      <w:bookmarkEnd w:id="167"/>
      <w:bookmarkEnd w:id="168"/>
      <w:bookmarkEnd w:id="169"/>
      <w:bookmarkEnd w:id="170"/>
      <w:bookmarkEnd w:id="171"/>
      <w:bookmarkEnd w:id="172"/>
    </w:p>
    <w:p>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73" w:name="_Toc20186"/>
      <w:bookmarkStart w:id="174" w:name="_Toc20223"/>
      <w:bookmarkStart w:id="175" w:name="_Toc25514"/>
      <w:bookmarkStart w:id="176" w:name="_Toc5618"/>
      <w:bookmarkStart w:id="177" w:name="_Toc450662861"/>
      <w:bookmarkStart w:id="178" w:name="_Toc142508325"/>
      <w:bookmarkStart w:id="179" w:name="_Toc24311"/>
      <w:bookmarkStart w:id="180" w:name="_Toc4385_WPSOffice_Level3"/>
      <w:bookmarkStart w:id="181" w:name="_Toc486167675"/>
      <w:bookmarkStart w:id="182" w:name="_Toc15427"/>
      <w:r>
        <w:rPr>
          <w:rFonts w:hint="eastAsia" w:ascii="宋体" w:hAnsi="宋体" w:eastAsia="宋体" w:cs="宋体"/>
          <w:color w:val="auto"/>
          <w:szCs w:val="21"/>
          <w:highlight w:val="none"/>
          <w:lang w:val="zh-CN"/>
        </w:rPr>
        <w:t>11 投标报价</w:t>
      </w:r>
      <w:bookmarkEnd w:id="173"/>
      <w:bookmarkEnd w:id="174"/>
      <w:bookmarkEnd w:id="175"/>
      <w:bookmarkEnd w:id="176"/>
      <w:bookmarkEnd w:id="177"/>
      <w:bookmarkEnd w:id="178"/>
      <w:bookmarkEnd w:id="179"/>
      <w:bookmarkEnd w:id="180"/>
      <w:bookmarkEnd w:id="181"/>
      <w:bookmarkEnd w:id="182"/>
    </w:p>
    <w:p>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本项目的投标报价采用填报服务系数的方式，投标人须报出监测服务系数。本项目只允许有一个报价价格，任何有选择的或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left="420" w:leftChars="200" w:firstLine="481" w:firstLineChars="22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left="420" w:leftChars="200" w:firstLine="481" w:firstLineChars="22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本项目的投标报价采用服务系数报价，投标人须报出监测服务系数</w:t>
      </w:r>
      <w:r>
        <w:rPr>
          <w:rFonts w:hint="eastAsia" w:ascii="宋体" w:hAnsi="宋体" w:eastAsia="宋体" w:cs="宋体"/>
          <w:color w:val="auto"/>
          <w:szCs w:val="21"/>
          <w:highlight w:val="none"/>
          <w:lang w:val="zh-CN"/>
        </w:rPr>
        <w:t>。合同服务期内，监测服务的</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不含税综合单价按以下方式计算：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不含税综合单价=不含税综合单价×中标</w:t>
      </w:r>
      <w:r>
        <w:rPr>
          <w:rFonts w:hint="eastAsia" w:ascii="宋体" w:hAnsi="宋体" w:eastAsia="宋体" w:cs="宋体"/>
          <w:color w:val="auto"/>
          <w:szCs w:val="21"/>
          <w:highlight w:val="none"/>
          <w:lang w:val="en-US" w:eastAsia="zh-CN"/>
        </w:rPr>
        <w:t>监测</w:t>
      </w:r>
      <w:r>
        <w:rPr>
          <w:rFonts w:hint="eastAsia" w:ascii="宋体" w:hAnsi="宋体" w:eastAsia="宋体" w:cs="宋体"/>
          <w:color w:val="auto"/>
          <w:szCs w:val="21"/>
          <w:highlight w:val="none"/>
          <w:lang w:val="zh-CN"/>
        </w:rPr>
        <w:t>服务系数，以实际发生的工程量进行结算。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不含税综合单价出现小数点，保留小数点后2位，从小数点后第3位四舍五入。本招标文件所称的不含税</w:t>
      </w:r>
      <w:r>
        <w:rPr>
          <w:rFonts w:hint="eastAsia" w:ascii="宋体" w:hAnsi="宋体" w:eastAsia="宋体" w:cs="宋体"/>
          <w:color w:val="auto"/>
          <w:szCs w:val="21"/>
          <w:highlight w:val="none"/>
          <w:lang w:val="en-US" w:eastAsia="zh-CN"/>
        </w:rPr>
        <w:t>综合单</w:t>
      </w:r>
      <w:r>
        <w:rPr>
          <w:rFonts w:hint="eastAsia" w:ascii="宋体" w:hAnsi="宋体" w:eastAsia="宋体" w:cs="宋体"/>
          <w:color w:val="auto"/>
          <w:szCs w:val="21"/>
          <w:highlight w:val="none"/>
          <w:lang w:val="zh-CN"/>
        </w:rPr>
        <w:t>价和</w:t>
      </w:r>
      <w:r>
        <w:rPr>
          <w:rFonts w:hint="eastAsia" w:ascii="宋体" w:hAnsi="宋体" w:eastAsia="宋体" w:cs="宋体"/>
          <w:color w:val="auto"/>
          <w:szCs w:val="21"/>
          <w:highlight w:val="none"/>
          <w:lang w:val="en-US" w:eastAsia="zh-CN"/>
        </w:rPr>
        <w:t>暂定总</w:t>
      </w:r>
      <w:r>
        <w:rPr>
          <w:rFonts w:hint="eastAsia" w:ascii="宋体" w:hAnsi="宋体" w:eastAsia="宋体" w:cs="宋体"/>
          <w:color w:val="auto"/>
          <w:szCs w:val="21"/>
          <w:highlight w:val="none"/>
          <w:lang w:val="zh-CN"/>
        </w:rPr>
        <w:t>合同价是指不含本采购项目投标人的销项税额，包含了投标人完成合同义务（含投标人代缴代扣、分包及委外服务、安装、采购货物等所产生的价税）的其他全部费用。本采购项目的销项税额由项目业主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等一切费用；</w:t>
      </w:r>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（2）监测时，如需土建总包单位配合或向其租借设备时，自行与总包单位协调，配合及租借费用；</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（3）与工程施工总承包单位（或其他监测人）的配合关系、协调对接，并配合开展的相关工作所需的费用；</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）合理利润、投标人销项税额以外的税费等；</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）法律法规、商业公认、招标文件规定由投标人承担的其他直接及间接费用；</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11.6 投标人监测服务系数报价</w:t>
      </w:r>
      <w:r>
        <w:rPr>
          <w:rFonts w:hint="eastAsia" w:ascii="宋体" w:hAnsi="宋体" w:eastAsia="宋体" w:cs="宋体"/>
          <w:b/>
          <w:bCs/>
          <w:color w:val="auto"/>
          <w:szCs w:val="21"/>
          <w:highlight w:val="none"/>
          <w:lang w:val="en-US" w:eastAsia="zh-CN"/>
        </w:rPr>
        <w:t>不得超过0.80</w:t>
      </w:r>
      <w:r>
        <w:rPr>
          <w:rFonts w:hint="eastAsia" w:ascii="宋体" w:hAnsi="宋体" w:eastAsia="宋体" w:cs="宋体"/>
          <w:b/>
          <w:bCs/>
          <w:color w:val="auto"/>
          <w:szCs w:val="21"/>
          <w:highlight w:val="none"/>
          <w:lang w:val="zh-CN"/>
        </w:rPr>
        <w:t>（保留小数点后2位），</w:t>
      </w:r>
      <w:r>
        <w:rPr>
          <w:rFonts w:hint="eastAsia" w:ascii="宋体" w:hAnsi="宋体" w:eastAsia="宋体" w:cs="宋体"/>
          <w:b/>
          <w:bCs/>
          <w:color w:val="auto"/>
          <w:szCs w:val="21"/>
          <w:highlight w:val="none"/>
          <w:lang w:val="en-US" w:eastAsia="zh-CN"/>
        </w:rPr>
        <w:t>且不能为0.00或负数</w:t>
      </w:r>
      <w:r>
        <w:rPr>
          <w:rFonts w:hint="eastAsia" w:ascii="宋体" w:hAnsi="宋体" w:eastAsia="宋体" w:cs="宋体"/>
          <w:b/>
          <w:bCs/>
          <w:color w:val="auto"/>
          <w:szCs w:val="21"/>
          <w:highlight w:val="none"/>
          <w:lang w:val="zh-CN"/>
        </w:rPr>
        <w:t>，投标人未按招标文件要求进行监测服务系数报价的，将被视为无效投标。本项目暂定含税</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lang w:val="zh-CN"/>
        </w:rPr>
        <w:t>采购金额为1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230</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val="zh-CN"/>
        </w:rPr>
        <w:t>388.15(大写：</w:t>
      </w:r>
      <w:r>
        <w:rPr>
          <w:rFonts w:hint="eastAsia" w:ascii="宋体" w:hAnsi="宋体" w:eastAsia="宋体" w:cs="宋体"/>
          <w:b/>
          <w:bCs/>
          <w:color w:val="auto"/>
          <w:szCs w:val="21"/>
          <w:highlight w:val="none"/>
          <w:lang w:val="en-US" w:eastAsia="zh-CN"/>
        </w:rPr>
        <w:t>壹佰贰拾叁万零叁佰捌拾捌元壹角伍分</w:t>
      </w:r>
      <w:r>
        <w:rPr>
          <w:rFonts w:hint="eastAsia" w:ascii="宋体" w:hAnsi="宋体" w:eastAsia="宋体" w:cs="宋体"/>
          <w:b/>
          <w:bCs/>
          <w:color w:val="auto"/>
          <w:szCs w:val="21"/>
          <w:highlight w:val="none"/>
          <w:lang w:val="zh-CN"/>
        </w:rPr>
        <w:t>)，暂定</w:t>
      </w:r>
      <w:r>
        <w:rPr>
          <w:rFonts w:hint="eastAsia" w:ascii="宋体" w:hAnsi="宋体" w:eastAsia="宋体" w:cs="宋体"/>
          <w:b/>
          <w:bCs/>
          <w:color w:val="auto"/>
          <w:szCs w:val="21"/>
          <w:highlight w:val="none"/>
          <w:lang w:val="en-US" w:eastAsia="zh-CN"/>
        </w:rPr>
        <w:t>不</w:t>
      </w:r>
      <w:r>
        <w:rPr>
          <w:rFonts w:hint="eastAsia" w:ascii="宋体" w:hAnsi="宋体" w:eastAsia="宋体" w:cs="宋体"/>
          <w:b/>
          <w:bCs/>
          <w:color w:val="auto"/>
          <w:szCs w:val="21"/>
          <w:highlight w:val="none"/>
          <w:lang w:val="zh-CN"/>
        </w:rPr>
        <w:t>含税</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lang w:val="zh-CN"/>
        </w:rPr>
        <w:t>采购金额为1,160,743.54</w:t>
      </w:r>
      <w:r>
        <w:rPr>
          <w:rFonts w:hint="eastAsia" w:ascii="宋体" w:hAnsi="宋体" w:eastAsia="宋体" w:cs="宋体"/>
          <w:b/>
          <w:bCs/>
          <w:color w:val="auto"/>
          <w:szCs w:val="21"/>
          <w:highlight w:val="none"/>
          <w:lang w:val="en-US" w:eastAsia="zh-CN"/>
        </w:rPr>
        <w:t>元</w:t>
      </w:r>
      <w:r>
        <w:rPr>
          <w:rFonts w:hint="eastAsia" w:ascii="宋体" w:hAnsi="宋体" w:eastAsia="宋体" w:cs="宋体"/>
          <w:b/>
          <w:bCs/>
          <w:color w:val="auto"/>
          <w:szCs w:val="21"/>
          <w:highlight w:val="none"/>
          <w:lang w:val="zh-CN"/>
        </w:rPr>
        <w:t>（大写：</w:t>
      </w:r>
      <w:r>
        <w:rPr>
          <w:rFonts w:hint="eastAsia" w:ascii="宋体" w:hAnsi="宋体" w:eastAsia="宋体" w:cs="宋体"/>
          <w:b/>
          <w:bCs/>
          <w:color w:val="auto"/>
          <w:szCs w:val="21"/>
          <w:highlight w:val="none"/>
          <w:lang w:val="en-US" w:eastAsia="zh-CN"/>
        </w:rPr>
        <w:t>壹佰壹拾陆万零柒佰肆拾叁元伍角肆分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183" w:name="_Toc14162"/>
      <w:bookmarkStart w:id="184" w:name="_Toc862"/>
      <w:bookmarkStart w:id="185" w:name="_Toc23240"/>
      <w:bookmarkStart w:id="186" w:name="_Toc450662862"/>
      <w:bookmarkStart w:id="187" w:name="_Toc486167676"/>
      <w:bookmarkStart w:id="188" w:name="_Toc30042_WPSOffice_Level3"/>
      <w:bookmarkStart w:id="189" w:name="_Toc8937"/>
      <w:bookmarkStart w:id="190" w:name="_Toc142508326"/>
      <w:bookmarkStart w:id="191" w:name="_Toc3469"/>
      <w:bookmarkStart w:id="192" w:name="_Toc20312"/>
      <w:r>
        <w:rPr>
          <w:rFonts w:hint="eastAsia" w:ascii="宋体" w:hAnsi="宋体" w:eastAsia="宋体" w:cs="宋体"/>
          <w:b/>
          <w:color w:val="auto"/>
          <w:szCs w:val="21"/>
          <w:highlight w:val="none"/>
          <w:lang w:val="zh-CN"/>
        </w:rPr>
        <w:t>12 投标报价货币</w:t>
      </w:r>
      <w:bookmarkEnd w:id="183"/>
      <w:bookmarkEnd w:id="184"/>
      <w:bookmarkEnd w:id="185"/>
      <w:bookmarkEnd w:id="186"/>
      <w:bookmarkEnd w:id="187"/>
      <w:bookmarkEnd w:id="188"/>
      <w:bookmarkEnd w:id="189"/>
      <w:bookmarkEnd w:id="190"/>
      <w:bookmarkEnd w:id="191"/>
      <w:bookmarkEnd w:id="192"/>
    </w:p>
    <w:p>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本项目投标报价或以投标报价换算的金额采用的币种为人民币，以其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93" w:name="_Toc26780"/>
      <w:bookmarkStart w:id="194" w:name="_Toc450662863"/>
      <w:bookmarkStart w:id="195" w:name="_Toc142508327"/>
      <w:bookmarkStart w:id="196" w:name="_Toc3961"/>
      <w:bookmarkStart w:id="197" w:name="_Toc486167677"/>
      <w:bookmarkStart w:id="198" w:name="_Toc13892"/>
      <w:bookmarkStart w:id="199" w:name="_Toc20031"/>
      <w:bookmarkStart w:id="200" w:name="_Toc1091"/>
      <w:bookmarkStart w:id="201" w:name="_Toc9411_WPSOffice_Level3"/>
      <w:bookmarkStart w:id="202" w:name="_Toc1474"/>
      <w:r>
        <w:rPr>
          <w:rFonts w:hint="eastAsia" w:ascii="宋体" w:hAnsi="宋体" w:eastAsia="宋体" w:cs="宋体"/>
          <w:color w:val="auto"/>
          <w:szCs w:val="21"/>
          <w:highlight w:val="none"/>
          <w:lang w:val="zh-CN"/>
        </w:rPr>
        <w:t>13 证明投标人的合格性和资格的声明文件</w:t>
      </w:r>
      <w:bookmarkEnd w:id="193"/>
      <w:bookmarkEnd w:id="194"/>
      <w:bookmarkEnd w:id="195"/>
      <w:bookmarkEnd w:id="196"/>
      <w:bookmarkEnd w:id="197"/>
      <w:bookmarkEnd w:id="198"/>
      <w:bookmarkEnd w:id="199"/>
      <w:bookmarkEnd w:id="200"/>
      <w:bookmarkEnd w:id="201"/>
      <w:bookmarkEnd w:id="202"/>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03" w:name="_Toc19079"/>
      <w:bookmarkStart w:id="204" w:name="_Toc486167678"/>
      <w:bookmarkStart w:id="205" w:name="_Toc16467"/>
      <w:bookmarkStart w:id="206" w:name="_Toc19787"/>
      <w:bookmarkStart w:id="207" w:name="_Toc450662864"/>
      <w:bookmarkStart w:id="208" w:name="_Toc27771_WPSOffice_Level3"/>
      <w:bookmarkStart w:id="209" w:name="_Toc142508328"/>
      <w:bookmarkStart w:id="210" w:name="_Toc9566"/>
      <w:bookmarkStart w:id="211" w:name="_Toc8615"/>
      <w:bookmarkStart w:id="212" w:name="_Toc29754"/>
      <w:r>
        <w:rPr>
          <w:rFonts w:hint="eastAsia" w:ascii="宋体" w:hAnsi="宋体" w:eastAsia="宋体" w:cs="宋体"/>
          <w:color w:val="auto"/>
          <w:szCs w:val="21"/>
          <w:highlight w:val="none"/>
          <w:lang w:val="zh-CN"/>
        </w:rPr>
        <w:t>14 证明服务的合格性并符合招标文件规定的声明文件</w:t>
      </w:r>
      <w:bookmarkEnd w:id="203"/>
      <w:bookmarkEnd w:id="204"/>
      <w:bookmarkEnd w:id="205"/>
      <w:bookmarkEnd w:id="206"/>
      <w:bookmarkEnd w:id="207"/>
      <w:bookmarkEnd w:id="208"/>
      <w:bookmarkEnd w:id="209"/>
      <w:bookmarkEnd w:id="210"/>
      <w:bookmarkEnd w:id="211"/>
      <w:bookmarkEnd w:id="212"/>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rPr>
          <w:rFonts w:hint="eastAsia"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13" w:name="_Toc18223"/>
      <w:bookmarkStart w:id="214" w:name="_Toc22800"/>
      <w:bookmarkStart w:id="215" w:name="_Toc486167679"/>
      <w:bookmarkStart w:id="216" w:name="_Toc16828"/>
      <w:bookmarkStart w:id="217" w:name="_Toc5356_WPSOffice_Level3"/>
      <w:bookmarkStart w:id="218" w:name="_Toc19254"/>
      <w:bookmarkStart w:id="219" w:name="_Toc142508329"/>
      <w:bookmarkStart w:id="220" w:name="_Toc8644"/>
      <w:bookmarkStart w:id="221" w:name="_Toc30555"/>
      <w:r>
        <w:rPr>
          <w:rFonts w:hint="eastAsia" w:ascii="宋体" w:hAnsi="宋体" w:eastAsia="宋体" w:cs="宋体"/>
          <w:color w:val="auto"/>
          <w:szCs w:val="21"/>
          <w:highlight w:val="none"/>
          <w:lang w:val="zh-CN"/>
        </w:rPr>
        <w:t>15 投标保证金</w:t>
      </w:r>
      <w:bookmarkEnd w:id="213"/>
      <w:bookmarkEnd w:id="214"/>
      <w:bookmarkEnd w:id="215"/>
      <w:bookmarkEnd w:id="216"/>
      <w:bookmarkEnd w:id="217"/>
      <w:bookmarkEnd w:id="218"/>
      <w:bookmarkEnd w:id="219"/>
      <w:bookmarkEnd w:id="220"/>
      <w:bookmarkEnd w:id="221"/>
    </w:p>
    <w:p>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20</w:t>
      </w:r>
      <w:r>
        <w:rPr>
          <w:rFonts w:hint="eastAsia" w:ascii="宋体" w:hAnsi="宋体" w:eastAsia="宋体" w:cs="宋体"/>
          <w:b/>
          <w:bCs/>
          <w:color w:val="auto"/>
          <w:kern w:val="0"/>
          <w:szCs w:val="21"/>
          <w:highlight w:val="none"/>
          <w:u w:val="single"/>
          <w:lang w:val="zh-CN"/>
        </w:rPr>
        <w:t>,000.00元（大写：人民币</w:t>
      </w:r>
      <w:r>
        <w:rPr>
          <w:rFonts w:hint="eastAsia" w:ascii="宋体" w:hAnsi="宋体" w:eastAsia="宋体" w:cs="宋体"/>
          <w:b/>
          <w:bCs/>
          <w:color w:val="auto"/>
          <w:kern w:val="0"/>
          <w:szCs w:val="21"/>
          <w:highlight w:val="none"/>
          <w:u w:val="single"/>
          <w:lang w:val="en-US" w:eastAsia="zh-CN"/>
        </w:rPr>
        <w:t>贰</w:t>
      </w:r>
      <w:r>
        <w:rPr>
          <w:rFonts w:hint="eastAsia" w:ascii="宋体" w:hAnsi="宋体" w:eastAsia="宋体" w:cs="宋体"/>
          <w:b/>
          <w:bCs/>
          <w:color w:val="auto"/>
          <w:kern w:val="0"/>
          <w:szCs w:val="21"/>
          <w:highlight w:val="none"/>
          <w:u w:val="single"/>
          <w:lang w:val="zh-CN"/>
        </w:rPr>
        <w:t>万元整）。</w:t>
      </w:r>
    </w:p>
    <w:p>
      <w:pPr>
        <w:spacing w:line="360" w:lineRule="auto"/>
        <w:ind w:left="315" w:leftChars="-100" w:hanging="525" w:hangingChars="250"/>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开户名称：东莞市水务集团建设管理有限公司</w:t>
      </w:r>
    </w:p>
    <w:p>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开户银行：中国工商银行股份有限公司东莞分行</w:t>
      </w:r>
    </w:p>
    <w:p>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highlight w:val="none"/>
        </w:rPr>
        <w:t>2010021309200628330</w:t>
      </w:r>
    </w:p>
    <w:p>
      <w:pPr>
        <w:spacing w:line="360" w:lineRule="auto"/>
        <w:ind w:left="210" w:leftChars="100" w:firstLine="211" w:firstLineChars="1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的投标人的投标保证金，最迟应在本项目的书面合同签订后5日内，按照其投标保证金支付凭证上注明的收款人名称和账号予以退还，除非投标保证金有效期已延长。</w:t>
      </w:r>
    </w:p>
    <w:p>
      <w:pPr>
        <w:spacing w:line="360" w:lineRule="auto"/>
        <w:ind w:left="357" w:leftChars="-100" w:hanging="567" w:hangingChars="27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22" w:name="_Toc142508330"/>
      <w:bookmarkStart w:id="223" w:name="_Toc450662865"/>
      <w:bookmarkStart w:id="224" w:name="_Toc20994"/>
      <w:bookmarkStart w:id="225" w:name="_Toc29607"/>
      <w:bookmarkStart w:id="226" w:name="_Toc23267"/>
      <w:bookmarkStart w:id="227" w:name="_Toc1458"/>
      <w:bookmarkStart w:id="228" w:name="_Toc15244"/>
      <w:bookmarkStart w:id="229" w:name="_Toc486167680"/>
      <w:bookmarkStart w:id="230" w:name="_Toc19741"/>
      <w:bookmarkStart w:id="231" w:name="_Toc22649_WPSOffice_Level3"/>
      <w:r>
        <w:rPr>
          <w:rFonts w:hint="eastAsia" w:ascii="宋体" w:hAnsi="宋体" w:eastAsia="宋体" w:cs="宋体"/>
          <w:color w:val="auto"/>
          <w:szCs w:val="21"/>
          <w:highlight w:val="none"/>
          <w:lang w:val="zh-CN"/>
        </w:rPr>
        <w:t>16 投标有效期</w:t>
      </w:r>
      <w:bookmarkEnd w:id="222"/>
      <w:bookmarkEnd w:id="223"/>
      <w:bookmarkEnd w:id="224"/>
      <w:bookmarkEnd w:id="225"/>
      <w:bookmarkEnd w:id="226"/>
      <w:bookmarkEnd w:id="227"/>
      <w:bookmarkEnd w:id="228"/>
      <w:bookmarkEnd w:id="229"/>
      <w:bookmarkEnd w:id="230"/>
      <w:bookmarkEnd w:id="231"/>
    </w:p>
    <w:p>
      <w:pPr>
        <w:tabs>
          <w:tab w:val="left" w:pos="567"/>
        </w:tabs>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32" w:name="_Toc15544"/>
      <w:bookmarkStart w:id="233" w:name="_Toc142508331"/>
      <w:bookmarkStart w:id="234" w:name="_Toc28327"/>
      <w:bookmarkStart w:id="235" w:name="_Toc12140"/>
      <w:bookmarkStart w:id="236" w:name="_Toc932"/>
      <w:bookmarkStart w:id="237" w:name="_Toc25637_WPSOffice_Level3"/>
      <w:bookmarkStart w:id="238" w:name="_Toc7031"/>
      <w:bookmarkStart w:id="239" w:name="_Toc450662866"/>
      <w:bookmarkStart w:id="240" w:name="_Toc20422"/>
      <w:bookmarkStart w:id="241" w:name="_Toc486167681"/>
      <w:r>
        <w:rPr>
          <w:rFonts w:hint="eastAsia" w:ascii="宋体" w:hAnsi="宋体" w:eastAsia="宋体" w:cs="宋体"/>
          <w:color w:val="auto"/>
          <w:szCs w:val="21"/>
          <w:highlight w:val="none"/>
          <w:lang w:val="zh-CN"/>
        </w:rPr>
        <w:t>17 投标文件的式样和签署</w:t>
      </w:r>
      <w:bookmarkEnd w:id="232"/>
      <w:bookmarkEnd w:id="233"/>
      <w:bookmarkEnd w:id="234"/>
      <w:bookmarkEnd w:id="235"/>
      <w:bookmarkEnd w:id="236"/>
      <w:bookmarkEnd w:id="237"/>
      <w:bookmarkEnd w:id="238"/>
      <w:bookmarkEnd w:id="239"/>
      <w:bookmarkEnd w:id="240"/>
      <w:bookmarkEnd w:id="241"/>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color w:val="auto"/>
          <w:szCs w:val="21"/>
          <w:highlight w:val="none"/>
          <w:lang w:val="zh-CN"/>
        </w:rPr>
        <w:t>副本文件可由正本文件复印而成。</w:t>
      </w:r>
    </w:p>
    <w:p>
      <w:pPr>
        <w:autoSpaceDE w:val="0"/>
        <w:autoSpaceDN w:val="0"/>
        <w:adjustRightInd w:val="0"/>
        <w:spacing w:line="360" w:lineRule="auto"/>
        <w:ind w:left="357" w:leftChars="-100" w:hanging="567"/>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hint="eastAsia" w:ascii="宋体" w:hAnsi="宋体" w:eastAsia="宋体" w:cs="宋体"/>
          <w:color w:val="auto"/>
          <w:kern w:val="0"/>
          <w:sz w:val="24"/>
          <w:szCs w:val="24"/>
          <w:highlight w:val="none"/>
        </w:rPr>
      </w:pPr>
      <w:bookmarkStart w:id="242" w:name="_Toc450662867"/>
    </w:p>
    <w:p>
      <w:pPr>
        <w:keepNext/>
        <w:keepLines/>
        <w:tabs>
          <w:tab w:val="left" w:pos="509"/>
        </w:tabs>
        <w:autoSpaceDE w:val="0"/>
        <w:autoSpaceDN w:val="0"/>
        <w:adjustRightInd w:val="0"/>
        <w:spacing w:line="360" w:lineRule="auto"/>
        <w:jc w:val="left"/>
        <w:outlineLvl w:val="0"/>
        <w:rPr>
          <w:rFonts w:hint="eastAsia" w:ascii="宋体" w:hAnsi="宋体" w:eastAsia="宋体" w:cs="宋体"/>
          <w:color w:val="auto"/>
          <w:kern w:val="0"/>
          <w:sz w:val="24"/>
          <w:szCs w:val="24"/>
          <w:highlight w:val="none"/>
        </w:rPr>
      </w:pPr>
      <w:bookmarkStart w:id="243" w:name="_Toc486167682"/>
      <w:bookmarkStart w:id="244" w:name="_Toc17199"/>
      <w:bookmarkStart w:id="245" w:name="_Toc26605"/>
      <w:bookmarkStart w:id="246" w:name="_Toc13516"/>
      <w:bookmarkStart w:id="247" w:name="_Toc142508332"/>
      <w:bookmarkStart w:id="248" w:name="_Toc22356_WPSOffice_Level2"/>
      <w:bookmarkStart w:id="249" w:name="_Toc140596891"/>
      <w:bookmarkStart w:id="250" w:name="_Toc11659"/>
      <w:bookmarkStart w:id="251" w:name="_Toc9573"/>
      <w:bookmarkStart w:id="252" w:name="_Toc16145"/>
      <w:r>
        <w:rPr>
          <w:rFonts w:hint="eastAsia" w:ascii="宋体" w:hAnsi="宋体" w:eastAsia="宋体" w:cs="宋体"/>
          <w:b/>
          <w:bCs/>
          <w:color w:val="auto"/>
          <w:kern w:val="44"/>
          <w:szCs w:val="21"/>
          <w:highlight w:val="none"/>
          <w:lang w:val="zh-CN"/>
        </w:rPr>
        <w:t>四、投标文件的递交</w:t>
      </w:r>
      <w:bookmarkEnd w:id="242"/>
      <w:bookmarkEnd w:id="243"/>
      <w:bookmarkEnd w:id="244"/>
      <w:bookmarkEnd w:id="245"/>
      <w:bookmarkEnd w:id="246"/>
      <w:bookmarkEnd w:id="247"/>
      <w:bookmarkEnd w:id="248"/>
      <w:bookmarkEnd w:id="249"/>
      <w:bookmarkEnd w:id="250"/>
      <w:bookmarkEnd w:id="251"/>
      <w:bookmarkEnd w:id="252"/>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53" w:name="_Toc10421"/>
      <w:bookmarkStart w:id="254" w:name="_Toc31551"/>
      <w:bookmarkStart w:id="255" w:name="_Toc31380"/>
      <w:bookmarkStart w:id="256" w:name="_Toc29038"/>
      <w:bookmarkStart w:id="257" w:name="_Toc10366"/>
      <w:bookmarkStart w:id="258" w:name="_Toc486167683"/>
      <w:bookmarkStart w:id="259" w:name="_Toc29885"/>
      <w:bookmarkStart w:id="260" w:name="_Toc12192_WPSOffice_Level3"/>
      <w:bookmarkStart w:id="261" w:name="_Toc142508333"/>
      <w:bookmarkStart w:id="262" w:name="_Toc450662868"/>
      <w:r>
        <w:rPr>
          <w:rFonts w:hint="eastAsia" w:ascii="宋体" w:hAnsi="宋体" w:eastAsia="宋体" w:cs="宋体"/>
          <w:color w:val="auto"/>
          <w:szCs w:val="21"/>
          <w:highlight w:val="none"/>
          <w:lang w:val="zh-CN"/>
        </w:rPr>
        <w:t>18 投标文件的密封和标记</w:t>
      </w:r>
      <w:bookmarkEnd w:id="253"/>
      <w:bookmarkEnd w:id="254"/>
      <w:bookmarkEnd w:id="255"/>
      <w:bookmarkEnd w:id="256"/>
      <w:bookmarkEnd w:id="257"/>
      <w:bookmarkEnd w:id="258"/>
      <w:bookmarkEnd w:id="259"/>
      <w:bookmarkEnd w:id="260"/>
      <w:bookmarkEnd w:id="261"/>
      <w:bookmarkEnd w:id="262"/>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pPr>
        <w:autoSpaceDE w:val="0"/>
        <w:autoSpaceDN w:val="0"/>
        <w:adjustRightInd w:val="0"/>
        <w:spacing w:line="360" w:lineRule="auto"/>
        <w:ind w:left="355" w:leftChars="-101" w:right="15" w:rightChars="7"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pPr>
        <w:tabs>
          <w:tab w:val="left" w:pos="567"/>
        </w:tabs>
        <w:autoSpaceDE w:val="0"/>
        <w:autoSpaceDN w:val="0"/>
        <w:adjustRightInd w:val="0"/>
        <w:spacing w:line="360" w:lineRule="auto"/>
        <w:ind w:right="15" w:rightChars="7" w:firstLine="525" w:firstLineChars="250"/>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63" w:name="_Toc24014"/>
      <w:bookmarkStart w:id="264" w:name="_Toc8889"/>
      <w:bookmarkStart w:id="265" w:name="_Toc29665_WPSOffice_Level3"/>
      <w:bookmarkStart w:id="266" w:name="_Toc12582"/>
      <w:bookmarkStart w:id="267" w:name="_Toc26130"/>
      <w:bookmarkStart w:id="268" w:name="_Toc450662869"/>
      <w:bookmarkStart w:id="269" w:name="_Toc142508334"/>
      <w:bookmarkStart w:id="270" w:name="_Toc23369"/>
      <w:bookmarkStart w:id="271" w:name="_Toc4979"/>
      <w:bookmarkStart w:id="272" w:name="_Toc486167684"/>
      <w:r>
        <w:rPr>
          <w:rFonts w:hint="eastAsia" w:ascii="宋体" w:hAnsi="宋体" w:eastAsia="宋体" w:cs="宋体"/>
          <w:color w:val="auto"/>
          <w:szCs w:val="21"/>
          <w:highlight w:val="none"/>
          <w:lang w:val="zh-CN"/>
        </w:rPr>
        <w:t>19 递交投标文件的截止日期</w:t>
      </w:r>
      <w:bookmarkEnd w:id="263"/>
      <w:bookmarkEnd w:id="264"/>
      <w:bookmarkEnd w:id="265"/>
      <w:bookmarkEnd w:id="266"/>
      <w:bookmarkEnd w:id="267"/>
      <w:bookmarkEnd w:id="268"/>
      <w:bookmarkEnd w:id="269"/>
      <w:bookmarkEnd w:id="270"/>
      <w:bookmarkEnd w:id="271"/>
      <w:bookmarkEnd w:id="272"/>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kern w:val="0"/>
          <w:sz w:val="24"/>
          <w:szCs w:val="24"/>
          <w:highlight w:val="none"/>
        </w:rPr>
      </w:pPr>
      <w:bookmarkStart w:id="273" w:name="_Toc13086"/>
      <w:bookmarkStart w:id="274" w:name="_Toc21327"/>
      <w:bookmarkStart w:id="275" w:name="_Toc20835"/>
      <w:bookmarkStart w:id="276" w:name="_Toc22431_WPSOffice_Level3"/>
      <w:bookmarkStart w:id="277" w:name="_Toc486167685"/>
      <w:bookmarkStart w:id="278" w:name="_Toc14058"/>
      <w:bookmarkStart w:id="279" w:name="_Toc24267"/>
      <w:bookmarkStart w:id="280" w:name="_Toc142508335"/>
      <w:bookmarkStart w:id="281" w:name="_Toc450662870"/>
      <w:bookmarkStart w:id="282" w:name="_Toc30287"/>
      <w:r>
        <w:rPr>
          <w:rFonts w:hint="eastAsia" w:ascii="宋体" w:hAnsi="宋体" w:eastAsia="宋体" w:cs="宋体"/>
          <w:color w:val="auto"/>
          <w:szCs w:val="21"/>
          <w:highlight w:val="none"/>
          <w:lang w:val="zh-CN"/>
        </w:rPr>
        <w:t>20 迟交的投标文件</w:t>
      </w:r>
      <w:bookmarkEnd w:id="273"/>
      <w:bookmarkEnd w:id="274"/>
      <w:bookmarkEnd w:id="275"/>
      <w:bookmarkEnd w:id="276"/>
      <w:bookmarkEnd w:id="277"/>
      <w:bookmarkEnd w:id="278"/>
      <w:bookmarkEnd w:id="279"/>
      <w:bookmarkEnd w:id="280"/>
      <w:bookmarkEnd w:id="281"/>
      <w:bookmarkEnd w:id="282"/>
    </w:p>
    <w:p>
      <w:pPr>
        <w:autoSpaceDE w:val="0"/>
        <w:autoSpaceDN w:val="0"/>
        <w:adjustRightInd w:val="0"/>
        <w:spacing w:line="360" w:lineRule="auto"/>
        <w:ind w:firstLine="315" w:firstLineChars="1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hint="eastAsia"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83" w:name="_Toc3814"/>
      <w:bookmarkStart w:id="284" w:name="_Toc450662871"/>
      <w:bookmarkStart w:id="285" w:name="_Toc486167686"/>
      <w:bookmarkStart w:id="286" w:name="_Toc2400"/>
      <w:bookmarkStart w:id="287" w:name="_Toc27851"/>
      <w:bookmarkStart w:id="288" w:name="_Toc24876"/>
      <w:bookmarkStart w:id="289" w:name="_Toc32449"/>
      <w:bookmarkStart w:id="290" w:name="_Toc4883_WPSOffice_Level3"/>
      <w:bookmarkStart w:id="291" w:name="_Toc142508336"/>
      <w:bookmarkStart w:id="292" w:name="_Toc2878"/>
      <w:r>
        <w:rPr>
          <w:rFonts w:hint="eastAsia" w:ascii="宋体" w:hAnsi="宋体" w:eastAsia="宋体" w:cs="宋体"/>
          <w:color w:val="auto"/>
          <w:szCs w:val="21"/>
          <w:highlight w:val="none"/>
          <w:lang w:val="zh-CN"/>
        </w:rPr>
        <w:t>21 投标文件的修改和撤回</w:t>
      </w:r>
      <w:bookmarkEnd w:id="283"/>
      <w:bookmarkEnd w:id="284"/>
      <w:bookmarkEnd w:id="285"/>
      <w:bookmarkEnd w:id="286"/>
      <w:bookmarkEnd w:id="287"/>
      <w:bookmarkEnd w:id="288"/>
      <w:bookmarkEnd w:id="289"/>
      <w:bookmarkEnd w:id="290"/>
      <w:bookmarkEnd w:id="291"/>
      <w:bookmarkEnd w:id="292"/>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93" w:name="_Toc20695"/>
      <w:bookmarkStart w:id="294" w:name="_Toc142508337"/>
      <w:bookmarkStart w:id="295" w:name="_Toc24015"/>
      <w:bookmarkStart w:id="296" w:name="_Toc140596896"/>
      <w:bookmarkStart w:id="297" w:name="_Toc6402"/>
      <w:bookmarkStart w:id="298" w:name="_Toc20923"/>
      <w:bookmarkStart w:id="299" w:name="_Toc1049_WPSOffice_Level2"/>
      <w:bookmarkStart w:id="300" w:name="_Toc28824"/>
      <w:bookmarkStart w:id="301" w:name="_Toc486167687"/>
      <w:bookmarkStart w:id="302" w:name="_Toc30428"/>
      <w:bookmarkStart w:id="303" w:name="_Toc450662872"/>
      <w:r>
        <w:rPr>
          <w:rFonts w:hint="eastAsia" w:ascii="宋体" w:hAnsi="宋体" w:eastAsia="宋体" w:cs="宋体"/>
          <w:b/>
          <w:bCs/>
          <w:color w:val="auto"/>
          <w:kern w:val="44"/>
          <w:szCs w:val="21"/>
          <w:highlight w:val="none"/>
          <w:lang w:val="zh-CN"/>
        </w:rPr>
        <w:t>五、开标与评标</w:t>
      </w:r>
      <w:bookmarkEnd w:id="293"/>
      <w:bookmarkEnd w:id="294"/>
      <w:bookmarkEnd w:id="295"/>
      <w:bookmarkEnd w:id="296"/>
      <w:bookmarkEnd w:id="297"/>
      <w:bookmarkEnd w:id="298"/>
      <w:bookmarkEnd w:id="299"/>
      <w:bookmarkEnd w:id="300"/>
      <w:bookmarkEnd w:id="301"/>
      <w:bookmarkEnd w:id="302"/>
      <w:bookmarkEnd w:id="303"/>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04" w:name="_Toc18785"/>
      <w:bookmarkStart w:id="305" w:name="_Toc21048"/>
      <w:bookmarkStart w:id="306" w:name="_Toc450662873"/>
      <w:bookmarkStart w:id="307" w:name="_Toc486167688"/>
      <w:bookmarkStart w:id="308" w:name="_Toc29052"/>
      <w:bookmarkStart w:id="309" w:name="_Toc144_WPSOffice_Level3"/>
      <w:bookmarkStart w:id="310" w:name="_Toc32206"/>
      <w:bookmarkStart w:id="311" w:name="_Toc11256"/>
      <w:bookmarkStart w:id="312" w:name="_Toc142508338"/>
      <w:bookmarkStart w:id="313" w:name="_Toc8728"/>
      <w:r>
        <w:rPr>
          <w:rFonts w:hint="eastAsia" w:ascii="宋体" w:hAnsi="宋体" w:eastAsia="宋体" w:cs="宋体"/>
          <w:color w:val="auto"/>
          <w:szCs w:val="21"/>
          <w:highlight w:val="none"/>
          <w:lang w:val="zh-CN"/>
        </w:rPr>
        <w:t>22 开标</w:t>
      </w:r>
      <w:bookmarkEnd w:id="304"/>
      <w:bookmarkEnd w:id="305"/>
      <w:bookmarkEnd w:id="306"/>
      <w:bookmarkEnd w:id="307"/>
      <w:bookmarkEnd w:id="308"/>
      <w:bookmarkEnd w:id="309"/>
      <w:bookmarkEnd w:id="310"/>
      <w:bookmarkEnd w:id="311"/>
      <w:bookmarkEnd w:id="312"/>
      <w:bookmarkEnd w:id="313"/>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14" w:name="_Toc142508339"/>
      <w:bookmarkStart w:id="315" w:name="_Toc450662874"/>
      <w:bookmarkStart w:id="316" w:name="_Toc22060"/>
      <w:bookmarkStart w:id="317" w:name="_Toc24653"/>
      <w:bookmarkStart w:id="318" w:name="_Toc32534"/>
      <w:bookmarkStart w:id="319" w:name="_Toc9267"/>
      <w:bookmarkStart w:id="320" w:name="_Toc23059"/>
      <w:bookmarkStart w:id="321" w:name="_Toc486167689"/>
      <w:bookmarkStart w:id="322" w:name="_Toc12165_WPSOffice_Level3"/>
      <w:bookmarkStart w:id="323" w:name="_Toc23491"/>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314"/>
      <w:bookmarkEnd w:id="315"/>
      <w:bookmarkEnd w:id="316"/>
      <w:bookmarkEnd w:id="317"/>
      <w:bookmarkEnd w:id="318"/>
      <w:bookmarkEnd w:id="319"/>
      <w:bookmarkEnd w:id="320"/>
      <w:bookmarkEnd w:id="321"/>
      <w:bookmarkEnd w:id="322"/>
      <w:bookmarkEnd w:id="323"/>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24" w:name="_Toc800"/>
      <w:bookmarkStart w:id="325" w:name="_Toc142508340"/>
      <w:bookmarkStart w:id="326" w:name="_Toc486167690"/>
      <w:bookmarkStart w:id="327" w:name="_Toc23709"/>
      <w:bookmarkStart w:id="328" w:name="_Toc16920"/>
      <w:bookmarkStart w:id="329" w:name="_Toc17266"/>
      <w:bookmarkStart w:id="330" w:name="_Toc29390"/>
      <w:bookmarkStart w:id="331" w:name="_Toc18693"/>
      <w:bookmarkStart w:id="332" w:name="_Toc450662875"/>
      <w:bookmarkStart w:id="333" w:name="_Toc15565_WPSOffice_Level3"/>
      <w:r>
        <w:rPr>
          <w:rFonts w:hint="eastAsia" w:ascii="宋体" w:hAnsi="宋体" w:eastAsia="宋体" w:cs="宋体"/>
          <w:color w:val="auto"/>
          <w:szCs w:val="21"/>
          <w:highlight w:val="none"/>
          <w:lang w:val="zh-CN"/>
        </w:rPr>
        <w:t>24 评标委员会</w:t>
      </w:r>
      <w:bookmarkEnd w:id="324"/>
      <w:bookmarkEnd w:id="325"/>
      <w:bookmarkEnd w:id="326"/>
      <w:bookmarkEnd w:id="327"/>
      <w:bookmarkEnd w:id="328"/>
      <w:bookmarkEnd w:id="329"/>
      <w:bookmarkEnd w:id="330"/>
      <w:bookmarkEnd w:id="331"/>
      <w:bookmarkEnd w:id="332"/>
      <w:bookmarkEnd w:id="333"/>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334" w:name="_Toc22061"/>
      <w:bookmarkStart w:id="335" w:name="_Toc8908"/>
      <w:bookmarkStart w:id="336" w:name="_Toc18668"/>
      <w:bookmarkStart w:id="337" w:name="_Toc486167691"/>
      <w:bookmarkStart w:id="338" w:name="_Toc12715"/>
      <w:bookmarkStart w:id="339" w:name="_Toc14477"/>
      <w:bookmarkStart w:id="340" w:name="_Toc28910_WPSOffice_Level3"/>
      <w:bookmarkStart w:id="341" w:name="_Toc450662876"/>
      <w:bookmarkStart w:id="342" w:name="_Toc142508341"/>
      <w:bookmarkStart w:id="343" w:name="_Toc18684"/>
      <w:r>
        <w:rPr>
          <w:rFonts w:hint="eastAsia" w:ascii="宋体" w:hAnsi="宋体" w:eastAsia="宋体" w:cs="宋体"/>
          <w:b/>
          <w:color w:val="auto"/>
          <w:szCs w:val="21"/>
          <w:highlight w:val="none"/>
          <w:lang w:val="zh-CN"/>
        </w:rPr>
        <w:t>25 投标文件的初审</w:t>
      </w:r>
      <w:bookmarkEnd w:id="334"/>
      <w:bookmarkEnd w:id="335"/>
      <w:bookmarkEnd w:id="336"/>
      <w:bookmarkEnd w:id="337"/>
      <w:bookmarkEnd w:id="338"/>
      <w:bookmarkEnd w:id="339"/>
      <w:bookmarkEnd w:id="340"/>
      <w:bookmarkEnd w:id="341"/>
      <w:bookmarkEnd w:id="342"/>
      <w:bookmarkEnd w:id="343"/>
    </w:p>
    <w:p>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44" w:name="_Toc142508342"/>
      <w:bookmarkStart w:id="345" w:name="_Toc19456"/>
      <w:bookmarkStart w:id="346" w:name="_Toc338_WPSOffice_Level3"/>
      <w:bookmarkStart w:id="347" w:name="_Toc18627"/>
      <w:bookmarkStart w:id="348" w:name="_Toc4837"/>
      <w:bookmarkStart w:id="349" w:name="_Toc486167692"/>
      <w:bookmarkStart w:id="350" w:name="_Toc4498"/>
      <w:bookmarkStart w:id="351" w:name="_Toc450662877"/>
      <w:bookmarkStart w:id="352" w:name="_Toc13738"/>
      <w:bookmarkStart w:id="353" w:name="_Toc30225"/>
      <w:r>
        <w:rPr>
          <w:rFonts w:hint="eastAsia" w:ascii="宋体" w:hAnsi="宋体" w:eastAsia="宋体" w:cs="宋体"/>
          <w:color w:val="auto"/>
          <w:szCs w:val="21"/>
          <w:highlight w:val="none"/>
          <w:lang w:val="zh-CN"/>
        </w:rPr>
        <w:t>26 投标文件的澄清</w:t>
      </w:r>
      <w:bookmarkEnd w:id="344"/>
      <w:bookmarkEnd w:id="345"/>
      <w:bookmarkEnd w:id="346"/>
      <w:bookmarkEnd w:id="347"/>
      <w:bookmarkEnd w:id="348"/>
      <w:bookmarkEnd w:id="349"/>
      <w:bookmarkEnd w:id="350"/>
      <w:bookmarkEnd w:id="351"/>
      <w:bookmarkEnd w:id="352"/>
      <w:bookmarkEnd w:id="353"/>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35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354"/>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55" w:name="_Toc18368_WPSOffice_Level3"/>
      <w:bookmarkStart w:id="356" w:name="_Toc6970"/>
      <w:bookmarkStart w:id="357" w:name="_Toc522047355"/>
      <w:bookmarkStart w:id="358" w:name="_Toc15392"/>
      <w:bookmarkStart w:id="359" w:name="_Toc12150"/>
      <w:bookmarkStart w:id="360" w:name="_Toc14811"/>
      <w:bookmarkStart w:id="361" w:name="_Toc521918096"/>
      <w:bookmarkStart w:id="362" w:name="_Toc10967"/>
      <w:bookmarkStart w:id="363" w:name="_Toc142508343"/>
      <w:bookmarkStart w:id="364" w:name="_Toc22065"/>
      <w:r>
        <w:rPr>
          <w:rFonts w:hint="eastAsia" w:ascii="宋体" w:hAnsi="宋体" w:eastAsia="宋体" w:cs="宋体"/>
          <w:color w:val="auto"/>
          <w:szCs w:val="21"/>
          <w:highlight w:val="none"/>
          <w:lang w:val="zh-CN"/>
        </w:rPr>
        <w:t>27 对投标文件的比较和评价</w:t>
      </w:r>
      <w:bookmarkEnd w:id="355"/>
      <w:bookmarkEnd w:id="356"/>
      <w:bookmarkEnd w:id="357"/>
      <w:bookmarkEnd w:id="358"/>
      <w:bookmarkEnd w:id="359"/>
      <w:bookmarkEnd w:id="360"/>
      <w:bookmarkEnd w:id="361"/>
      <w:bookmarkEnd w:id="362"/>
      <w:bookmarkEnd w:id="363"/>
      <w:bookmarkEnd w:id="364"/>
    </w:p>
    <w:p>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365" w:name="_Toc521918097"/>
      <w:bookmarkStart w:id="366" w:name="_Toc522047356"/>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67" w:name="_Toc27026"/>
      <w:bookmarkStart w:id="368" w:name="_Toc16829"/>
      <w:bookmarkStart w:id="369" w:name="_Toc14804"/>
      <w:bookmarkStart w:id="370" w:name="_Toc20628"/>
      <w:bookmarkStart w:id="371" w:name="_Toc7000"/>
      <w:bookmarkStart w:id="372" w:name="_Toc142508344"/>
      <w:bookmarkStart w:id="373" w:name="_Toc1499"/>
      <w:bookmarkStart w:id="374" w:name="_Toc21460_WPSOffice_Level3"/>
      <w:r>
        <w:rPr>
          <w:rFonts w:hint="eastAsia" w:ascii="宋体" w:hAnsi="宋体" w:eastAsia="宋体" w:cs="宋体"/>
          <w:color w:val="auto"/>
          <w:szCs w:val="21"/>
          <w:highlight w:val="none"/>
          <w:lang w:val="zh-CN"/>
        </w:rPr>
        <w:t>28 评标原则及方法</w:t>
      </w:r>
      <w:bookmarkEnd w:id="365"/>
      <w:bookmarkEnd w:id="366"/>
      <w:bookmarkEnd w:id="367"/>
      <w:bookmarkEnd w:id="368"/>
      <w:bookmarkEnd w:id="369"/>
      <w:bookmarkEnd w:id="370"/>
      <w:bookmarkEnd w:id="371"/>
      <w:bookmarkEnd w:id="372"/>
      <w:bookmarkEnd w:id="373"/>
      <w:bookmarkEnd w:id="374"/>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b/>
          <w:bCs/>
          <w:color w:val="auto"/>
          <w:kern w:val="2"/>
          <w:sz w:val="21"/>
          <w:szCs w:val="21"/>
          <w:highlight w:val="none"/>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本次招标过程中有效投标人不足三个时，公开招标失败。本项目根据以下情况可以现场转换采购方式继续采购：</w:t>
      </w:r>
    </w:p>
    <w:p>
      <w:pPr>
        <w:spacing w:line="360" w:lineRule="auto"/>
        <w:ind w:left="542" w:hanging="541" w:hangingChars="25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（1）当有效投标人只有2个时，</w:t>
      </w:r>
      <w:r>
        <w:rPr>
          <w:rFonts w:hint="eastAsia" w:ascii="宋体" w:hAnsi="宋体" w:eastAsia="宋体" w:cs="宋体"/>
          <w:b/>
          <w:bCs/>
          <w:color w:val="auto"/>
          <w:sz w:val="21"/>
          <w:szCs w:val="21"/>
          <w:highlight w:val="none"/>
          <w:lang w:val="en-US" w:eastAsia="zh-CN"/>
        </w:rPr>
        <w:t>经评标委员会论证，采购文件没有不合理条款、采购程序符合规定的，</w:t>
      </w:r>
      <w:r>
        <w:rPr>
          <w:rFonts w:hint="eastAsia" w:ascii="宋体" w:hAnsi="宋体" w:eastAsia="宋体" w:cs="宋体"/>
          <w:color w:val="auto"/>
          <w:kern w:val="2"/>
          <w:sz w:val="21"/>
          <w:szCs w:val="21"/>
          <w:highlight w:val="none"/>
        </w:rPr>
        <w:t>经招标人和作出实质性响应的投标人代表同意后，现场更改为竞争性谈判的方式继续采购。</w:t>
      </w:r>
    </w:p>
    <w:p>
      <w:pPr>
        <w:spacing w:line="360" w:lineRule="auto"/>
        <w:ind w:left="542" w:hanging="541" w:hangingChars="25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（2）若有效投标人只有1个时，经评标委员会论证，采购文件没有不合理条款、采购程序符合规定的，经招标人和作出实质性响应的投标人代表同意后，现场更改为单一来源的方式继续采购。</w:t>
      </w:r>
    </w:p>
    <w:p>
      <w:pPr>
        <w:spacing w:line="360" w:lineRule="auto"/>
        <w:ind w:left="542" w:hanging="541" w:hangingChars="258"/>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rPr>
        <w:t>（3）若上述两种情况下不同意转换采购方式，退出投标的投标人，投标保证金按本须知15.5款的规定退还。</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75" w:name="_Toc11615"/>
      <w:bookmarkStart w:id="376" w:name="_Toc486167694"/>
      <w:bookmarkStart w:id="377" w:name="_Toc4819"/>
      <w:bookmarkStart w:id="378" w:name="_Toc29588"/>
      <w:bookmarkStart w:id="379" w:name="_Toc466882017"/>
      <w:bookmarkStart w:id="380" w:name="_Toc465358969"/>
      <w:bookmarkStart w:id="381" w:name="_Toc1488"/>
      <w:bookmarkStart w:id="382" w:name="_Toc142508345"/>
      <w:bookmarkStart w:id="383" w:name="_Toc28069"/>
      <w:bookmarkStart w:id="384" w:name="_Toc23710"/>
      <w:bookmarkStart w:id="385" w:name="_Toc32498_WPSOffice_Level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375"/>
      <w:bookmarkEnd w:id="376"/>
      <w:bookmarkEnd w:id="377"/>
      <w:bookmarkEnd w:id="378"/>
      <w:bookmarkEnd w:id="379"/>
      <w:bookmarkEnd w:id="380"/>
      <w:bookmarkEnd w:id="381"/>
      <w:bookmarkEnd w:id="382"/>
      <w:bookmarkEnd w:id="383"/>
      <w:bookmarkEnd w:id="384"/>
      <w:bookmarkEnd w:id="385"/>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jc w:val="both"/>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pPr>
        <w:autoSpaceDE w:val="0"/>
        <w:autoSpaceDN w:val="0"/>
        <w:adjustRightInd w:val="0"/>
        <w:snapToGrid w:val="0"/>
        <w:spacing w:line="360" w:lineRule="auto"/>
        <w:ind w:left="246" w:leftChars="117" w:firstLine="422" w:firstLineChars="200"/>
        <w:jc w:val="both"/>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color w:val="auto"/>
          <w:szCs w:val="21"/>
          <w:highlight w:val="none"/>
          <w:lang w:val="zh-CN"/>
        </w:rPr>
      </w:pPr>
      <w:bookmarkStart w:id="386" w:name="_Toc142508346"/>
      <w:bookmarkStart w:id="387" w:name="_Toc465358970"/>
      <w:bookmarkStart w:id="388" w:name="_Toc1848_WPSOffice_Level3"/>
      <w:bookmarkStart w:id="389" w:name="_Toc3154"/>
      <w:bookmarkStart w:id="390" w:name="_Toc2827"/>
      <w:bookmarkStart w:id="391" w:name="_Toc486167695"/>
      <w:bookmarkStart w:id="392" w:name="_Toc5636"/>
      <w:bookmarkStart w:id="393" w:name="_Toc20029"/>
      <w:bookmarkStart w:id="394" w:name="_Toc2077"/>
      <w:bookmarkStart w:id="395" w:name="_Toc26354"/>
      <w:bookmarkStart w:id="396" w:name="_Toc46688201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86"/>
      <w:bookmarkEnd w:id="387"/>
      <w:bookmarkEnd w:id="388"/>
      <w:bookmarkEnd w:id="389"/>
      <w:bookmarkEnd w:id="390"/>
      <w:bookmarkEnd w:id="391"/>
      <w:bookmarkEnd w:id="392"/>
      <w:bookmarkEnd w:id="393"/>
      <w:bookmarkEnd w:id="394"/>
      <w:bookmarkEnd w:id="395"/>
      <w:bookmarkEnd w:id="396"/>
    </w:p>
    <w:p>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397" w:name="_Toc465358971"/>
      <w:bookmarkStart w:id="398" w:name="_Toc466882019"/>
    </w:p>
    <w:p>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color w:val="auto"/>
          <w:szCs w:val="21"/>
          <w:highlight w:val="none"/>
          <w:lang w:val="zh-CN"/>
        </w:rPr>
      </w:pPr>
      <w:bookmarkStart w:id="399" w:name="_Toc12707"/>
      <w:bookmarkStart w:id="400" w:name="_Toc142508347"/>
      <w:bookmarkStart w:id="401" w:name="_Toc26345"/>
      <w:bookmarkStart w:id="402" w:name="_Toc23672"/>
      <w:bookmarkStart w:id="403" w:name="_Toc32404"/>
      <w:bookmarkStart w:id="404" w:name="_Toc10867_WPSOffice_Level3"/>
      <w:bookmarkStart w:id="405" w:name="_Toc486167696"/>
      <w:bookmarkStart w:id="406" w:name="_Toc8654"/>
      <w:bookmarkStart w:id="407" w:name="_Toc1581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97"/>
      <w:bookmarkEnd w:id="398"/>
      <w:bookmarkEnd w:id="399"/>
      <w:bookmarkEnd w:id="400"/>
      <w:bookmarkEnd w:id="401"/>
      <w:bookmarkEnd w:id="402"/>
      <w:bookmarkEnd w:id="403"/>
      <w:bookmarkEnd w:id="404"/>
      <w:bookmarkEnd w:id="405"/>
      <w:bookmarkEnd w:id="406"/>
      <w:bookmarkEnd w:id="407"/>
    </w:p>
    <w:p>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bookmarkStart w:id="408" w:name="_Toc450662880"/>
    </w:p>
    <w:p>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409" w:name="_Toc486167697"/>
      <w:bookmarkStart w:id="410" w:name="_Toc17602"/>
      <w:bookmarkStart w:id="411" w:name="_Toc1082"/>
      <w:bookmarkStart w:id="412" w:name="_Toc16848_WPSOffice_Level2"/>
      <w:bookmarkStart w:id="413" w:name="_Toc142508348"/>
      <w:bookmarkStart w:id="414" w:name="_Toc11941"/>
      <w:bookmarkStart w:id="415" w:name="_Toc140596907"/>
      <w:bookmarkStart w:id="416" w:name="_Toc27936"/>
      <w:bookmarkStart w:id="417" w:name="_Toc27318"/>
      <w:bookmarkStart w:id="418" w:name="_Toc16789"/>
      <w:r>
        <w:rPr>
          <w:rFonts w:hint="eastAsia" w:ascii="宋体" w:hAnsi="宋体" w:eastAsia="宋体" w:cs="宋体"/>
          <w:b/>
          <w:bCs/>
          <w:color w:val="auto"/>
          <w:kern w:val="44"/>
          <w:szCs w:val="21"/>
          <w:highlight w:val="none"/>
          <w:lang w:val="zh-CN"/>
        </w:rPr>
        <w:t>六、授予合同</w:t>
      </w:r>
      <w:bookmarkEnd w:id="408"/>
      <w:bookmarkEnd w:id="409"/>
      <w:bookmarkEnd w:id="410"/>
      <w:bookmarkEnd w:id="411"/>
      <w:bookmarkEnd w:id="412"/>
      <w:bookmarkEnd w:id="413"/>
      <w:bookmarkEnd w:id="414"/>
      <w:bookmarkEnd w:id="415"/>
      <w:bookmarkEnd w:id="416"/>
      <w:bookmarkEnd w:id="417"/>
      <w:bookmarkEnd w:id="418"/>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19" w:name="_Toc9067"/>
      <w:bookmarkStart w:id="420" w:name="_Toc19150"/>
      <w:bookmarkStart w:id="421" w:name="_Toc6401_WPSOffice_Level3"/>
      <w:bookmarkStart w:id="422" w:name="_Toc29383"/>
      <w:bookmarkStart w:id="423" w:name="_Toc31859"/>
      <w:bookmarkStart w:id="424" w:name="_Toc31713"/>
      <w:bookmarkStart w:id="425" w:name="_Toc142508349"/>
      <w:bookmarkStart w:id="426" w:name="_Toc11484"/>
      <w:bookmarkStart w:id="427" w:name="_Toc450662881"/>
      <w:bookmarkStart w:id="428" w:name="_Toc486167698"/>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419"/>
      <w:bookmarkEnd w:id="420"/>
      <w:bookmarkEnd w:id="421"/>
      <w:bookmarkEnd w:id="422"/>
      <w:bookmarkEnd w:id="423"/>
      <w:bookmarkEnd w:id="424"/>
      <w:bookmarkEnd w:id="425"/>
      <w:bookmarkEnd w:id="426"/>
      <w:bookmarkEnd w:id="427"/>
      <w:bookmarkEnd w:id="428"/>
    </w:p>
    <w:p>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29" w:name="_Toc450662885"/>
    </w:p>
    <w:p>
      <w:pPr>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30" w:name="_Toc8196"/>
      <w:bookmarkStart w:id="431" w:name="_Toc10554"/>
      <w:bookmarkStart w:id="432" w:name="_Toc18984"/>
      <w:bookmarkStart w:id="433" w:name="_Toc14377"/>
      <w:bookmarkStart w:id="434" w:name="_Toc21982"/>
      <w:bookmarkStart w:id="435" w:name="_Toc14967"/>
      <w:bookmarkStart w:id="436" w:name="_Toc6726_WPSOffice_Level3"/>
      <w:bookmarkStart w:id="437" w:name="_Toc142508350"/>
      <w:bookmarkStart w:id="438" w:name="_Toc486167699"/>
      <w:r>
        <w:rPr>
          <w:rFonts w:hint="eastAsia" w:ascii="宋体" w:hAnsi="宋体" w:eastAsia="宋体" w:cs="宋体"/>
          <w:color w:val="auto"/>
          <w:szCs w:val="21"/>
          <w:highlight w:val="none"/>
          <w:lang w:val="zh-CN"/>
        </w:rPr>
        <w:t>33 中标通知</w:t>
      </w:r>
      <w:bookmarkEnd w:id="429"/>
      <w:bookmarkEnd w:id="430"/>
      <w:bookmarkEnd w:id="431"/>
      <w:bookmarkEnd w:id="432"/>
      <w:bookmarkEnd w:id="433"/>
      <w:bookmarkEnd w:id="434"/>
      <w:bookmarkEnd w:id="435"/>
      <w:bookmarkEnd w:id="436"/>
      <w:bookmarkEnd w:id="437"/>
      <w:bookmarkEnd w:id="438"/>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39"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40" w:name="_Toc486167700"/>
      <w:bookmarkStart w:id="441" w:name="_Toc1485"/>
      <w:bookmarkStart w:id="442" w:name="_Toc142508351"/>
      <w:bookmarkStart w:id="443" w:name="_Toc1331"/>
      <w:bookmarkStart w:id="444" w:name="_Toc28020"/>
      <w:bookmarkStart w:id="445" w:name="_Toc3657"/>
      <w:bookmarkStart w:id="446" w:name="_Toc19127"/>
      <w:bookmarkStart w:id="447" w:name="_Toc9694_WPSOffice_Level3"/>
      <w:bookmarkStart w:id="448" w:name="_Toc9691"/>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439"/>
      <w:bookmarkEnd w:id="440"/>
      <w:bookmarkEnd w:id="441"/>
      <w:bookmarkEnd w:id="442"/>
      <w:bookmarkEnd w:id="443"/>
      <w:bookmarkEnd w:id="444"/>
      <w:bookmarkEnd w:id="445"/>
      <w:bookmarkEnd w:id="446"/>
      <w:bookmarkEnd w:id="447"/>
      <w:bookmarkEnd w:id="448"/>
    </w:p>
    <w:p>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49" w:name="_Toc5304"/>
      <w:bookmarkStart w:id="450" w:name="_Toc486167701"/>
      <w:bookmarkStart w:id="451" w:name="_Toc18442"/>
      <w:bookmarkStart w:id="452" w:name="_Toc3830"/>
      <w:bookmarkStart w:id="453" w:name="_Toc450662887"/>
      <w:bookmarkStart w:id="454" w:name="_Toc26455"/>
      <w:bookmarkStart w:id="455" w:name="_Toc10453"/>
      <w:bookmarkStart w:id="456" w:name="_Toc8181"/>
      <w:bookmarkStart w:id="457" w:name="_Toc10513_WPSOffice_Level3"/>
      <w:bookmarkStart w:id="458" w:name="_Toc142508352"/>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449"/>
      <w:bookmarkEnd w:id="450"/>
      <w:bookmarkEnd w:id="451"/>
      <w:bookmarkEnd w:id="452"/>
      <w:bookmarkEnd w:id="453"/>
      <w:bookmarkEnd w:id="454"/>
      <w:bookmarkEnd w:id="455"/>
      <w:bookmarkEnd w:id="456"/>
      <w:bookmarkEnd w:id="457"/>
      <w:bookmarkEnd w:id="458"/>
    </w:p>
    <w:p>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color w:val="auto"/>
          <w:szCs w:val="21"/>
          <w:highlight w:val="none"/>
          <w:lang w:val="zh-CN"/>
        </w:rPr>
      </w:pPr>
      <w:bookmarkStart w:id="459" w:name="_Toc466882025"/>
      <w:bookmarkStart w:id="460"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其中，采用履约保证金（银行转账形式）的金额为暂定总合同价（含税）的5%，采用不可撤销银行履约保函形式的金额为暂定总合同价（含税）的8%，采用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形式的金额为暂定总合同价（含税）的8%，采用担保公司履约担保书形式的金额为暂定总合同价（含税）的10%。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履约担保书），须事先经招标人的书面同意。</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到期后中标人未按招标人要求重新提供的，招标人有权要求中标人以履约担保金额为限承担违约金，违约金可直接从未付采购合同费用中扣除。</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（6）不可撤销银行履约保函（或履约保证保险或担保公司履约担保书）应从合同签订之日起至合同期限届满并履行完毕相关服务义务且结算完毕之后二十八（28）个日历天内保持有效。</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开户名称：东莞市水务集团建设管理有限公司</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银行账号：2010021309200628330</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pPr>
        <w:autoSpaceDE w:val="0"/>
        <w:autoSpaceDN w:val="0"/>
        <w:adjustRightInd w:val="0"/>
        <w:spacing w:line="360" w:lineRule="auto"/>
        <w:ind w:left="420" w:leftChars="-100" w:hanging="630" w:hanging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后二十八（28）个日历天后，经招标人确认，中标人可向招标人提交退回履约担保的申请。招标人审核无异议后，办理履约担保退还手续，退回时一律以银行转账的形式无息退回到中标人的账户。</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61" w:name="_Toc486167702"/>
      <w:bookmarkStart w:id="462" w:name="_Toc23546"/>
      <w:bookmarkStart w:id="463" w:name="_Toc15620"/>
      <w:bookmarkStart w:id="464" w:name="_Toc10548"/>
      <w:bookmarkStart w:id="465" w:name="_Toc4472"/>
      <w:bookmarkStart w:id="466" w:name="_Toc9976"/>
      <w:bookmarkStart w:id="467" w:name="_Toc27162"/>
      <w:bookmarkStart w:id="468" w:name="_Toc14250835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59"/>
      <w:bookmarkEnd w:id="460"/>
      <w:bookmarkEnd w:id="461"/>
      <w:bookmarkEnd w:id="462"/>
      <w:bookmarkEnd w:id="463"/>
      <w:bookmarkEnd w:id="464"/>
      <w:bookmarkEnd w:id="465"/>
      <w:bookmarkEnd w:id="466"/>
      <w:bookmarkEnd w:id="467"/>
      <w:bookmarkEnd w:id="468"/>
    </w:p>
    <w:p>
      <w:pPr>
        <w:autoSpaceDE w:val="0"/>
        <w:autoSpaceDN w:val="0"/>
        <w:adjustRightInd w:val="0"/>
        <w:spacing w:line="360" w:lineRule="auto"/>
        <w:ind w:left="328" w:leftChars="-114"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69" w:name="_Toc450662888"/>
    </w:p>
    <w:p>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70" w:name="_Toc23218"/>
      <w:bookmarkStart w:id="471" w:name="_Toc28921_WPSOffice_Level3"/>
      <w:bookmarkStart w:id="472" w:name="_Toc26429"/>
      <w:bookmarkStart w:id="473" w:name="_Toc15951"/>
      <w:bookmarkStart w:id="474" w:name="_Toc2401"/>
      <w:bookmarkStart w:id="475" w:name="_Toc142508354"/>
      <w:bookmarkStart w:id="476" w:name="_Toc12779"/>
      <w:bookmarkStart w:id="477" w:name="_Toc486167703"/>
      <w:bookmarkStart w:id="478" w:name="_Toc23134"/>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469"/>
      <w:bookmarkEnd w:id="470"/>
      <w:bookmarkEnd w:id="471"/>
      <w:bookmarkEnd w:id="472"/>
      <w:bookmarkEnd w:id="473"/>
      <w:bookmarkEnd w:id="474"/>
      <w:bookmarkEnd w:id="475"/>
      <w:bookmarkEnd w:id="476"/>
      <w:bookmarkEnd w:id="477"/>
      <w:bookmarkEnd w:id="478"/>
    </w:p>
    <w:p>
      <w:pPr>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w:t>
      </w:r>
      <w:r>
        <w:rPr>
          <w:rFonts w:hint="eastAsia" w:ascii="宋体" w:hAnsi="宋体" w:eastAsia="宋体" w:cs="宋体"/>
          <w:color w:val="auto"/>
          <w:szCs w:val="21"/>
          <w:highlight w:val="none"/>
          <w:lang w:val="en-US" w:eastAsia="zh-CN"/>
        </w:rPr>
        <w:t>项目业主</w:t>
      </w:r>
      <w:r>
        <w:rPr>
          <w:rFonts w:hint="eastAsia" w:ascii="宋体" w:hAnsi="宋体" w:eastAsia="宋体" w:cs="宋体"/>
          <w:color w:val="auto"/>
          <w:szCs w:val="21"/>
          <w:highlight w:val="none"/>
          <w:lang w:val="zh-CN"/>
        </w:rPr>
        <w:t>向招标代理机构支付。</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79" w:name="_Toc450662889"/>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80" w:name="_Toc142508355"/>
      <w:bookmarkStart w:id="481" w:name="_Toc486167704"/>
      <w:bookmarkStart w:id="482" w:name="_Toc29769"/>
      <w:bookmarkStart w:id="483" w:name="_Toc21757"/>
      <w:bookmarkStart w:id="484" w:name="_Toc8171"/>
      <w:bookmarkStart w:id="485" w:name="_Toc6796"/>
      <w:bookmarkStart w:id="486" w:name="_Toc6764_WPSOffice_Level3"/>
      <w:bookmarkStart w:id="487" w:name="_Toc21985"/>
      <w:bookmarkStart w:id="488" w:name="_Toc30509"/>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79"/>
      <w:bookmarkEnd w:id="480"/>
      <w:bookmarkEnd w:id="481"/>
      <w:bookmarkEnd w:id="482"/>
      <w:bookmarkEnd w:id="483"/>
      <w:bookmarkEnd w:id="484"/>
      <w:bookmarkEnd w:id="485"/>
      <w:bookmarkEnd w:id="486"/>
      <w:bookmarkEnd w:id="487"/>
      <w:bookmarkEnd w:id="488"/>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89" w:name="_Toc31106_WPSOffice_Level3"/>
      <w:bookmarkStart w:id="490" w:name="_Toc486167705"/>
      <w:r>
        <w:rPr>
          <w:rFonts w:hint="eastAsia" w:ascii="宋体" w:hAnsi="宋体" w:eastAsia="宋体" w:cs="宋体"/>
          <w:color w:val="auto"/>
          <w:szCs w:val="21"/>
          <w:highlight w:val="none"/>
          <w:lang w:val="zh-CN"/>
        </w:rPr>
        <w:t>该项目获得中标的中标人在执行合同过程中，向项目业主出具的发票必须是由中标人开具，不得以其他单位或个人名义出具，本项目中标人向项目业主出具的发票类型为增值税专用发票。</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rPr>
      </w:pPr>
      <w:bookmarkStart w:id="491" w:name="_Toc142508356"/>
      <w:bookmarkStart w:id="492" w:name="_Toc17738"/>
      <w:bookmarkStart w:id="493" w:name="_Toc24547"/>
      <w:bookmarkStart w:id="494" w:name="_Toc8619"/>
      <w:bookmarkStart w:id="495" w:name="_Toc27075"/>
      <w:bookmarkStart w:id="496" w:name="_Toc13371"/>
      <w:bookmarkStart w:id="497" w:name="_Toc31355"/>
      <w:r>
        <w:rPr>
          <w:rFonts w:hint="eastAsia" w:ascii="宋体" w:hAnsi="宋体" w:eastAsia="宋体" w:cs="宋体"/>
          <w:b/>
          <w:color w:val="auto"/>
          <w:szCs w:val="21"/>
          <w:highlight w:val="none"/>
        </w:rPr>
        <w:t>39 招标相关补充约定</w:t>
      </w:r>
      <w:bookmarkEnd w:id="491"/>
      <w:bookmarkEnd w:id="492"/>
      <w:bookmarkEnd w:id="493"/>
      <w:bookmarkEnd w:id="494"/>
      <w:bookmarkEnd w:id="495"/>
      <w:bookmarkEnd w:id="496"/>
      <w:bookmarkEnd w:id="497"/>
    </w:p>
    <w:p>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w:t>
      </w:r>
      <w:r>
        <w:rPr>
          <w:rFonts w:hint="eastAsia" w:ascii="宋体" w:hAnsi="宋体" w:eastAsia="宋体" w:cs="宋体"/>
          <w:b/>
          <w:color w:val="auto"/>
          <w:szCs w:val="21"/>
          <w:highlight w:val="none"/>
          <w:lang w:val="en-US" w:eastAsia="zh-CN"/>
        </w:rPr>
        <w:t>当天</w:t>
      </w:r>
      <w:r>
        <w:rPr>
          <w:rFonts w:hint="eastAsia" w:ascii="宋体" w:hAnsi="宋体" w:eastAsia="宋体" w:cs="宋体"/>
          <w:b/>
          <w:color w:val="auto"/>
          <w:szCs w:val="21"/>
          <w:highlight w:val="non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lang w:val="en-US" w:eastAsia="zh-CN"/>
        </w:rPr>
        <w:t>开标当天查询</w:t>
      </w:r>
      <w:r>
        <w:rPr>
          <w:rFonts w:hint="eastAsia" w:ascii="宋体" w:hAnsi="宋体" w:eastAsia="宋体" w:cs="宋体"/>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 xml:space="preserve"> 已参与本工程的勘察设计单位、施工单位、施工监理单位（包括与该单位法定代表人或负责人为同一人的单位，或者与该单位存在控股、管理关系的单位）不得参与</w:t>
      </w: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val="zh-CN"/>
        </w:rPr>
        <w:t>监测项目投标。</w:t>
      </w:r>
    </w:p>
    <w:p>
      <w:pPr>
        <w:pStyle w:val="127"/>
        <w:numPr>
          <w:ilvl w:val="255"/>
          <w:numId w:val="0"/>
        </w:numPr>
        <w:tabs>
          <w:tab w:val="left" w:pos="426"/>
        </w:tabs>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本工程相关参建单位统计表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3"/>
        <w:gridCol w:w="1742"/>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restart"/>
            <w:vAlign w:val="center"/>
          </w:tcPr>
          <w:p>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eastAsia="zh-CN"/>
              </w:rPr>
            </w:pPr>
            <w:r>
              <w:rPr>
                <w:rFonts w:hint="eastAsia" w:ascii="宋体" w:hAnsi="宋体" w:eastAsia="宋体" w:cs="宋体"/>
                <w:b/>
                <w:bCs/>
                <w:color w:val="auto"/>
                <w:sz w:val="21"/>
                <w:szCs w:val="21"/>
                <w:highlight w:val="none"/>
                <w:lang w:eastAsia="zh-CN"/>
              </w:rPr>
              <w:t>东莞市茶山镇污水处理厂改扩建项目</w:t>
            </w:r>
          </w:p>
        </w:tc>
        <w:tc>
          <w:tcPr>
            <w:tcW w:w="1742" w:type="dxa"/>
            <w:vAlign w:val="center"/>
          </w:tcPr>
          <w:p>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rPr>
              <w:t>勘察设计单位</w:t>
            </w:r>
          </w:p>
        </w:tc>
        <w:tc>
          <w:tcPr>
            <w:tcW w:w="4292" w:type="dxa"/>
            <w:vAlign w:val="center"/>
          </w:tcPr>
          <w:p>
            <w:pPr>
              <w:pStyle w:val="127"/>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zh-CN" w:eastAsia="zh-CN"/>
              </w:rPr>
              <w:t>中国市政工程中南设计研究总院有限公司、中兵勘察设计研究院有限公司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continue"/>
            <w:vAlign w:val="center"/>
          </w:tcPr>
          <w:p>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rPr>
              <w:t>施工单位</w:t>
            </w:r>
          </w:p>
        </w:tc>
        <w:tc>
          <w:tcPr>
            <w:tcW w:w="4292" w:type="dxa"/>
            <w:vAlign w:val="center"/>
          </w:tcPr>
          <w:p>
            <w:pPr>
              <w:pStyle w:val="127"/>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vMerge w:val="continue"/>
            <w:vAlign w:val="center"/>
          </w:tcPr>
          <w:p>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lang w:val="zh-CN"/>
              </w:rPr>
            </w:pPr>
          </w:p>
        </w:tc>
        <w:tc>
          <w:tcPr>
            <w:tcW w:w="1742" w:type="dxa"/>
            <w:vAlign w:val="center"/>
          </w:tcPr>
          <w:p>
            <w:pPr>
              <w:pStyle w:val="127"/>
              <w:keepNext w:val="0"/>
              <w:keepLines w:val="0"/>
              <w:numPr>
                <w:ilvl w:val="255"/>
                <w:numId w:val="0"/>
              </w:numPr>
              <w:suppressLineNumbers w:val="0"/>
              <w:tabs>
                <w:tab w:val="left" w:pos="426"/>
              </w:tabs>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施工监理单位</w:t>
            </w:r>
          </w:p>
        </w:tc>
        <w:tc>
          <w:tcPr>
            <w:tcW w:w="4292" w:type="dxa"/>
            <w:vAlign w:val="center"/>
          </w:tcPr>
          <w:p>
            <w:pPr>
              <w:pStyle w:val="127"/>
              <w:keepNext w:val="0"/>
              <w:keepLines w:val="0"/>
              <w:numPr>
                <w:ilvl w:val="255"/>
                <w:numId w:val="0"/>
              </w:numPr>
              <w:suppressLineNumbers w:val="0"/>
              <w:tabs>
                <w:tab w:val="left" w:pos="426"/>
              </w:tabs>
              <w:spacing w:before="0" w:beforeAutospacing="0" w:after="0" w:afterAutospacing="0" w:line="360" w:lineRule="auto"/>
              <w:ind w:left="0" w:leftChars="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广东广信建筑工程监理有限公司</w:t>
            </w:r>
          </w:p>
        </w:tc>
      </w:tr>
    </w:tbl>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rPr>
      </w:pPr>
      <w:bookmarkStart w:id="498" w:name="_Toc29758"/>
      <w:bookmarkStart w:id="499" w:name="_Toc18609"/>
      <w:bookmarkStart w:id="500" w:name="_Toc15956"/>
      <w:bookmarkStart w:id="501" w:name="_Toc18052"/>
      <w:bookmarkStart w:id="502" w:name="_Toc5205"/>
      <w:bookmarkStart w:id="503" w:name="_Toc142508357"/>
      <w:bookmarkStart w:id="504" w:name="_Toc26594"/>
      <w:r>
        <w:rPr>
          <w:rFonts w:hint="eastAsia" w:ascii="宋体" w:hAnsi="宋体" w:eastAsia="宋体" w:cs="宋体"/>
          <w:color w:val="auto"/>
          <w:szCs w:val="21"/>
          <w:highlight w:val="none"/>
        </w:rPr>
        <w:t>40 本次招标活动的最终解释权归招标代理机构及招标人所有。</w:t>
      </w:r>
      <w:bookmarkEnd w:id="489"/>
      <w:bookmarkEnd w:id="490"/>
      <w:bookmarkEnd w:id="498"/>
      <w:bookmarkEnd w:id="499"/>
      <w:bookmarkEnd w:id="500"/>
      <w:bookmarkEnd w:id="501"/>
      <w:bookmarkEnd w:id="502"/>
      <w:bookmarkEnd w:id="503"/>
      <w:bookmarkEnd w:id="504"/>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505" w:name="_Toc14514"/>
      <w:bookmarkStart w:id="506" w:name="_Toc21446"/>
      <w:bookmarkStart w:id="507" w:name="_Toc27939_WPSOffice_Level1"/>
      <w:bookmarkStart w:id="508" w:name="_Toc14879"/>
      <w:bookmarkStart w:id="509" w:name="_Toc4632"/>
      <w:bookmarkStart w:id="510" w:name="_Toc450662891"/>
      <w:bookmarkStart w:id="511" w:name="_Toc4386"/>
      <w:bookmarkStart w:id="512" w:name="_Toc486167706"/>
      <w:bookmarkStart w:id="513" w:name="_Toc142508358"/>
      <w:bookmarkStart w:id="514" w:name="_Toc16132"/>
      <w:r>
        <w:rPr>
          <w:rFonts w:hint="eastAsia" w:ascii="宋体" w:hAnsi="宋体" w:eastAsia="宋体" w:cs="宋体"/>
          <w:b/>
          <w:bCs/>
          <w:color w:val="auto"/>
          <w:kern w:val="44"/>
          <w:sz w:val="32"/>
          <w:szCs w:val="32"/>
          <w:highlight w:val="none"/>
          <w:lang w:val="zh-CN"/>
        </w:rPr>
        <w:t>第三篇 用户需求书</w:t>
      </w:r>
      <w:bookmarkEnd w:id="505"/>
      <w:bookmarkEnd w:id="506"/>
      <w:bookmarkEnd w:id="507"/>
      <w:bookmarkEnd w:id="508"/>
      <w:bookmarkEnd w:id="509"/>
      <w:bookmarkEnd w:id="510"/>
      <w:bookmarkEnd w:id="511"/>
      <w:bookmarkEnd w:id="512"/>
      <w:bookmarkEnd w:id="513"/>
      <w:bookmarkEnd w:id="514"/>
    </w:p>
    <w:p>
      <w:pPr>
        <w:spacing w:line="360" w:lineRule="auto"/>
        <w:rPr>
          <w:rFonts w:hint="eastAsia" w:ascii="宋体" w:hAnsi="宋体" w:eastAsia="宋体" w:cs="宋体"/>
          <w:b/>
          <w:color w:val="auto"/>
          <w:szCs w:val="21"/>
          <w:highlight w:val="none"/>
          <w:lang w:val="zh-CN"/>
        </w:rPr>
      </w:pPr>
    </w:p>
    <w:p>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东莞市石鼓净水有限公司</w:t>
      </w:r>
      <w:r>
        <w:rPr>
          <w:rFonts w:hint="eastAsia" w:ascii="宋体" w:hAnsi="宋体" w:eastAsia="宋体" w:cs="宋体"/>
          <w:b/>
          <w:bCs/>
          <w:color w:val="auto"/>
          <w:sz w:val="21"/>
          <w:szCs w:val="21"/>
          <w:highlight w:val="none"/>
        </w:rPr>
        <w:t>（以下简称“项目业主”）为</w:t>
      </w:r>
      <w:r>
        <w:rPr>
          <w:rFonts w:hint="eastAsia" w:ascii="宋体" w:hAnsi="宋体" w:eastAsia="宋体" w:cs="宋体"/>
          <w:b/>
          <w:bCs/>
          <w:color w:val="auto"/>
          <w:sz w:val="21"/>
          <w:szCs w:val="21"/>
          <w:highlight w:val="none"/>
          <w:lang w:eastAsia="zh-CN"/>
        </w:rPr>
        <w:t>东莞市茶山镇污水处理厂改扩建项目</w:t>
      </w:r>
      <w:r>
        <w:rPr>
          <w:rFonts w:hint="eastAsia" w:ascii="宋体" w:hAnsi="宋体" w:eastAsia="宋体" w:cs="宋体"/>
          <w:b/>
          <w:bCs/>
          <w:color w:val="auto"/>
          <w:sz w:val="21"/>
          <w:szCs w:val="21"/>
          <w:highlight w:val="none"/>
        </w:rPr>
        <w:t>的项目业主，招标人为上述项目的代建单位，项目业主已将</w:t>
      </w:r>
      <w:r>
        <w:rPr>
          <w:rFonts w:hint="eastAsia" w:ascii="宋体" w:hAnsi="宋体" w:eastAsia="宋体" w:cs="宋体"/>
          <w:b/>
          <w:bCs/>
          <w:color w:val="auto"/>
          <w:sz w:val="21"/>
          <w:szCs w:val="21"/>
          <w:highlight w:val="none"/>
          <w:lang w:eastAsia="zh-CN"/>
        </w:rPr>
        <w:t>东莞市茶山镇污水处理厂改扩建项目</w:t>
      </w:r>
      <w:r>
        <w:rPr>
          <w:rFonts w:hint="eastAsia" w:ascii="宋体" w:hAnsi="宋体" w:eastAsia="宋体" w:cs="宋体"/>
          <w:b/>
          <w:bCs/>
          <w:color w:val="auto"/>
          <w:sz w:val="21"/>
          <w:szCs w:val="21"/>
          <w:highlight w:val="none"/>
        </w:rPr>
        <w:t>委托给招标人实施代建。</w:t>
      </w:r>
    </w:p>
    <w:p>
      <w:pPr>
        <w:pStyle w:val="127"/>
        <w:keepNext w:val="0"/>
        <w:keepLines w:val="0"/>
        <w:pageBreakBefore w:val="0"/>
        <w:widowControl w:val="0"/>
        <w:kinsoku/>
        <w:wordWrap/>
        <w:overflowPunct/>
        <w:topLinePunct w:val="0"/>
        <w:autoSpaceDE/>
        <w:autoSpaceDN/>
        <w:bidi w:val="0"/>
        <w:adjustRightInd/>
        <w:snapToGrid w:val="0"/>
        <w:spacing w:line="360" w:lineRule="auto"/>
        <w:ind w:firstLine="422"/>
        <w:jc w:val="both"/>
        <w:textAlignment w:val="auto"/>
        <w:rPr>
          <w:rFonts w:hint="eastAsia" w:ascii="宋体" w:hAnsi="宋体" w:eastAsia="宋体" w:cs="宋体"/>
          <w:b/>
          <w:color w:val="auto"/>
          <w:sz w:val="21"/>
          <w:szCs w:val="21"/>
          <w:highlight w:val="none"/>
        </w:rPr>
      </w:pPr>
    </w:p>
    <w:p>
      <w:pPr>
        <w:pStyle w:val="12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东莞市茶山镇污水处理厂改扩建项目位于东莞市茶山镇内,本工程扩容规模为4.5万m3/d，采用地上式建设形式，扩容后总规模达到9.5万m3/d，变化系数采用1.3，采用工艺为“五段式</w:t>
      </w:r>
      <w:r>
        <w:rPr>
          <w:rFonts w:hint="eastAsia" w:ascii="宋体" w:hAnsi="宋体" w:eastAsia="宋体" w:cs="宋体"/>
          <w:color w:val="auto"/>
          <w:kern w:val="2"/>
          <w:sz w:val="21"/>
          <w:szCs w:val="21"/>
          <w:highlight w:val="none"/>
          <w:u w:val="none"/>
          <w:lang w:val="en-US" w:eastAsia="zh-CN"/>
        </w:rPr>
        <w:t>Bardenpho</w:t>
      </w:r>
      <w:r>
        <w:rPr>
          <w:rFonts w:hint="eastAsia" w:ascii="宋体" w:hAnsi="宋体" w:eastAsia="宋体" w:cs="宋体"/>
          <w:color w:val="auto"/>
          <w:kern w:val="2"/>
          <w:sz w:val="21"/>
          <w:szCs w:val="21"/>
          <w:highlight w:val="none"/>
          <w:lang w:val="en-US" w:eastAsia="zh-CN"/>
        </w:rPr>
        <w:t>+MBR</w:t>
      </w:r>
      <w:r>
        <w:rPr>
          <w:rFonts w:hint="eastAsia" w:ascii="宋体" w:hAnsi="宋体" w:eastAsia="宋体" w:cs="宋体"/>
          <w:color w:val="auto"/>
          <w:sz w:val="21"/>
          <w:szCs w:val="21"/>
          <w:highlight w:val="none"/>
          <w:lang w:val="en-US" w:eastAsia="zh-CN"/>
        </w:rPr>
        <w:t>”工艺。</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建设内容包括厂区主要构（建）筑物：粗格栅及进水泵房（改造）、</w:t>
      </w:r>
      <w:r>
        <w:rPr>
          <w:rFonts w:hint="eastAsia" w:ascii="宋体" w:hAnsi="宋体" w:eastAsia="宋体" w:cs="宋体"/>
          <w:color w:val="auto"/>
          <w:kern w:val="2"/>
          <w:sz w:val="21"/>
          <w:szCs w:val="21"/>
          <w:highlight w:val="none"/>
          <w:lang w:val="en-US" w:eastAsia="zh-CN"/>
        </w:rPr>
        <w:t>细格栅及旋流沉砂池（新建）、精细格栅（新建）、五段式Bardenpho生物池（新建厌氧池+改造）、MBR膜池及设备间（新建）、紫外消毒渠（改造）、出水流量计井（新建）、鼓风机房及变配电间（改造）、脱水车间（改造）、生物除臭滤池（新建）以及厂区道路、绿化、电气及自控等辅助工程。</w:t>
      </w:r>
    </w:p>
    <w:p>
      <w:pPr>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二、总体服务要求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（一）监测周期</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东莞市茶山镇污水处理厂改扩建项目</w:t>
      </w:r>
      <w:r>
        <w:rPr>
          <w:rFonts w:hint="eastAsia" w:ascii="宋体" w:hAnsi="宋体" w:eastAsia="宋体" w:cs="宋体"/>
          <w:color w:val="auto"/>
          <w:sz w:val="21"/>
          <w:szCs w:val="21"/>
          <w:highlight w:val="none"/>
        </w:rPr>
        <w:t>开工至完成约定的各项监测及相关技术工作为止。</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bookmarkStart w:id="515" w:name="_Toc46812559"/>
      <w:r>
        <w:rPr>
          <w:rFonts w:hint="eastAsia" w:ascii="宋体" w:hAnsi="宋体" w:eastAsia="宋体" w:cs="宋体"/>
          <w:color w:val="auto"/>
          <w:sz w:val="21"/>
          <w:szCs w:val="21"/>
          <w:highlight w:val="none"/>
        </w:rPr>
        <w:t>（二）监测依据</w:t>
      </w:r>
      <w:bookmarkEnd w:id="515"/>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1、《建筑变形测量规</w:t>
      </w:r>
      <w:r>
        <w:rPr>
          <w:rFonts w:hint="eastAsia" w:ascii="宋体" w:hAnsi="宋体" w:eastAsia="宋体" w:cs="宋体"/>
          <w:color w:val="auto"/>
          <w:sz w:val="21"/>
          <w:szCs w:val="21"/>
          <w:highlight w:val="none"/>
          <w:lang w:val="en-US" w:eastAsia="zh-CN"/>
        </w:rPr>
        <w:t>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JGJ 8-2016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2、《建筑基坑工程监测技术标准》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GB50497-2019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3、《建筑地基基础设计规范》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 50007-2011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4、《工程测量</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GB50026-2020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5、《工程测量通用规范》（GB55018-2021）</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6、《建筑地基基础工程施工质量验收</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GB50202-2018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、《建筑边坡工程技术规范》（GB 50330-2013）；</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、《建筑基坑支护技术规程》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JGJ120-2012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、广东省</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《建筑基坑支护工程技术规程》</w:t>
      </w:r>
      <w:r>
        <w:rPr>
          <w:rFonts w:hint="eastAsia" w:ascii="宋体" w:hAnsi="宋体" w:eastAsia="宋体" w:cs="宋体"/>
          <w:color w:val="auto"/>
          <w:sz w:val="21"/>
          <w:szCs w:val="21"/>
          <w:highlight w:val="none"/>
          <w:lang w:eastAsia="zh-CN"/>
        </w:rPr>
        <w:t>（DBJ/T15-20-2016）</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广东省标准《建筑基坑施工监测技术标准》（DBJ/T15-162-2019）；</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、《岩土工程勘察规范》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GB50021-2001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val="en-US" w:eastAsia="zh-CN"/>
        </w:rPr>
        <w:t>水</w:t>
      </w:r>
      <w:r>
        <w:rPr>
          <w:rFonts w:hint="eastAsia" w:ascii="宋体" w:hAnsi="宋体" w:eastAsia="宋体" w:cs="宋体"/>
          <w:color w:val="auto"/>
          <w:sz w:val="21"/>
          <w:szCs w:val="21"/>
          <w:highlight w:val="none"/>
        </w:rPr>
        <w:t>排水管道工程施工及验收规范》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GB50268-2008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、国家及省市建设主管部门的相关标准和规范；</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、基坑监测项目原勘察成果资料；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、基坑监测项目设计文件等。</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（三）监测内容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本项目MBR池基坑、新建厌氧池、管道基坑安全等级为二级，其余细格栅、精细格栅基坑安全等级为三级。</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按设计图纸、相关规范标准以及设计方要求，结合施工现场实际，在基坑开挖和地下建筑施工期间对基坑的安全稳定性进行监测，需监测的主要项目（具体数量以《监测工程量清单计价表》为准）如下：</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1、围护结构（坡）顶部水平位移监测；</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2、围护结构（坡）顶部竖向位移监测；</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3、地下水位监测；</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4、基坑周边地表竖向位移监测；</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5、周边建（构）筑物竖向位移监测；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6、周边建（构）筑物倾斜监测；</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7、裂缝监测（周边地表、周边建（构）筑物裂缝监测）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深层水平位移土体测斜监测；</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其它根据工程实际需要委托的监测项目。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根据相关法律、法规及主管部门的规定，必须另行独立采购的项目不包含在本次采购范围之内。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质量要求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（1）中标人</w:t>
      </w:r>
      <w:r>
        <w:rPr>
          <w:rFonts w:hint="eastAsia" w:ascii="宋体" w:hAnsi="宋体" w:eastAsia="宋体" w:cs="宋体"/>
          <w:color w:val="auto"/>
          <w:sz w:val="21"/>
          <w:szCs w:val="21"/>
          <w:highlight w:val="none"/>
          <w:lang w:val="hr-HR"/>
        </w:rPr>
        <w:t>提供检定合格、手续完备的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仪器，及时出具具有法律</w:t>
      </w:r>
      <w:r>
        <w:rPr>
          <w:rFonts w:hint="eastAsia" w:ascii="宋体" w:hAnsi="宋体" w:eastAsia="宋体" w:cs="宋体"/>
          <w:color w:val="auto"/>
          <w:sz w:val="21"/>
          <w:szCs w:val="21"/>
          <w:highlight w:val="none"/>
        </w:rPr>
        <w:t>效力</w:t>
      </w:r>
      <w:r>
        <w:rPr>
          <w:rFonts w:hint="eastAsia" w:ascii="宋体" w:hAnsi="宋体" w:eastAsia="宋体" w:cs="宋体"/>
          <w:color w:val="auto"/>
          <w:sz w:val="21"/>
          <w:szCs w:val="21"/>
          <w:highlight w:val="none"/>
          <w:lang w:val="hr-HR"/>
        </w:rPr>
        <w:t>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hr-HR"/>
        </w:rPr>
        <w:t>须保证</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成果质量，对技术成果负完全责任，如因</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不实，造成招标人经济损失费用全部由</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单位承担。</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执行国家、广东省以及东莞市有关工程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的标准规范的规定。</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（3）监测数据、设备的管理</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①对测点进行标识，加强检查，必要时设护栏，保证监测工作正常进行。</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②监测人员、监测线路、监测方法要相对固定，以保证观测资料、成果数据的准确与连续性。</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③对监测设备、仪器由专人负责保管、使用。在使用前必须经过检验，认为合格后方可使用。保证量测数据准确。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④对量测的数据必须换手复核，认为准确无误后方可上报，并采用计算机系统进行管理。</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（4）当出现下列情况之一时，应提高监测频率</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①监测数据达到报警值。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②监测数据变化较大或者速率加快。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③存在勘察未发现的不良地质。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④超深、超长开挖或未及时加撑等违反设计工况施工。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⑤基坑及周边大量积水、长时间连续降雨、市政管道出现泄漏。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⑥基坑附近地面荷载突然增大或超过设计限值。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⑦支护结构出现开裂。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⑧周边地面突发较大沉降或出现严重开裂。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⑨邻近建筑突发较大沉降、不均匀沉降或出现严重开裂。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⑩基坑底部、侧壁出现管涌、潘漏或流沙等现象。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⑪基坑工程发生事故后重新组织施工。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⑫出现其他影响基坑及周边环境安全的异常情况。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bookmarkStart w:id="516" w:name="_Toc227118856"/>
      <w:bookmarkStart w:id="517" w:name="_Toc201991647"/>
      <w:r>
        <w:rPr>
          <w:rFonts w:hint="eastAsia" w:ascii="宋体" w:hAnsi="宋体" w:eastAsia="宋体" w:cs="宋体"/>
          <w:color w:val="auto"/>
          <w:sz w:val="21"/>
          <w:szCs w:val="21"/>
          <w:highlight w:val="none"/>
        </w:rPr>
        <w:t>（5）监测数据发生突变的处理对策</w:t>
      </w:r>
      <w:bookmarkEnd w:id="516"/>
      <w:bookmarkEnd w:id="517"/>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①立即停止开挖、调整各种设备参数。</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②上报招标人及项目部，由项目部组织技术人员进行分析，制定相关措施，并将情况及时上报建设单位和监理单位、设计单位。</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③对突变发生地表和建筑物等实施实时监控。</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④如涉及地表安全，立即请相关部门协助，采用疏解交通等有效措施。</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⑤请建设单位组织设计单位、施工单位、监理单位等部门共同制定应对措施。</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其他质量要求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中标人须根据国家标准及其它相关行业规程的要求，结合本工程施工图、预算文件及东莞市建筑工程质量安全监督站相关规定，制定</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w:t>
      </w:r>
      <w:r>
        <w:rPr>
          <w:rFonts w:hint="eastAsia" w:ascii="宋体" w:hAnsi="宋体" w:eastAsia="宋体" w:cs="宋体"/>
          <w:color w:val="auto"/>
          <w:sz w:val="21"/>
          <w:szCs w:val="21"/>
          <w:highlight w:val="none"/>
        </w:rPr>
        <w:t>本工程所有监测点位均根据设计单位提供的相关图纸进行布设，其位置及数量均可按照设计、监理、招标人单位的合理化建议适当调整。方案经监理</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、招标人、及施工单位审查确认合格后方可实施。</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（2）中标人须</w:t>
      </w:r>
      <w:r>
        <w:rPr>
          <w:rFonts w:hint="eastAsia" w:ascii="宋体" w:hAnsi="宋体" w:eastAsia="宋体" w:cs="宋体"/>
          <w:color w:val="auto"/>
          <w:sz w:val="21"/>
          <w:szCs w:val="21"/>
          <w:highlight w:val="none"/>
          <w:lang w:val="hr-HR"/>
        </w:rPr>
        <w:t>完成本工程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方案内项目及数量，出具合法有效且符合</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规范要求的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报告，为工程进度控制提供依据；提供</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咨询服务，为保证工程质量提供保障。</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（3）中标人应当建立健全并落实各项管理制度，保证监测项目工作正常进行，并接受招标人及有关主管部门对项目服务质量的监督检查。</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（4）中标人应建立并实施符合本项目各项要求的质量管理体系。</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（5）招标人代表有权在工作时间内进入中标人的工作地点检查其质量手册、质量计划及其它与质量相关的文件的实施情况。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（五）成果要求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1、技术资料包括但不限于以下内容：监测方案；测点布设记录；监测报告；监测总结报告等。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2、合同签订后15天内，中标人应根据批准的工程施工组织设计、工程设计文件、市政工程建设标准、国家及行业规范等制定并向招标人提交详细的可实施的监测方案1份。中标人</w:t>
      </w:r>
      <w:r>
        <w:rPr>
          <w:rFonts w:hint="eastAsia" w:ascii="宋体" w:hAnsi="宋体" w:eastAsia="宋体" w:cs="宋体"/>
          <w:color w:val="auto"/>
          <w:kern w:val="2"/>
          <w:sz w:val="21"/>
          <w:szCs w:val="21"/>
          <w:highlight w:val="none"/>
          <w:lang w:val="hr-HR"/>
        </w:rPr>
        <w:t>应积极配合招标人调整优化</w:t>
      </w:r>
      <w:r>
        <w:rPr>
          <w:rFonts w:hint="eastAsia" w:ascii="宋体" w:hAnsi="宋体" w:eastAsia="宋体" w:cs="宋体"/>
          <w:color w:val="auto"/>
          <w:kern w:val="2"/>
          <w:sz w:val="21"/>
          <w:szCs w:val="21"/>
          <w:highlight w:val="none"/>
        </w:rPr>
        <w:t>监测</w:t>
      </w:r>
      <w:r>
        <w:rPr>
          <w:rFonts w:hint="eastAsia" w:ascii="宋体" w:hAnsi="宋体" w:eastAsia="宋体" w:cs="宋体"/>
          <w:color w:val="auto"/>
          <w:kern w:val="2"/>
          <w:sz w:val="21"/>
          <w:szCs w:val="21"/>
          <w:highlight w:val="none"/>
          <w:lang w:val="hr-HR"/>
        </w:rPr>
        <w:t>方案，并提交招标人确认。</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3、测点布设需经招标人委托的工程监理单位签字确认，并最终提交招标人及工程监理单位。 </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4、每次监测在完成现场监测后24小时内，</w:t>
      </w:r>
      <w:r>
        <w:rPr>
          <w:rFonts w:hint="eastAsia" w:ascii="宋体" w:hAnsi="宋体" w:eastAsia="宋体" w:cs="宋体"/>
          <w:color w:val="auto"/>
          <w:kern w:val="2"/>
          <w:sz w:val="21"/>
          <w:szCs w:val="21"/>
          <w:highlight w:val="none"/>
          <w:lang w:val="en-US" w:eastAsia="zh-CN"/>
        </w:rPr>
        <w:t>中</w:t>
      </w:r>
      <w:r>
        <w:rPr>
          <w:rFonts w:hint="eastAsia" w:ascii="宋体" w:hAnsi="宋体" w:eastAsia="宋体" w:cs="宋体"/>
          <w:color w:val="auto"/>
          <w:kern w:val="2"/>
          <w:sz w:val="21"/>
          <w:szCs w:val="21"/>
          <w:highlight w:val="none"/>
        </w:rPr>
        <w:t>标人需向招标人提供相应的电子版监测报告（盖章的PDF格式），并在三个工作日内提交纸质版监测报告。对异常的监测数据（如监测值超报警值等），</w:t>
      </w:r>
      <w:r>
        <w:rPr>
          <w:rFonts w:hint="eastAsia" w:ascii="宋体" w:hAnsi="宋体" w:eastAsia="宋体" w:cs="宋体"/>
          <w:color w:val="auto"/>
          <w:kern w:val="2"/>
          <w:sz w:val="21"/>
          <w:szCs w:val="21"/>
          <w:highlight w:val="none"/>
          <w:lang w:val="en-US" w:eastAsia="zh-CN"/>
        </w:rPr>
        <w:t>中</w:t>
      </w:r>
      <w:r>
        <w:rPr>
          <w:rFonts w:hint="eastAsia" w:ascii="宋体" w:hAnsi="宋体" w:eastAsia="宋体" w:cs="宋体"/>
          <w:color w:val="auto"/>
          <w:kern w:val="2"/>
          <w:sz w:val="21"/>
          <w:szCs w:val="21"/>
          <w:highlight w:val="none"/>
        </w:rPr>
        <w:t>标人应在2小时内通知招标人。</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5、监测报告、监测总结报告纸质报告以一式三份提交。</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6、中标人所提供给招标人的成果资料所有权由招标人享有，未经招标人许可，中标人不得将成果泄露给第三方。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7、中标人</w:t>
      </w:r>
      <w:r>
        <w:rPr>
          <w:rFonts w:hint="eastAsia" w:ascii="宋体" w:hAnsi="宋体" w:eastAsia="宋体" w:cs="宋体"/>
          <w:color w:val="auto"/>
          <w:kern w:val="2"/>
          <w:sz w:val="21"/>
          <w:szCs w:val="21"/>
          <w:highlight w:val="none"/>
        </w:rPr>
        <w:t>须保证监测成果质量，对技术成果负完全责任，如因监测不实，造成招标人经济损失费用全部由</w:t>
      </w:r>
      <w:r>
        <w:rPr>
          <w:rFonts w:hint="eastAsia" w:ascii="宋体" w:hAnsi="宋体" w:eastAsia="宋体" w:cs="宋体"/>
          <w:color w:val="auto"/>
          <w:sz w:val="21"/>
          <w:szCs w:val="21"/>
          <w:highlight w:val="none"/>
        </w:rPr>
        <w:t>中标人</w:t>
      </w:r>
      <w:r>
        <w:rPr>
          <w:rFonts w:hint="eastAsia" w:ascii="宋体" w:hAnsi="宋体" w:eastAsia="宋体" w:cs="宋体"/>
          <w:color w:val="auto"/>
          <w:kern w:val="2"/>
          <w:sz w:val="21"/>
          <w:szCs w:val="21"/>
          <w:highlight w:val="none"/>
        </w:rPr>
        <w:t>承担。</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（六）安全要求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1、安全文明监测要求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①中标人应强化安全文明生产管理，通过组织落实，责任到人</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②中标人需全面了解施工现场安全管理的有关要求，并对需要进入施工现场观测的人员进行安全教育或安全交底；</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③进入施工现场的观测人员必须佩戴安全帽和相关的安全防护用品，接受安全工程师的督导；</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④埋设观测标志需临时用电，接电时，必须经同意在电气专业人员帮助下才可接用；</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⑤进出施工现场应遵守各种安全文明施工和环境保护的规章制度，文明礼貌；</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⑥在施工现场应听从施工现场管理人员的指挥</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⑦中标人应做好服务的安全防护措施，服务过程中出现的安全事故由中标人自行承担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⑧中标人必须做好安全防护工作，由于中标人自身的原因发生的任何伤害（包括人身伤害），均由中标人自行承担。</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2、安全巡视要求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①安全巡视检查包括以下内容：</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1）当日的天气情况和施工现场的工况；</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2）仪器监测项目各监测点的本次测试值、单次变化值、变化速率以及累计值等，必要时绘制有关曲线图；</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3）巡视检查的记录；</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4）对监测项目应有正常或异常、危险的判断性结论；</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5）对达到或超过监测报警值的监测点应有报警标识，并有分析和建议；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6）对巡视检查发现的异常情况应有详细描述，危险情况应有报警标示标识，并有分析和建议；</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7）其他相关说明。</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巡视检查宜以目测为主，可辅以锤、钎、量尺、放大镜等工器具以及摄像、摄影灯设备进行。对自然条件、支护结构、施工工况、周边环境、监测设施等的巡视检查情况应做好记录。检查记录应及时整理，并与仪器监测数据进行综合分析。巡视检查如发现异常和危险情况，应及时通知各参建</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每次现场监测工作实施时同时进行现场安全巡视，在施工影响期内确保每次监测必巡视，遇特殊情况时应加密巡视频率。在项目安全监测周期内的项目，依照安全监测周期频率实施监测，遇特殊情况时应加密巡视频率。</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（七）其他要求</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1、中标人派出的监测人员应具备相应的专业知识及技术水平，有足够能力完成本项目监测服务工作。</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2、中标人需配备1名项目负责人、1名技术负责人及数量充足的监测工作人员，保证监测工作有序、顺利完成。</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3、中标人应配备完成本项目所必须的监测设备，其性能良好并符合国家规定。同时配备数量充足的交通警示标志和施工</w:t>
      </w:r>
      <w:r>
        <w:rPr>
          <w:rFonts w:hint="eastAsia" w:ascii="宋体" w:hAnsi="宋体" w:eastAsia="宋体" w:cs="宋体"/>
          <w:color w:val="auto"/>
          <w:sz w:val="21"/>
          <w:szCs w:val="21"/>
          <w:highlight w:val="none"/>
          <w:lang w:eastAsia="zh-CN"/>
        </w:rPr>
        <w:t>围挡</w:t>
      </w:r>
      <w:r>
        <w:rPr>
          <w:rFonts w:hint="eastAsia" w:ascii="宋体" w:hAnsi="宋体" w:eastAsia="宋体" w:cs="宋体"/>
          <w:color w:val="auto"/>
          <w:sz w:val="21"/>
          <w:szCs w:val="21"/>
          <w:highlight w:val="none"/>
        </w:rPr>
        <w:t>，以及监测仪器、无线通讯设备、劳动防护用品等其它必须使用的工具。</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hr-HR"/>
        </w:rPr>
        <w:t>若</w:t>
      </w:r>
      <w:r>
        <w:rPr>
          <w:rFonts w:hint="eastAsia" w:ascii="宋体" w:hAnsi="宋体" w:eastAsia="宋体" w:cs="宋体"/>
          <w:color w:val="auto"/>
          <w:sz w:val="21"/>
          <w:szCs w:val="21"/>
          <w:highlight w:val="none"/>
        </w:rPr>
        <w:t>招标人、建设单位、上级行政主管部门</w:t>
      </w:r>
      <w:r>
        <w:rPr>
          <w:rFonts w:hint="eastAsia" w:ascii="宋体" w:hAnsi="宋体" w:eastAsia="宋体" w:cs="宋体"/>
          <w:color w:val="auto"/>
          <w:sz w:val="21"/>
          <w:szCs w:val="21"/>
          <w:highlight w:val="none"/>
          <w:lang w:val="hr-HR"/>
        </w:rPr>
        <w:t>要求（</w:t>
      </w:r>
      <w:r>
        <w:rPr>
          <w:rFonts w:hint="eastAsia" w:ascii="宋体" w:hAnsi="宋体" w:eastAsia="宋体" w:cs="宋体"/>
          <w:color w:val="auto"/>
          <w:sz w:val="21"/>
          <w:szCs w:val="21"/>
          <w:highlight w:val="none"/>
        </w:rPr>
        <w:t>含政策变动</w:t>
      </w:r>
      <w:r>
        <w:rPr>
          <w:rFonts w:hint="eastAsia" w:ascii="宋体" w:hAnsi="宋体" w:eastAsia="宋体" w:cs="宋体"/>
          <w:color w:val="auto"/>
          <w:sz w:val="21"/>
          <w:szCs w:val="21"/>
          <w:highlight w:val="none"/>
          <w:lang w:val="hr-HR"/>
        </w:rPr>
        <w:t>）</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内容和频次增加或减少，</w:t>
      </w:r>
      <w:r>
        <w:rPr>
          <w:rFonts w:hint="eastAsia" w:ascii="宋体" w:hAnsi="宋体" w:eastAsia="宋体" w:cs="宋体"/>
          <w:color w:val="auto"/>
          <w:sz w:val="21"/>
          <w:szCs w:val="21"/>
          <w:highlight w:val="none"/>
        </w:rPr>
        <w:t>中标人必须无条件</w:t>
      </w:r>
      <w:r>
        <w:rPr>
          <w:rFonts w:hint="eastAsia" w:ascii="宋体" w:hAnsi="宋体" w:eastAsia="宋体" w:cs="宋体"/>
          <w:color w:val="auto"/>
          <w:sz w:val="21"/>
          <w:szCs w:val="21"/>
          <w:highlight w:val="none"/>
          <w:lang w:val="hr-HR"/>
        </w:rPr>
        <w:t>遵守执行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hr-HR"/>
        </w:rPr>
        <w:t>实际</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量以招标人审核为准。</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hr-HR"/>
        </w:rPr>
        <w:t>在合同服务期内中标人不得因实际</w:t>
      </w:r>
      <w:r>
        <w:rPr>
          <w:rFonts w:hint="eastAsia" w:ascii="宋体" w:hAnsi="宋体" w:eastAsia="宋体" w:cs="宋体"/>
          <w:color w:val="auto"/>
          <w:sz w:val="21"/>
          <w:szCs w:val="21"/>
          <w:highlight w:val="none"/>
        </w:rPr>
        <w:t>监测数量</w:t>
      </w:r>
      <w:r>
        <w:rPr>
          <w:rFonts w:hint="eastAsia" w:ascii="宋体" w:hAnsi="宋体" w:eastAsia="宋体" w:cs="宋体"/>
          <w:color w:val="auto"/>
          <w:sz w:val="21"/>
          <w:szCs w:val="21"/>
          <w:highlight w:val="none"/>
          <w:lang w:val="hr-HR"/>
        </w:rPr>
        <w:t>过少或其他理由，而要求招标人提供任何形式的补偿或赔偿，或要求招标人所有的项目必须开展监测服务。</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6、中标人</w:t>
      </w:r>
      <w:r>
        <w:rPr>
          <w:rFonts w:hint="eastAsia" w:ascii="宋体" w:hAnsi="宋体" w:eastAsia="宋体" w:cs="宋体"/>
          <w:color w:val="auto"/>
          <w:sz w:val="21"/>
          <w:szCs w:val="21"/>
          <w:highlight w:val="none"/>
          <w:lang w:val="hr-HR"/>
        </w:rPr>
        <w:t>自行解决现场</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所需辅助劳务及相关费用。</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7、服务过程中涉及的设备、工具，由中标人自行解决。</w:t>
      </w:r>
    </w:p>
    <w:p>
      <w:pPr>
        <w:keepNext w:val="0"/>
        <w:keepLines w:val="0"/>
        <w:pageBreakBefore w:val="0"/>
        <w:widowControl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8、服务过程中涉及的用水、用电由中标人自行接入，中标人需做好用水、用电安全防护措施并无条件接受招标人监督。设备、设施的水、电费用由中标人承担。</w:t>
      </w:r>
    </w:p>
    <w:p>
      <w:pPr>
        <w:pStyle w:val="12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auto"/>
          <w:sz w:val="21"/>
          <w:szCs w:val="21"/>
          <w:highlight w:val="none"/>
        </w:rPr>
      </w:pPr>
    </w:p>
    <w:p>
      <w:pPr>
        <w:pStyle w:val="12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三、合同价款</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1、本项目的《监测工程量清单计价表》（详见附件）的</w:t>
      </w:r>
      <w:r>
        <w:rPr>
          <w:rFonts w:hint="eastAsia" w:ascii="宋体" w:hAnsi="宋体" w:eastAsia="宋体" w:cs="宋体"/>
          <w:b w:val="0"/>
          <w:bCs w:val="0"/>
          <w:color w:val="auto"/>
          <w:sz w:val="21"/>
          <w:szCs w:val="21"/>
          <w:highlight w:val="none"/>
          <w:lang w:val="en-US" w:eastAsia="zh-CN"/>
        </w:rPr>
        <w:t>计费</w:t>
      </w:r>
      <w:r>
        <w:rPr>
          <w:rFonts w:hint="eastAsia" w:ascii="宋体" w:hAnsi="宋体" w:eastAsia="宋体" w:cs="宋体"/>
          <w:b w:val="0"/>
          <w:bCs w:val="0"/>
          <w:color w:val="auto"/>
          <w:sz w:val="21"/>
          <w:szCs w:val="21"/>
          <w:highlight w:val="none"/>
          <w:lang w:val="en-US"/>
        </w:rPr>
        <w:t>标准参照《广东省房屋建筑和市政工程质量安全检测收费指导价》（粤建检协[2015]8号）的对应项单价</w:t>
      </w:r>
      <w:r>
        <w:rPr>
          <w:rFonts w:hint="eastAsia" w:ascii="宋体" w:hAnsi="宋体" w:eastAsia="宋体" w:cs="宋体"/>
          <w:b w:val="0"/>
          <w:bCs w:val="0"/>
          <w:color w:val="auto"/>
          <w:sz w:val="21"/>
          <w:szCs w:val="21"/>
          <w:highlight w:val="none"/>
          <w:lang w:val="en-US" w:eastAsia="zh-CN"/>
        </w:rPr>
        <w:t>，暂定总合同价款按照招标文件所附《</w:t>
      </w:r>
      <w:r>
        <w:rPr>
          <w:rFonts w:hint="eastAsia" w:ascii="宋体" w:hAnsi="宋体" w:eastAsia="宋体" w:cs="宋体"/>
          <w:b w:val="0"/>
          <w:bCs w:val="0"/>
          <w:color w:val="auto"/>
          <w:sz w:val="21"/>
          <w:szCs w:val="21"/>
          <w:highlight w:val="none"/>
          <w:lang w:val="en-US"/>
        </w:rPr>
        <w:t>监测</w:t>
      </w:r>
      <w:r>
        <w:rPr>
          <w:rFonts w:hint="eastAsia" w:ascii="宋体" w:hAnsi="宋体" w:eastAsia="宋体" w:cs="宋体"/>
          <w:b w:val="0"/>
          <w:bCs w:val="0"/>
          <w:color w:val="auto"/>
          <w:sz w:val="21"/>
          <w:szCs w:val="21"/>
          <w:highlight w:val="none"/>
          <w:lang w:val="en-US" w:eastAsia="zh-CN"/>
        </w:rPr>
        <w:t>工程量清单计价表》（详见附件）的不含税综合单价（不含税综合单价=对应项单价÷1.06）×中标监测服务系数×实际</w:t>
      </w:r>
      <w:r>
        <w:rPr>
          <w:rFonts w:hint="eastAsia" w:ascii="宋体" w:hAnsi="宋体" w:eastAsia="宋体" w:cs="宋体"/>
          <w:b w:val="0"/>
          <w:bCs w:val="0"/>
          <w:color w:val="auto"/>
          <w:sz w:val="21"/>
          <w:szCs w:val="21"/>
          <w:highlight w:val="none"/>
          <w:lang w:val="en-US"/>
        </w:rPr>
        <w:t>监</w:t>
      </w:r>
      <w:r>
        <w:rPr>
          <w:rFonts w:hint="eastAsia" w:ascii="宋体" w:hAnsi="宋体" w:eastAsia="宋体" w:cs="宋体"/>
          <w:b w:val="0"/>
          <w:bCs w:val="0"/>
          <w:color w:val="auto"/>
          <w:sz w:val="21"/>
          <w:szCs w:val="21"/>
          <w:highlight w:val="none"/>
          <w:lang w:val="en-US" w:eastAsia="zh-CN"/>
        </w:rPr>
        <w:t>测工作量计算所得。</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w:t>
      </w:r>
      <w:r>
        <w:rPr>
          <w:rFonts w:hint="eastAsia" w:ascii="宋体" w:hAnsi="宋体" w:eastAsia="宋体" w:cs="宋体"/>
          <w:b w:val="0"/>
          <w:bCs w:val="0"/>
          <w:color w:val="auto"/>
          <w:sz w:val="21"/>
          <w:szCs w:val="21"/>
          <w:highlight w:val="none"/>
          <w:lang w:val="en-US" w:eastAsia="zh-CN"/>
        </w:rPr>
        <w:t>不含税</w:t>
      </w:r>
      <w:r>
        <w:rPr>
          <w:rFonts w:hint="eastAsia" w:ascii="宋体" w:hAnsi="宋体" w:eastAsia="宋体" w:cs="宋体"/>
          <w:b w:val="0"/>
          <w:bCs w:val="0"/>
          <w:color w:val="auto"/>
          <w:sz w:val="21"/>
          <w:szCs w:val="21"/>
          <w:highlight w:val="none"/>
          <w:lang w:val="en-US"/>
        </w:rPr>
        <w:t>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专家论证费</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rPr>
        <w:t>销项税额以外的税金等一切费用，以及合同规定的所有责任、义务和一切风险。监测时，如需土建总包单位配合或向其租借设备时，自行与总包单位协调，配合及租借费用应包括在投标报价内。</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3、《监测工程量清单计价表》不作为中标人最终服务范围及业务承接数量的保证，招标人有权根据实际需求对监测工程量进行优化调整，最终服务费用按实际发生工程量结算。在合同服务期内，中标人不得因实际监测项目数量及服务费用的增减而要求招标人提供任何形式的补偿或赔偿，或只按招标人暂定的《监测工程量清单计价表》提供相应的对应服务。否则，视为中标人违约，招标人有权依据合同约定追究中标人的违约责任。</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4、对于《监测工程量清单计价表》外新增的监测项目，不含税综合单价按以下方法计算：</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（1）按《广东省房屋建筑和市政工程工程质量安全检测收费指导价》（粤建检协〔2015〕8号）对应项单价÷1.06×</w:t>
      </w:r>
      <w:r>
        <w:rPr>
          <w:rFonts w:hint="eastAsia" w:ascii="宋体" w:hAnsi="宋体" w:eastAsia="宋体" w:cs="宋体"/>
          <w:b w:val="0"/>
          <w:bCs w:val="0"/>
          <w:color w:val="auto"/>
          <w:sz w:val="21"/>
          <w:szCs w:val="21"/>
          <w:highlight w:val="none"/>
          <w:lang w:val="en-US" w:eastAsia="zh-CN"/>
        </w:rPr>
        <w:t>中标监测服务系数</w:t>
      </w:r>
      <w:r>
        <w:rPr>
          <w:rFonts w:hint="eastAsia" w:ascii="宋体" w:hAnsi="宋体" w:eastAsia="宋体" w:cs="宋体"/>
          <w:b w:val="0"/>
          <w:bCs w:val="0"/>
          <w:color w:val="auto"/>
          <w:sz w:val="21"/>
          <w:szCs w:val="21"/>
          <w:highlight w:val="none"/>
          <w:lang w:val="en-US"/>
        </w:rPr>
        <w:t>；</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（2）《广东省房屋建筑和市政工程工程质量安全检测收费指导价》（粤建检协〔2015〕8号）无对应项的，由招标人结合本地及周边同类城市市场询价的不含税综合单价×</w:t>
      </w:r>
      <w:r>
        <w:rPr>
          <w:rFonts w:hint="eastAsia" w:ascii="宋体" w:hAnsi="宋体" w:eastAsia="宋体" w:cs="宋体"/>
          <w:b w:val="0"/>
          <w:bCs w:val="0"/>
          <w:color w:val="auto"/>
          <w:sz w:val="21"/>
          <w:szCs w:val="21"/>
          <w:highlight w:val="none"/>
          <w:lang w:val="en-US" w:eastAsia="zh-CN"/>
        </w:rPr>
        <w:t>中标监测服务系数</w:t>
      </w:r>
      <w:r>
        <w:rPr>
          <w:rFonts w:hint="eastAsia" w:ascii="宋体" w:hAnsi="宋体" w:eastAsia="宋体" w:cs="宋体"/>
          <w:b w:val="0"/>
          <w:bCs w:val="0"/>
          <w:color w:val="auto"/>
          <w:sz w:val="21"/>
          <w:szCs w:val="21"/>
          <w:highlight w:val="none"/>
          <w:lang w:val="en-US"/>
        </w:rPr>
        <w:t>。</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以上不含税综合单价均保留两位小数。</w:t>
      </w:r>
    </w:p>
    <w:p>
      <w:pPr>
        <w:pStyle w:val="12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auto"/>
          <w:sz w:val="21"/>
          <w:szCs w:val="21"/>
          <w:highlight w:val="none"/>
        </w:rPr>
      </w:pPr>
    </w:p>
    <w:p>
      <w:pPr>
        <w:pStyle w:val="12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四、费用支付</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1、以季度为单位，即按季度计量支付进度款，中标人须向招标人提供相应的正式监测报告，经</w:t>
      </w:r>
      <w:r>
        <w:rPr>
          <w:rFonts w:hint="eastAsia" w:ascii="宋体" w:hAnsi="宋体" w:eastAsia="宋体" w:cs="宋体"/>
          <w:b w:val="0"/>
          <w:bCs w:val="0"/>
          <w:color w:val="auto"/>
          <w:sz w:val="21"/>
          <w:szCs w:val="21"/>
          <w:highlight w:val="none"/>
          <w:lang w:val="en-US" w:eastAsia="zh-CN"/>
        </w:rPr>
        <w:t>监理单位</w:t>
      </w:r>
      <w:r>
        <w:rPr>
          <w:rFonts w:hint="eastAsia" w:ascii="宋体" w:hAnsi="宋体" w:eastAsia="宋体" w:cs="宋体"/>
          <w:b w:val="0"/>
          <w:bCs w:val="0"/>
          <w:color w:val="auto"/>
          <w:sz w:val="21"/>
          <w:szCs w:val="21"/>
          <w:highlight w:val="none"/>
          <w:lang w:val="en-US"/>
        </w:rPr>
        <w:t>及招标人审核通过后，项目业主应在中标人提交对应的请款报告30天内向中标人支付进度款。</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2、项目业主以季度为单位按经</w:t>
      </w:r>
      <w:r>
        <w:rPr>
          <w:rFonts w:hint="eastAsia" w:ascii="宋体" w:hAnsi="宋体" w:eastAsia="宋体" w:cs="宋体"/>
          <w:b w:val="0"/>
          <w:bCs w:val="0"/>
          <w:color w:val="auto"/>
          <w:sz w:val="21"/>
          <w:szCs w:val="21"/>
          <w:highlight w:val="none"/>
          <w:lang w:val="en-US" w:eastAsia="zh-CN"/>
        </w:rPr>
        <w:t>监理单位</w:t>
      </w:r>
      <w:r>
        <w:rPr>
          <w:rFonts w:hint="eastAsia" w:ascii="宋体" w:hAnsi="宋体" w:eastAsia="宋体" w:cs="宋体"/>
          <w:b w:val="0"/>
          <w:bCs w:val="0"/>
          <w:color w:val="auto"/>
          <w:sz w:val="21"/>
          <w:szCs w:val="21"/>
          <w:highlight w:val="none"/>
          <w:lang w:val="en-US"/>
        </w:rPr>
        <w:t>及招标人审核通过的监测报告所涉款项的80%支付本合同进度款，但项目业主累计支付的进度款不超过暂定总合同价款价税合计的80%，待工程竣工验收合格，项目结算完毕，并提交请款报告后30天内，项目业主按结算价一次性支付余款。</w:t>
      </w:r>
    </w:p>
    <w:p>
      <w:pPr>
        <w:pStyle w:val="2"/>
        <w:keepNext w:val="0"/>
        <w:keepLines w:val="0"/>
        <w:pageBreakBefore w:val="0"/>
        <w:widowControl w:val="0"/>
        <w:kinsoku/>
        <w:wordWrap/>
        <w:overflowPunct/>
        <w:topLinePunct w:val="0"/>
        <w:bidi w:val="0"/>
        <w:snapToGrid w:val="0"/>
        <w:spacing w:line="360" w:lineRule="auto"/>
        <w:ind w:firstLine="42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3、中标人收取每笔款项前，在提交请款报告的同时一并提供等额有效的增值税专用发票，项目业主在收到相关请款材料审核后支付；中标人逾期提交请款材料或提供的发票不合格的，项目业主的付款时间可相应顺延，且不视为违约。因支付产生的相关银行手续费用，根据有关银行规定执行，如不能明确费用承担主体的，相关手续费用由双方各承担50%。由于中标人提供的发票不符合税法规定，给项目业主造成的损失由中标人承担赔偿责任。</w:t>
      </w:r>
    </w:p>
    <w:p>
      <w:pPr>
        <w:pStyle w:val="12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auto"/>
          <w:sz w:val="21"/>
          <w:szCs w:val="21"/>
          <w:highlight w:val="none"/>
        </w:rPr>
      </w:pPr>
    </w:p>
    <w:p>
      <w:pPr>
        <w:pStyle w:val="12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五、考核制度</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right="-28" w:firstLine="420" w:firstLineChars="20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招标人每季度对中标人评价一次，出具考核评价结果。招标人将严格按照考核评分标准对中标人进行季度检查和考核。考评[70,80)分的，处相应付款周期内经招标人确认的监测费的10%作为违约金，考评[60,70)分的，处相应付款周期经招标人确认的监测费的20%作为违约金，考评60分以下的，处相应付款周期经招标人确认的监测的30%作为违约金。上述“[”代表闭区间，“)”代表开区间，如[70,80)代表该分数段范围为大于等于70且小于80。达到相应付款周期时,如中标人未申请支付本期费用,招标人根据支付条件暂定本周期监测费并计算本周期内应缴纳的暂定违约金，中标人应予以缴纳。下一周期仍未申请时按上述做法执行，待到中标人申请支付费用时，根据合同付款流程确认监测费，同步对以往暂定违约金在本次一并确认并予以结算。</w:t>
      </w:r>
    </w:p>
    <w:p>
      <w:pPr>
        <w:pStyle w:val="2"/>
        <w:spacing w:line="360" w:lineRule="auto"/>
        <w:ind w:firstLine="420"/>
        <w:jc w:val="left"/>
        <w:rPr>
          <w:rFonts w:hint="eastAsia" w:ascii="宋体" w:hAnsi="宋体" w:eastAsia="宋体" w:cs="宋体"/>
          <w:b w:val="0"/>
          <w:bCs w:val="0"/>
          <w:color w:val="auto"/>
          <w:sz w:val="21"/>
          <w:szCs w:val="21"/>
          <w:highlight w:val="none"/>
          <w:lang w:val="en-US"/>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contextualSpacing/>
        <w:rPr>
          <w:rFonts w:hint="eastAsia" w:ascii="宋体" w:hAnsi="宋体" w:eastAsia="宋体" w:cs="宋体"/>
          <w:color w:val="auto"/>
          <w:sz w:val="28"/>
          <w:szCs w:val="28"/>
          <w:highlight w:val="none"/>
        </w:rPr>
      </w:pPr>
      <w:r>
        <w:rPr>
          <w:rFonts w:hint="eastAsia" w:ascii="宋体" w:hAnsi="宋体" w:eastAsia="宋体" w:cs="宋体"/>
          <w:b/>
          <w:color w:val="auto"/>
          <w:highlight w:val="none"/>
        </w:rPr>
        <w:t>附件一：《</w:t>
      </w:r>
      <w:r>
        <w:rPr>
          <w:rFonts w:hint="eastAsia" w:ascii="宋体" w:hAnsi="宋体" w:eastAsia="宋体" w:cs="宋体"/>
          <w:b/>
          <w:color w:val="auto"/>
          <w:highlight w:val="none"/>
          <w:lang w:eastAsia="zh-CN"/>
        </w:rPr>
        <w:t>监测</w:t>
      </w:r>
      <w:r>
        <w:rPr>
          <w:rFonts w:hint="eastAsia" w:ascii="宋体" w:hAnsi="宋体" w:eastAsia="宋体" w:cs="宋体"/>
          <w:b/>
          <w:color w:val="auto"/>
          <w:highlight w:val="none"/>
        </w:rPr>
        <w:t>工程量清单计价表》（详见附件）</w:t>
      </w:r>
    </w:p>
    <w:p>
      <w:pPr>
        <w:spacing w:line="360" w:lineRule="auto"/>
        <w:rPr>
          <w:rFonts w:hint="eastAsia" w:ascii="宋体" w:hAnsi="宋体" w:eastAsia="宋体" w:cs="宋体"/>
          <w:color w:val="auto"/>
          <w:szCs w:val="21"/>
          <w:highlight w:val="none"/>
        </w:rPr>
      </w:pPr>
    </w:p>
    <w:p>
      <w:pPr>
        <w:rPr>
          <w:rFonts w:hint="eastAsia" w:ascii="宋体" w:hAnsi="宋体" w:eastAsia="宋体" w:cs="宋体"/>
          <w:b/>
          <w:color w:val="auto"/>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518" w:name="_Toc486167707"/>
      <w:bookmarkStart w:id="519" w:name="_Toc450662892"/>
      <w:bookmarkStart w:id="520" w:name="_Toc16287"/>
      <w:bookmarkStart w:id="521" w:name="_Toc11281_WPSOffice_Level1"/>
      <w:bookmarkStart w:id="522" w:name="_Toc22137"/>
      <w:bookmarkStart w:id="523" w:name="_Toc20401"/>
      <w:bookmarkStart w:id="524" w:name="_Toc10827"/>
      <w:bookmarkStart w:id="525" w:name="_Toc25251"/>
      <w:bookmarkStart w:id="526" w:name="_Toc12396"/>
      <w:bookmarkStart w:id="527" w:name="_Toc142508359"/>
      <w:r>
        <w:rPr>
          <w:rFonts w:hint="eastAsia" w:ascii="宋体" w:hAnsi="宋体" w:eastAsia="宋体" w:cs="宋体"/>
          <w:b/>
          <w:bCs/>
          <w:color w:val="auto"/>
          <w:kern w:val="44"/>
          <w:sz w:val="32"/>
          <w:szCs w:val="32"/>
          <w:highlight w:val="none"/>
          <w:lang w:val="zh-CN"/>
        </w:rPr>
        <w:t>第四篇 合同条款格式</w:t>
      </w:r>
      <w:bookmarkEnd w:id="518"/>
      <w:bookmarkEnd w:id="519"/>
      <w:bookmarkEnd w:id="520"/>
      <w:bookmarkEnd w:id="521"/>
      <w:bookmarkEnd w:id="522"/>
      <w:bookmarkEnd w:id="523"/>
      <w:bookmarkEnd w:id="524"/>
      <w:bookmarkEnd w:id="525"/>
      <w:bookmarkEnd w:id="526"/>
      <w:bookmarkEnd w:id="527"/>
    </w:p>
    <w:p>
      <w:pPr>
        <w:ind w:right="281"/>
        <w:jc w:val="righ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  合同编号：</w:t>
      </w:r>
      <w:r>
        <w:rPr>
          <w:rFonts w:hint="eastAsia" w:ascii="宋体" w:hAnsi="宋体" w:eastAsia="宋体" w:cs="宋体"/>
          <w:color w:val="auto"/>
          <w:sz w:val="30"/>
          <w:szCs w:val="30"/>
          <w:highlight w:val="none"/>
          <w:u w:val="single"/>
        </w:rPr>
        <w:t xml:space="preserve">         </w:t>
      </w:r>
    </w:p>
    <w:p>
      <w:pPr>
        <w:ind w:right="500" w:firstLine="2940" w:firstLineChars="1400"/>
        <w:rPr>
          <w:rFonts w:hint="eastAsia" w:ascii="宋体" w:hAnsi="宋体" w:eastAsia="宋体" w:cs="宋体"/>
          <w:color w:val="auto"/>
          <w:szCs w:val="28"/>
          <w:highlight w:val="none"/>
        </w:rPr>
      </w:pPr>
    </w:p>
    <w:p>
      <w:pPr>
        <w:spacing w:line="360" w:lineRule="auto"/>
        <w:rPr>
          <w:rFonts w:hint="eastAsia" w:ascii="宋体" w:hAnsi="宋体" w:eastAsia="宋体" w:cs="宋体"/>
          <w:b/>
          <w:bCs/>
          <w:snapToGrid w:val="0"/>
          <w:color w:val="auto"/>
          <w:sz w:val="52"/>
          <w:szCs w:val="32"/>
          <w:highlight w:val="none"/>
        </w:rPr>
      </w:pPr>
    </w:p>
    <w:p>
      <w:pPr>
        <w:spacing w:line="360" w:lineRule="auto"/>
        <w:jc w:val="center"/>
        <w:rPr>
          <w:rFonts w:hint="eastAsia" w:ascii="宋体" w:hAnsi="宋体" w:eastAsia="宋体" w:cs="宋体"/>
          <w:b/>
          <w:bCs/>
          <w:snapToGrid w:val="0"/>
          <w:color w:val="auto"/>
          <w:sz w:val="52"/>
          <w:szCs w:val="32"/>
          <w:highlight w:val="none"/>
        </w:rPr>
      </w:pPr>
      <w:r>
        <w:rPr>
          <w:rFonts w:hint="eastAsia" w:ascii="宋体" w:hAnsi="宋体" w:eastAsia="宋体" w:cs="宋体"/>
          <w:b/>
          <w:bCs/>
          <w:snapToGrid w:val="0"/>
          <w:color w:val="auto"/>
          <w:sz w:val="52"/>
          <w:szCs w:val="32"/>
          <w:highlight w:val="none"/>
        </w:rPr>
        <w:t>第 三 方 监 测 合 同</w:t>
      </w:r>
    </w:p>
    <w:p>
      <w:pPr>
        <w:spacing w:line="360" w:lineRule="auto"/>
        <w:ind w:left="420" w:leftChars="200"/>
        <w:rPr>
          <w:rFonts w:hint="eastAsia" w:ascii="宋体" w:hAnsi="宋体" w:eastAsia="宋体" w:cs="宋体"/>
          <w:b/>
          <w:bCs/>
          <w:snapToGrid w:val="0"/>
          <w:color w:val="auto"/>
          <w:highlight w:val="none"/>
        </w:rPr>
      </w:pPr>
    </w:p>
    <w:p>
      <w:pPr>
        <w:spacing w:line="360" w:lineRule="auto"/>
        <w:ind w:left="420" w:leftChars="200"/>
        <w:rPr>
          <w:rFonts w:hint="eastAsia" w:ascii="宋体" w:hAnsi="宋体" w:eastAsia="宋体" w:cs="宋体"/>
          <w:b/>
          <w:bCs/>
          <w:snapToGrid w:val="0"/>
          <w:color w:val="auto"/>
          <w:highlight w:val="non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rPr>
          <w:rFonts w:hint="eastAsia" w:ascii="宋体" w:hAnsi="宋体" w:eastAsia="宋体" w:cs="宋体"/>
          <w:color w:val="auto"/>
          <w:highlight w:val="none"/>
          <w:u w:val="single"/>
        </w:rPr>
      </w:pPr>
    </w:p>
    <w:p>
      <w:pPr>
        <w:spacing w:line="360" w:lineRule="auto"/>
        <w:ind w:left="420" w:leftChars="200"/>
        <w:rPr>
          <w:rFonts w:hint="eastAsia" w:ascii="宋体" w:hAnsi="宋体" w:eastAsia="宋体" w:cs="宋体"/>
          <w:color w:val="auto"/>
          <w:highlight w:val="none"/>
          <w:u w:val="single"/>
        </w:rPr>
      </w:pPr>
    </w:p>
    <w:p>
      <w:pPr>
        <w:spacing w:line="360" w:lineRule="auto"/>
        <w:rPr>
          <w:rFonts w:hint="eastAsia" w:ascii="宋体" w:hAnsi="宋体" w:eastAsia="宋体" w:cs="宋体"/>
          <w:b/>
          <w:color w:val="auto"/>
          <w:sz w:val="30"/>
          <w:szCs w:val="30"/>
          <w:highlight w:val="none"/>
          <w:u w:val="single"/>
        </w:rPr>
      </w:pPr>
    </w:p>
    <w:p>
      <w:pPr>
        <w:spacing w:line="360" w:lineRule="auto"/>
        <w:ind w:firstLine="1968" w:firstLineChars="7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rPr>
        <w:t xml:space="preserve">                              </w:t>
      </w:r>
    </w:p>
    <w:p>
      <w:pPr>
        <w:spacing w:line="360" w:lineRule="auto"/>
        <w:ind w:firstLine="1968" w:firstLineChars="7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委 托 人：</w:t>
      </w:r>
      <w:r>
        <w:rPr>
          <w:rFonts w:hint="eastAsia" w:ascii="宋体" w:hAnsi="宋体" w:eastAsia="宋体" w:cs="宋体"/>
          <w:b/>
          <w:color w:val="auto"/>
          <w:sz w:val="28"/>
          <w:szCs w:val="28"/>
          <w:highlight w:val="none"/>
          <w:u w:val="single"/>
        </w:rPr>
        <w:t>东莞市水务集团建设管理有限公司</w:t>
      </w:r>
    </w:p>
    <w:p>
      <w:pPr>
        <w:spacing w:line="360" w:lineRule="auto"/>
        <w:ind w:firstLine="1968" w:firstLineChars="7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 测 人：</w:t>
      </w:r>
      <w:r>
        <w:rPr>
          <w:rFonts w:hint="eastAsia" w:ascii="宋体" w:hAnsi="宋体" w:eastAsia="宋体" w:cs="宋体"/>
          <w:b/>
          <w:color w:val="auto"/>
          <w:sz w:val="28"/>
          <w:szCs w:val="28"/>
          <w:highlight w:val="none"/>
          <w:u w:val="single"/>
        </w:rPr>
        <w:t xml:space="preserve">                              </w:t>
      </w:r>
    </w:p>
    <w:p>
      <w:pPr>
        <w:spacing w:line="360" w:lineRule="auto"/>
        <w:ind w:firstLine="1968" w:firstLineChars="700"/>
        <w:rPr>
          <w:rFonts w:hint="eastAsia" w:ascii="宋体" w:hAnsi="宋体" w:eastAsia="宋体" w:cs="宋体"/>
          <w:color w:val="auto"/>
          <w:highlight w:val="none"/>
        </w:rPr>
      </w:pPr>
      <w:r>
        <w:rPr>
          <w:rFonts w:hint="eastAsia" w:ascii="宋体" w:hAnsi="宋体" w:eastAsia="宋体" w:cs="宋体"/>
          <w:b/>
          <w:color w:val="auto"/>
          <w:sz w:val="28"/>
          <w:szCs w:val="28"/>
          <w:highlight w:val="none"/>
        </w:rPr>
        <w:t>项目业主：</w:t>
      </w:r>
      <w:r>
        <w:rPr>
          <w:rFonts w:hint="eastAsia" w:ascii="宋体" w:hAnsi="宋体" w:eastAsia="宋体" w:cs="宋体"/>
          <w:b/>
          <w:color w:val="auto"/>
          <w:sz w:val="28"/>
          <w:szCs w:val="28"/>
          <w:highlight w:val="none"/>
          <w:u w:val="single"/>
          <w:lang w:eastAsia="zh-CN"/>
        </w:rPr>
        <w:t>东莞市石鼓净水有限公司</w:t>
      </w:r>
      <w:r>
        <w:rPr>
          <w:rFonts w:hint="eastAsia" w:ascii="宋体" w:hAnsi="宋体" w:eastAsia="宋体" w:cs="宋体"/>
          <w:b/>
          <w:color w:val="auto"/>
          <w:sz w:val="28"/>
          <w:szCs w:val="28"/>
          <w:highlight w:val="none"/>
          <w:u w:val="single"/>
        </w:rPr>
        <w:t xml:space="preserve">    </w:t>
      </w:r>
    </w:p>
    <w:p>
      <w:pPr>
        <w:pStyle w:val="21"/>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年    月    日</w:t>
      </w:r>
    </w:p>
    <w:p>
      <w:pPr>
        <w:spacing w:before="240" w:beforeLines="100" w:after="120" w:afterLines="50"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tabs>
          <w:tab w:val="left" w:pos="840"/>
        </w:tabs>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委托人（甲方）：</w:t>
      </w:r>
      <w:r>
        <w:rPr>
          <w:rFonts w:hint="eastAsia" w:ascii="宋体" w:hAnsi="宋体" w:eastAsia="宋体" w:cs="宋体"/>
          <w:bCs/>
          <w:color w:val="auto"/>
          <w:sz w:val="21"/>
          <w:szCs w:val="21"/>
          <w:highlight w:val="none"/>
          <w:u w:val="single"/>
        </w:rPr>
        <w:t>东莞市水务集团建设管理有限公司</w:t>
      </w:r>
    </w:p>
    <w:p>
      <w:pPr>
        <w:tabs>
          <w:tab w:val="left" w:pos="840"/>
        </w:tabs>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监测人（乙方）：</w:t>
      </w:r>
      <w:r>
        <w:rPr>
          <w:rFonts w:hint="eastAsia" w:ascii="宋体" w:hAnsi="宋体" w:eastAsia="宋体" w:cs="宋体"/>
          <w:b/>
          <w:color w:val="auto"/>
          <w:kern w:val="2"/>
          <w:sz w:val="21"/>
          <w:szCs w:val="21"/>
          <w:highlight w:val="none"/>
          <w:u w:val="single"/>
        </w:rPr>
        <w:t xml:space="preserve">                             </w:t>
      </w:r>
    </w:p>
    <w:p>
      <w:pPr>
        <w:tabs>
          <w:tab w:val="left" w:pos="840"/>
        </w:tabs>
        <w:spacing w:line="360" w:lineRule="auto"/>
        <w:ind w:firstLine="42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项目业主（丙方）：</w:t>
      </w:r>
      <w:r>
        <w:rPr>
          <w:rFonts w:hint="eastAsia" w:ascii="宋体" w:hAnsi="宋体" w:eastAsia="宋体" w:cs="宋体"/>
          <w:bCs/>
          <w:color w:val="auto"/>
          <w:sz w:val="21"/>
          <w:szCs w:val="21"/>
          <w:highlight w:val="none"/>
          <w:u w:val="single"/>
          <w:lang w:eastAsia="zh-CN"/>
        </w:rPr>
        <w:t>东莞市石鼓净水有限公司</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1.乙方已明确知悉：</w:t>
      </w:r>
      <w:r>
        <w:rPr>
          <w:rFonts w:hint="eastAsia" w:ascii="宋体" w:hAnsi="宋体" w:eastAsia="宋体" w:cs="宋体"/>
          <w:bCs/>
          <w:color w:val="auto"/>
          <w:kern w:val="2"/>
          <w:sz w:val="21"/>
          <w:szCs w:val="21"/>
          <w:highlight w:val="none"/>
          <w:u w:val="single"/>
          <w:lang w:eastAsia="zh-CN"/>
        </w:rPr>
        <w:t>东莞市石鼓净水有限公司</w:t>
      </w:r>
      <w:r>
        <w:rPr>
          <w:rFonts w:hint="eastAsia" w:ascii="宋体" w:hAnsi="宋体" w:eastAsia="宋体" w:cs="宋体"/>
          <w:color w:val="auto"/>
          <w:kern w:val="2"/>
          <w:sz w:val="21"/>
          <w:szCs w:val="21"/>
          <w:highlight w:val="none"/>
        </w:rPr>
        <w:t>（以下简称“丙方”）为</w:t>
      </w:r>
      <w:r>
        <w:rPr>
          <w:rFonts w:hint="eastAsia" w:ascii="宋体" w:hAnsi="宋体" w:eastAsia="宋体" w:cs="宋体"/>
          <w:color w:val="auto"/>
          <w:kern w:val="2"/>
          <w:sz w:val="21"/>
          <w:szCs w:val="21"/>
          <w:highlight w:val="none"/>
          <w:u w:val="single"/>
          <w:lang w:eastAsia="zh-CN"/>
        </w:rPr>
        <w:t>东莞市茶山镇污水处理厂改扩建项目第三方监测服务采购项目</w:t>
      </w:r>
      <w:r>
        <w:rPr>
          <w:rFonts w:hint="eastAsia" w:ascii="宋体" w:hAnsi="宋体" w:eastAsia="宋体" w:cs="宋体"/>
          <w:color w:val="auto"/>
          <w:kern w:val="2"/>
          <w:sz w:val="21"/>
          <w:szCs w:val="21"/>
          <w:highlight w:val="none"/>
        </w:rPr>
        <w:t>的项目业主，</w:t>
      </w:r>
      <w:r>
        <w:rPr>
          <w:rFonts w:hint="eastAsia" w:ascii="宋体" w:hAnsi="宋体" w:eastAsia="宋体" w:cs="宋体"/>
          <w:color w:val="auto"/>
          <w:kern w:val="2"/>
          <w:sz w:val="21"/>
          <w:szCs w:val="21"/>
          <w:highlight w:val="none"/>
          <w:u w:val="single"/>
        </w:rPr>
        <w:t>东莞市水务集团建设管理有限公司</w:t>
      </w:r>
      <w:r>
        <w:rPr>
          <w:rFonts w:hint="eastAsia" w:ascii="宋体" w:hAnsi="宋体" w:eastAsia="宋体" w:cs="宋体"/>
          <w:color w:val="auto"/>
          <w:kern w:val="2"/>
          <w:sz w:val="21"/>
          <w:szCs w:val="21"/>
          <w:highlight w:val="none"/>
        </w:rPr>
        <w:t>（以下简称“甲方”）为上述项目的代建单位。</w:t>
      </w:r>
      <w:r>
        <w:rPr>
          <w:rFonts w:hint="eastAsia" w:ascii="宋体" w:hAnsi="宋体" w:eastAsia="宋体" w:cs="宋体"/>
          <w:color w:val="auto"/>
          <w:kern w:val="2"/>
          <w:sz w:val="21"/>
          <w:szCs w:val="21"/>
          <w:highlight w:val="none"/>
          <w:u w:val="single"/>
          <w:lang w:eastAsia="zh-CN"/>
        </w:rPr>
        <w:t>东莞市石鼓净水有限公司</w:t>
      </w:r>
      <w:r>
        <w:rPr>
          <w:rFonts w:hint="eastAsia" w:ascii="宋体" w:hAnsi="宋体" w:eastAsia="宋体" w:cs="宋体"/>
          <w:color w:val="auto"/>
          <w:kern w:val="2"/>
          <w:sz w:val="21"/>
          <w:szCs w:val="21"/>
          <w:highlight w:val="none"/>
        </w:rPr>
        <w:t>已将</w:t>
      </w:r>
      <w:r>
        <w:rPr>
          <w:rFonts w:hint="eastAsia" w:ascii="宋体" w:hAnsi="宋体" w:eastAsia="宋体" w:cs="宋体"/>
          <w:color w:val="auto"/>
          <w:kern w:val="2"/>
          <w:sz w:val="21"/>
          <w:szCs w:val="21"/>
          <w:highlight w:val="none"/>
          <w:u w:val="single"/>
          <w:lang w:eastAsia="zh-CN"/>
        </w:rPr>
        <w:t>东莞市茶山镇污水处理厂改扩建项目第三方监测服务采购项目</w:t>
      </w:r>
      <w:r>
        <w:rPr>
          <w:rFonts w:hint="eastAsia" w:ascii="宋体" w:hAnsi="宋体" w:eastAsia="宋体" w:cs="宋体"/>
          <w:color w:val="auto"/>
          <w:kern w:val="2"/>
          <w:sz w:val="21"/>
          <w:szCs w:val="21"/>
          <w:highlight w:val="none"/>
        </w:rPr>
        <w:t>委托给</w:t>
      </w:r>
      <w:r>
        <w:rPr>
          <w:rFonts w:hint="eastAsia" w:ascii="宋体" w:hAnsi="宋体" w:eastAsia="宋体" w:cs="宋体"/>
          <w:color w:val="auto"/>
          <w:kern w:val="2"/>
          <w:sz w:val="21"/>
          <w:szCs w:val="21"/>
          <w:highlight w:val="none"/>
          <w:u w:val="single"/>
        </w:rPr>
        <w:t>东莞市水务集团建设管理有限公司</w:t>
      </w:r>
      <w:r>
        <w:rPr>
          <w:rFonts w:hint="eastAsia" w:ascii="宋体" w:hAnsi="宋体" w:eastAsia="宋体" w:cs="宋体"/>
          <w:color w:val="auto"/>
          <w:kern w:val="2"/>
          <w:sz w:val="21"/>
          <w:szCs w:val="21"/>
          <w:highlight w:val="none"/>
        </w:rPr>
        <w:t>实施代建，并且乙方已认真查阅、理解甲方招标文件的全部内容，并对丙方授予甲方的权利义务无任何异议。</w:t>
      </w:r>
    </w:p>
    <w:p>
      <w:pPr>
        <w:autoSpaceDE/>
        <w:autoSpaceDN/>
        <w:adjustRightInd/>
        <w:spacing w:line="360" w:lineRule="auto"/>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2.甲方履行本合同约定的除支付合同价款</w:t>
      </w:r>
      <w:r>
        <w:rPr>
          <w:rFonts w:hint="eastAsia" w:ascii="宋体" w:hAnsi="宋体" w:eastAsia="宋体" w:cs="宋体"/>
          <w:b/>
          <w:bCs/>
          <w:color w:val="auto"/>
          <w:kern w:val="2"/>
          <w:sz w:val="21"/>
          <w:szCs w:val="21"/>
          <w:highlight w:val="none"/>
          <w:lang w:eastAsia="zh-Hans"/>
        </w:rPr>
        <w:t>及</w:t>
      </w:r>
      <w:r>
        <w:rPr>
          <w:rFonts w:hint="eastAsia" w:ascii="宋体" w:hAnsi="宋体" w:eastAsia="宋体" w:cs="宋体"/>
          <w:b/>
          <w:bCs/>
          <w:color w:val="auto"/>
          <w:kern w:val="2"/>
          <w:sz w:val="21"/>
          <w:szCs w:val="21"/>
          <w:highlight w:val="none"/>
        </w:rPr>
        <w:t>应由丙方承担违约责任以外的全部责任义务。丙方按照合同约定的期限和方式支付合同价款且不承担除支付合同价款及承担合同约定应由丙方承担违约责任之外的任何责任义务。乙方因违反本合同约定应承担的违约责任中涉及的各类履约担保、押金、质量保证金及违约金、利息等款项及由此产生的孳息等均归甲方所有，甲方有权自行处置、使用上述款项，丙方对此予以确认并不持异议。</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根据《中华人民共和国民法典》、《中华人民共和国招标投标法》等相关法律法规的规定，遵循平等、自愿、公平和诚实信用的原则，三方就</w:t>
      </w:r>
      <w:r>
        <w:rPr>
          <w:rFonts w:hint="eastAsia" w:ascii="宋体" w:hAnsi="宋体" w:eastAsia="宋体" w:cs="宋体"/>
          <w:color w:val="auto"/>
          <w:sz w:val="21"/>
          <w:szCs w:val="21"/>
          <w:highlight w:val="none"/>
          <w:lang w:eastAsia="zh-CN"/>
        </w:rPr>
        <w:t>东莞市茶山镇污水处理厂改扩建项目第三方监测服务采购项目</w:t>
      </w:r>
      <w:r>
        <w:rPr>
          <w:rFonts w:hint="eastAsia" w:ascii="宋体" w:hAnsi="宋体" w:eastAsia="宋体" w:cs="宋体"/>
          <w:color w:val="auto"/>
          <w:sz w:val="21"/>
          <w:szCs w:val="21"/>
          <w:highlight w:val="none"/>
        </w:rPr>
        <w:t>有关事项协商一致，达成本合同。</w:t>
      </w:r>
    </w:p>
    <w:p>
      <w:pPr>
        <w:widowControl/>
        <w:autoSpaceDE/>
        <w:autoSpaceDN/>
        <w:adjustRightInd/>
        <w:spacing w:line="360" w:lineRule="auto"/>
        <w:ind w:firstLine="422"/>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一、工程概况</w:t>
      </w:r>
    </w:p>
    <w:p>
      <w:pPr>
        <w:widowControl/>
        <w:autoSpaceDE/>
        <w:autoSpaceDN/>
        <w:adjustRightInd/>
        <w:spacing w:line="360" w:lineRule="auto"/>
        <w:ind w:firstLine="422"/>
        <w:jc w:val="left"/>
        <w:rPr>
          <w:rFonts w:hint="eastAsia" w:ascii="宋体" w:hAnsi="宋体" w:eastAsia="宋体" w:cs="宋体"/>
          <w:color w:val="auto"/>
          <w:kern w:val="2"/>
          <w:sz w:val="21"/>
          <w:szCs w:val="21"/>
          <w:highlight w:val="none"/>
          <w:u w:val="single"/>
          <w:lang w:eastAsia="zh-CN"/>
        </w:rPr>
      </w:pPr>
      <w:r>
        <w:rPr>
          <w:rFonts w:hint="eastAsia" w:ascii="宋体" w:hAnsi="宋体" w:eastAsia="宋体" w:cs="宋体"/>
          <w:b/>
          <w:color w:val="auto"/>
          <w:kern w:val="2"/>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项目名称：</w:t>
      </w:r>
      <w:r>
        <w:rPr>
          <w:rFonts w:hint="eastAsia" w:ascii="宋体" w:hAnsi="宋体" w:eastAsia="宋体" w:cs="宋体"/>
          <w:bCs/>
          <w:color w:val="auto"/>
          <w:kern w:val="2"/>
          <w:sz w:val="21"/>
          <w:szCs w:val="21"/>
          <w:highlight w:val="none"/>
          <w:u w:val="single"/>
          <w:lang w:eastAsia="zh-CN"/>
        </w:rPr>
        <w:t>东莞市茶山镇污水处理厂改扩建项目</w:t>
      </w:r>
    </w:p>
    <w:p>
      <w:pPr>
        <w:autoSpaceDE/>
        <w:autoSpaceDN/>
        <w:adjustRightInd/>
        <w:spacing w:line="360" w:lineRule="auto"/>
        <w:ind w:firstLine="424" w:firstLineChars="201"/>
        <w:jc w:val="both"/>
        <w:rPr>
          <w:rFonts w:hint="eastAsia" w:ascii="宋体" w:hAnsi="宋体" w:eastAsia="宋体" w:cs="宋体"/>
          <w:color w:val="auto"/>
          <w:kern w:val="2"/>
          <w:sz w:val="21"/>
          <w:szCs w:val="21"/>
          <w:highlight w:val="none"/>
          <w:u w:val="single"/>
        </w:rPr>
      </w:pPr>
      <w:r>
        <w:rPr>
          <w:rFonts w:hint="eastAsia" w:ascii="宋体" w:hAnsi="宋体" w:eastAsia="宋体" w:cs="宋体"/>
          <w:b/>
          <w:color w:val="auto"/>
          <w:kern w:val="2"/>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建设地点：</w:t>
      </w:r>
      <w:r>
        <w:rPr>
          <w:rFonts w:hint="eastAsia" w:ascii="宋体" w:hAnsi="宋体" w:eastAsia="宋体" w:cs="宋体"/>
          <w:color w:val="auto"/>
          <w:kern w:val="2"/>
          <w:sz w:val="21"/>
          <w:szCs w:val="21"/>
          <w:highlight w:val="none"/>
          <w:u w:val="single"/>
        </w:rPr>
        <w:t>东莞市。</w:t>
      </w:r>
    </w:p>
    <w:p>
      <w:pPr>
        <w:autoSpaceDE/>
        <w:autoSpaceDN/>
        <w:adjustRightInd/>
        <w:spacing w:line="360" w:lineRule="auto"/>
        <w:ind w:firstLine="424" w:firstLineChars="201"/>
        <w:jc w:val="both"/>
        <w:rPr>
          <w:rFonts w:hint="eastAsia" w:ascii="宋体" w:hAnsi="宋体" w:eastAsia="宋体" w:cs="宋体"/>
          <w:bCs/>
          <w:color w:val="auto"/>
          <w:kern w:val="2"/>
          <w:sz w:val="21"/>
          <w:szCs w:val="21"/>
          <w:highlight w:val="none"/>
          <w:u w:val="single"/>
        </w:rPr>
      </w:pPr>
      <w:r>
        <w:rPr>
          <w:rFonts w:hint="eastAsia" w:ascii="宋体" w:hAnsi="宋体" w:eastAsia="宋体" w:cs="宋体"/>
          <w:b/>
          <w:color w:val="auto"/>
          <w:kern w:val="2"/>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
          <w:color w:val="auto"/>
          <w:kern w:val="2"/>
          <w:sz w:val="21"/>
          <w:szCs w:val="21"/>
          <w:highlight w:val="none"/>
        </w:rPr>
        <w:t>项目基本情况：</w:t>
      </w:r>
      <w:r>
        <w:rPr>
          <w:rFonts w:hint="eastAsia" w:ascii="宋体" w:hAnsi="宋体" w:eastAsia="宋体" w:cs="宋体"/>
          <w:b w:val="0"/>
          <w:bCs/>
          <w:color w:val="auto"/>
          <w:kern w:val="2"/>
          <w:sz w:val="21"/>
          <w:szCs w:val="21"/>
          <w:highlight w:val="none"/>
          <w:lang w:val="en-US" w:eastAsia="zh-CN"/>
        </w:rPr>
        <w:t>东莞市茶山镇污水处理厂改扩建项目位于东莞市茶山镇内,本工程扩容规模为4.5万m3/d，采用地上式建设形式，扩容后总规模达到9.5万m3/d，变化系数采用1.3，采用工艺为“五段式Bardenpho+MBR”工艺。建设内容包括厂区主要构（建）筑物：粗格栅及进水泵房（改造）、细格栅及旋流沉砂池（新建）、精细格栅（新建）、五段式Bardenpho生物池（新建厌氧池+改造）、MBR膜池及设备间（新建）、紫外消毒渠（改造）、出水流量计井（新建）、鼓风机房及变配电间（改造）、脱水车间（改造）、生物除臭滤池（新建）以及厂区道路、绿化、电气及自控等辅助工程。</w:t>
      </w:r>
    </w:p>
    <w:p>
      <w:pPr>
        <w:spacing w:line="360" w:lineRule="auto"/>
        <w:ind w:firstLine="420"/>
        <w:rPr>
          <w:rFonts w:hint="eastAsia" w:ascii="宋体" w:hAnsi="宋体" w:eastAsia="宋体" w:cs="宋体"/>
          <w:color w:val="auto"/>
          <w:sz w:val="21"/>
          <w:szCs w:val="21"/>
          <w:highlight w:val="none"/>
        </w:rPr>
      </w:pPr>
    </w:p>
    <w:p>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二、服务概况</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1.乙方作为</w:t>
      </w:r>
      <w:r>
        <w:rPr>
          <w:rFonts w:hint="eastAsia" w:ascii="宋体" w:hAnsi="宋体" w:eastAsia="宋体" w:cs="宋体"/>
          <w:color w:val="auto"/>
          <w:sz w:val="21"/>
          <w:szCs w:val="21"/>
          <w:highlight w:val="none"/>
          <w:lang w:eastAsia="zh-CN"/>
        </w:rPr>
        <w:t>东莞市茶山镇污水处理厂改扩建项目第三方监测服务采购项目</w:t>
      </w:r>
      <w:r>
        <w:rPr>
          <w:rFonts w:hint="eastAsia" w:ascii="宋体" w:hAnsi="宋体" w:eastAsia="宋体" w:cs="宋体"/>
          <w:color w:val="auto"/>
          <w:sz w:val="21"/>
          <w:szCs w:val="21"/>
          <w:highlight w:val="none"/>
        </w:rPr>
        <w:t>的监测服务单位，在本合同服务期内承担服务期间进行约定的各项监测及相关技术工作等。合同服务期：自</w:t>
      </w:r>
      <w:r>
        <w:rPr>
          <w:rFonts w:hint="eastAsia" w:ascii="宋体" w:hAnsi="宋体" w:eastAsia="宋体" w:cs="宋体"/>
          <w:color w:val="auto"/>
          <w:sz w:val="21"/>
          <w:szCs w:val="21"/>
          <w:highlight w:val="none"/>
          <w:lang w:eastAsia="zh-CN"/>
        </w:rPr>
        <w:t>东莞市茶山镇污水处理厂改扩建项目</w:t>
      </w:r>
      <w:r>
        <w:rPr>
          <w:rFonts w:hint="eastAsia" w:ascii="宋体" w:hAnsi="宋体" w:eastAsia="宋体" w:cs="宋体"/>
          <w:color w:val="auto"/>
          <w:sz w:val="21"/>
          <w:szCs w:val="21"/>
          <w:highlight w:val="none"/>
        </w:rPr>
        <w:t>开工至完成约定的各项监测及相关技术工作为止。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2.监测依据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2.1.《建筑变形测量规</w:t>
      </w:r>
      <w:r>
        <w:rPr>
          <w:rFonts w:hint="eastAsia" w:ascii="宋体" w:hAnsi="宋体" w:eastAsia="宋体" w:cs="宋体"/>
          <w:color w:val="auto"/>
          <w:sz w:val="21"/>
          <w:szCs w:val="21"/>
          <w:highlight w:val="none"/>
          <w:lang w:val="en-US" w:eastAsia="zh-CN"/>
        </w:rPr>
        <w:t>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JGJ 8-2016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2.2.《建筑基坑工程监测技术</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GB50497-2019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2.3.《建筑地基基础设计规范》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 50007-2011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2.4.《工程测量</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GB50026-2020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2.5.《工程测量通用规范》（GB55018-2021）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2.6.《建筑地基基础工程施工质量验收</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GB50202-2018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2.7.《建筑边坡工程技术规</w:t>
      </w:r>
      <w:r>
        <w:rPr>
          <w:rFonts w:hint="eastAsia" w:ascii="宋体" w:hAnsi="宋体" w:eastAsia="宋体" w:cs="宋体"/>
          <w:color w:val="auto"/>
          <w:sz w:val="21"/>
          <w:szCs w:val="21"/>
          <w:highlight w:val="none"/>
          <w:lang w:val="en-US" w:eastAsia="zh-CN"/>
        </w:rPr>
        <w:t>范</w:t>
      </w:r>
      <w:r>
        <w:rPr>
          <w:rFonts w:hint="eastAsia" w:ascii="宋体" w:hAnsi="宋体" w:eastAsia="宋体" w:cs="宋体"/>
          <w:color w:val="auto"/>
          <w:sz w:val="21"/>
          <w:szCs w:val="21"/>
          <w:highlight w:val="none"/>
        </w:rPr>
        <w:t>》（GB 50330-2013）；</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2.8.《建筑基坑支护技术规程》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JGJ120-2012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.广东省</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《建筑基坑支护工程技术规程》</w:t>
      </w:r>
      <w:r>
        <w:rPr>
          <w:rFonts w:hint="eastAsia" w:ascii="宋体" w:hAnsi="宋体" w:eastAsia="宋体" w:cs="宋体"/>
          <w:color w:val="auto"/>
          <w:sz w:val="21"/>
          <w:szCs w:val="21"/>
          <w:highlight w:val="none"/>
          <w:lang w:eastAsia="zh-CN"/>
        </w:rPr>
        <w:t>（DBJ/T15-20-2016）</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.广东省标准《建筑基坑施工监测技术标准》（DBJ/T15-162-2019）；</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.《岩土工程勘察规范》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GB50021-2001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val="en-US" w:eastAsia="zh-CN"/>
        </w:rPr>
        <w:t>水</w:t>
      </w:r>
      <w:r>
        <w:rPr>
          <w:rFonts w:hint="eastAsia" w:ascii="宋体" w:hAnsi="宋体" w:eastAsia="宋体" w:cs="宋体"/>
          <w:color w:val="auto"/>
          <w:sz w:val="21"/>
          <w:szCs w:val="21"/>
          <w:highlight w:val="none"/>
        </w:rPr>
        <w:t>排水管道工程施工及验收规范》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GB50268-2008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.国家及省市建设主管部门的相关标准和规范；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.基坑监测项目原勘察成果资料；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.基坑监测项目设计文件等。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范围：按设计图纸、相关规范标准以及设计方要求，结合施工现场实际，在基坑开挖和地下建筑施工期间对基坑的安全稳定性进行监测，需监测的主要项目（具体数量以《监测工程量清单计价表》为准）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围护结构（坡）顶部水平位移监测；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围护结构（坡）顶部竖向位移监测；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地下水位监测；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基坑周边地表竖向位移监测；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 周边建（构）筑物竖向位移监测；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周边建（构）筑物倾斜监测；</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3.7 裂缝监测（周边地表、周边建（构）筑物裂缝监测）</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3.8 </w:t>
      </w:r>
      <w:r>
        <w:rPr>
          <w:rFonts w:hint="eastAsia" w:ascii="宋体" w:hAnsi="宋体" w:eastAsia="宋体" w:cs="宋体"/>
          <w:color w:val="auto"/>
          <w:sz w:val="21"/>
          <w:szCs w:val="21"/>
          <w:highlight w:val="none"/>
          <w:lang w:val="en-US" w:eastAsia="zh-CN"/>
        </w:rPr>
        <w:t>深层水平位移土体测斜监测；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3.9 </w:t>
      </w:r>
      <w:r>
        <w:rPr>
          <w:rFonts w:hint="eastAsia" w:ascii="宋体" w:hAnsi="宋体" w:eastAsia="宋体" w:cs="宋体"/>
          <w:color w:val="auto"/>
          <w:sz w:val="21"/>
          <w:szCs w:val="21"/>
          <w:highlight w:val="none"/>
        </w:rPr>
        <w:t>其它根据工程实际需要委托的监测项目。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4.质量要求</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val="hr-HR"/>
        </w:rPr>
        <w:t>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质量要求</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4.1.1 乙方</w:t>
      </w:r>
      <w:r>
        <w:rPr>
          <w:rFonts w:hint="eastAsia" w:ascii="宋体" w:hAnsi="宋体" w:eastAsia="宋体" w:cs="宋体"/>
          <w:color w:val="auto"/>
          <w:sz w:val="21"/>
          <w:szCs w:val="21"/>
          <w:highlight w:val="none"/>
          <w:lang w:val="hr-HR"/>
        </w:rPr>
        <w:t>提供检定合格、手续完备的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仪器，及时出具具有法律</w:t>
      </w:r>
      <w:r>
        <w:rPr>
          <w:rFonts w:hint="eastAsia" w:ascii="宋体" w:hAnsi="宋体" w:eastAsia="宋体" w:cs="宋体"/>
          <w:color w:val="auto"/>
          <w:sz w:val="21"/>
          <w:szCs w:val="21"/>
          <w:highlight w:val="none"/>
        </w:rPr>
        <w:t>效力</w:t>
      </w:r>
      <w:r>
        <w:rPr>
          <w:rFonts w:hint="eastAsia" w:ascii="宋体" w:hAnsi="宋体" w:eastAsia="宋体" w:cs="宋体"/>
          <w:color w:val="auto"/>
          <w:sz w:val="21"/>
          <w:szCs w:val="21"/>
          <w:highlight w:val="none"/>
          <w:lang w:val="hr-HR"/>
        </w:rPr>
        <w:t>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hr-HR"/>
        </w:rPr>
        <w:t>须保证</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成果质量，对技术成果负完全责任，如因</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不实，造成甲方经济损失费用全部由</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单位承担，并应负责重检。</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val="hr-HR"/>
        </w:rPr>
        <w:t>执行国家、广东省以及东莞市有关工程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的标准规范的规定。</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监测数据、设备的管理</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4.1.3.1 对测点进行标识，加强检查，必要时设护栏，保证监测工作正常进行。</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4.1.3.2 监测人员、监测线路、监测方法要相对固定，以保证观测资料、成果数据的准确与连续性。</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4.1.3.3 对监测设备、仪器由专人负责保管、使用。在使用前必须经过检验，认为合格后方可使用。保证量测数据准确。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4.1.3.4 对量测的数据必须换手复核，认为准确无误后方可上报，并采用计算机系统进行管理。</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 当出现下列情况之一时，应提高监测频率</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4.1.4.1 监测数据达到报警值。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4.1.4.2 监测数据变化较大或者速率加快。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4.1.4.3 存在勘察未发现的不良地质。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4.1.4.4 超深、超长开挖或未及时加撑等违反设计工况施工。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4.1.4.5 基坑及周边大量积水、长时间连续降雨、市政管道出现泄漏。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4.1.4.6 基坑附近地面荷载突然增大或超过设计限值。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4.1.4.7 支护结构出现开裂。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4.1.4.8 周边地面突发较大沉降或出现严重开裂。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4.1.4.9 邻近建筑突发较大沉降、不均匀沉降或出现严重开裂。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4.1.4.10 基坑底部、侧壁出现管涌、潘漏或流沙等现象。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4.1.4.11 基坑工程发生事故后重新组织施工。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4.1.4.12 出现其他影响基坑及周边环境安全的异常情况。</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 监测数据发生突变的处理对策</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4.1.5.1 立即停止开挖、调整各种设备参数。</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4.1.5.2 上报甲方及项目部，由项目部组织技术人员进行分析，制定相关措施，并将情况及时上报建设单位和监理单位、设计单位。</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4.1.5.3 对突变发生地表和建筑物等实施实时监控。</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4.1.5.4 如涉及地表安全，立即请相关部门协助，采用疏解交通等有效措施。</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4.1.5.5 请建设单位组织设计单位、施工单位、监理单位等部门共同制定应对措施。</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val="hr-HR"/>
        </w:rPr>
        <w:t>其他质量要求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val="hr-HR"/>
        </w:rPr>
        <w:t>乙方须根据国家标准及其它相关行业规程的要求，结合本工程施工图、预算文件及东莞市建筑工程质量安全监督站相关规定，制定</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w:t>
      </w:r>
      <w:r>
        <w:rPr>
          <w:rFonts w:hint="eastAsia" w:ascii="宋体" w:hAnsi="宋体" w:eastAsia="宋体" w:cs="宋体"/>
          <w:color w:val="auto"/>
          <w:sz w:val="21"/>
          <w:szCs w:val="21"/>
          <w:highlight w:val="none"/>
        </w:rPr>
        <w:t>本工程所有监测点位均根据设计单位提供的相关图纸进行布设，其位置及数量均可按照设计、监理、甲方单位的合理化建议适当调整。方案经监理</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、甲方、及施工单位审查确认合格后方可实施。</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4.2.2 乙方须</w:t>
      </w:r>
      <w:r>
        <w:rPr>
          <w:rFonts w:hint="eastAsia" w:ascii="宋体" w:hAnsi="宋体" w:eastAsia="宋体" w:cs="宋体"/>
          <w:color w:val="auto"/>
          <w:sz w:val="21"/>
          <w:szCs w:val="21"/>
          <w:highlight w:val="none"/>
          <w:lang w:val="hr-HR"/>
        </w:rPr>
        <w:t>完成本工程</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方案内项目及数量，出具合法有效且符合</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规范要求的</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报告，为工程进度控制提供依据；提供</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咨询服务，为保证工程质量提供保障。</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乙方应当建立健全并落实各项管理制度，保证监测项目工作正常进行，并接受甲方及有关主管部门对项目服务质量的监督检查。</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乙方应建立并实施符合本项目各项要求的质量管理体系。</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 甲方代表有权在工作时间内进入乙方的工作地点检查其质量手册、质量计划及其它与质量相关的文件的实施情况。</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5.成果要求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 技术资料包括但不限于以下内容：监测方案；测点布设记录；监测报告；监测总结报告等。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合同签订后15天内，乙方应根据批准的工程施工组织设计、工程设计文件、市政工程建设标准、国家及行业规范等制定并向甲方提交详细的可实施的监测方案1份。乙方</w:t>
      </w:r>
      <w:r>
        <w:rPr>
          <w:rFonts w:hint="eastAsia" w:ascii="宋体" w:hAnsi="宋体" w:eastAsia="宋体" w:cs="宋体"/>
          <w:color w:val="auto"/>
          <w:sz w:val="21"/>
          <w:szCs w:val="21"/>
          <w:highlight w:val="none"/>
          <w:lang w:val="hr-HR"/>
        </w:rPr>
        <w:t>应积极配合甲方调整优化</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方案，并提交甲方确认。</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5.3 测点布设需经甲方委托的工程监理单位签字确认，并最终提交甲方及工程监理单位。 </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每次监测在完成现场监测后24小时内，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需向甲方提供相应的电子版监测报告（盖章的PDF格式），并在三个工作日内提交纸质版监测报告。对异常的监测数据（如监测值超报警值等），</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应在2小时内通知甲方。</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监测报告、监测总结报告纸质报告以一式三份提交。</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 乙方所提供给甲方的成果资料所有权由甲方享有，未经甲方许可，乙方不得将成果泄露给第三方。</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 乙方须保证监测成果质量，对技术成果负完全责任，如因监测不实，造成甲方经济损失费用全部由乙方承担。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6.安全要求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安全文明监测要求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乙方应强化安全文明生产管理，通过组织落实，责任到人。</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乙方需全面了解施工现场安全管理的有关要求，并对需要进入施工现场观测的人员进行安全教育或安全交底；</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 进入施工现场的观测人员必须佩戴安全帽和相关的安全防护用品，接受安全工程师的督导；</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埋设观测标志需临时用电，接电时，必须经同意在电气专业人员帮助下才可接用；</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进出施工现场应遵守各种安全文明施工和环境保护的规章制度，文明礼貌；</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在施工现场应听从施工现场管理人员的指挥。</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6.1.7 乙方应做好服务的安全防护措施，服务过程中出现的安全事故由乙方自行承担。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6.1.8 乙方必须做好安全防护工作，由于乙方自身的原因发生的任何伤害（包括人身伤害），均由乙方自行承担。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安全巡视要求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 安全巡视检查包括以下内容：</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6.2.1.1 当日的天气情况和施工现场的工况；</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6.2.1.2 仪器监测项目各监测点的本次测试值、单次变化值、变化速率以及累计值等，必要时绘制有关曲线图；</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6.2.1.3 巡视检查的记录；</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6.2.1.4 对监测项目应有正常或异常、危险的判断性结论；</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6.2.1.5 对达到或超过监测报警值的监测点应有报警标识，并有分析和建议；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6.2.1.6 对巡视检查发现的异常情况应有详细描述，危险情况应有报警标示标识，并有分析和建议；</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6.2.1.7 其他相关说明。</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 巡视检查宜以目测为主，可辅以锤、钎、量尺、放大镜等工器具以及摄像、摄影灯设备进行。对自然条件、支护结构、施工工况、周边环境、监测设施等的巡视检查情况应做好记录。检查记录应及时整理，并与仪器监测数据进行综合分析。巡视检查如发现异常和危险情况，应及时通知各参建</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 每次现场监测工作实施时同时进行现场安全巡视，在施工影响期内确保每次监测必巡视，遇特殊情况时应加密巡视频率。在项目安全监测周期内的项目，依照安全监测周期频率实施监测，遇特殊情况时应加密巡视频率。</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7.其他要求</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乙方派出的监测人员应具备相应的专业知识及技术水平，有足够能力完成本项目监测服务工作。</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乙方需配备1名项目负责人、1名技术负责人及数量充足的监测工作人员，保证监测工作有序、顺利完成。</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乙方应配备完成本合同所必须的监测设备，其性能良好并符合国家规定。同时配备数量充足的交通警示标志和施工</w:t>
      </w:r>
      <w:r>
        <w:rPr>
          <w:rFonts w:hint="eastAsia" w:ascii="宋体" w:hAnsi="宋体" w:eastAsia="宋体" w:cs="宋体"/>
          <w:color w:val="auto"/>
          <w:sz w:val="21"/>
          <w:szCs w:val="21"/>
          <w:highlight w:val="none"/>
          <w:lang w:eastAsia="zh-CN"/>
        </w:rPr>
        <w:t>围挡</w:t>
      </w:r>
      <w:r>
        <w:rPr>
          <w:rFonts w:hint="eastAsia" w:ascii="宋体" w:hAnsi="宋体" w:eastAsia="宋体" w:cs="宋体"/>
          <w:color w:val="auto"/>
          <w:sz w:val="21"/>
          <w:szCs w:val="21"/>
          <w:highlight w:val="none"/>
        </w:rPr>
        <w:t>，以及监测仪器、无线通讯设备、劳动防护用品等其它必须使用的工具。</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7.4 </w:t>
      </w:r>
      <w:r>
        <w:rPr>
          <w:rFonts w:hint="eastAsia" w:ascii="宋体" w:hAnsi="宋体" w:eastAsia="宋体" w:cs="宋体"/>
          <w:color w:val="auto"/>
          <w:sz w:val="21"/>
          <w:szCs w:val="21"/>
          <w:highlight w:val="none"/>
          <w:lang w:val="hr-HR"/>
        </w:rPr>
        <w:t>若</w:t>
      </w:r>
      <w:r>
        <w:rPr>
          <w:rFonts w:hint="eastAsia" w:ascii="宋体" w:hAnsi="宋体" w:eastAsia="宋体" w:cs="宋体"/>
          <w:color w:val="auto"/>
          <w:sz w:val="21"/>
          <w:szCs w:val="21"/>
          <w:highlight w:val="none"/>
        </w:rPr>
        <w:t>甲方、建设单位、上级行政主管部门</w:t>
      </w:r>
      <w:r>
        <w:rPr>
          <w:rFonts w:hint="eastAsia" w:ascii="宋体" w:hAnsi="宋体" w:eastAsia="宋体" w:cs="宋体"/>
          <w:color w:val="auto"/>
          <w:sz w:val="21"/>
          <w:szCs w:val="21"/>
          <w:highlight w:val="none"/>
          <w:lang w:val="hr-HR"/>
        </w:rPr>
        <w:t>要求（</w:t>
      </w:r>
      <w:r>
        <w:rPr>
          <w:rFonts w:hint="eastAsia" w:ascii="宋体" w:hAnsi="宋体" w:eastAsia="宋体" w:cs="宋体"/>
          <w:color w:val="auto"/>
          <w:sz w:val="21"/>
          <w:szCs w:val="21"/>
          <w:highlight w:val="none"/>
        </w:rPr>
        <w:t>含政策变动</w:t>
      </w:r>
      <w:r>
        <w:rPr>
          <w:rFonts w:hint="eastAsia" w:ascii="宋体" w:hAnsi="宋体" w:eastAsia="宋体" w:cs="宋体"/>
          <w:color w:val="auto"/>
          <w:sz w:val="21"/>
          <w:szCs w:val="21"/>
          <w:highlight w:val="none"/>
          <w:lang w:val="hr-HR"/>
        </w:rPr>
        <w:t>）</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内容和频次增加或减少，</w:t>
      </w:r>
      <w:r>
        <w:rPr>
          <w:rFonts w:hint="eastAsia" w:ascii="宋体" w:hAnsi="宋体" w:eastAsia="宋体" w:cs="宋体"/>
          <w:color w:val="auto"/>
          <w:sz w:val="21"/>
          <w:szCs w:val="21"/>
          <w:highlight w:val="none"/>
        </w:rPr>
        <w:t>乙方必须无条件</w:t>
      </w:r>
      <w:r>
        <w:rPr>
          <w:rFonts w:hint="eastAsia" w:ascii="宋体" w:hAnsi="宋体" w:eastAsia="宋体" w:cs="宋体"/>
          <w:color w:val="auto"/>
          <w:sz w:val="21"/>
          <w:szCs w:val="21"/>
          <w:highlight w:val="none"/>
          <w:lang w:val="hr-HR"/>
        </w:rPr>
        <w:t>遵守执行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hr-HR"/>
        </w:rPr>
        <w:t>实际</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量以甲方审核为准。</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 xml:space="preserve">7.5 </w:t>
      </w:r>
      <w:r>
        <w:rPr>
          <w:rFonts w:hint="eastAsia" w:ascii="宋体" w:hAnsi="宋体" w:eastAsia="宋体" w:cs="宋体"/>
          <w:color w:val="auto"/>
          <w:sz w:val="21"/>
          <w:szCs w:val="21"/>
          <w:highlight w:val="none"/>
          <w:lang w:val="hr-HR"/>
        </w:rPr>
        <w:t>在合同服务期内乙方不得因实际</w:t>
      </w:r>
      <w:r>
        <w:rPr>
          <w:rFonts w:hint="eastAsia" w:ascii="宋体" w:hAnsi="宋体" w:eastAsia="宋体" w:cs="宋体"/>
          <w:color w:val="auto"/>
          <w:sz w:val="21"/>
          <w:szCs w:val="21"/>
          <w:highlight w:val="none"/>
        </w:rPr>
        <w:t>监测数量</w:t>
      </w:r>
      <w:r>
        <w:rPr>
          <w:rFonts w:hint="eastAsia" w:ascii="宋体" w:hAnsi="宋体" w:eastAsia="宋体" w:cs="宋体"/>
          <w:color w:val="auto"/>
          <w:sz w:val="21"/>
          <w:szCs w:val="21"/>
          <w:highlight w:val="none"/>
          <w:lang w:val="hr-HR"/>
        </w:rPr>
        <w:t>过少或其他理由，而要求甲方提供任何形式的补偿或赔偿，或要求甲方所有的项目必须开展监测服务。</w:t>
      </w:r>
    </w:p>
    <w:p>
      <w:pPr>
        <w:widowControl/>
        <w:spacing w:line="360" w:lineRule="auto"/>
        <w:ind w:firstLine="420"/>
        <w:textAlignment w:val="bottom"/>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7.6 乙方</w:t>
      </w:r>
      <w:r>
        <w:rPr>
          <w:rFonts w:hint="eastAsia" w:ascii="宋体" w:hAnsi="宋体" w:eastAsia="宋体" w:cs="宋体"/>
          <w:color w:val="auto"/>
          <w:sz w:val="21"/>
          <w:szCs w:val="21"/>
          <w:highlight w:val="none"/>
          <w:lang w:val="hr-HR"/>
        </w:rPr>
        <w:t>自行解决现场</w:t>
      </w:r>
      <w:r>
        <w:rPr>
          <w:rFonts w:hint="eastAsia" w:ascii="宋体" w:hAnsi="宋体" w:eastAsia="宋体" w:cs="宋体"/>
          <w:color w:val="auto"/>
          <w:sz w:val="21"/>
          <w:szCs w:val="21"/>
          <w:highlight w:val="none"/>
        </w:rPr>
        <w:t>监测</w:t>
      </w:r>
      <w:r>
        <w:rPr>
          <w:rFonts w:hint="eastAsia" w:ascii="宋体" w:hAnsi="宋体" w:eastAsia="宋体" w:cs="宋体"/>
          <w:color w:val="auto"/>
          <w:sz w:val="21"/>
          <w:szCs w:val="21"/>
          <w:highlight w:val="none"/>
          <w:lang w:val="hr-HR"/>
        </w:rPr>
        <w:t>所需辅助劳务及相关费用。</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 服务过程中涉及的设备、工具，由乙方自行解决。</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 服务过程中涉及的用水、用电由乙方自行接入，乙方需做好用水、用电安全防护措施并无条件接受甲方监督。设备、设施的水、电费用由乙方承担。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提供的设备、人员及其他材料，数量及技术性能必须满足招标文件的各项要求及乙方的投标承诺。如原招标文件的各项要求及乙方的投标承诺有设备、人员及其他材料投入不能满足服务的实际需要时，乙方必须根据服务的需要，自行增加相应的设备及人员，并承担相应费用。</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9.乙方提供工程监测服务不得低于国家标准、招标文件的要求及投标文件承诺的标准。</w:t>
      </w:r>
    </w:p>
    <w:p>
      <w:pPr>
        <w:widowControl/>
        <w:spacing w:line="360" w:lineRule="auto"/>
        <w:ind w:firstLine="420"/>
        <w:textAlignment w:val="bottom"/>
        <w:rPr>
          <w:rFonts w:hint="eastAsia" w:ascii="宋体" w:hAnsi="宋体" w:eastAsia="宋体" w:cs="宋体"/>
          <w:color w:val="auto"/>
          <w:sz w:val="21"/>
          <w:szCs w:val="21"/>
          <w:highlight w:val="none"/>
        </w:rPr>
      </w:pPr>
    </w:p>
    <w:p>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三、服务价格及合同价款</w:t>
      </w:r>
    </w:p>
    <w:p>
      <w:pPr>
        <w:autoSpaceDE/>
        <w:autoSpaceDN/>
        <w:adjustRightInd/>
        <w:spacing w:line="360" w:lineRule="auto"/>
        <w:ind w:firstLine="422" w:firstLineChars="201"/>
        <w:jc w:val="both"/>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1.合同价款：</w:t>
      </w:r>
      <w:r>
        <w:rPr>
          <w:rFonts w:hint="eastAsia" w:ascii="宋体" w:hAnsi="宋体" w:eastAsia="宋体" w:cs="宋体"/>
          <w:b/>
          <w:color w:val="auto"/>
          <w:kern w:val="2"/>
          <w:sz w:val="21"/>
          <w:szCs w:val="21"/>
          <w:highlight w:val="none"/>
        </w:rPr>
        <w:t xml:space="preserve"> </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暂定总合同价款（即销售额，不含监测人销项税额）（大写）：人民币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。监测服务系数为</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依法计得并根据本合同约定确定的销项税额由丙方承担。根据《中华人民共和国增值税暂行条例》(国务院令第691号修订版)及当前税务部门的相关规定，本合同项目的增值税税率为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lang w:val="en-US" w:eastAsia="zh-CN" w:bidi="ar"/>
        </w:rPr>
        <w:t>合同附件一《监测工程量清单计价表》的不含税综合单价（即结算不含税综合单价）等于招标文件附件一《监测工程量清单计价表》列出的不含税综合单价乘以中标报价（监测服务系数），结算时不作调整。</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
        </w:rPr>
        <w:t>3.本项目的计费标准按照合同附件一《监测工程量清单计价表》（详见附件）中的不含税</w:t>
      </w:r>
      <w:r>
        <w:rPr>
          <w:rFonts w:hint="eastAsia" w:ascii="宋体" w:hAnsi="宋体" w:eastAsia="宋体" w:cs="宋体"/>
          <w:color w:val="auto"/>
          <w:kern w:val="2"/>
          <w:sz w:val="21"/>
          <w:szCs w:val="21"/>
          <w:highlight w:val="none"/>
          <w:lang w:val="en-US" w:eastAsia="zh-CN" w:bidi="ar"/>
        </w:rPr>
        <w:t>综合单价×实际监测工作量进行结算。</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w:t>
      </w:r>
      <w:r>
        <w:rPr>
          <w:rFonts w:hint="eastAsia" w:ascii="宋体" w:hAnsi="宋体" w:eastAsia="宋体" w:cs="宋体"/>
          <w:b w:val="0"/>
          <w:bCs w:val="0"/>
          <w:color w:val="auto"/>
          <w:sz w:val="21"/>
          <w:szCs w:val="21"/>
          <w:highlight w:val="none"/>
          <w:lang w:val="en-US"/>
        </w:rPr>
        <w:t>专家论证费</w:t>
      </w:r>
      <w:r>
        <w:rPr>
          <w:rFonts w:hint="eastAsia" w:ascii="宋体" w:hAnsi="宋体" w:eastAsia="宋体" w:cs="宋体"/>
          <w:b w:val="0"/>
          <w:bCs w:val="0"/>
          <w:color w:val="auto"/>
          <w:sz w:val="21"/>
          <w:szCs w:val="21"/>
          <w:highlight w:val="none"/>
          <w:lang w:val="en-US" w:eastAsia="zh-CN"/>
        </w:rPr>
        <w:t>、乙方销项税额以外的</w:t>
      </w:r>
      <w:r>
        <w:rPr>
          <w:rFonts w:hint="eastAsia" w:ascii="宋体" w:hAnsi="宋体" w:eastAsia="宋体" w:cs="宋体"/>
          <w:color w:val="auto"/>
          <w:sz w:val="21"/>
          <w:szCs w:val="21"/>
          <w:highlight w:val="none"/>
        </w:rPr>
        <w:t>税金等一切费用，以及合同规定的所有责任、义务和一切风险。监测时，如需土建总包单位配合或向其租借设备时，自行与总包单位协调，配合及租借费用应包括在合同价内。</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测工程量清单计价表》不作为乙方最终服务范围及业务承接数量的保证，甲方有权根据实际需求对监测工程量进行优化调整，最终服务费用按实际发生工程量结算。在合同服务期内，乙方不得因实际监测项目数量及服务费用的增减而要求甲方提供任何形式的补偿或赔偿，或只按甲方暂定的《监测工程量清单计价表》提供相应的对应服务。否则，视为乙方违约，甲方有权追究乙方的违约责任。</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.对于《监测工程量清单计价表》外新增的监测项目，不含税综合单价按以下方法计算：</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（1）按《广东省房屋建筑和市政工程工程质量安全检测收费指导价》（粤建检协〔2015〕8号）对应项单价÷1.06×</w:t>
      </w:r>
      <w:r>
        <w:rPr>
          <w:rFonts w:hint="eastAsia" w:ascii="宋体" w:hAnsi="宋体" w:eastAsia="宋体" w:cs="宋体"/>
          <w:color w:val="auto"/>
          <w:sz w:val="21"/>
          <w:szCs w:val="21"/>
          <w:highlight w:val="none"/>
          <w:lang w:eastAsia="zh-CN"/>
        </w:rPr>
        <w:t>中标监测服务系数</w:t>
      </w:r>
      <w:r>
        <w:rPr>
          <w:rFonts w:hint="eastAsia" w:ascii="宋体" w:hAnsi="宋体" w:eastAsia="宋体" w:cs="宋体"/>
          <w:color w:val="auto"/>
          <w:sz w:val="21"/>
          <w:szCs w:val="21"/>
          <w:highlight w:val="none"/>
        </w:rPr>
        <w:t>；</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（2）《广东省房屋建筑和市政工程工程质量安全检测收费指导价》（粤建检协〔2015〕8号）无对应项的，由甲方结合本地</w:t>
      </w:r>
      <w:r>
        <w:rPr>
          <w:rFonts w:hint="eastAsia" w:ascii="宋体" w:hAnsi="宋体" w:eastAsia="宋体" w:cs="宋体"/>
          <w:b w:val="0"/>
          <w:bCs w:val="0"/>
          <w:color w:val="auto"/>
          <w:sz w:val="21"/>
          <w:szCs w:val="21"/>
          <w:highlight w:val="none"/>
          <w:lang w:val="en-US"/>
        </w:rPr>
        <w:t>及周边同类城市</w:t>
      </w:r>
      <w:r>
        <w:rPr>
          <w:rFonts w:hint="eastAsia" w:ascii="宋体" w:hAnsi="宋体" w:eastAsia="宋体" w:cs="宋体"/>
          <w:color w:val="auto"/>
          <w:sz w:val="21"/>
          <w:szCs w:val="21"/>
          <w:highlight w:val="none"/>
        </w:rPr>
        <w:t>市场询价</w:t>
      </w:r>
      <w:r>
        <w:rPr>
          <w:rFonts w:hint="eastAsia" w:ascii="宋体" w:hAnsi="宋体" w:eastAsia="宋体" w:cs="宋体"/>
          <w:b w:val="0"/>
          <w:bCs w:val="0"/>
          <w:color w:val="auto"/>
          <w:sz w:val="21"/>
          <w:szCs w:val="21"/>
          <w:highlight w:val="none"/>
          <w:lang w:val="en-US"/>
        </w:rPr>
        <w:t>的不含税综合单价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中标监测服务系数</w:t>
      </w:r>
      <w:r>
        <w:rPr>
          <w:rFonts w:hint="eastAsia" w:ascii="宋体" w:hAnsi="宋体" w:eastAsia="宋体" w:cs="宋体"/>
          <w:color w:val="auto"/>
          <w:sz w:val="21"/>
          <w:szCs w:val="21"/>
          <w:highlight w:val="none"/>
        </w:rPr>
        <w:t>。</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以上不含税综合单价均保留两位小数。</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.结算调整规则、范围及方式</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（1）结算调整的范围：因设计变更、改线或者重大工艺变更等工程变更引起的监测项目的变更，包含监测项目增减和已有监测项目中工作量的增减，乙方在实施前，须提出变更申请，经本工程的设计</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、监理</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及甲方（含其委托的第三方审核机构）批准后方可实施。</w:t>
      </w:r>
    </w:p>
    <w:p>
      <w:pPr>
        <w:spacing w:line="360" w:lineRule="auto"/>
        <w:ind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（2）变更项目监测的计价：</w:t>
      </w:r>
      <w:r>
        <w:rPr>
          <w:rFonts w:hint="eastAsia" w:ascii="宋体" w:hAnsi="宋体" w:eastAsia="宋体" w:cs="宋体"/>
          <w:b/>
          <w:bCs/>
          <w:color w:val="auto"/>
          <w:kern w:val="2"/>
          <w:sz w:val="21"/>
          <w:szCs w:val="21"/>
          <w:highlight w:val="none"/>
        </w:rPr>
        <w:t>合同价中已有适用于变更监测项目的不含税综合单价，按合同已有的不含税综合单价变更合同价款；合同中已有类似变更监测项目的不含税综合单价，可参照类似监测项目不含税综合单价变更合同价款；合同中没有适用于变更监测项目的不含税综合单价，经批准变更后，按照《广东省房屋建筑和市政工程工程质量安全检测收费指导价》（粤建检协〔2015〕8号）对应项单价÷1.06×</w:t>
      </w:r>
      <w:r>
        <w:rPr>
          <w:rFonts w:hint="eastAsia" w:ascii="宋体" w:hAnsi="宋体" w:eastAsia="宋体" w:cs="宋体"/>
          <w:b/>
          <w:bCs/>
          <w:color w:val="auto"/>
          <w:kern w:val="2"/>
          <w:sz w:val="21"/>
          <w:szCs w:val="21"/>
          <w:highlight w:val="none"/>
          <w:lang w:eastAsia="zh-CN"/>
        </w:rPr>
        <w:t>中标监测服务系数</w:t>
      </w:r>
      <w:r>
        <w:rPr>
          <w:rFonts w:hint="eastAsia" w:ascii="宋体" w:hAnsi="宋体" w:eastAsia="宋体" w:cs="宋体"/>
          <w:b/>
          <w:bCs/>
          <w:color w:val="auto"/>
          <w:kern w:val="2"/>
          <w:sz w:val="21"/>
          <w:szCs w:val="21"/>
          <w:highlight w:val="none"/>
        </w:rPr>
        <w:t>计算，《广东省房屋建筑和市政工程工程质量安全检测收费指导价》（粤建检协〔2015〕8号）无对应项的，由甲方结合本地</w:t>
      </w:r>
      <w:r>
        <w:rPr>
          <w:rFonts w:hint="eastAsia" w:ascii="宋体" w:hAnsi="宋体" w:eastAsia="宋体" w:cs="宋体"/>
          <w:b/>
          <w:bCs/>
          <w:color w:val="auto"/>
          <w:kern w:val="2"/>
          <w:sz w:val="21"/>
          <w:szCs w:val="21"/>
          <w:highlight w:val="none"/>
          <w:lang w:val="en-US"/>
        </w:rPr>
        <w:t>及周边同类城市</w:t>
      </w:r>
      <w:r>
        <w:rPr>
          <w:rFonts w:hint="eastAsia" w:ascii="宋体" w:hAnsi="宋体" w:eastAsia="宋体" w:cs="宋体"/>
          <w:b/>
          <w:bCs/>
          <w:color w:val="auto"/>
          <w:kern w:val="2"/>
          <w:sz w:val="21"/>
          <w:szCs w:val="21"/>
          <w:highlight w:val="none"/>
        </w:rPr>
        <w:t>市场询价的不含税综合单价×</w:t>
      </w:r>
      <w:r>
        <w:rPr>
          <w:rFonts w:hint="eastAsia" w:ascii="宋体" w:hAnsi="宋体" w:eastAsia="宋体" w:cs="宋体"/>
          <w:b/>
          <w:bCs/>
          <w:color w:val="auto"/>
          <w:kern w:val="2"/>
          <w:sz w:val="21"/>
          <w:szCs w:val="21"/>
          <w:highlight w:val="none"/>
          <w:lang w:eastAsia="zh-CN"/>
        </w:rPr>
        <w:t>中标监测服务系数</w:t>
      </w:r>
      <w:r>
        <w:rPr>
          <w:rFonts w:hint="eastAsia" w:ascii="宋体" w:hAnsi="宋体" w:eastAsia="宋体" w:cs="宋体"/>
          <w:b/>
          <w:bCs/>
          <w:color w:val="auto"/>
          <w:kern w:val="2"/>
          <w:sz w:val="21"/>
          <w:szCs w:val="21"/>
          <w:highlight w:val="none"/>
        </w:rPr>
        <w:t>。所有变更的监测项目均须书面向甲方申报，经甲方（含其委托的第三方审核机构）审核批准同意后方可实施。</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p>
      <w:pPr>
        <w:pStyle w:val="14"/>
        <w:ind w:firstLine="400"/>
        <w:rPr>
          <w:rFonts w:hint="eastAsia" w:ascii="宋体" w:hAnsi="宋体" w:eastAsia="宋体" w:cs="宋体"/>
          <w:color w:val="auto"/>
          <w:highlight w:val="none"/>
        </w:rPr>
      </w:pPr>
    </w:p>
    <w:p>
      <w:pPr>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四、付款方式</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1.以季度为单位，即按季度计量支付进度款，乙方须向甲方提供相应的正式监测报告，经</w:t>
      </w:r>
      <w:r>
        <w:rPr>
          <w:rFonts w:hint="eastAsia" w:ascii="宋体" w:hAnsi="宋体" w:eastAsia="宋体" w:cs="宋体"/>
          <w:color w:val="auto"/>
          <w:sz w:val="21"/>
          <w:szCs w:val="21"/>
          <w:highlight w:val="none"/>
          <w:lang w:eastAsia="zh-CN"/>
        </w:rPr>
        <w:t>监理单位</w:t>
      </w:r>
      <w:r>
        <w:rPr>
          <w:rFonts w:hint="eastAsia" w:ascii="宋体" w:hAnsi="宋体" w:eastAsia="宋体" w:cs="宋体"/>
          <w:color w:val="auto"/>
          <w:sz w:val="21"/>
          <w:szCs w:val="21"/>
          <w:highlight w:val="none"/>
        </w:rPr>
        <w:t>及甲方审核通过后，丙方应在乙方提交对应的请款报告30天内向乙方支付进度款。</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2.丙方以季度为单位按经</w:t>
      </w:r>
      <w:r>
        <w:rPr>
          <w:rFonts w:hint="eastAsia" w:ascii="宋体" w:hAnsi="宋体" w:eastAsia="宋体" w:cs="宋体"/>
          <w:color w:val="auto"/>
          <w:sz w:val="21"/>
          <w:szCs w:val="21"/>
          <w:highlight w:val="none"/>
          <w:lang w:eastAsia="zh-CN"/>
        </w:rPr>
        <w:t>监理单位</w:t>
      </w:r>
      <w:r>
        <w:rPr>
          <w:rFonts w:hint="eastAsia" w:ascii="宋体" w:hAnsi="宋体" w:eastAsia="宋体" w:cs="宋体"/>
          <w:color w:val="auto"/>
          <w:sz w:val="21"/>
          <w:szCs w:val="21"/>
          <w:highlight w:val="none"/>
        </w:rPr>
        <w:t>及甲方审核通过的监测报告所涉款项的80%支付本合同进度款，但丙方累计支付的进度款不超过</w:t>
      </w:r>
      <w:r>
        <w:rPr>
          <w:rFonts w:hint="eastAsia" w:ascii="宋体" w:hAnsi="宋体" w:eastAsia="宋体" w:cs="宋体"/>
          <w:color w:val="auto"/>
          <w:highlight w:val="none"/>
        </w:rPr>
        <w:t>暂定总合同价款（含税）</w:t>
      </w:r>
      <w:r>
        <w:rPr>
          <w:rFonts w:hint="eastAsia" w:ascii="宋体" w:hAnsi="宋体" w:eastAsia="宋体" w:cs="宋体"/>
          <w:color w:val="auto"/>
          <w:sz w:val="21"/>
          <w:szCs w:val="21"/>
          <w:highlight w:val="none"/>
        </w:rPr>
        <w:t>的80%，待工程竣工验收合格，项目结算完毕，并提交请款报告后30天内，丙方按结算价一次性支付余款</w:t>
      </w:r>
      <w:r>
        <w:rPr>
          <w:rFonts w:hint="eastAsia" w:ascii="宋体" w:hAnsi="宋体" w:eastAsia="宋体" w:cs="宋体"/>
          <w:color w:val="auto"/>
          <w:kern w:val="2"/>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收取每笔款项前，在提交请款报告的同时一并提供等额有效的增值税专用发票，丙方在收到相关请款材料审核后支付；乙方逾期提交请款材料或提供的发票不合格的，丙方的付款时间可相应顺延，且不视为违约。因支付产生的相关银行手续费用，根据有关银行规定执行，如不能明确费用承担主体的，相关手续费用由双方各承担50%。由于乙方提供的发票不符合税法规定，给丙方造成的损失由乙方承担赔偿责任。</w:t>
      </w:r>
    </w:p>
    <w:p>
      <w:pPr>
        <w:spacing w:line="360" w:lineRule="auto"/>
        <w:rPr>
          <w:rFonts w:hint="eastAsia" w:ascii="宋体" w:hAnsi="宋体" w:eastAsia="宋体" w:cs="宋体"/>
          <w:color w:val="auto"/>
          <w:sz w:val="21"/>
          <w:szCs w:val="21"/>
          <w:highlight w:val="none"/>
        </w:rPr>
      </w:pPr>
    </w:p>
    <w:p>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五、履约担保</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履约保证金（银行转账形式）金额为暂定总合同价款（含税）的5%为¥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银行不可撤销履约保函金额为暂定总合同价款（含税）的8%为¥     元（大写人民币      ）；</w:t>
      </w:r>
    </w:p>
    <w:p>
      <w:pPr>
        <w:widowControl/>
        <w:autoSpaceDE/>
        <w:autoSpaceDN/>
        <w:adjustRightInd/>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采用履约保证保险形式的金额为暂定总合同价款（含税）的8%</w:t>
      </w:r>
      <w:r>
        <w:rPr>
          <w:rFonts w:hint="eastAsia" w:ascii="宋体" w:hAnsi="宋体" w:eastAsia="宋体" w:cs="宋体"/>
          <w:color w:val="auto"/>
          <w:sz w:val="21"/>
          <w:szCs w:val="21"/>
          <w:highlight w:val="none"/>
        </w:rPr>
        <w:t>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担保公司履约担保书金额为暂定总合同价款（含税）的10%为¥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或其他合同约定的事项，如发生下列任一情况时，甲方除有权依合同追究乙方给甲方造成的损失责任外，同时有权提取履约担保并进行相应处理：</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kern w:val="0"/>
          <w:szCs w:val="21"/>
          <w:highlight w:val="none"/>
        </w:rPr>
        <w:t>将合同项下</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的权利义务全部转让给第三方，或未经</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书面同意将部分权利义务转让给第三方的，</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有权没收其履约担保。</w:t>
      </w:r>
    </w:p>
    <w:p>
      <w:pPr>
        <w:widowControl/>
        <w:autoSpaceDE/>
        <w:autoSpaceDN/>
        <w:adjustRightInd/>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kern w:val="0"/>
          <w:szCs w:val="21"/>
          <w:highlight w:val="none"/>
        </w:rPr>
        <w:t>在合同履行期间，</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怠于履行合同义务，经</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通知或要求承担违约金后仍拒不改正的，</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可依法没收或适当扣除其履约担保。</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2.3</w:t>
      </w:r>
      <w:r>
        <w:rPr>
          <w:rFonts w:hint="eastAsia" w:ascii="宋体" w:hAnsi="宋体" w:eastAsia="宋体" w:cs="宋体"/>
          <w:color w:val="auto"/>
          <w:sz w:val="21"/>
          <w:szCs w:val="21"/>
          <w:highlight w:val="none"/>
        </w:rPr>
        <w:t>在合同履行期间，因乙方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服务质量问题造成损害、侵权损失（包括但不限于甲方经济损失、第三人人身财产损失等）、</w:t>
      </w:r>
      <w:r>
        <w:rPr>
          <w:rFonts w:hint="eastAsia" w:ascii="宋体" w:hAnsi="宋体" w:eastAsia="宋体" w:cs="宋体"/>
          <w:color w:val="auto"/>
          <w:kern w:val="0"/>
          <w:szCs w:val="21"/>
          <w:highlight w:val="none"/>
        </w:rPr>
        <w:t>拖欠原材料供应商货款</w:t>
      </w:r>
      <w:r>
        <w:rPr>
          <w:rFonts w:hint="eastAsia" w:ascii="宋体" w:hAnsi="宋体" w:eastAsia="宋体" w:cs="宋体"/>
          <w:color w:val="auto"/>
          <w:sz w:val="21"/>
          <w:szCs w:val="21"/>
          <w:highlight w:val="none"/>
        </w:rPr>
        <w:t>或与其所雇用员工发生劳资纠纷、上访、闹事或其他影响甲方生产经营等情况而其未及时妥善处理的，甲方有权使用履约担保予以支付或作出相应处理，由此产生的一切法律后果由乙方承担。</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在合同履行期间，乙方违约产生的违约金、赔偿或其他应付费用等款项，甲方有权直接启用履约担保予以支付。</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合同期内，乙方不能及时完成合同某项义务的，甲方有权提取履约担保用于处理该项工作。</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其他根据本合同约定或法律规定，甲方可启用履约担保的情形。</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如乙方提供履约保证金作为履约担保的，</w:t>
      </w:r>
      <w:r>
        <w:rPr>
          <w:rFonts w:hint="eastAsia" w:ascii="宋体" w:hAnsi="宋体" w:eastAsia="宋体" w:cs="宋体"/>
          <w:color w:val="auto"/>
          <w:sz w:val="21"/>
          <w:szCs w:val="21"/>
          <w:highlight w:val="none"/>
        </w:rPr>
        <w:t>在合同期限届满并履行完毕相关服务义务且结算完毕之后二十八（28）个日历天内，经甲方确认，乙方可向甲方提交退回履约担保的申请。甲方审核无异议后，办理履约担保退还手续，履约保证金形式提交的履约担保余额退回时一律以银行转账的形式无息退回到乙方的账户。</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highlight w:val="none"/>
        </w:rPr>
        <w:t>或担保公司履约担保书作为履约担保的，不可撤销银行履约保函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highlight w:val="none"/>
        </w:rPr>
        <w:t>或担保公司履约担保书期限应从合同签订之日起至合同期限届满并履行完毕相关服务义务且结算完毕之后二十八（28）个日历天内保持有效。如不可撤销银行履约保函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highlight w:val="none"/>
        </w:rPr>
        <w:t>或担保公司履约担保书在规定有效期届满时而乙方未完成本合同及本合同下所有补充协议的全部服务义务且未结算完毕的，乙方必须在不可撤销银行履约保函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或担保公司履约担保书到期15个日历天前无条件办理办妥符合甲方要求的延期手续或重新提供不可撤销银行履约保函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highlight w:val="none"/>
        </w:rPr>
        <w:t>或担保公司履约担保书；否则视为乙方违约，甲方有权在不可撤销银行履约保函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或担保公司履约担保书到期前向出具履约担保的机构提取履约担保金。在不可撤销银行履约保函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sz w:val="21"/>
          <w:szCs w:val="21"/>
          <w:highlight w:val="none"/>
        </w:rPr>
        <w:t>或担保公司履约担保书到期后乙方未按甲方要求重新提供的，甲方有权要求乙方以履约担保金额为限承担违约金，违约金可直接由丙方从未付款项中扣除并支付给甲方。</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个日历天内予以补足。逾期不予补足的，甲方有权按需补足的金额要求乙方承担违约金，并要求限期补足。如乙方仍不补足的，甲方有权单方解除合同。</w:t>
      </w:r>
    </w:p>
    <w:p>
      <w:pPr>
        <w:spacing w:line="360" w:lineRule="auto"/>
        <w:ind w:firstLine="420"/>
        <w:contextualSpacing/>
        <w:rPr>
          <w:rFonts w:hint="eastAsia" w:ascii="宋体" w:hAnsi="宋体" w:eastAsia="宋体" w:cs="宋体"/>
          <w:color w:val="auto"/>
          <w:sz w:val="21"/>
          <w:szCs w:val="21"/>
          <w:highlight w:val="none"/>
        </w:rPr>
      </w:pPr>
    </w:p>
    <w:p>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六、甲方权利和义务</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.协助乙方仪器及运输设备顺利进场</w:t>
      </w:r>
      <w:r>
        <w:rPr>
          <w:rFonts w:hint="eastAsia" w:ascii="宋体" w:hAnsi="宋体" w:eastAsia="宋体" w:cs="宋体"/>
          <w:bCs/>
          <w:color w:val="auto"/>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监督受监施工单位定时向乙方提供进度计划，协调作业时间，保证乙方有足够时间展开监测工作。</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.有权对乙方的监测工作进行监督；对其违约行为发出整改通知</w:t>
      </w:r>
      <w:r>
        <w:rPr>
          <w:rFonts w:hint="eastAsia" w:ascii="宋体" w:hAnsi="宋体" w:eastAsia="宋体" w:cs="宋体"/>
          <w:bCs/>
          <w:color w:val="auto"/>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合同履约期间，甲方有权对监测范围、要求、规模及特征等根据项目实际情况作出相应调整，调整后</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方根据实际工作量进行结算。</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甲方按照既定的审批程序，及时办理服务费的审批手续。</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施工现场用水、用电在有条件的情况下由甲方负责提供水、电接入点，乙方自行接入。</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合同文件及附件内容约定的甲方其余权利义务。</w:t>
      </w:r>
    </w:p>
    <w:p>
      <w:pPr>
        <w:spacing w:line="360" w:lineRule="auto"/>
        <w:ind w:firstLine="420"/>
        <w:rPr>
          <w:rFonts w:hint="eastAsia" w:ascii="宋体" w:hAnsi="宋体" w:eastAsia="宋体" w:cs="宋体"/>
          <w:bCs/>
          <w:color w:val="auto"/>
          <w:sz w:val="21"/>
          <w:szCs w:val="21"/>
          <w:highlight w:val="none"/>
        </w:rPr>
      </w:pPr>
    </w:p>
    <w:p>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七、乙方权利和义务</w:t>
      </w:r>
    </w:p>
    <w:p>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在合同的履行期间，乙方应当保持相应资质的有效性，且具备在东莞市开展监测服务工作的资格条件。因乙方资质条件丧失，导致无法开展监测工作的，甲方有权另行委托其他第三方，并且乙方需向甲方支付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的20%的违约金。同时，造成甲方的经济损失（包括但不限于重新招标、委托第三方的费用），由乙方承担全部赔偿。</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.对甲方委派的监测工作，乙方应当根据本合同约定、招投标文件及甲方要求进行开展，不得借故拒绝接受委托。</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按照国家颁发的有关监测技术标准或规范，采用科学先进的方法进行监测评估和试验过程的全程监控、记录，保证数据真实可靠，对监控结果真实性、准确性、合法性、完整性负责。</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供的监测报告、数据成果、文件等质量不合格的，应负责无偿给予修改、补充完善使其达到甲方要求；如乙方怠于或无力修改、补充完善，甲方有权另委托其他单位继续进行，乙方应承担由此产生的全部监测费用及其他损失。</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因乙方提供的监测报告、数据成果、文件等质量不合格造成甲方经济损失（包括但不限于监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r>
        <w:rPr>
          <w:rFonts w:hint="eastAsia" w:ascii="宋体" w:hAnsi="宋体" w:eastAsia="宋体" w:cs="宋体"/>
          <w:bCs/>
          <w:color w:val="auto"/>
          <w:sz w:val="21"/>
          <w:szCs w:val="21"/>
          <w:highlight w:val="none"/>
        </w:rPr>
        <w:t>。</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严格遵守国家法律、法规，协助甲方做好社会治安综合管理工作和计划生育等工作。乙方员工有违法乱纪或犯罪的行为，乙方应承担一切经济责任和法律责任。</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合同期限内保存好全部与监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如施工现场甲方无法提供水、电接入点，乙方自行解决施工用水、用电并承担相关费用。</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乙方应按本合同及招、投标文件的要求按时提供监测报告和其他甲方认为有必要提供的中间过程资料、图表、照片（包括电子资料）等，以及向甲方提供咨询服务和建议。</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监测过程中，乙方自行对本单位的仪器、设备安全负责，自行承担保管职责；对监测所产生的水、电等费用由乙方负责。</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与监测工程的施工单位、设计单位、监理单位等单位相互配合，数据共享。</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本合同约定范围内必要的修改，补充，应由乙方负责，甲方不再另付监测费用或其他费用。</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在监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乙方提交给甲方的监测成果知识产权归属甲方，乙方须确保甲方在使用过程中免受第三方关于知识产权或其他合法权益的起诉，否则，乙方应承担由此给甲方造成的一切损失。</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乙方不得将本合同标的部分或全部转让给第三方。</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19.乙方应确保其具备履行本合同工作所需的相关资质，否则，因此产生的一切后果由乙方承担。乙方应</w:t>
      </w:r>
      <w:r>
        <w:rPr>
          <w:rFonts w:hint="eastAsia" w:ascii="宋体" w:hAnsi="宋体" w:eastAsia="宋体" w:cs="宋体"/>
          <w:bCs/>
          <w:color w:val="auto"/>
          <w:sz w:val="21"/>
          <w:szCs w:val="21"/>
          <w:highlight w:val="none"/>
        </w:rPr>
        <w:t>建立健全内部管理制度，并接受甲方及有关主管部门对项目服务状况、服务质量的监督检查。</w:t>
      </w:r>
      <w:r>
        <w:rPr>
          <w:rFonts w:hint="eastAsia" w:ascii="宋体" w:hAnsi="宋体" w:eastAsia="宋体" w:cs="宋体"/>
          <w:color w:val="auto"/>
          <w:sz w:val="21"/>
          <w:szCs w:val="21"/>
          <w:highlight w:val="none"/>
          <w:lang w:bidi="ar"/>
        </w:rPr>
        <w:t>因乙方原因导致甲方损失的，应当全额赔偿甲方的损失。</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w:t>
      </w:r>
      <w:r>
        <w:rPr>
          <w:rFonts w:hint="eastAsia" w:ascii="宋体" w:hAnsi="宋体" w:eastAsia="宋体" w:cs="宋体"/>
          <w:color w:val="auto"/>
          <w:sz w:val="21"/>
          <w:szCs w:val="21"/>
          <w:highlight w:val="none"/>
        </w:rPr>
        <w:t>若甲方需参加诉讼，相关费用（包括但不限于诉讼费、律师费、鉴定费、公证费、交通住宿费等全部）及损失全部由乙方承担，甲方可在工程款中直接扣除或启动履约担保支付。</w:t>
      </w:r>
    </w:p>
    <w:p>
      <w:pPr>
        <w:spacing w:line="360" w:lineRule="auto"/>
        <w:ind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本合同所述的乙方应承担的甲方损失，包括但不限于甲方支出的赔偿金、诉讼费、保全费、律师费、鉴定费等。</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本项目禁止转包；未经甲方书面同意不得分包。</w:t>
      </w:r>
    </w:p>
    <w:p>
      <w:pPr>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合同文件及附件内容约定的乙方其他权利义务。</w:t>
      </w:r>
    </w:p>
    <w:p>
      <w:pPr>
        <w:spacing w:line="360" w:lineRule="auto"/>
        <w:ind w:firstLine="420"/>
        <w:rPr>
          <w:rFonts w:hint="eastAsia" w:ascii="宋体" w:hAnsi="宋体" w:eastAsia="宋体" w:cs="宋体"/>
          <w:bCs/>
          <w:color w:val="auto"/>
          <w:sz w:val="21"/>
          <w:szCs w:val="21"/>
          <w:highlight w:val="none"/>
        </w:rPr>
      </w:pPr>
    </w:p>
    <w:p>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八、违约责任</w:t>
      </w:r>
    </w:p>
    <w:p>
      <w:pPr>
        <w:widowControl/>
        <w:spacing w:line="360" w:lineRule="auto"/>
        <w:ind w:right="-53"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1.乙方未按本合同约定配备必要的办公场所、设备或者服务人员的，甲方有权就违约事宜提出改正，如乙方仍拒不改正的，甲方有权选择解除本合同或服务合同，并没收全部履约担保。</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在本合同履行过程中，无论何种原因，乙方均不得消极怠工或拒不履行合同义务（包括但不限于技术支持、专家会审、解答释疑、事故处理，修正监测报告及数据成果等），或履行的合同义务不符合要求的。如有违反，将视为乙方违约，甲方有权就违约事宜提出改正，要求乙方按</w:t>
      </w:r>
      <w:r>
        <w:rPr>
          <w:rFonts w:hint="eastAsia" w:ascii="宋体" w:hAnsi="宋体" w:eastAsia="宋体" w:cs="宋体"/>
          <w:color w:val="auto"/>
          <w:sz w:val="21"/>
          <w:szCs w:val="21"/>
          <w:highlight w:val="none"/>
        </w:rPr>
        <w:t>壹万元/次</w:t>
      </w:r>
      <w:r>
        <w:rPr>
          <w:rFonts w:hint="eastAsia" w:ascii="宋体" w:hAnsi="宋体" w:eastAsia="宋体" w:cs="宋体"/>
          <w:color w:val="auto"/>
          <w:kern w:val="2"/>
          <w:sz w:val="21"/>
          <w:szCs w:val="21"/>
          <w:highlight w:val="none"/>
        </w:rPr>
        <w:t>承担</w:t>
      </w:r>
      <w:r>
        <w:rPr>
          <w:rFonts w:hint="eastAsia" w:ascii="宋体" w:hAnsi="宋体" w:eastAsia="宋体" w:cs="宋体"/>
          <w:color w:val="auto"/>
          <w:sz w:val="21"/>
          <w:szCs w:val="21"/>
          <w:highlight w:val="none"/>
        </w:rPr>
        <w:t>违约金，</w:t>
      </w:r>
      <w:r>
        <w:rPr>
          <w:rFonts w:hint="eastAsia" w:ascii="宋体" w:hAnsi="宋体" w:eastAsia="宋体" w:cs="宋体"/>
          <w:color w:val="auto"/>
          <w:kern w:val="2"/>
          <w:sz w:val="21"/>
          <w:szCs w:val="21"/>
          <w:highlight w:val="none"/>
        </w:rPr>
        <w:t>若限期内未按照甲方要求进行整改或限期整改后不符合甲方要求的，甲方有权选择解除合同，要求乙方按暂定总合同价款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的10%承担违约金，并有权依法委托有资质的第三方继续履行本合同义务，由此造成的一切损失由乙方承担。同时，甲方有权将情况如实报送至政府相关主管部门。</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3.由于乙方原因造成监测报告、成果数据、文件等质量不合格，不能满足技术要求时，乙方除按合同约定承担责任外，其返工重新监测等产生的费用由乙方承担。</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4.合同履行期间，由于工程停建而终止合同或甲方要求解除合同时，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方互不承担赔偿责任。乙方未进行监测工作的，应退还</w:t>
      </w:r>
      <w:r>
        <w:rPr>
          <w:rFonts w:hint="eastAsia" w:ascii="宋体" w:hAnsi="宋体" w:eastAsia="宋体" w:cs="宋体"/>
          <w:color w:val="auto"/>
          <w:sz w:val="21"/>
          <w:szCs w:val="21"/>
          <w:highlight w:val="none"/>
          <w:lang w:val="en-US" w:eastAsia="zh-CN"/>
        </w:rPr>
        <w:t>丙</w:t>
      </w:r>
      <w:r>
        <w:rPr>
          <w:rFonts w:hint="eastAsia" w:ascii="宋体" w:hAnsi="宋体" w:eastAsia="宋体" w:cs="宋体"/>
          <w:color w:val="auto"/>
          <w:sz w:val="21"/>
          <w:szCs w:val="21"/>
          <w:highlight w:val="none"/>
        </w:rPr>
        <w:t>方已预付的费用；已进行监测工作的，根据其中标报价按甲方审核确认实际完成的工作量进行结算。</w:t>
      </w:r>
    </w:p>
    <w:p>
      <w:pPr>
        <w:widowControl/>
        <w:spacing w:line="360" w:lineRule="auto"/>
        <w:ind w:firstLine="42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5.若非甲方原因，由于乙方原因未按</w:t>
      </w:r>
      <w:r>
        <w:rPr>
          <w:rFonts w:hint="eastAsia" w:ascii="宋体" w:hAnsi="宋体" w:eastAsia="宋体" w:cs="宋体"/>
          <w:color w:val="auto"/>
          <w:sz w:val="21"/>
          <w:szCs w:val="21"/>
          <w:highlight w:val="none"/>
          <w:lang w:val="en-US" w:eastAsia="zh-CN"/>
        </w:rPr>
        <w:t>甲方要求</w:t>
      </w:r>
      <w:r>
        <w:rPr>
          <w:rFonts w:hint="eastAsia" w:ascii="宋体" w:hAnsi="宋体" w:eastAsia="宋体" w:cs="宋体"/>
          <w:color w:val="auto"/>
          <w:sz w:val="21"/>
          <w:szCs w:val="21"/>
          <w:highlight w:val="none"/>
        </w:rPr>
        <w:t>时间（日期）提交监测方案、测点布设记录、监测报告和监测总结报告的，或未按期履行其他义务的，每逾期一日，乙方按贰仟元/天承担违约金。逾期超过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违反约定非法转包、分包的，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7.乙方存在如下情形之一的，甲方有权书面通知乙方单方解除本合同，并由乙方承担履约担保等额的违约金，同时有权没收履约担保，给甲方造成损失的，乙方还足额应赔偿甲方：</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（1）提供虚假信息、误导或欺骗</w:t>
      </w:r>
      <w:r>
        <w:rPr>
          <w:rFonts w:hint="eastAsia" w:ascii="宋体" w:hAnsi="宋体" w:eastAsia="宋体" w:cs="宋体"/>
          <w:color w:val="auto"/>
          <w:sz w:val="21"/>
          <w:szCs w:val="21"/>
          <w:highlight w:val="none"/>
          <w:lang w:val="en-US" w:eastAsia="zh-CN"/>
        </w:rPr>
        <w:t>甲方及丙方</w:t>
      </w:r>
      <w:r>
        <w:rPr>
          <w:rFonts w:hint="eastAsia" w:ascii="宋体" w:hAnsi="宋体" w:eastAsia="宋体" w:cs="宋体"/>
          <w:color w:val="auto"/>
          <w:sz w:val="21"/>
          <w:szCs w:val="21"/>
          <w:highlight w:val="none"/>
        </w:rPr>
        <w:t>，以谋取非法利益的；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（2）违反诚信信用原则，没有严格执行相关质量、服务，损害</w:t>
      </w:r>
      <w:r>
        <w:rPr>
          <w:rFonts w:hint="eastAsia" w:ascii="宋体" w:hAnsi="宋体" w:eastAsia="宋体" w:cs="宋体"/>
          <w:color w:val="auto"/>
          <w:sz w:val="21"/>
          <w:szCs w:val="21"/>
          <w:highlight w:val="none"/>
          <w:lang w:val="en-US" w:eastAsia="zh-CN"/>
        </w:rPr>
        <w:t>甲方、丙方</w:t>
      </w:r>
      <w:r>
        <w:rPr>
          <w:rFonts w:hint="eastAsia" w:ascii="宋体" w:hAnsi="宋体" w:eastAsia="宋体" w:cs="宋体"/>
          <w:color w:val="auto"/>
          <w:sz w:val="21"/>
          <w:szCs w:val="21"/>
          <w:highlight w:val="none"/>
        </w:rPr>
        <w:t>或相关用户单位的利益的；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（3）违反有关法律法规以及本合同的约定，损害甲方利益的；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（4）拒绝接受甲方、</w:t>
      </w:r>
      <w:r>
        <w:rPr>
          <w:rFonts w:hint="eastAsia" w:ascii="宋体" w:hAnsi="宋体" w:eastAsia="宋体" w:cs="宋体"/>
          <w:color w:val="auto"/>
          <w:sz w:val="21"/>
          <w:szCs w:val="21"/>
          <w:highlight w:val="none"/>
          <w:lang w:val="en-US" w:eastAsia="zh-CN"/>
        </w:rPr>
        <w:t>丙方</w:t>
      </w:r>
      <w:r>
        <w:rPr>
          <w:rFonts w:hint="eastAsia" w:ascii="宋体" w:hAnsi="宋体" w:eastAsia="宋体" w:cs="宋体"/>
          <w:color w:val="auto"/>
          <w:sz w:val="21"/>
          <w:szCs w:val="21"/>
          <w:highlight w:val="none"/>
        </w:rPr>
        <w:t>及相关部门监督、检查的；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（5）出现信用危机、财务危机、生产经营危机甚至破产、倒闭，无法继续履行本合同的；</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（6）采用非法手段进行不正当竞争的，构成恶劣影响；</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）违反本合同约定，泄露服务项目内容的。</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按及时足额向工人发放工资待遇以及其他劳动待遇等，不得无故拖欠或克扣，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9.乙方必须积极响应并接受相关部门的监督检查，若受到相关部门的批评，经调查认定情况属实的，视情节轻重</w:t>
      </w:r>
      <w:r>
        <w:rPr>
          <w:rFonts w:hint="eastAsia" w:ascii="宋体" w:hAnsi="宋体" w:eastAsia="宋体" w:cs="宋体"/>
          <w:color w:val="auto"/>
          <w:sz w:val="21"/>
          <w:szCs w:val="21"/>
          <w:highlight w:val="none"/>
          <w:lang w:val="en-US" w:eastAsia="zh-CN"/>
        </w:rPr>
        <w:t>要求乙方承担违约责任</w:t>
      </w:r>
      <w:r>
        <w:rPr>
          <w:rFonts w:hint="eastAsia" w:ascii="宋体" w:hAnsi="宋体" w:eastAsia="宋体" w:cs="宋体"/>
          <w:color w:val="auto"/>
          <w:sz w:val="21"/>
          <w:szCs w:val="21"/>
          <w:highlight w:val="none"/>
        </w:rPr>
        <w:t>；造成恶劣影响的，甲方有权解除合同。</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合同等</w:t>
      </w:r>
      <w:r>
        <w:rPr>
          <w:rFonts w:hint="eastAsia" w:ascii="宋体" w:hAnsi="宋体" w:eastAsia="宋体" w:cs="宋体"/>
          <w:color w:val="auto"/>
          <w:sz w:val="21"/>
          <w:szCs w:val="21"/>
          <w:highlight w:val="none"/>
          <w:lang w:val="en-US" w:eastAsia="zh-CN"/>
        </w:rPr>
        <w:t>处理</w:t>
      </w:r>
      <w:r>
        <w:rPr>
          <w:rFonts w:hint="eastAsia" w:ascii="宋体" w:hAnsi="宋体" w:eastAsia="宋体" w:cs="宋体"/>
          <w:color w:val="auto"/>
          <w:sz w:val="21"/>
          <w:szCs w:val="21"/>
          <w:highlight w:val="none"/>
        </w:rPr>
        <w:t>。</w:t>
      </w:r>
    </w:p>
    <w:p>
      <w:pPr>
        <w:widowControl/>
        <w:autoSpaceDE/>
        <w:autoSpaceDN/>
        <w:adjustRightInd/>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11.未经甲方书面同意，乙方变更项目负责人或技术负责人的，甲方有权要求乙方按伍万元/人/次承担违约金。</w:t>
      </w:r>
    </w:p>
    <w:p>
      <w:pPr>
        <w:pStyle w:val="2"/>
        <w:spacing w:line="360" w:lineRule="auto"/>
        <w:ind w:firstLine="42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12</w:t>
      </w:r>
      <w:r>
        <w:rPr>
          <w:rFonts w:hint="eastAsia" w:ascii="宋体" w:hAnsi="宋体" w:eastAsia="宋体" w:cs="宋体"/>
          <w:color w:val="auto"/>
          <w:sz w:val="21"/>
          <w:szCs w:val="21"/>
          <w:highlight w:val="none"/>
          <w:lang w:val="en-US"/>
        </w:rPr>
        <w:t>.</w:t>
      </w:r>
      <w:r>
        <w:rPr>
          <w:rFonts w:hint="eastAsia" w:ascii="宋体" w:hAnsi="宋体" w:eastAsia="宋体" w:cs="宋体"/>
          <w:b w:val="0"/>
          <w:bCs w:val="0"/>
          <w:color w:val="auto"/>
          <w:sz w:val="21"/>
          <w:szCs w:val="21"/>
          <w:highlight w:val="none"/>
          <w:lang w:val="en-US"/>
        </w:rPr>
        <w:t>甲方每季度根据合同附件五《监测单位履约考核评分表》对乙方评价一次，出具考核评价结果。甲方将严格按照考核评分标准对乙方进行季度检查和考核。考评[70,80)分的，处相应付款周期内经甲方确认的监测费的10%作为违约金，考评[60,70)分的，处相应付款周期经甲方确认的监测费的20%作为违约金，考评60分以下的，处相应付款周期经甲方确认的监测的30%作为违约金。上述“[”代表闭区间，“)”代表开区间，如[70,80)代表该分数段范围为大于等于70且小于80。达到相应付款周期时,如乙方未申请支付本期费用, 甲方根据支付条件暂定本周期监测费并计算本周期内应缴纳的暂定违约金，乙方应予以缴纳。下一周期仍未申请时按上述做法执行，待到乙方申请支付费用时，根据合同付款流程确认监测费，同步对以往暂定违约金在本次一并确认并予以结算。</w:t>
      </w:r>
    </w:p>
    <w:p>
      <w:pPr>
        <w:autoSpaceDE/>
        <w:autoSpaceDN/>
        <w:adjustRightInd/>
        <w:spacing w:line="360" w:lineRule="auto"/>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13.因乙方违约，甲方通过司法途径维护自身权益的，乙方应承担甲方由此支出的律师费、诉讼费、执行费、鉴定费、公证费、财产保全费及保险费等全部费用。</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甲方依据本合同条款对乙方处以违约金、赔偿、扣款等款项的，乙方应在收到违约（赔偿或扣款等款项）处理通知书之日起的五个工作日内书面授权乙方相关工作人员将款项交至甲方指定账户（须备注本项目名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如规定时间内未按要求</w:t>
      </w:r>
      <w:r>
        <w:rPr>
          <w:rFonts w:hint="eastAsia" w:ascii="宋体" w:hAnsi="宋体" w:eastAsia="宋体" w:cs="宋体"/>
          <w:color w:val="auto"/>
          <w:kern w:val="2"/>
          <w:sz w:val="21"/>
          <w:szCs w:val="21"/>
          <w:highlight w:val="none"/>
        </w:rPr>
        <w:t>将款项交至指定账户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甲方有权不审批进度款</w:t>
      </w:r>
      <w:r>
        <w:rPr>
          <w:rFonts w:hint="eastAsia" w:ascii="宋体" w:hAnsi="宋体" w:eastAsia="宋体" w:cs="宋体"/>
          <w:color w:val="auto"/>
          <w:kern w:val="2"/>
          <w:sz w:val="21"/>
          <w:szCs w:val="21"/>
          <w:highlight w:val="none"/>
        </w:rPr>
        <w:t>。甲方指定收款账户信息：</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开户名称：东莞市水务集团建设管理有限公司</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银行账号：2010021309200628330</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开户银行：中国工商银行股份有限公司东莞分行</w:t>
      </w:r>
    </w:p>
    <w:p>
      <w:pPr>
        <w:pStyle w:val="14"/>
        <w:ind w:firstLine="400"/>
        <w:rPr>
          <w:rFonts w:hint="eastAsia" w:ascii="宋体" w:hAnsi="宋体" w:eastAsia="宋体" w:cs="宋体"/>
          <w:color w:val="auto"/>
          <w:highlight w:val="none"/>
        </w:rPr>
      </w:pPr>
    </w:p>
    <w:p>
      <w:pPr>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九、争议解决</w:t>
      </w:r>
    </w:p>
    <w:p>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本合同发生争议，甲方、</w:t>
      </w:r>
      <w:r>
        <w:rPr>
          <w:rFonts w:hint="eastAsia" w:ascii="宋体" w:hAnsi="宋体" w:eastAsia="宋体" w:cs="宋体"/>
          <w:bCs/>
          <w:color w:val="auto"/>
          <w:kern w:val="2"/>
          <w:sz w:val="21"/>
          <w:szCs w:val="21"/>
          <w:highlight w:val="none"/>
        </w:rPr>
        <w:t>乙方、丙方</w:t>
      </w:r>
      <w:r>
        <w:rPr>
          <w:rFonts w:hint="eastAsia" w:ascii="宋体" w:hAnsi="宋体" w:eastAsia="宋体" w:cs="宋体"/>
          <w:color w:val="auto"/>
          <w:kern w:val="2"/>
          <w:sz w:val="21"/>
          <w:szCs w:val="21"/>
          <w:highlight w:val="none"/>
        </w:rPr>
        <w:t>三方应及时协商解决，也可由当地行政主管部门调解，协商或调解不成时，任何一方可向甲方所在地有管辖权的人民法院起诉。</w:t>
      </w:r>
    </w:p>
    <w:p>
      <w:pPr>
        <w:spacing w:line="360" w:lineRule="auto"/>
        <w:ind w:firstLine="422"/>
        <w:rPr>
          <w:rFonts w:hint="eastAsia" w:ascii="宋体" w:hAnsi="宋体" w:eastAsia="宋体" w:cs="宋体"/>
          <w:b/>
          <w:bCs/>
          <w:color w:val="auto"/>
          <w:sz w:val="21"/>
          <w:szCs w:val="21"/>
          <w:highlight w:val="none"/>
          <w:lang w:val="en-US" w:eastAsia="zh-CN"/>
        </w:rPr>
      </w:pPr>
    </w:p>
    <w:p>
      <w:pPr>
        <w:spacing w:line="360" w:lineRule="auto"/>
        <w:ind w:firstLine="42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十、其他约定</w:t>
      </w:r>
    </w:p>
    <w:p>
      <w:pPr>
        <w:spacing w:line="360" w:lineRule="auto"/>
        <w:ind w:firstLine="422"/>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本合同专用条款第十条“其他约定”若与本合同其他条款内容不相一致的，以第十条优先解释、处理。</w:t>
      </w:r>
    </w:p>
    <w:p>
      <w:pPr>
        <w:pStyle w:val="32"/>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eastAsia="zh-CN" w:bidi="ar"/>
        </w:rPr>
        <w:t>1.支付、结算条款一览表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087"/>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52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类别</w:t>
            </w:r>
          </w:p>
        </w:tc>
        <w:tc>
          <w:tcPr>
            <w:tcW w:w="4011"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定金或预付款</w:t>
            </w:r>
          </w:p>
        </w:tc>
        <w:tc>
          <w:tcPr>
            <w:tcW w:w="4011" w:type="pct"/>
            <w:vAlign w:val="center"/>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项目业主向监测人支付定金金额: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或预付款的金额：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 xml:space="preserve">   </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定金或预付款在进度款中的抵扣办法：</w:t>
            </w:r>
            <w:r>
              <w:rPr>
                <w:rFonts w:hint="eastAsia" w:ascii="宋体" w:hAnsi="宋体" w:eastAsia="宋体" w:cs="宋体"/>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2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付款方式</w:t>
            </w:r>
          </w:p>
        </w:tc>
        <w:tc>
          <w:tcPr>
            <w:tcW w:w="4011" w:type="pct"/>
            <w:vAlign w:val="center"/>
          </w:tcPr>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1.以季度为单位，即按季度计量支付进度款，乙方须向甲方提供相应的正式监测报告，经</w:t>
            </w:r>
            <w:r>
              <w:rPr>
                <w:rFonts w:hint="eastAsia" w:ascii="宋体" w:hAnsi="宋体" w:eastAsia="宋体" w:cs="宋体"/>
                <w:color w:val="auto"/>
                <w:sz w:val="21"/>
                <w:szCs w:val="21"/>
                <w:highlight w:val="none"/>
                <w:lang w:eastAsia="zh-CN"/>
              </w:rPr>
              <w:t>监理单位</w:t>
            </w:r>
            <w:r>
              <w:rPr>
                <w:rFonts w:hint="eastAsia" w:ascii="宋体" w:hAnsi="宋体" w:eastAsia="宋体" w:cs="宋体"/>
                <w:color w:val="auto"/>
                <w:sz w:val="21"/>
                <w:szCs w:val="21"/>
                <w:highlight w:val="none"/>
              </w:rPr>
              <w:t>及甲方审核通过后，丙方应在乙方提交对应的请款报告30天内向乙方支付进度款。</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2.丙方以季度为单位按经</w:t>
            </w:r>
            <w:r>
              <w:rPr>
                <w:rFonts w:hint="eastAsia" w:ascii="宋体" w:hAnsi="宋体" w:eastAsia="宋体" w:cs="宋体"/>
                <w:color w:val="auto"/>
                <w:sz w:val="21"/>
                <w:szCs w:val="21"/>
                <w:highlight w:val="none"/>
                <w:lang w:eastAsia="zh-CN"/>
              </w:rPr>
              <w:t>监理单位</w:t>
            </w:r>
            <w:r>
              <w:rPr>
                <w:rFonts w:hint="eastAsia" w:ascii="宋体" w:hAnsi="宋体" w:eastAsia="宋体" w:cs="宋体"/>
                <w:color w:val="auto"/>
                <w:sz w:val="21"/>
                <w:szCs w:val="21"/>
                <w:highlight w:val="none"/>
              </w:rPr>
              <w:t>及甲方审核通过的监测报告所涉款项的80%支付本合同进度款，但丙方累计支付的进度款不超过</w:t>
            </w:r>
            <w:r>
              <w:rPr>
                <w:rFonts w:hint="eastAsia" w:ascii="宋体" w:hAnsi="宋体" w:eastAsia="宋体" w:cs="宋体"/>
                <w:color w:val="auto"/>
                <w:highlight w:val="none"/>
              </w:rPr>
              <w:t>暂定总合同价款（含税）</w:t>
            </w:r>
            <w:r>
              <w:rPr>
                <w:rFonts w:hint="eastAsia" w:ascii="宋体" w:hAnsi="宋体" w:eastAsia="宋体" w:cs="宋体"/>
                <w:color w:val="auto"/>
                <w:sz w:val="21"/>
                <w:szCs w:val="21"/>
                <w:highlight w:val="none"/>
              </w:rPr>
              <w:t>的80%，待工程竣工验收合格，项目结算完毕，并提交请款报告后30天内，丙方按结算价一次性支付余款</w:t>
            </w:r>
            <w:r>
              <w:rPr>
                <w:rFonts w:hint="eastAsia" w:ascii="宋体" w:hAnsi="宋体" w:eastAsia="宋体" w:cs="宋体"/>
                <w:color w:val="auto"/>
                <w:kern w:val="2"/>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乙方收取每笔款项前，在提交请款报告的同时一并提供等额有效的增值税专用发票，丙方在收到相关请款材料审核后支付；乙方逾期提交请款材料或提供的发票不合格的，丙方的付款时间可相应顺延，且不视为违约。因支付产生的相关银行手续费用，根据有关银行规定执行，如不能明确费用承担主体的，相关手续费用由双方各承担50%。由于乙方提供的发票不符合税法规定，给丙方造成的损失由乙方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2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合同价款结算</w:t>
            </w:r>
          </w:p>
        </w:tc>
        <w:tc>
          <w:tcPr>
            <w:tcW w:w="4011" w:type="pct"/>
            <w:vAlign w:val="center"/>
          </w:tcPr>
          <w:p>
            <w:pPr>
              <w:keepNext w:val="0"/>
              <w:keepLines w:val="0"/>
              <w:suppressLineNumbers w:val="0"/>
              <w:autoSpaceDE/>
              <w:autoSpaceDN/>
              <w:adjustRightInd/>
              <w:spacing w:before="0" w:beforeAutospacing="0" w:after="0" w:afterAutospacing="0" w:line="360" w:lineRule="auto"/>
              <w:ind w:left="0" w:right="0" w:firstLine="420" w:firstLineChars="0"/>
              <w:jc w:val="left"/>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1.合同价款：</w:t>
            </w:r>
            <w:r>
              <w:rPr>
                <w:rFonts w:hint="eastAsia" w:ascii="宋体" w:hAnsi="宋体" w:eastAsia="宋体" w:cs="宋体"/>
                <w:b/>
                <w:color w:val="auto"/>
                <w:kern w:val="2"/>
                <w:sz w:val="21"/>
                <w:szCs w:val="21"/>
                <w:highlight w:val="none"/>
              </w:rPr>
              <w:t xml:space="preserve"> </w:t>
            </w:r>
          </w:p>
          <w:p>
            <w:pPr>
              <w:keepNext w:val="0"/>
              <w:keepLines w:val="0"/>
              <w:suppressLineNumbers w:val="0"/>
              <w:autoSpaceDE/>
              <w:autoSpaceDN/>
              <w:adjustRightInd/>
              <w:spacing w:before="0" w:beforeAutospacing="0" w:after="0" w:afterAutospacing="0" w:line="360" w:lineRule="auto"/>
              <w:ind w:left="0" w:right="0" w:firstLine="42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暂定总合同价款（即销售额，不含监测人销项税额）（大写）：人民币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。监测服务系数为</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suppressLineNumbers w:val="0"/>
              <w:autoSpaceDE/>
              <w:autoSpaceDN/>
              <w:adjustRightInd/>
              <w:spacing w:before="0" w:beforeAutospacing="0" w:after="0" w:afterAutospacing="0" w:line="360" w:lineRule="auto"/>
              <w:ind w:left="0" w:right="0" w:firstLine="420" w:firstLineChars="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依法计得并根据本合同约定确定的销项税额由丙方承担。根据《中华人民共和国增值税暂行条例》(国务院令第691号修订版)及当前税务部门的相关规定，本合同项目的增值税税率为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pPr>
              <w:keepNext w:val="0"/>
              <w:keepLines w:val="0"/>
              <w:suppressLineNumbers w:val="0"/>
              <w:autoSpaceDE/>
              <w:autoSpaceDN/>
              <w:adjustRightInd/>
              <w:spacing w:before="0" w:beforeAutospacing="0" w:after="0" w:afterAutospacing="0" w:line="360" w:lineRule="auto"/>
              <w:ind w:left="0" w:right="0" w:firstLine="420" w:firstLineChars="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color w:val="auto"/>
                <w:sz w:val="21"/>
                <w:szCs w:val="21"/>
                <w:highlight w:val="none"/>
              </w:rPr>
              <w:t>2.</w:t>
            </w:r>
            <w:r>
              <w:rPr>
                <w:rFonts w:hint="eastAsia" w:ascii="宋体" w:hAnsi="宋体" w:eastAsia="宋体" w:cs="宋体"/>
                <w:bCs/>
                <w:color w:val="auto"/>
                <w:kern w:val="2"/>
                <w:sz w:val="21"/>
                <w:szCs w:val="21"/>
                <w:highlight w:val="none"/>
                <w:lang w:val="en-US" w:eastAsia="zh-CN" w:bidi="ar"/>
              </w:rPr>
              <w:t>合同附件一《监测工程量清单计价表》的不含税综合单价（即结算不含税综合单价）等于招标文件附件一《监测工程量清单计价表》列出的不含税综合单价乘以中标报价（监测服务系数），结算时不作调整</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含税综合单价包含为实施和完成监测工程所需的人工费、机械费、材料设备费、水电费以及进出场费、试坑开挖、桩头处理、加荷体吊装运输、应力应变测试的传感费用、埋设安装费用、道路修填、重锤吊装及运输费、钻孔费、引孔费、临时设施费、检验试验、安全生产、管理、利润、规费、</w:t>
            </w:r>
            <w:r>
              <w:rPr>
                <w:rFonts w:hint="eastAsia" w:ascii="宋体" w:hAnsi="宋体" w:eastAsia="宋体" w:cs="宋体"/>
                <w:b w:val="0"/>
                <w:bCs w:val="0"/>
                <w:color w:val="auto"/>
                <w:sz w:val="21"/>
                <w:szCs w:val="21"/>
                <w:highlight w:val="none"/>
                <w:lang w:val="en-US"/>
              </w:rPr>
              <w:t>专家论证费</w:t>
            </w:r>
            <w:r>
              <w:rPr>
                <w:rFonts w:hint="eastAsia" w:ascii="宋体" w:hAnsi="宋体" w:eastAsia="宋体" w:cs="宋体"/>
                <w:b w:val="0"/>
                <w:bCs w:val="0"/>
                <w:color w:val="auto"/>
                <w:sz w:val="21"/>
                <w:szCs w:val="21"/>
                <w:highlight w:val="none"/>
                <w:lang w:val="en-US" w:eastAsia="zh-CN"/>
              </w:rPr>
              <w:t>、乙方销项税额以外的</w:t>
            </w:r>
            <w:r>
              <w:rPr>
                <w:rFonts w:hint="eastAsia" w:ascii="宋体" w:hAnsi="宋体" w:eastAsia="宋体" w:cs="宋体"/>
                <w:color w:val="auto"/>
                <w:sz w:val="21"/>
                <w:szCs w:val="21"/>
                <w:highlight w:val="none"/>
              </w:rPr>
              <w:t>税金等一切费用，以及合同规定的所有责任、义务和一切风险。监测时，如需土建总包单位配合或向其租借设备时，自行与总包单位协调，配合及租借费用应包括在合同价内。</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测工程量清单计价表》不作为乙方最终服务范围及业务承接数量的保证，甲方有权根据实际需求对监测工程量进行优化调整，最终服务费用按实际发生工程量结算。在合同服务期内，乙方不得因实际监测项目数量及服务费用的增减而要求甲方提供任何形式的补偿或赔偿，或只按甲方暂定的《监测工程量清单计价表》提供相应的对应服务。否则，视为乙方违约，甲方有权追究乙方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2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第三方监测计费依据</w:t>
            </w:r>
          </w:p>
        </w:tc>
        <w:tc>
          <w:tcPr>
            <w:tcW w:w="4011" w:type="pct"/>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11" w:firstLineChars="196"/>
              <w:jc w:val="both"/>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
              </w:rPr>
              <w:t>1.本项目的计费标准按照合同附件一《监测工程量清单计价表》（详见附件）中的不含税</w:t>
            </w:r>
            <w:r>
              <w:rPr>
                <w:rFonts w:hint="eastAsia" w:ascii="宋体" w:hAnsi="宋体" w:eastAsia="宋体" w:cs="宋体"/>
                <w:color w:val="auto"/>
                <w:kern w:val="2"/>
                <w:sz w:val="21"/>
                <w:szCs w:val="21"/>
                <w:highlight w:val="none"/>
                <w:lang w:val="en-US" w:eastAsia="zh-CN" w:bidi="ar"/>
              </w:rPr>
              <w:t>综合单价×实际监测工作量进行结算。</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.对于《监测工程量清单计价表》外新增的监测项目，不含税综合单价按以下方法计算：</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（1）按《广东省房屋建筑和市政工程工程质量安全检测收费指导价》（粤建检协〔2015〕8号）对应项单价÷1.06×</w:t>
            </w:r>
            <w:r>
              <w:rPr>
                <w:rFonts w:hint="eastAsia" w:ascii="宋体" w:hAnsi="宋体" w:eastAsia="宋体" w:cs="宋体"/>
                <w:color w:val="auto"/>
                <w:sz w:val="21"/>
                <w:szCs w:val="21"/>
                <w:highlight w:val="none"/>
                <w:lang w:eastAsia="zh-CN"/>
              </w:rPr>
              <w:t>中标监测服务系数</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（2）《广东省房屋建筑和市政工程工程质量安全检测收费指导价》（粤建检协〔2015〕8号）无对应项的，由甲方结合本地</w:t>
            </w:r>
            <w:r>
              <w:rPr>
                <w:rFonts w:hint="eastAsia" w:ascii="宋体" w:hAnsi="宋体" w:eastAsia="宋体" w:cs="宋体"/>
                <w:b w:val="0"/>
                <w:bCs w:val="0"/>
                <w:color w:val="auto"/>
                <w:sz w:val="21"/>
                <w:szCs w:val="21"/>
                <w:highlight w:val="none"/>
                <w:lang w:val="en-US"/>
              </w:rPr>
              <w:t>及周边同类城市</w:t>
            </w:r>
            <w:r>
              <w:rPr>
                <w:rFonts w:hint="eastAsia" w:ascii="宋体" w:hAnsi="宋体" w:eastAsia="宋体" w:cs="宋体"/>
                <w:color w:val="auto"/>
                <w:sz w:val="21"/>
                <w:szCs w:val="21"/>
                <w:highlight w:val="none"/>
              </w:rPr>
              <w:t>市场询价</w:t>
            </w:r>
            <w:r>
              <w:rPr>
                <w:rFonts w:hint="eastAsia" w:ascii="宋体" w:hAnsi="宋体" w:eastAsia="宋体" w:cs="宋体"/>
                <w:b w:val="0"/>
                <w:bCs w:val="0"/>
                <w:color w:val="auto"/>
                <w:sz w:val="21"/>
                <w:szCs w:val="21"/>
                <w:highlight w:val="none"/>
                <w:lang w:val="en-US"/>
              </w:rPr>
              <w:t>的不含税综合单价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中标监测服务系数</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以上不含税综合单价均保留两位小数。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4" w:type="pct"/>
            <w:vAlign w:val="center"/>
          </w:tcPr>
          <w:p>
            <w:pPr>
              <w:pStyle w:val="7"/>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结算调整规则、范围及方式</w:t>
            </w:r>
          </w:p>
        </w:tc>
        <w:tc>
          <w:tcPr>
            <w:tcW w:w="4011" w:type="pct"/>
            <w:vAlign w:val="center"/>
          </w:tcPr>
          <w:p>
            <w:pPr>
              <w:keepNext w:val="0"/>
              <w:keepLines w:val="0"/>
              <w:suppressLineNumbers w:val="0"/>
              <w:autoSpaceDE/>
              <w:autoSpaceDN/>
              <w:adjustRightInd/>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（1）结算调整的范围：因设计变更、改线或者重大工艺变更等工程变更引起的监测项目的变更，包含监测项目增减和已有监测项目中工作量的增减，乙方在实施前，须提出变更申请，经本工程的设计</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、监理</w:t>
            </w:r>
            <w:r>
              <w:rPr>
                <w:rFonts w:hint="eastAsia" w:ascii="宋体" w:hAnsi="宋体" w:eastAsia="宋体" w:cs="宋体"/>
                <w:color w:val="auto"/>
                <w:kern w:val="2"/>
                <w:sz w:val="21"/>
                <w:szCs w:val="21"/>
                <w:highlight w:val="none"/>
                <w:lang w:val="en-US" w:eastAsia="zh-CN"/>
              </w:rPr>
              <w:t>单位</w:t>
            </w:r>
            <w:r>
              <w:rPr>
                <w:rFonts w:hint="eastAsia" w:ascii="宋体" w:hAnsi="宋体" w:eastAsia="宋体" w:cs="宋体"/>
                <w:color w:val="auto"/>
                <w:kern w:val="2"/>
                <w:sz w:val="21"/>
                <w:szCs w:val="21"/>
                <w:highlight w:val="none"/>
              </w:rPr>
              <w:t>及甲方（含其委托的第三方审核机构）批准后方可实施。</w:t>
            </w:r>
          </w:p>
          <w:p>
            <w:pPr>
              <w:keepNext w:val="0"/>
              <w:keepLines w:val="0"/>
              <w:suppressLineNumbers w:val="0"/>
              <w:spacing w:before="0" w:beforeAutospacing="0" w:after="0" w:afterAutospacing="0" w:line="360" w:lineRule="auto"/>
              <w:ind w:left="0" w:right="0" w:firstLine="420"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（2）变更项目监测的计价：</w:t>
            </w:r>
            <w:r>
              <w:rPr>
                <w:rFonts w:hint="eastAsia" w:ascii="宋体" w:hAnsi="宋体" w:eastAsia="宋体" w:cs="宋体"/>
                <w:b/>
                <w:bCs/>
                <w:color w:val="auto"/>
                <w:kern w:val="2"/>
                <w:sz w:val="21"/>
                <w:szCs w:val="21"/>
                <w:highlight w:val="none"/>
              </w:rPr>
              <w:t>合同价中已有适用于变更监测项目的不含税综合单价，按合同已有的不含税综合单价变更合同价款；合同中已有类似变更监测项目的不含税综合单价，可参照类似监测项目不含税综合单价变更合同价款；合同中没有适用于变更监测项目的不含税综合单价，经批准变更后，按照《广东省房屋建筑和市政工程工程质量安全检测收费指导价》（粤建检协〔2015〕8号）对应项单价÷1.06×</w:t>
            </w:r>
            <w:r>
              <w:rPr>
                <w:rFonts w:hint="eastAsia" w:ascii="宋体" w:hAnsi="宋体" w:eastAsia="宋体" w:cs="宋体"/>
                <w:b/>
                <w:bCs/>
                <w:color w:val="auto"/>
                <w:kern w:val="2"/>
                <w:sz w:val="21"/>
                <w:szCs w:val="21"/>
                <w:highlight w:val="none"/>
                <w:lang w:eastAsia="zh-CN"/>
              </w:rPr>
              <w:t>中标监测服务系数</w:t>
            </w:r>
            <w:r>
              <w:rPr>
                <w:rFonts w:hint="eastAsia" w:ascii="宋体" w:hAnsi="宋体" w:eastAsia="宋体" w:cs="宋体"/>
                <w:b/>
                <w:bCs/>
                <w:color w:val="auto"/>
                <w:kern w:val="2"/>
                <w:sz w:val="21"/>
                <w:szCs w:val="21"/>
                <w:highlight w:val="none"/>
              </w:rPr>
              <w:t>计算，《广东省房屋建筑和市政工程工程质量安全检测收费指导价》（粤建检协〔2015〕8号）无对应项的，由甲方结合本地</w:t>
            </w:r>
            <w:r>
              <w:rPr>
                <w:rFonts w:hint="eastAsia" w:ascii="宋体" w:hAnsi="宋体" w:eastAsia="宋体" w:cs="宋体"/>
                <w:b/>
                <w:bCs/>
                <w:color w:val="auto"/>
                <w:kern w:val="2"/>
                <w:sz w:val="21"/>
                <w:szCs w:val="21"/>
                <w:highlight w:val="none"/>
                <w:lang w:val="en-US"/>
              </w:rPr>
              <w:t>及周边同类城市</w:t>
            </w:r>
            <w:r>
              <w:rPr>
                <w:rFonts w:hint="eastAsia" w:ascii="宋体" w:hAnsi="宋体" w:eastAsia="宋体" w:cs="宋体"/>
                <w:b/>
                <w:bCs/>
                <w:color w:val="auto"/>
                <w:kern w:val="2"/>
                <w:sz w:val="21"/>
                <w:szCs w:val="21"/>
                <w:highlight w:val="none"/>
              </w:rPr>
              <w:t>市场询价的不含税综合单价×</w:t>
            </w:r>
            <w:r>
              <w:rPr>
                <w:rFonts w:hint="eastAsia" w:ascii="宋体" w:hAnsi="宋体" w:eastAsia="宋体" w:cs="宋体"/>
                <w:b/>
                <w:bCs/>
                <w:color w:val="auto"/>
                <w:kern w:val="2"/>
                <w:sz w:val="21"/>
                <w:szCs w:val="21"/>
                <w:highlight w:val="none"/>
                <w:lang w:eastAsia="zh-CN"/>
              </w:rPr>
              <w:t>中标监测服务系数</w:t>
            </w:r>
            <w:r>
              <w:rPr>
                <w:rFonts w:hint="eastAsia" w:ascii="宋体" w:hAnsi="宋体" w:eastAsia="宋体" w:cs="宋体"/>
                <w:b/>
                <w:bCs/>
                <w:color w:val="auto"/>
                <w:kern w:val="2"/>
                <w:sz w:val="21"/>
                <w:szCs w:val="21"/>
                <w:highlight w:val="none"/>
              </w:rPr>
              <w:t>。所有变更的监测项目均须书面向甲方申报，经甲方（含其委托的第三方审核机构）审核批准同意后方可实施。</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tc>
      </w:tr>
    </w:tbl>
    <w:p>
      <w:pPr>
        <w:pStyle w:val="32"/>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eastAsia="zh-CN" w:bidi="ar"/>
        </w:rPr>
      </w:pPr>
      <w:r>
        <w:rPr>
          <w:rFonts w:hint="eastAsia" w:ascii="宋体" w:hAnsi="宋体" w:eastAsia="宋体" w:cs="宋体"/>
          <w:b w:val="0"/>
          <w:bCs/>
          <w:color w:val="auto"/>
          <w:sz w:val="21"/>
          <w:szCs w:val="21"/>
          <w:highlight w:val="none"/>
          <w:lang w:val="en-US" w:eastAsia="zh-CN" w:bidi="ar"/>
        </w:rPr>
        <w:t>2</w:t>
      </w:r>
      <w:r>
        <w:rPr>
          <w:rFonts w:hint="eastAsia" w:ascii="宋体" w:hAnsi="宋体" w:eastAsia="宋体" w:cs="宋体"/>
          <w:b w:val="0"/>
          <w:bCs/>
          <w:color w:val="auto"/>
          <w:sz w:val="21"/>
          <w:szCs w:val="21"/>
          <w:highlight w:val="none"/>
          <w:lang w:eastAsia="zh-CN" w:bidi="ar"/>
        </w:rPr>
        <w:t>.权利和义务一览表</w:t>
      </w:r>
    </w:p>
    <w:tbl>
      <w:tblPr>
        <w:tblStyle w:val="36"/>
        <w:tblW w:w="4998" w:type="pct"/>
        <w:tblInd w:w="0" w:type="dxa"/>
        <w:tblLayout w:type="autofit"/>
        <w:tblCellMar>
          <w:top w:w="0" w:type="dxa"/>
          <w:left w:w="108" w:type="dxa"/>
          <w:bottom w:w="0" w:type="dxa"/>
          <w:right w:w="108" w:type="dxa"/>
        </w:tblCellMar>
      </w:tblPr>
      <w:tblGrid>
        <w:gridCol w:w="966"/>
        <w:gridCol w:w="1095"/>
        <w:gridCol w:w="8305"/>
      </w:tblGrid>
      <w:tr>
        <w:tblPrEx>
          <w:tblCellMar>
            <w:top w:w="0" w:type="dxa"/>
            <w:left w:w="108" w:type="dxa"/>
            <w:bottom w:w="0" w:type="dxa"/>
            <w:right w:w="108" w:type="dxa"/>
          </w:tblCellMar>
        </w:tblPrEx>
        <w:trPr>
          <w:trHeight w:val="680" w:hRule="atLeast"/>
        </w:trPr>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52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类别</w:t>
            </w:r>
          </w:p>
        </w:tc>
        <w:tc>
          <w:tcPr>
            <w:tcW w:w="4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具体条款</w:t>
            </w:r>
          </w:p>
        </w:tc>
      </w:tr>
      <w:tr>
        <w:tblPrEx>
          <w:tblCellMar>
            <w:top w:w="0" w:type="dxa"/>
            <w:left w:w="108" w:type="dxa"/>
            <w:bottom w:w="0" w:type="dxa"/>
            <w:right w:w="108" w:type="dxa"/>
          </w:tblCellMar>
        </w:tblPrEx>
        <w:trPr>
          <w:trHeight w:val="1077"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甲方权利和义务</w:t>
            </w:r>
          </w:p>
        </w:tc>
        <w:tc>
          <w:tcPr>
            <w:tcW w:w="4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.协助乙方仪器及运输设备顺利进场</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监督受监施工单位定时向乙方提供进度计划，协调作业时间，保证乙方有足够时间展开监测工作。</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.有权对乙方的监测工作进行监督；对其违约行为发出整改通知</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合同履约期间，甲方有权对监测范围、要求、规模及特征等根据项目实际情况作出相应调整，调整后</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方根据实际工作量进行结算。</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甲方按照既定的审批程序，及时办理服务费的审批手续。</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施工现场用水、用电在有条件的情况下由甲方负责提供水、电接入点，乙方自行接入。</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合同文件及附件内容约定的甲方其余权利义务。</w:t>
            </w:r>
          </w:p>
        </w:tc>
      </w:tr>
      <w:tr>
        <w:tblPrEx>
          <w:tblCellMar>
            <w:top w:w="0" w:type="dxa"/>
            <w:left w:w="108" w:type="dxa"/>
            <w:bottom w:w="0" w:type="dxa"/>
            <w:right w:w="108" w:type="dxa"/>
          </w:tblCellMar>
        </w:tblPrEx>
        <w:trPr>
          <w:trHeight w:val="1624"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乙方权利和义务</w:t>
            </w:r>
          </w:p>
        </w:tc>
        <w:tc>
          <w:tcPr>
            <w:tcW w:w="4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在合同的履行期间，乙方应当保持相应资质的有效性，且具备在东莞市开展监测服务工作的资格条件。因乙方资质条件丧失，导致无法开展监测工作的，甲方有权另行委托其他第三方，并且乙方需向甲方支付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的20%的违约金。同时，造成甲方的经济损失（包括但不限于重新招标、委托第三方的费用），由乙方承担全部赔偿。</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.对甲方委派的监测工作，乙方应当根据本合同约定、招投标文件及甲方要求进行开展，不得借故拒绝接受委托。</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按照国家颁发的有关监测技术标准或规范，采用科学先进的方法进行监测评估和试验过程的全程监控、记录，保证数据真实可靠，对监控结果真实性、准确性、合法性、完整性负责。</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供的监测报告、数据成果、文件等质量不合格的，应负责无偿给予修改、补充完善使其达到甲方要求；如乙方怠于或无力修改、补充完善，甲方有权另委托其他单位继续进行，乙方应承担由此产生的全部监测费用及其他损失。</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因乙方提供的监测报告、数据成果、文件等质量不合格造成甲方经济损失（包括但不限于监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r>
              <w:rPr>
                <w:rFonts w:hint="eastAsia" w:ascii="宋体" w:hAnsi="宋体" w:eastAsia="宋体" w:cs="宋体"/>
                <w:bCs/>
                <w:color w:val="auto"/>
                <w:sz w:val="21"/>
                <w:szCs w:val="21"/>
                <w:highlight w:val="none"/>
              </w:rPr>
              <w:t>。</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严格遵守国家法律、法规，协助甲方做好社会治安综合管理工作和计划生育等工作。乙方员工有违法乱纪或犯罪的行为，乙方应承担一切经济责任和法律责任。</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合同期限内保存好全部与监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如施工现场甲方无法提供水、电接入点，乙方自行解决施工用水、用电并承担相关费用。</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乙方应按本合同及招、投标文件的要求按时提供监测报告和其他甲方认为有必要提供的中间过程资料、图表、照片（包括电子资料）等，以及向甲方提供咨询服务和建议。</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监测过程中，乙方自行对本单位的仪器、设备安全负责，自行承担保管职责；对监测所产生的水、电等费用由乙方负责。</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与监测工程的施工单位、设计单位、监理单位等单位相互配合，数据共享。</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本合同约定范围内必要的修改，补充，应由乙方负责，甲方不再另付监测费用或其他费用。</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在监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乙方提交给甲方的监测成果知识产权归属甲方，乙方须确保甲方在使用过程中免受第三方关于知识产权或其他合法权益的起诉，否则，乙方应承担由此给甲方造成的一切损失。</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乙方不得将本合同标的部分或全部转让给第三方。</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19.乙方应确保其具备履行本合同工作所需的相关资质，否则，因此产生的一切后果由乙方承担。乙方应</w:t>
            </w:r>
            <w:r>
              <w:rPr>
                <w:rFonts w:hint="eastAsia" w:ascii="宋体" w:hAnsi="宋体" w:eastAsia="宋体" w:cs="宋体"/>
                <w:bCs/>
                <w:color w:val="auto"/>
                <w:sz w:val="21"/>
                <w:szCs w:val="21"/>
                <w:highlight w:val="none"/>
              </w:rPr>
              <w:t>建立健全内部管理制度，并接受甲方及有关主管部门对项目服务状况、服务质量的监督检查。</w:t>
            </w:r>
            <w:r>
              <w:rPr>
                <w:rFonts w:hint="eastAsia" w:ascii="宋体" w:hAnsi="宋体" w:eastAsia="宋体" w:cs="宋体"/>
                <w:color w:val="auto"/>
                <w:sz w:val="21"/>
                <w:szCs w:val="21"/>
                <w:highlight w:val="none"/>
                <w:lang w:bidi="ar"/>
              </w:rPr>
              <w:t>因乙方原因导致甲方损失的，应当全额赔偿甲方的损失。</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w:t>
            </w:r>
            <w:r>
              <w:rPr>
                <w:rFonts w:hint="eastAsia" w:ascii="宋体" w:hAnsi="宋体" w:eastAsia="宋体" w:cs="宋体"/>
                <w:color w:val="auto"/>
                <w:sz w:val="21"/>
                <w:szCs w:val="21"/>
                <w:highlight w:val="none"/>
              </w:rPr>
              <w:t>若甲方需参加诉讼，相关费用（包括但不限于诉讼费、律师费、鉴定费、公证费、交通住宿费等全部）及损失全部由乙方承担，甲方可在工程款中直接扣除或启动履约担保支付。</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本合同所述的乙方应承担的甲方损失，包括但不限于甲方支出的赔偿金、诉讼费、保全费、律师费、鉴定费等。</w:t>
            </w:r>
          </w:p>
          <w:p>
            <w:pPr>
              <w:keepNext w:val="0"/>
              <w:keepLines w:val="0"/>
              <w:suppressLineNumbers w:val="0"/>
              <w:spacing w:before="0" w:beforeAutospacing="0" w:after="0" w:afterAutospacing="0" w:line="360" w:lineRule="auto"/>
              <w:ind w:left="0" w:right="0"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本项目禁止转包；未经甲方书面同意不得分包。</w:t>
            </w:r>
          </w:p>
          <w:p>
            <w:pPr>
              <w:keepNext w:val="0"/>
              <w:keepLines w:val="0"/>
              <w:suppressLineNumbers w:val="0"/>
              <w:spacing w:before="0" w:beforeAutospacing="0" w:after="0" w:afterAutospacing="0" w:line="360" w:lineRule="auto"/>
              <w:ind w:left="0" w:right="0" w:firstLine="420"/>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合同文件及附件内容约定的乙方其他权利义务。</w:t>
            </w:r>
          </w:p>
        </w:tc>
      </w:tr>
    </w:tbl>
    <w:p>
      <w:pPr>
        <w:pStyle w:val="32"/>
        <w:autoSpaceDE w:val="0"/>
        <w:autoSpaceDN w:val="0"/>
        <w:adjustRightInd w:val="0"/>
        <w:spacing w:before="0" w:beforeAutospacing="0" w:after="0" w:afterAutospacing="0" w:line="360" w:lineRule="auto"/>
        <w:outlineLvl w:val="4"/>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3.乙方违约处理一览表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943"/>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违约行为</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1</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因乙方资质条件丧失，导致无法开展监测</w:t>
            </w:r>
            <w:r>
              <w:rPr>
                <w:rFonts w:hint="eastAsia" w:ascii="宋体" w:hAnsi="宋体" w:eastAsia="宋体" w:cs="宋体"/>
                <w:color w:val="auto"/>
                <w:sz w:val="21"/>
                <w:szCs w:val="21"/>
                <w:highlight w:val="none"/>
                <w:lang w:eastAsia="zh-CN"/>
              </w:rPr>
              <w:t>工作。</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甲方有权另行委托其他第三方，并且乙方需向甲方支付暂定总合同价款（含税）</w:t>
            </w:r>
            <w:r>
              <w:rPr>
                <w:rFonts w:hint="eastAsia" w:ascii="宋体" w:hAnsi="宋体" w:eastAsia="宋体" w:cs="宋体"/>
                <w:color w:val="auto"/>
                <w:sz w:val="21"/>
                <w:szCs w:val="21"/>
                <w:highlight w:val="none"/>
                <w:lang w:val="en-US" w:eastAsia="zh-CN"/>
              </w:rPr>
              <w:t>的20%</w:t>
            </w:r>
            <w:r>
              <w:rPr>
                <w:rFonts w:hint="eastAsia" w:ascii="宋体" w:hAnsi="宋体" w:eastAsia="宋体" w:cs="宋体"/>
                <w:color w:val="auto"/>
                <w:sz w:val="21"/>
                <w:szCs w:val="21"/>
                <w:highlight w:val="none"/>
              </w:rPr>
              <w:t>的违约金。同时，造成甲方的经济损失（包括但不限于重新招标、委托第三方的费用），由乙方承担全部赔偿。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2</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乙方提供的</w:t>
            </w:r>
            <w:r>
              <w:rPr>
                <w:rFonts w:hint="eastAsia" w:ascii="宋体" w:hAnsi="宋体" w:eastAsia="宋体" w:cs="宋体"/>
                <w:bCs/>
                <w:color w:val="auto"/>
                <w:sz w:val="21"/>
                <w:szCs w:val="21"/>
                <w:highlight w:val="none"/>
                <w:lang w:eastAsia="zh-CN"/>
              </w:rPr>
              <w:t>监测报告</w:t>
            </w:r>
            <w:r>
              <w:rPr>
                <w:rFonts w:hint="eastAsia" w:ascii="宋体" w:hAnsi="宋体" w:eastAsia="宋体" w:cs="宋体"/>
                <w:bCs/>
                <w:color w:val="auto"/>
                <w:sz w:val="21"/>
                <w:szCs w:val="21"/>
                <w:highlight w:val="none"/>
              </w:rPr>
              <w:t>、数据成果、文件等质量不合格</w:t>
            </w:r>
            <w:r>
              <w:rPr>
                <w:rFonts w:hint="eastAsia" w:ascii="宋体" w:hAnsi="宋体" w:eastAsia="宋体" w:cs="宋体"/>
                <w:color w:val="auto"/>
                <w:sz w:val="21"/>
                <w:szCs w:val="21"/>
                <w:highlight w:val="none"/>
              </w:rPr>
              <w:t>，不能满足技术要求</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负责无偿给予修改、补充完善使其达到甲方要求</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返工重新</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等产生的费用由乙方承担</w:t>
            </w:r>
            <w:r>
              <w:rPr>
                <w:rFonts w:hint="eastAsia" w:ascii="宋体" w:hAnsi="宋体" w:eastAsia="宋体" w:cs="宋体"/>
                <w:bCs/>
                <w:color w:val="auto"/>
                <w:sz w:val="21"/>
                <w:szCs w:val="21"/>
                <w:highlight w:val="none"/>
              </w:rPr>
              <w:t>；如乙方怠于或无力修改、补充完善，甲方有权另委托其他单位继续进行，乙方应承担由此产生的全部</w:t>
            </w:r>
            <w:r>
              <w:rPr>
                <w:rFonts w:hint="eastAsia" w:ascii="宋体" w:hAnsi="宋体" w:eastAsia="宋体" w:cs="宋体"/>
                <w:bCs/>
                <w:color w:val="auto"/>
                <w:sz w:val="21"/>
                <w:szCs w:val="21"/>
                <w:highlight w:val="none"/>
                <w:lang w:eastAsia="zh-CN"/>
              </w:rPr>
              <w:t>监测</w:t>
            </w:r>
            <w:r>
              <w:rPr>
                <w:rFonts w:hint="eastAsia" w:ascii="宋体" w:hAnsi="宋体" w:eastAsia="宋体" w:cs="宋体"/>
                <w:bCs/>
                <w:color w:val="auto"/>
                <w:sz w:val="21"/>
                <w:szCs w:val="21"/>
                <w:highlight w:val="none"/>
              </w:rPr>
              <w:t>费用及其他损失。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因乙方提供的</w:t>
            </w:r>
            <w:r>
              <w:rPr>
                <w:rFonts w:hint="eastAsia" w:ascii="宋体" w:hAnsi="宋体" w:eastAsia="宋体" w:cs="宋体"/>
                <w:color w:val="auto"/>
                <w:sz w:val="21"/>
                <w:szCs w:val="21"/>
                <w:highlight w:val="none"/>
                <w:lang w:eastAsia="zh-CN"/>
              </w:rPr>
              <w:t>监测报告</w:t>
            </w:r>
            <w:r>
              <w:rPr>
                <w:rFonts w:hint="eastAsia" w:ascii="宋体" w:hAnsi="宋体" w:eastAsia="宋体" w:cs="宋体"/>
                <w:color w:val="auto"/>
                <w:sz w:val="21"/>
                <w:szCs w:val="21"/>
                <w:highlight w:val="none"/>
              </w:rPr>
              <w:t>、数据成果、文件等质量不合格造成甲方经济损失（包括但不限于</w:t>
            </w:r>
            <w:r>
              <w:rPr>
                <w:rFonts w:hint="eastAsia" w:ascii="宋体" w:hAnsi="宋体" w:eastAsia="宋体" w:cs="宋体"/>
                <w:color w:val="auto"/>
                <w:sz w:val="21"/>
                <w:szCs w:val="21"/>
                <w:highlight w:val="none"/>
                <w:lang w:eastAsia="zh-CN"/>
              </w:rPr>
              <w:t>监测</w:t>
            </w:r>
            <w:r>
              <w:rPr>
                <w:rFonts w:hint="eastAsia" w:ascii="宋体" w:hAnsi="宋体" w:eastAsia="宋体" w:cs="宋体"/>
                <w:color w:val="auto"/>
                <w:sz w:val="21"/>
                <w:szCs w:val="21"/>
                <w:highlight w:val="none"/>
              </w:rPr>
              <w:t>变更费、增加工程费用等）或工程事故</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乙方应对造成的损失承担赔偿责任（包括但不限于施工单位损失赔偿、第三人侵权赔偿责任等），并根据违约行为向甲方支付违约金壹万元</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。如甲方实际损失高于违约金的，甲方有权另行追偿</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乙方未按本合同约定配备必要的办公场所、设备或者服务人员</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甲方有权就违约事宜提出改正，如乙方仍拒不改正的，甲方有权选择解除本合同或服务合同，并没收全部履约担保。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5</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消极怠工或拒不履行合同义务（包括但不限于技术支持、专家会审、解答释疑、事故处理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修</w:t>
            </w:r>
            <w:r>
              <w:rPr>
                <w:rFonts w:hint="eastAsia" w:ascii="宋体" w:hAnsi="宋体" w:eastAsia="宋体" w:cs="宋体"/>
                <w:color w:val="auto"/>
                <w:kern w:val="2"/>
                <w:sz w:val="21"/>
                <w:szCs w:val="21"/>
                <w:highlight w:val="none"/>
                <w:lang w:val="en-US" w:eastAsia="zh-CN"/>
              </w:rPr>
              <w:t>正监</w:t>
            </w:r>
            <w:r>
              <w:rPr>
                <w:rFonts w:hint="eastAsia" w:ascii="宋体" w:hAnsi="宋体" w:eastAsia="宋体" w:cs="宋体"/>
                <w:color w:val="auto"/>
                <w:kern w:val="2"/>
                <w:sz w:val="21"/>
                <w:szCs w:val="21"/>
                <w:highlight w:val="none"/>
              </w:rPr>
              <w:t>测报告</w:t>
            </w:r>
            <w:r>
              <w:rPr>
                <w:rFonts w:hint="eastAsia" w:ascii="宋体" w:hAnsi="宋体" w:eastAsia="宋体" w:cs="宋体"/>
                <w:color w:val="auto"/>
                <w:kern w:val="2"/>
                <w:sz w:val="21"/>
                <w:szCs w:val="21"/>
                <w:highlight w:val="none"/>
                <w:lang w:val="en-US" w:eastAsia="zh-CN"/>
              </w:rPr>
              <w:t>及</w:t>
            </w:r>
            <w:r>
              <w:rPr>
                <w:rFonts w:hint="eastAsia" w:ascii="宋体" w:hAnsi="宋体" w:eastAsia="宋体" w:cs="宋体"/>
                <w:color w:val="auto"/>
                <w:kern w:val="2"/>
                <w:sz w:val="21"/>
                <w:szCs w:val="21"/>
                <w:highlight w:val="none"/>
              </w:rPr>
              <w:t>数据成果等），或履行的合同义务不符合要求的。</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有权就违约事宜提出改正，要求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万元/次</w:t>
            </w:r>
            <w:r>
              <w:rPr>
                <w:rFonts w:hint="eastAsia" w:ascii="宋体" w:hAnsi="宋体" w:eastAsia="宋体" w:cs="宋体"/>
                <w:color w:val="auto"/>
                <w:kern w:val="2"/>
                <w:sz w:val="21"/>
                <w:szCs w:val="21"/>
                <w:highlight w:val="none"/>
              </w:rPr>
              <w:t>承担</w:t>
            </w:r>
            <w:r>
              <w:rPr>
                <w:rFonts w:hint="eastAsia" w:ascii="宋体" w:hAnsi="宋体" w:eastAsia="宋体" w:cs="宋体"/>
                <w:color w:val="auto"/>
                <w:sz w:val="21"/>
                <w:szCs w:val="21"/>
                <w:highlight w:val="none"/>
              </w:rPr>
              <w:t>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若限期内未按照甲方要求进行整改或限期整改后不符合甲方要求</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有权选择解除合同，要求</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按暂定总合同价款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的10%承担违约金，并有权依法委托有资质的第三方继续履行本合同义务，由此造成的一切损失由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承担。同时，</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有权将情况如实报送至政府相关主管部门。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由于乙方原因未按</w:t>
            </w:r>
            <w:r>
              <w:rPr>
                <w:rFonts w:hint="eastAsia" w:ascii="宋体" w:hAnsi="宋体" w:eastAsia="宋体" w:cs="宋体"/>
                <w:color w:val="auto"/>
                <w:sz w:val="21"/>
                <w:szCs w:val="21"/>
                <w:highlight w:val="none"/>
                <w:lang w:eastAsia="zh-CN"/>
              </w:rPr>
              <w:t>甲方要求</w:t>
            </w:r>
            <w:r>
              <w:rPr>
                <w:rFonts w:hint="eastAsia" w:ascii="宋体" w:hAnsi="宋体" w:eastAsia="宋体" w:cs="宋体"/>
                <w:color w:val="auto"/>
                <w:sz w:val="21"/>
                <w:szCs w:val="21"/>
                <w:highlight w:val="none"/>
              </w:rPr>
              <w:t>时间（日期）提交</w:t>
            </w:r>
            <w:r>
              <w:rPr>
                <w:rFonts w:hint="eastAsia" w:ascii="宋体" w:hAnsi="宋体" w:eastAsia="宋体" w:cs="宋体"/>
                <w:color w:val="auto"/>
                <w:sz w:val="21"/>
                <w:szCs w:val="21"/>
                <w:highlight w:val="none"/>
                <w:lang w:eastAsia="zh-CN"/>
              </w:rPr>
              <w:t>监测方案、测点布设记录、监测报告和监测总结报告</w:t>
            </w:r>
            <w:r>
              <w:rPr>
                <w:rFonts w:hint="eastAsia" w:ascii="宋体" w:hAnsi="宋体" w:eastAsia="宋体" w:cs="宋体"/>
                <w:color w:val="auto"/>
                <w:sz w:val="21"/>
                <w:szCs w:val="21"/>
                <w:highlight w:val="none"/>
              </w:rPr>
              <w:t>的，或未按期履行其他义务的</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每逾期一日，乙方按</w:t>
            </w:r>
            <w:r>
              <w:rPr>
                <w:rFonts w:hint="eastAsia" w:ascii="宋体" w:hAnsi="宋体" w:eastAsia="宋体" w:cs="宋体"/>
                <w:color w:val="auto"/>
                <w:sz w:val="21"/>
                <w:szCs w:val="21"/>
                <w:highlight w:val="none"/>
                <w:lang w:val="en-US" w:eastAsia="zh-CN"/>
              </w:rPr>
              <w:t>贰仟</w:t>
            </w:r>
            <w:r>
              <w:rPr>
                <w:rFonts w:hint="eastAsia" w:ascii="宋体" w:hAnsi="宋体" w:eastAsia="宋体" w:cs="宋体"/>
                <w:color w:val="auto"/>
                <w:sz w:val="21"/>
                <w:szCs w:val="21"/>
                <w:highlight w:val="none"/>
              </w:rPr>
              <w:t>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7</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乙方违反约定非法转包、分包</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w:t>
            </w:r>
            <w:r>
              <w:rPr>
                <w:rFonts w:hint="eastAsia" w:ascii="宋体" w:hAnsi="宋体" w:eastAsia="宋体" w:cs="宋体"/>
                <w:color w:val="auto"/>
                <w:sz w:val="21"/>
                <w:szCs w:val="21"/>
                <w:highlight w:val="none"/>
                <w:lang w:eastAsia="zh-CN"/>
              </w:rPr>
              <w:t>壹</w:t>
            </w:r>
            <w:r>
              <w:rPr>
                <w:rFonts w:hint="eastAsia" w:ascii="宋体" w:hAnsi="宋体" w:eastAsia="宋体" w:cs="宋体"/>
                <w:color w:val="auto"/>
                <w:sz w:val="21"/>
                <w:szCs w:val="21"/>
                <w:highlight w:val="none"/>
              </w:rPr>
              <w:t>拾万元整的违约金。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8</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乙方存在如下情形之一的：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（1）提供虚假信息、误导或欺骗建设单位，以谋取非法利益的；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（2）违反诚信信用原则，没有严格执行相关质量、服务，损害建设单位或相关用户单位的利益的；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（3）违反有关法律法规以及本合同的约定，损害甲方利益的；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（4）拒绝接受甲方、建设单位及相关部门监督、检查的；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（5）出现信用危机、财务危机、生产经营危机甚至破产、倒闭，无法继续履行本合同的；</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（6）采用非法手段进行不正当竞争的，构成恶劣影响；</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）违反本合同约定，泄露服务项目内容的。</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甲方有权书面通知乙方单方解除本合同，并由乙方承担履约担保等额的违约金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同时有权没收履约担保，给甲方造成损失的，乙方还足额应赔偿甲方</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9</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无故拖欠或克扣工人工资待遇以及其他劳动待遇等</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如有违反的，由乙方全部负责。如对甲方工作造成影响的，根据工人诉求，甲方有权</w:t>
            </w:r>
            <w:r>
              <w:rPr>
                <w:rFonts w:hint="eastAsia" w:ascii="宋体" w:hAnsi="宋体" w:eastAsia="宋体" w:cs="宋体"/>
                <w:color w:val="auto"/>
                <w:sz w:val="21"/>
                <w:szCs w:val="21"/>
                <w:highlight w:val="none"/>
                <w:lang w:eastAsia="zh-CN"/>
              </w:rPr>
              <w:t>通知丙方</w:t>
            </w:r>
            <w:r>
              <w:rPr>
                <w:rFonts w:hint="eastAsia" w:ascii="宋体" w:hAnsi="宋体" w:eastAsia="宋体" w:cs="宋体"/>
                <w:color w:val="auto"/>
                <w:sz w:val="21"/>
                <w:szCs w:val="21"/>
                <w:highlight w:val="none"/>
              </w:rPr>
              <w:t>直接从未付服务费用中直接扣除予以支付，由此导致的法律后果由乙方全部承担。并由乙方承担履约担保等额的违约金。严重者报相关行政主管部门处理，甲方保留终止合同的权利。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10</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受到相关部门的批评，经调查认定情况属实</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视情节轻重</w:t>
            </w:r>
            <w:r>
              <w:rPr>
                <w:rFonts w:hint="eastAsia" w:ascii="宋体" w:hAnsi="宋体" w:eastAsia="宋体" w:cs="宋体"/>
                <w:color w:val="auto"/>
                <w:sz w:val="21"/>
                <w:szCs w:val="21"/>
                <w:highlight w:val="none"/>
                <w:lang w:val="en-US" w:eastAsia="zh-CN"/>
              </w:rPr>
              <w:t>要求乙方承担违约责任</w:t>
            </w:r>
            <w:r>
              <w:rPr>
                <w:rFonts w:hint="eastAsia" w:ascii="宋体" w:hAnsi="宋体" w:eastAsia="宋体" w:cs="宋体"/>
                <w:color w:val="auto"/>
                <w:sz w:val="21"/>
                <w:szCs w:val="21"/>
                <w:highlight w:val="none"/>
              </w:rPr>
              <w:t>；造成恶劣影响的，甲方有权解除合同。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11</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甲方有权视不同情况分别给予警告、抵扣履约担保或取消</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12</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未经甲方书面同意，乙方变更项目负责人或技术负责人</w:t>
            </w:r>
            <w:r>
              <w:rPr>
                <w:rFonts w:hint="eastAsia" w:ascii="宋体" w:hAnsi="宋体" w:eastAsia="宋体" w:cs="宋体"/>
                <w:color w:val="auto"/>
                <w:sz w:val="21"/>
                <w:szCs w:val="21"/>
                <w:highlight w:val="none"/>
                <w:lang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甲方有权要求乙方按伍万元/人/次承担违约金。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13</w:t>
            </w:r>
          </w:p>
        </w:tc>
        <w:tc>
          <w:tcPr>
            <w:tcW w:w="1901"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甲方每季度根据合同附件五《监测单位履约考核评分表》对乙方评价一次，出具考核评价结果。甲方将严格按照考核评分标准对乙方进行季度检查和考核，考评80分以下的。</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考评[70,80)分的，处相应付款周期内经甲方确认的监测费的10%作为违约金，考评[60,70)分的，处相应付款周期经甲方确认的监测费的20%作为违约金，考评60分以下的，处相应付款周期经甲方确认的监测的30%作为违约金。上述“[”代表闭区间，“)”代表开区间，如[70,80)代表该分数段范围为大于等于70且小于80。达到相应付款周期时,如乙方未申请支付本期费用, 甲方根据支付条件暂定本周期监测费并计算本周期内应缴纳的暂定违约金，乙方应予以缴纳。下一周期仍未申请时按上述做法执行，待到乙方申请支付费用时，根据合同付款流程确认监测费，同步对以往暂定违约金在本次一并确认并予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14</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2615"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kern w:val="2"/>
                <w:sz w:val="21"/>
                <w:szCs w:val="21"/>
                <w:highlight w:val="none"/>
              </w:rPr>
              <w:t>因乙方违约，甲方通过司法途径维护自身权益的，乙方应承担甲方由此支出的律师费、诉讼费、执行费、鉴定费、公证费、财产保全费及保险费等全部费用。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2" w:type="pct"/>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15</w:t>
            </w:r>
          </w:p>
        </w:tc>
        <w:tc>
          <w:tcPr>
            <w:tcW w:w="39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c>
          <w:tcPr>
            <w:tcW w:w="2615" w:type="pct"/>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如规定时间内未按要求</w:t>
            </w:r>
            <w:r>
              <w:rPr>
                <w:rFonts w:hint="eastAsia" w:ascii="宋体" w:hAnsi="宋体" w:eastAsia="宋体" w:cs="宋体"/>
                <w:color w:val="auto"/>
                <w:kern w:val="2"/>
                <w:sz w:val="21"/>
                <w:szCs w:val="21"/>
                <w:highlight w:val="none"/>
              </w:rPr>
              <w:t>将款项交至指定账户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甲方有权不审批进度款</w:t>
            </w:r>
            <w:r>
              <w:rPr>
                <w:rFonts w:hint="eastAsia" w:ascii="宋体" w:hAnsi="宋体" w:eastAsia="宋体" w:cs="宋体"/>
                <w:color w:val="auto"/>
                <w:kern w:val="2"/>
                <w:sz w:val="21"/>
                <w:szCs w:val="21"/>
                <w:highlight w:val="none"/>
              </w:rPr>
              <w:t>。甲方指定收款账户信息：</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开户名称：东莞市水务集团建设管理有限公司</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银行账号：2010021309200628330</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kern w:val="2"/>
                <w:sz w:val="21"/>
                <w:szCs w:val="21"/>
                <w:highlight w:val="none"/>
              </w:rPr>
              <w:t>开户银行：中国工商银行股份有限公司东莞分行</w:t>
            </w:r>
          </w:p>
        </w:tc>
      </w:tr>
    </w:tbl>
    <w:p>
      <w:pPr>
        <w:spacing w:line="360" w:lineRule="auto"/>
        <w:ind w:firstLine="422"/>
        <w:rPr>
          <w:rFonts w:hint="eastAsia" w:ascii="宋体" w:hAnsi="宋体" w:eastAsia="宋体" w:cs="宋体"/>
          <w:b/>
          <w:bCs/>
          <w:color w:val="auto"/>
          <w:sz w:val="21"/>
          <w:szCs w:val="21"/>
          <w:highlight w:val="none"/>
        </w:rPr>
      </w:pPr>
    </w:p>
    <w:p>
      <w:pPr>
        <w:spacing w:line="360" w:lineRule="auto"/>
        <w:ind w:firstLine="422"/>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附则</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1.在合同期内，因厂区建设需要或者因甲方管理需要等因素调整监测服务范围时，乙方应遵照执行。由此造成的经济损失，甲方不需承担任何赔偿责任。</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内，乙方在进入甲方场地前应签订《安全生产责任书》。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3.本合同如有未尽事宜，由甲、乙、丙三方订立补充协议，补充协议与本合同具有同等的法律效力。</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4.本合同所列之附件，均与本合同具有同等的法律效力。</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kern w:val="2"/>
          <w:sz w:val="21"/>
          <w:szCs w:val="21"/>
          <w:highlight w:val="none"/>
        </w:rPr>
        <w:t>招标代理机构各</w:t>
      </w:r>
      <w:r>
        <w:rPr>
          <w:rFonts w:hint="eastAsia" w:ascii="宋体" w:hAnsi="宋体" w:eastAsia="宋体" w:cs="宋体"/>
          <w:color w:val="auto"/>
          <w:kern w:val="2"/>
          <w:sz w:val="21"/>
          <w:szCs w:val="21"/>
          <w:highlight w:val="none"/>
          <w:u w:val="single"/>
        </w:rPr>
        <w:t xml:space="preserve"> 壹 </w:t>
      </w:r>
      <w:r>
        <w:rPr>
          <w:rFonts w:hint="eastAsia" w:ascii="宋体" w:hAnsi="宋体" w:eastAsia="宋体" w:cs="宋体"/>
          <w:color w:val="auto"/>
          <w:kern w:val="2"/>
          <w:sz w:val="21"/>
          <w:szCs w:val="21"/>
          <w:highlight w:val="none"/>
        </w:rPr>
        <w:t>份</w:t>
      </w:r>
      <w:r>
        <w:rPr>
          <w:rFonts w:hint="eastAsia" w:ascii="宋体" w:hAnsi="宋体" w:eastAsia="宋体" w:cs="宋体"/>
          <w:color w:val="auto"/>
          <w:sz w:val="21"/>
          <w:szCs w:val="21"/>
          <w:highlight w:val="none"/>
        </w:rPr>
        <w:t>，均具有同等效力。本合同自三方法定代表人（或负责人）签字并盖章后生效。</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及相关招投标文件、中标通知书等作为本合同附件均为合同的有效组成部分，与本合同同具法律效力。合同条款与附件、招标文件、用户需求书、投标文件等其他文件不一致的，以有利于甲方的条款为准。</w:t>
      </w:r>
    </w:p>
    <w:p>
      <w:pPr>
        <w:ind w:firstLine="420"/>
        <w:rPr>
          <w:rFonts w:hint="eastAsia" w:ascii="宋体" w:hAnsi="宋体" w:eastAsia="宋体" w:cs="宋体"/>
          <w:color w:val="auto"/>
          <w:sz w:val="21"/>
          <w:szCs w:val="21"/>
          <w:highlight w:val="none"/>
        </w:rPr>
      </w:pPr>
    </w:p>
    <w:p>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（以下无正文，转签章页）</w:t>
      </w:r>
    </w:p>
    <w:p>
      <w:pPr>
        <w:ind w:firstLine="420"/>
        <w:rPr>
          <w:rFonts w:hint="eastAsia" w:ascii="宋体" w:hAnsi="宋体" w:eastAsia="宋体" w:cs="宋体"/>
          <w:color w:val="auto"/>
          <w:sz w:val="21"/>
          <w:szCs w:val="21"/>
          <w:highlight w:val="none"/>
        </w:rPr>
      </w:pPr>
    </w:p>
    <w:p>
      <w:pPr>
        <w:ind w:firstLine="420"/>
        <w:rPr>
          <w:rFonts w:hint="eastAsia" w:ascii="宋体" w:hAnsi="宋体" w:eastAsia="宋体" w:cs="宋体"/>
          <w:color w:val="auto"/>
          <w:sz w:val="21"/>
          <w:szCs w:val="21"/>
          <w:highlight w:val="none"/>
        </w:rPr>
      </w:pPr>
    </w:p>
    <w:tbl>
      <w:tblPr>
        <w:tblStyle w:val="36"/>
        <w:tblW w:w="5000" w:type="pct"/>
        <w:tblInd w:w="0" w:type="dxa"/>
        <w:tblLayout w:type="autofit"/>
        <w:tblCellMar>
          <w:top w:w="0" w:type="dxa"/>
          <w:left w:w="108" w:type="dxa"/>
          <w:bottom w:w="0" w:type="dxa"/>
          <w:right w:w="108" w:type="dxa"/>
        </w:tblCellMar>
      </w:tblPr>
      <w:tblGrid>
        <w:gridCol w:w="5185"/>
        <w:gridCol w:w="5185"/>
      </w:tblGrid>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tblPrEx>
          <w:tblCellMar>
            <w:top w:w="0" w:type="dxa"/>
            <w:left w:w="108" w:type="dxa"/>
            <w:bottom w:w="0" w:type="dxa"/>
            <w:right w:w="108" w:type="dxa"/>
          </w:tblCellMar>
        </w:tblPrEx>
        <w:tc>
          <w:tcPr>
            <w:tcW w:w="2500" w:type="pct"/>
          </w:tcPr>
          <w:p>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2500" w:type="pct"/>
          </w:tcPr>
          <w:p>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w:t>
            </w:r>
          </w:p>
          <w:p>
            <w:pPr>
              <w:keepNext w:val="0"/>
              <w:keepLines w:val="0"/>
              <w:suppressLineNumbers w:val="0"/>
              <w:autoSpaceDE/>
              <w:autoSpaceDN/>
              <w:adjustRightInd/>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2500" w:type="pct"/>
          </w:tcPr>
          <w:p>
            <w:pPr>
              <w:keepNext w:val="0"/>
              <w:keepLines w:val="0"/>
              <w:suppressLineNumbers w:val="0"/>
              <w:autoSpaceDE/>
              <w:autoSpaceDN/>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2500" w:type="pct"/>
          </w:tcPr>
          <w:p>
            <w:pPr>
              <w:keepNext w:val="0"/>
              <w:keepLines w:val="0"/>
              <w:suppressLineNumbers w:val="0"/>
              <w:autoSpaceDE/>
              <w:autoSpaceDN/>
              <w:adjustRightInd/>
              <w:spacing w:before="0" w:beforeAutospacing="0" w:after="0" w:afterAutospacing="0" w:line="480" w:lineRule="auto"/>
              <w:ind w:left="0" w:right="0"/>
              <w:jc w:val="both"/>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签订日期：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签订地点：</w:t>
      </w:r>
      <w:r>
        <w:rPr>
          <w:rFonts w:hint="eastAsia" w:ascii="宋体" w:hAnsi="宋体" w:eastAsia="宋体" w:cs="宋体"/>
          <w:color w:val="auto"/>
          <w:kern w:val="2"/>
          <w:sz w:val="21"/>
          <w:szCs w:val="21"/>
          <w:highlight w:val="none"/>
          <w:u w:val="single"/>
        </w:rPr>
        <w:t xml:space="preserve"> 东莞市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附件一：《监测工程量清单计价表》</w:t>
      </w:r>
    </w:p>
    <w:p>
      <w:pPr>
        <w:autoSpaceDE/>
        <w:autoSpaceDN/>
        <w:adjustRightInd/>
        <w:spacing w:line="480" w:lineRule="auto"/>
        <w:jc w:val="both"/>
        <w:rPr>
          <w:rFonts w:hint="eastAsia" w:ascii="宋体" w:hAnsi="宋体" w:eastAsia="宋体" w:cs="宋体"/>
          <w:color w:val="auto"/>
          <w:kern w:val="2"/>
          <w:sz w:val="21"/>
          <w:szCs w:val="21"/>
          <w:highlight w:val="none"/>
        </w:rPr>
      </w:pPr>
      <w:bookmarkStart w:id="528" w:name="_Toc351203652"/>
      <w:r>
        <w:rPr>
          <w:rFonts w:hint="eastAsia" w:ascii="宋体" w:hAnsi="宋体" w:eastAsia="宋体" w:cs="宋体"/>
          <w:color w:val="auto"/>
          <w:kern w:val="2"/>
          <w:sz w:val="21"/>
          <w:szCs w:val="21"/>
          <w:highlight w:val="none"/>
        </w:rPr>
        <w:t>附件二：</w:t>
      </w:r>
      <w:bookmarkEnd w:id="528"/>
      <w:r>
        <w:rPr>
          <w:rFonts w:hint="eastAsia" w:ascii="宋体" w:hAnsi="宋体" w:eastAsia="宋体" w:cs="宋体"/>
          <w:color w:val="auto"/>
          <w:kern w:val="2"/>
          <w:sz w:val="21"/>
          <w:szCs w:val="21"/>
          <w:highlight w:val="none"/>
        </w:rPr>
        <w:t>廉洁协议书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附件三：安全生产责任书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附件四：诚信履约承诺书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附件五：监测单位履约考核评分表</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eastAsia="zh-CN"/>
        </w:rPr>
        <w:t>六</w:t>
      </w:r>
      <w:r>
        <w:rPr>
          <w:rFonts w:hint="eastAsia" w:ascii="宋体" w:hAnsi="宋体" w:eastAsia="宋体" w:cs="宋体"/>
          <w:color w:val="auto"/>
          <w:kern w:val="2"/>
          <w:sz w:val="21"/>
          <w:szCs w:val="21"/>
          <w:highlight w:val="none"/>
        </w:rPr>
        <w:t>：中标通知书</w:t>
      </w:r>
    </w:p>
    <w:p>
      <w:pPr>
        <w:autoSpaceDE/>
        <w:autoSpaceDN/>
        <w:adjustRightInd/>
        <w:spacing w:line="48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eastAsia="zh-CN"/>
        </w:rPr>
        <w:t>七</w:t>
      </w:r>
      <w:r>
        <w:rPr>
          <w:rFonts w:hint="eastAsia" w:ascii="宋体" w:hAnsi="宋体" w:eastAsia="宋体" w:cs="宋体"/>
          <w:color w:val="auto"/>
          <w:kern w:val="2"/>
          <w:sz w:val="21"/>
          <w:szCs w:val="21"/>
          <w:highlight w:val="none"/>
        </w:rPr>
        <w:t>：用户需求书</w:t>
      </w:r>
    </w:p>
    <w:p>
      <w:pPr>
        <w:pStyle w:val="2"/>
        <w:rPr>
          <w:rFonts w:hint="eastAsia" w:ascii="宋体" w:hAnsi="宋体" w:eastAsia="宋体" w:cs="宋体"/>
          <w:color w:val="auto"/>
          <w:szCs w:val="21"/>
          <w:highlight w:val="none"/>
        </w:rPr>
      </w:pPr>
    </w:p>
    <w:p>
      <w:pPr>
        <w:tabs>
          <w:tab w:val="left" w:pos="0"/>
          <w:tab w:val="left" w:pos="405"/>
          <w:tab w:val="left" w:pos="567"/>
          <w:tab w:val="left" w:pos="601"/>
          <w:tab w:val="left" w:pos="1980"/>
        </w:tabs>
        <w:spacing w:line="360" w:lineRule="auto"/>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page"/>
      </w:r>
    </w:p>
    <w:p>
      <w:pPr>
        <w:tabs>
          <w:tab w:val="left" w:pos="0"/>
          <w:tab w:val="left" w:pos="405"/>
          <w:tab w:val="left" w:pos="567"/>
          <w:tab w:val="left" w:pos="601"/>
          <w:tab w:val="left" w:pos="1980"/>
        </w:tabs>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附件一：</w:t>
      </w:r>
      <w:r>
        <w:rPr>
          <w:rFonts w:hint="eastAsia" w:ascii="宋体" w:hAnsi="宋体" w:eastAsia="宋体" w:cs="宋体"/>
          <w:b/>
          <w:color w:val="auto"/>
          <w:kern w:val="2"/>
          <w:sz w:val="21"/>
          <w:highlight w:val="none"/>
        </w:rPr>
        <w:t>《监测工程量清单计价表》</w:t>
      </w:r>
    </w:p>
    <w:p>
      <w:pPr>
        <w:tabs>
          <w:tab w:val="left" w:pos="0"/>
          <w:tab w:val="left" w:pos="405"/>
          <w:tab w:val="left" w:pos="567"/>
          <w:tab w:val="left" w:pos="601"/>
          <w:tab w:val="left" w:pos="1980"/>
        </w:tabs>
        <w:spacing w:line="360" w:lineRule="auto"/>
        <w:rPr>
          <w:rFonts w:hint="eastAsia" w:ascii="宋体" w:hAnsi="宋体" w:eastAsia="宋体" w:cs="宋体"/>
          <w:color w:val="auto"/>
          <w:sz w:val="20"/>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tabs>
          <w:tab w:val="left" w:pos="0"/>
          <w:tab w:val="left" w:pos="405"/>
          <w:tab w:val="left" w:pos="567"/>
          <w:tab w:val="left" w:pos="601"/>
          <w:tab w:val="left" w:pos="1980"/>
        </w:tabs>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附件二：廉洁协议书</w:t>
      </w: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廉洁协议书</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东莞市茶山镇污水处理厂改扩建项目第三方监测服务采购项目</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HSDG2024006</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委托人（甲方）：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监测人（乙方）：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项目业主（丙方）：</w:t>
      </w:r>
    </w:p>
    <w:p>
      <w:pPr>
        <w:spacing w:line="360" w:lineRule="auto"/>
        <w:ind w:firstLine="420" w:firstLineChars="200"/>
        <w:contextualSpacing/>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甲乙丙三方的权利和义务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（三）三方的业务活动坚持公开、公正、诚信、透明的原则（除法律认定的商业秘密和合同文件另有规定之外）不得损害国家和集体利益，违反工程建设管理及其他法律法规规章制度。</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甲方与丙方的义务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（一）甲方、丙方及其工作人员不得索要或接受乙方的礼金、有价证券和贵重物品，不得在乙方报销任何应由甲方、丙方或个人支付的费用。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（二）甲方、丙方工作人员不得参加乙方安排的高消费宴请和娱乐活动；不得接受乙方提供的通讯工具、交通工具和高档办公用品。</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（三）甲方、丙方及其工作人员不得要求或者接受乙方为其住房装修、婚丧嫁娶活动、家属或亲友的工作安排以及出国出境、旅游等提供方便。</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（四）甲方、丙方工作人员不得向乙方介绍其家属或者亲友（包括家属或亲友开办的公司企业）从事于本项目涉及的经济业务活动。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（五）甲方、丙方及其工作人员不得以任何理由向乙方推荐分包单位，不得要求乙方购买合同规定外的材料和设备。</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（六）甲方、丙方及其工作人员不得进行违反廉洁规定的其他活动。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（一）乙方不得以任何理由向甲方、丙方及其工作人员馈赠礼金、有价证券、贵重礼品，或报销应由甲方、丙方单位或个人支付的任何费用。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（二）乙方及其工作人员不得以考察、参观、洽谈业务、签订合同等的借口邀请甲方、丙方及其工作人员参加高消费的宴请、娱乐和健身等活动。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（三）乙方不得为甲方、丙方单位和个人购置或提供通讯工具、交通工具和高档办公用品等。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（四）乙方及其工作人员不得为甲方、丙方工作人员购买、装修、维修私人住房、汽车等。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（五）乙方及其工作人员不得为甲方、丙方工作人员的婚丧嫁娶、家属或亲友的工作安排，及出国出境提供方便以及报销任何私人消费的费用。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（六）乙方及其工作人员不得进行影响甲方、丙方及其工作人员公正执行合同和履行职务的其他活动。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（一）甲方、丙方违反本协议第一、第二条给乙方单位造成经济损失的，应予以赔偿。</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（二）乙方违反本协议第一、第三条给甲方、丙方单位造成经济损失的，应予以赔偿。</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甲乙丙三方的廉洁从业行为由三方或三方上级单位的纪检、监察部门负责监督，对本协议履行情况进行检查。</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2"/>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pPr>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本协议有效期为甲乙丙三方签字并加盖公章之日起至该工程/采购项目竣工验收完毕，质保期/服务期满后止。本协议一式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snapToGrid w:val="0"/>
        <w:spacing w:line="360" w:lineRule="auto"/>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pPr>
        <w:snapToGrid w:val="0"/>
        <w:spacing w:line="360" w:lineRule="auto"/>
        <w:ind w:firstLine="420" w:firstLineChars="200"/>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丙方（盖章）：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pPr>
        <w:spacing w:line="360" w:lineRule="auto"/>
        <w:rPr>
          <w:rFonts w:hint="eastAsia" w:ascii="宋体" w:hAnsi="宋体" w:eastAsia="宋体" w:cs="宋体"/>
          <w:color w:val="auto"/>
          <w:highlight w:val="none"/>
        </w:rPr>
      </w:pPr>
    </w:p>
    <w:p>
      <w:pPr>
        <w:pStyle w:val="2"/>
        <w:jc w:val="left"/>
        <w:rPr>
          <w:rFonts w:hint="eastAsia" w:ascii="宋体" w:hAnsi="宋体" w:eastAsia="宋体" w:cs="宋体"/>
          <w:bCs w:val="0"/>
          <w:color w:val="auto"/>
          <w:sz w:val="24"/>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附件三：安全生产责任书</w:t>
      </w: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安全生产责任书</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地贯彻“安全第一、预防为主、以人为本、强化管理、落实责任”的安全生产方针，全面落实企业安全生产主体责任，推进安全生产标准化管理，切实做好东莞市水务集团建设管理有限公司（以下简称：建设公司）的安全生产工作，杜绝各类事故的发生，保障建设公司财产和员工的人身安全，实现安全生产目标，建设公司、项目业主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签订安全生产责任书。</w:t>
      </w:r>
    </w:p>
    <w:p>
      <w:pPr>
        <w:numPr>
          <w:ilvl w:val="0"/>
          <w:numId w:val="3"/>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安全生产目标</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杜绝重伤及以上生产安全事故；</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杜绝火灾、爆炸责任事故；</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杜绝多人严重急性中毒事故；</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工伤事故中轻伤率不超过3‰；</w:t>
      </w:r>
    </w:p>
    <w:p>
      <w:pPr>
        <w:numPr>
          <w:ilvl w:val="0"/>
          <w:numId w:val="4"/>
        </w:numPr>
        <w:adjustRightInd/>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生产经营范围内无刑事案件发生。</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shd w:val="clear" w:color="090000" w:fill="FFFFFF"/>
        </w:rPr>
        <w:t xml:space="preserve">              </w:t>
      </w:r>
      <w:r>
        <w:rPr>
          <w:rFonts w:hint="eastAsia" w:ascii="宋体" w:hAnsi="宋体" w:eastAsia="宋体" w:cs="宋体"/>
          <w:color w:val="auto"/>
          <w:sz w:val="21"/>
          <w:szCs w:val="21"/>
          <w:highlight w:val="none"/>
          <w:shd w:val="clear" w:color="090000" w:fill="FFFFFF"/>
        </w:rPr>
        <w:t>为</w:t>
      </w:r>
      <w:r>
        <w:rPr>
          <w:rFonts w:hint="eastAsia" w:ascii="宋体" w:hAnsi="宋体" w:eastAsia="宋体" w:cs="宋体"/>
          <w:color w:val="auto"/>
          <w:sz w:val="21"/>
          <w:szCs w:val="21"/>
          <w:highlight w:val="none"/>
          <w:lang w:eastAsia="zh-CN"/>
        </w:rPr>
        <w:t>东莞市茶山镇污水处理厂改扩建项目</w:t>
      </w:r>
      <w:r>
        <w:rPr>
          <w:rFonts w:hint="eastAsia" w:ascii="宋体" w:hAnsi="宋体" w:eastAsia="宋体" w:cs="宋体"/>
          <w:color w:val="auto"/>
          <w:sz w:val="21"/>
          <w:szCs w:val="21"/>
          <w:highlight w:val="none"/>
        </w:rPr>
        <w:t>监测服务</w:t>
      </w:r>
      <w:r>
        <w:rPr>
          <w:rFonts w:hint="eastAsia" w:ascii="宋体" w:hAnsi="宋体" w:eastAsia="宋体" w:cs="宋体"/>
          <w:color w:val="auto"/>
          <w:sz w:val="21"/>
          <w:szCs w:val="21"/>
          <w:highlight w:val="none"/>
          <w:shd w:val="clear" w:color="090000" w:fill="FFFFFF"/>
        </w:rPr>
        <w:t>安全生产工作的第一责任人，对</w:t>
      </w:r>
      <w:r>
        <w:rPr>
          <w:rFonts w:hint="eastAsia" w:ascii="宋体" w:hAnsi="宋体" w:eastAsia="宋体" w:cs="宋体"/>
          <w:color w:val="auto"/>
          <w:sz w:val="21"/>
          <w:szCs w:val="21"/>
          <w:highlight w:val="none"/>
          <w:lang w:eastAsia="zh-CN"/>
        </w:rPr>
        <w:t>东莞市茶山镇污水处理厂改扩建项目</w:t>
      </w:r>
      <w:r>
        <w:rPr>
          <w:rFonts w:hint="eastAsia" w:ascii="宋体" w:hAnsi="宋体" w:eastAsia="宋体" w:cs="宋体"/>
          <w:color w:val="auto"/>
          <w:sz w:val="21"/>
          <w:szCs w:val="21"/>
          <w:highlight w:val="none"/>
        </w:rPr>
        <w:t>监测服务</w:t>
      </w:r>
      <w:r>
        <w:rPr>
          <w:rFonts w:hint="eastAsia" w:ascii="宋体" w:hAnsi="宋体" w:eastAsia="宋体" w:cs="宋体"/>
          <w:color w:val="auto"/>
          <w:sz w:val="21"/>
          <w:szCs w:val="21"/>
          <w:highlight w:val="none"/>
          <w:shd w:val="clear" w:color="090000" w:fill="FFFFFF"/>
        </w:rPr>
        <w:t>安全生产工作负全面领导责任；其他人员对业务工作范围内的安全生产工作负直接责任</w:t>
      </w:r>
      <w:r>
        <w:rPr>
          <w:rFonts w:hint="eastAsia" w:ascii="宋体" w:hAnsi="宋体" w:eastAsia="宋体" w:cs="宋体"/>
          <w:color w:val="auto"/>
          <w:sz w:val="21"/>
          <w:szCs w:val="21"/>
          <w:highlight w:val="none"/>
        </w:rPr>
        <w:t>。</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遵守《安全生产法》、《消防法》、《劳动法》等法律法规，贯彻和执行</w:t>
      </w:r>
      <w:r>
        <w:rPr>
          <w:rFonts w:hint="eastAsia" w:ascii="宋体" w:hAnsi="宋体" w:eastAsia="宋体" w:cs="宋体"/>
          <w:color w:val="auto"/>
          <w:sz w:val="21"/>
          <w:szCs w:val="21"/>
          <w:highlight w:val="none"/>
          <w:shd w:val="clear" w:color="090000" w:fill="FFFFFF"/>
        </w:rPr>
        <w:t>建设公司</w:t>
      </w:r>
      <w:r>
        <w:rPr>
          <w:rFonts w:hint="eastAsia" w:ascii="宋体" w:hAnsi="宋体" w:eastAsia="宋体" w:cs="宋体"/>
          <w:color w:val="auto"/>
          <w:sz w:val="21"/>
          <w:szCs w:val="21"/>
          <w:highlight w:val="none"/>
        </w:rPr>
        <w:t>有关安全生产的制度、规程和标准，全面推动安全管理工作。</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积极参与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组织的安全培训、“安全生产活动月”、“消防安全月”等活动。</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召开安全生产工作会议，落实会议的相关要求。</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组织开展生产安全事故应急预案演练，提高应急技能及应急管理水平。</w:t>
      </w:r>
    </w:p>
    <w:p>
      <w:pPr>
        <w:spacing w:line="360" w:lineRule="auto"/>
        <w:ind w:firstLine="424" w:firstLineChars="20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发生安全事故时及时组织救援并上报，协助开展事故调查分析工作。</w:t>
      </w:r>
    </w:p>
    <w:p>
      <w:pPr>
        <w:numPr>
          <w:ilvl w:val="0"/>
          <w:numId w:val="5"/>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考核与奖惩</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负责对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的安全生产管理工作进行检查和考核。</w:t>
      </w:r>
    </w:p>
    <w:p>
      <w:pPr>
        <w:numPr>
          <w:ilvl w:val="0"/>
          <w:numId w:val="5"/>
        </w:numPr>
        <w:adjustRightIn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pPr>
        <w:spacing w:line="360" w:lineRule="auto"/>
        <w:ind w:right="-26"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本安全生产责任书自考核方与责任方盖章签字之日起生效，有效期至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spacing w:line="360" w:lineRule="auto"/>
        <w:ind w:firstLine="420"/>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目标考核方1：东莞市水务集团建设管理有限公司   目标考核方2：</w:t>
      </w:r>
      <w:r>
        <w:rPr>
          <w:rFonts w:hint="eastAsia" w:ascii="宋体" w:hAnsi="宋体" w:eastAsia="宋体" w:cs="宋体"/>
          <w:b/>
          <w:color w:val="auto"/>
          <w:sz w:val="21"/>
          <w:szCs w:val="21"/>
          <w:highlight w:val="none"/>
          <w:lang w:eastAsia="zh-CN"/>
        </w:rPr>
        <w:t>东莞市石鼓净水有限公司</w:t>
      </w:r>
    </w:p>
    <w:p>
      <w:pPr>
        <w:spacing w:line="360" w:lineRule="auto"/>
        <w:rPr>
          <w:rFonts w:hint="eastAsia" w:ascii="宋体" w:hAnsi="宋体" w:eastAsia="宋体" w:cs="宋体"/>
          <w:b/>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pPr>
        <w:spacing w:line="360" w:lineRule="auto"/>
        <w:rPr>
          <w:rFonts w:hint="eastAsia" w:ascii="宋体" w:hAnsi="宋体" w:eastAsia="宋体" w:cs="宋体"/>
          <w:color w:val="auto"/>
          <w:sz w:val="21"/>
          <w:szCs w:val="21"/>
          <w:highlight w:val="none"/>
        </w:rPr>
      </w:pPr>
    </w:p>
    <w:p>
      <w:pPr>
        <w:spacing w:line="360" w:lineRule="auto"/>
        <w:ind w:right="-26"/>
        <w:rPr>
          <w:rFonts w:hint="eastAsia" w:ascii="宋体" w:hAnsi="宋体" w:eastAsia="宋体" w:cs="宋体"/>
          <w:b/>
          <w:bCs/>
          <w:color w:val="auto"/>
          <w:sz w:val="21"/>
          <w:szCs w:val="21"/>
          <w:highlight w:val="none"/>
          <w:lang w:val="zh-CN"/>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目标责任方：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pPr>
        <w:widowControl/>
        <w:autoSpaceDE/>
        <w:autoSpaceDN/>
        <w:adjustRightInd/>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附件四：诚信履约承诺书</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诚信履约承诺书</w:t>
      </w:r>
    </w:p>
    <w:p>
      <w:pPr>
        <w:rPr>
          <w:rFonts w:hint="eastAsia" w:ascii="宋体" w:hAnsi="宋体" w:eastAsia="宋体" w:cs="宋体"/>
          <w:color w:val="auto"/>
          <w:highlight w:val="none"/>
        </w:rPr>
      </w:pP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东莞市水务集团建设管理有限公司、</w:t>
      </w:r>
      <w:r>
        <w:rPr>
          <w:rFonts w:hint="eastAsia" w:ascii="宋体" w:hAnsi="宋体" w:eastAsia="宋体" w:cs="宋体"/>
          <w:color w:val="auto"/>
          <w:sz w:val="21"/>
          <w:szCs w:val="21"/>
          <w:highlight w:val="none"/>
          <w:lang w:eastAsia="zh-CN"/>
        </w:rPr>
        <w:t>东莞市石鼓净水有限公司</w:t>
      </w:r>
      <w:r>
        <w:rPr>
          <w:rFonts w:hint="eastAsia" w:ascii="宋体" w:hAnsi="宋体" w:eastAsia="宋体" w:cs="宋体"/>
          <w:color w:val="auto"/>
          <w:sz w:val="21"/>
          <w:szCs w:val="21"/>
          <w:highlight w:val="none"/>
        </w:rPr>
        <w:t>：</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我司根据《XXXXXXX合同》相关条款全力配合贵公司工作，并自愿做出如下承诺：</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（二）如我司有违反本项目管理及合同约定等行为，我司无条件同意并接受贵公司根据合同及相关约定追究我司的违约责任。</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bCs/>
          <w:color w:val="auto"/>
          <w:sz w:val="21"/>
          <w:szCs w:val="21"/>
          <w:highlight w:val="none"/>
        </w:rPr>
        <w:t>如我司在投标过程中或合同履行过程中存在以下等情形的：</w:t>
      </w:r>
      <w:r>
        <w:rPr>
          <w:rFonts w:hint="eastAsia" w:ascii="宋体" w:hAnsi="宋体" w:eastAsia="宋体" w:cs="宋体"/>
          <w:color w:val="auto"/>
          <w:sz w:val="21"/>
          <w:szCs w:val="21"/>
          <w:highlight w:val="none"/>
        </w:rPr>
        <w:t>（1）通过虚假响应招标文件要求等弄虚作假手段骗取中标的或未按照招标文件约定按时提供原件核查的；（2）利用虚假材料、以欺骗手段取得中标资格的；（3）将合同义务转包或违法分包的；（4）提供的服务不符合有关法律、行政法规的规定和质量标准、安全标准、行业规范以及合同的约定的。</w:t>
      </w:r>
      <w:r>
        <w:rPr>
          <w:rFonts w:hint="eastAsia" w:ascii="宋体" w:hAnsi="宋体" w:eastAsia="宋体" w:cs="宋体"/>
          <w:b/>
          <w:bCs/>
          <w:color w:val="auto"/>
          <w:sz w:val="21"/>
          <w:szCs w:val="21"/>
          <w:highlight w:val="none"/>
        </w:rPr>
        <w:t>我司同意并接受贵公司采取包括但不限于以下措施：</w:t>
      </w:r>
      <w:r>
        <w:rPr>
          <w:rFonts w:hint="eastAsia" w:ascii="宋体" w:hAnsi="宋体" w:eastAsia="宋体" w:cs="宋体"/>
          <w:color w:val="auto"/>
          <w:sz w:val="21"/>
          <w:szCs w:val="21"/>
          <w:highlight w:val="none"/>
        </w:rPr>
        <w:t>（1）将我司列入东莞市水务集团有限公司单位“黑名单”，在东莞市水务集团有限公司官网上进行公告，并在委托人以后的招标采购项目评标时充分考虑我司的不良行为和履约问题；（2）向东莞阳光网、东莞日报等媒体公开我公司失信行为；（3）上报东莞市住建局、东莞市水务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等部门进行通报和投诉等。</w:t>
      </w:r>
    </w:p>
    <w:p>
      <w:pPr>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我司并愿按相关规定接受处理，由此产生的一切法律责任和不利后果全部由我司承担。</w:t>
      </w:r>
    </w:p>
    <w:p>
      <w:pPr>
        <w:pStyle w:val="2"/>
        <w:rPr>
          <w:rFonts w:hint="eastAsia" w:ascii="宋体" w:hAnsi="宋体" w:eastAsia="宋体" w:cs="宋体"/>
          <w:color w:val="auto"/>
          <w:sz w:val="21"/>
          <w:szCs w:val="21"/>
          <w:highlight w:val="none"/>
          <w:lang w:val="en-US"/>
        </w:rPr>
      </w:pPr>
    </w:p>
    <w:p>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承诺人（盖章）：</w:t>
      </w:r>
    </w:p>
    <w:p>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w:t>
      </w:r>
      <w:r>
        <w:rPr>
          <w:rFonts w:hint="eastAsia" w:ascii="宋体" w:hAnsi="宋体" w:eastAsia="宋体" w:cs="宋体"/>
          <w:color w:val="auto"/>
          <w:sz w:val="21"/>
          <w:szCs w:val="21"/>
          <w:highlight w:val="none"/>
          <w:lang w:val="en-US" w:eastAsia="zh-CN"/>
        </w:rPr>
        <w:t>定</w:t>
      </w:r>
      <w:r>
        <w:rPr>
          <w:rFonts w:hint="eastAsia" w:ascii="宋体" w:hAnsi="宋体" w:eastAsia="宋体" w:cs="宋体"/>
          <w:color w:val="auto"/>
          <w:sz w:val="21"/>
          <w:szCs w:val="21"/>
          <w:highlight w:val="none"/>
        </w:rPr>
        <w:t>代表人（或授权代理人）签名（或盖私章）：</w:t>
      </w:r>
    </w:p>
    <w:p>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widowControl/>
        <w:autoSpaceDE/>
        <w:autoSpaceDN/>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附件五 监测单位履约考核评分表</w:t>
      </w:r>
    </w:p>
    <w:p>
      <w:pPr>
        <w:spacing w:line="360" w:lineRule="auto"/>
        <w:rPr>
          <w:rFonts w:hint="eastAsia" w:ascii="宋体" w:hAnsi="宋体" w:eastAsia="宋体" w:cs="宋体"/>
          <w:color w:val="auto"/>
          <w:highlight w:val="none"/>
        </w:rPr>
      </w:pPr>
    </w:p>
    <w:p>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监测单位履约考核评分表</w:t>
      </w:r>
    </w:p>
    <w:tbl>
      <w:tblPr>
        <w:tblStyle w:val="36"/>
        <w:tblW w:w="5379" w:type="pct"/>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962"/>
        <w:gridCol w:w="4641"/>
        <w:gridCol w:w="569"/>
        <w:gridCol w:w="982"/>
        <w:gridCol w:w="714"/>
        <w:gridCol w:w="117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8" w:type="pct"/>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监测人名称</w:t>
            </w:r>
          </w:p>
        </w:tc>
        <w:tc>
          <w:tcPr>
            <w:tcW w:w="2335" w:type="pct"/>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440"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评价时间</w:t>
            </w:r>
          </w:p>
        </w:tc>
        <w:tc>
          <w:tcPr>
            <w:tcW w:w="1355" w:type="pct"/>
            <w:gridSpan w:val="3"/>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37"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430"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各项分值</w:t>
            </w:r>
          </w:p>
        </w:tc>
        <w:tc>
          <w:tcPr>
            <w:tcW w:w="3095" w:type="pct"/>
            <w:gridSpan w:val="4"/>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w:t>
            </w:r>
          </w:p>
        </w:tc>
        <w:tc>
          <w:tcPr>
            <w:tcW w:w="525"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评分 </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430"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095" w:type="pct"/>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1、不积极配合协助处理服务履行中发生的争议，不主动提供真实情况，每次扣3分；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2、未能在约定时间内进驻现场的，每次扣5分；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3、未派人员参加业主要求的相关会议，每次扣5分。</w:t>
            </w:r>
          </w:p>
        </w:tc>
        <w:tc>
          <w:tcPr>
            <w:tcW w:w="525"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37"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设备人员配置</w:t>
            </w:r>
          </w:p>
        </w:tc>
        <w:tc>
          <w:tcPr>
            <w:tcW w:w="430"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095" w:type="pct"/>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1、未按我公司要求配齐相应监测人员的，每人每次扣5分；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2、未按我公司要求配齐相应设备的，每次扣5分：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3、监测人员能力无法满足实际需要，且经我公司要求更换而未更换的，每人每次扣5分；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4、监测人员未持有效证件上岗及佩戴工作证，每人每次扣5分；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5、特种作业人员未持有效证件上岗及佩戴工作证，每人每次扣5分；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6、开展监测的设备未在检定有效期内，每台设备每次扣5分。</w:t>
            </w:r>
          </w:p>
        </w:tc>
        <w:tc>
          <w:tcPr>
            <w:tcW w:w="525"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37"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w:t>
            </w:r>
          </w:p>
        </w:tc>
        <w:tc>
          <w:tcPr>
            <w:tcW w:w="430"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3095" w:type="pct"/>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1、实际监测协作服务未达用户需求书、合同文件要求，且经我公司要求后未配合整改至符合要求的，每处每次扣5分；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2、监测记录、数据与实际不相符的，每次扣5分；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3、监测资料管理混乱、台账不及时更新、资料不及时签字或盖章不全的，每次扣5分；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4、监测报告的准确率，如出现报告的工程部位、工程名称、数据等错误的，每份报告扣5分；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5、监测结果不合格未及时反馈或通报的，每次扣10分。</w:t>
            </w:r>
          </w:p>
        </w:tc>
        <w:tc>
          <w:tcPr>
            <w:tcW w:w="525"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37"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430"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095" w:type="pct"/>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1、没有在规定时间内完成监测协作服务工作的，每处每次扣5分；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2、没有按照合同规定时间内出具监测报告的，每份报告扣5分。</w:t>
            </w:r>
          </w:p>
        </w:tc>
        <w:tc>
          <w:tcPr>
            <w:tcW w:w="525"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7"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安全文明管理</w:t>
            </w:r>
          </w:p>
        </w:tc>
        <w:tc>
          <w:tcPr>
            <w:tcW w:w="430"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3095" w:type="pct"/>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1、未按要求进行安全防护或安全防护不到位，我公司或上级部门检查中发现的，每处扣5分；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2、涉及有限空间作业未按照相关流程制度审批的，每次扣5分；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3、发生一般安全事故的，每次扣10分；</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4、发生较大安全事故的，每次扣20分。</w:t>
            </w:r>
          </w:p>
        </w:tc>
        <w:tc>
          <w:tcPr>
            <w:tcW w:w="525"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安全管理部</w:t>
            </w:r>
          </w:p>
        </w:tc>
        <w:tc>
          <w:tcPr>
            <w:tcW w:w="511" w:type="pct"/>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37"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430"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095" w:type="pct"/>
            <w:gridSpan w:val="4"/>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对监测协作服务单位日常工作的服务态度，以及甲方、上级主管部门、建设单位检查中配合情况、服务投诉情况进行评价。每收到投诉一次扣5分。</w:t>
            </w:r>
          </w:p>
        </w:tc>
        <w:tc>
          <w:tcPr>
            <w:tcW w:w="525"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511" w:type="pct"/>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963" w:type="pct"/>
            <w:gridSpan w:val="6"/>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036" w:type="pct"/>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8"/>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考核评分须知：</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bookmarkStart w:id="529" w:name="_Hlk139741337"/>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每季度对</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评价一次，出具考核评价结果。</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将严格按照考核评分标准对</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进行季度检查和考核。</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3、考评[70,80)分的，处相应付款周期内经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确认的监测费的10%作为违约金，考评[60,70)分的，处相应付款周期经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确认的监测费的20%作为违约金，考评60分以下的，处相应付款周期经</w:t>
            </w:r>
            <w:r>
              <w:rPr>
                <w:rFonts w:hint="eastAsia" w:ascii="宋体" w:hAnsi="宋体" w:eastAsia="宋体" w:cs="宋体"/>
                <w:b/>
                <w:bCs/>
                <w:color w:val="auto"/>
                <w:sz w:val="21"/>
                <w:szCs w:val="21"/>
                <w:highlight w:val="none"/>
              </w:rPr>
              <w:t>委托人</w:t>
            </w:r>
            <w:r>
              <w:rPr>
                <w:rFonts w:hint="eastAsia" w:ascii="宋体" w:hAnsi="宋体" w:eastAsia="宋体" w:cs="宋体"/>
                <w:color w:val="auto"/>
                <w:sz w:val="21"/>
                <w:szCs w:val="21"/>
                <w:highlight w:val="none"/>
              </w:rPr>
              <w:t>确认的监测的30%作为违约金。上述“[”代表闭区间，“)”代表开区间，如[70,80)代表该分数段范围为大于等于70且小于80。达到相应付款周期时,如</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未申请支付本期费用,</w:t>
            </w:r>
            <w:r>
              <w:rPr>
                <w:rFonts w:hint="eastAsia" w:ascii="宋体" w:hAnsi="宋体" w:eastAsia="宋体" w:cs="宋体"/>
                <w:b/>
                <w:bCs/>
                <w:color w:val="auto"/>
                <w:sz w:val="21"/>
                <w:szCs w:val="21"/>
                <w:highlight w:val="none"/>
              </w:rPr>
              <w:t xml:space="preserve"> 委托人</w:t>
            </w:r>
            <w:r>
              <w:rPr>
                <w:rFonts w:hint="eastAsia" w:ascii="宋体" w:hAnsi="宋体" w:eastAsia="宋体" w:cs="宋体"/>
                <w:color w:val="auto"/>
                <w:sz w:val="21"/>
                <w:szCs w:val="21"/>
                <w:highlight w:val="none"/>
              </w:rPr>
              <w:t>根据支付条件暂定本周期监测费并计算本周期内应缴纳的暂定违约金，</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应予以缴纳。下一周期仍未申请时按上述做法执行，待到</w:t>
            </w:r>
            <w:r>
              <w:rPr>
                <w:rFonts w:hint="eastAsia" w:ascii="宋体" w:hAnsi="宋体" w:eastAsia="宋体" w:cs="宋体"/>
                <w:b/>
                <w:bCs/>
                <w:color w:val="auto"/>
                <w:sz w:val="21"/>
                <w:szCs w:val="21"/>
                <w:highlight w:val="none"/>
              </w:rPr>
              <w:t>监测人</w:t>
            </w:r>
            <w:r>
              <w:rPr>
                <w:rFonts w:hint="eastAsia" w:ascii="宋体" w:hAnsi="宋体" w:eastAsia="宋体" w:cs="宋体"/>
                <w:color w:val="auto"/>
                <w:sz w:val="21"/>
                <w:szCs w:val="21"/>
                <w:highlight w:val="none"/>
              </w:rPr>
              <w:t>申请支付费用时，根据合同付款流程确认监测费，同步对以往暂定违约金在本次一并确认并予以结算。</w:t>
            </w:r>
            <w:bookmarkEnd w:id="5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68" w:type="pct"/>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评价人员签名</w:t>
            </w:r>
          </w:p>
        </w:tc>
        <w:tc>
          <w:tcPr>
            <w:tcW w:w="2080"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c>
          <w:tcPr>
            <w:tcW w:w="695" w:type="pct"/>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评价日期</w:t>
            </w:r>
          </w:p>
        </w:tc>
        <w:tc>
          <w:tcPr>
            <w:tcW w:w="1355" w:type="pct"/>
            <w:gridSpan w:val="3"/>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530" w:name="_Toc447045090"/>
      <w:bookmarkStart w:id="531" w:name="_Toc30025"/>
      <w:bookmarkStart w:id="532" w:name="_Toc7467"/>
      <w:bookmarkStart w:id="533" w:name="_Toc447044479"/>
      <w:bookmarkStart w:id="534" w:name="_Toc25564"/>
      <w:bookmarkStart w:id="535" w:name="_Toc447044603"/>
      <w:bookmarkStart w:id="536" w:name="_Toc13867"/>
      <w:bookmarkStart w:id="537" w:name="_Toc4113"/>
      <w:bookmarkStart w:id="538" w:name="_Toc512353083"/>
      <w:bookmarkStart w:id="539" w:name="_Toc24427_WPSOffice_Level1"/>
      <w:bookmarkStart w:id="540" w:name="_Toc23576"/>
      <w:bookmarkStart w:id="541" w:name="_Toc142508360"/>
      <w:r>
        <w:rPr>
          <w:rFonts w:hint="eastAsia" w:ascii="宋体" w:hAnsi="宋体" w:eastAsia="宋体" w:cs="宋体"/>
          <w:b/>
          <w:bCs/>
          <w:color w:val="auto"/>
          <w:sz w:val="32"/>
          <w:szCs w:val="32"/>
          <w:highlight w:val="none"/>
          <w:lang w:val="zh-CN"/>
        </w:rPr>
        <w:t>第五篇 相关保函格式</w:t>
      </w:r>
      <w:bookmarkEnd w:id="530"/>
      <w:bookmarkEnd w:id="531"/>
      <w:bookmarkEnd w:id="532"/>
      <w:bookmarkEnd w:id="533"/>
      <w:bookmarkEnd w:id="534"/>
      <w:bookmarkEnd w:id="535"/>
      <w:bookmarkEnd w:id="536"/>
      <w:bookmarkEnd w:id="537"/>
      <w:bookmarkEnd w:id="538"/>
      <w:bookmarkEnd w:id="539"/>
      <w:bookmarkEnd w:id="540"/>
      <w:bookmarkEnd w:id="541"/>
      <w:bookmarkStart w:id="542" w:name="_Toc447045091"/>
      <w:bookmarkStart w:id="543" w:name="_Toc447044604"/>
      <w:bookmarkStart w:id="544" w:name="_Toc447044480"/>
    </w:p>
    <w:p>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bookmarkStart w:id="545" w:name="_Toc26521_WPSOffice_Level2"/>
      <w:r>
        <w:rPr>
          <w:rFonts w:hint="eastAsia" w:ascii="宋体" w:hAnsi="宋体" w:eastAsia="宋体" w:cs="宋体"/>
          <w:b/>
          <w:color w:val="auto"/>
          <w:kern w:val="0"/>
          <w:sz w:val="28"/>
          <w:szCs w:val="28"/>
          <w:highlight w:val="none"/>
        </w:rPr>
        <w:t>一、不可撤销银行履约保函格式</w:t>
      </w:r>
      <w:bookmarkEnd w:id="542"/>
      <w:bookmarkEnd w:id="543"/>
      <w:bookmarkEnd w:id="544"/>
      <w:bookmarkEnd w:id="545"/>
    </w:p>
    <w:p>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63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本保函应从合同签订之日起至合同期限届满并履行完毕相关服务义务且结算完毕之后二十八（28）个日历天内保持有效。</w:t>
      </w:r>
    </w:p>
    <w:p>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宋体"/>
          <w:b/>
          <w:color w:val="auto"/>
          <w:kern w:val="0"/>
          <w:sz w:val="30"/>
          <w:szCs w:val="30"/>
          <w:highlight w:val="none"/>
          <w:lang w:val="en-US" w:eastAsia="zh-CN"/>
        </w:rPr>
      </w:pPr>
    </w:p>
    <w:p>
      <w:pPr>
        <w:autoSpaceDE w:val="0"/>
        <w:autoSpaceDN w:val="0"/>
        <w:adjustRightInd w:val="0"/>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应从合同签订之日起至合同期限届满并履行完毕相关服务义务且结算完毕之后二十八（28）个日历天内保持有效。</w:t>
      </w:r>
    </w:p>
    <w:p>
      <w:pPr>
        <w:pStyle w:val="6"/>
        <w:numPr>
          <w:ilvl w:val="0"/>
          <w:numId w:val="0"/>
        </w:numPr>
        <w:rPr>
          <w:rFonts w:hint="eastAsia" w:ascii="宋体" w:hAnsi="宋体" w:eastAsia="宋体" w:cs="宋体"/>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本保函应从合同签订之日起至合同期限届满并履行完毕相关服务义务且结算完毕之后二十八（28）个日历天内保持有效。</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bookmarkStart w:id="546" w:name="_Toc24314"/>
      <w:bookmarkStart w:id="547" w:name="_Toc2648"/>
      <w:bookmarkStart w:id="548" w:name="_Toc486167708"/>
      <w:bookmarkStart w:id="549" w:name="_Toc9840"/>
      <w:bookmarkStart w:id="550" w:name="_Toc450662895"/>
      <w:bookmarkStart w:id="551" w:name="_Toc142508361"/>
      <w:bookmarkStart w:id="552" w:name="_Toc30933"/>
      <w:bookmarkStart w:id="553" w:name="_Toc32761_WPSOffice_Level1"/>
      <w:bookmarkStart w:id="554" w:name="_Toc14958"/>
      <w:bookmarkStart w:id="555" w:name="_Toc15817"/>
      <w:r>
        <w:rPr>
          <w:rFonts w:hint="eastAsia" w:ascii="宋体" w:hAnsi="宋体" w:eastAsia="宋体" w:cs="宋体"/>
          <w:b/>
          <w:bCs/>
          <w:color w:val="auto"/>
          <w:kern w:val="44"/>
          <w:sz w:val="32"/>
          <w:szCs w:val="32"/>
          <w:highlight w:val="none"/>
          <w:lang w:val="zh-CN"/>
        </w:rPr>
        <w:t>第六篇 投标文件格式</w:t>
      </w:r>
      <w:bookmarkEnd w:id="546"/>
      <w:bookmarkEnd w:id="547"/>
      <w:bookmarkEnd w:id="548"/>
      <w:bookmarkEnd w:id="549"/>
      <w:bookmarkEnd w:id="550"/>
      <w:bookmarkEnd w:id="551"/>
      <w:bookmarkEnd w:id="552"/>
      <w:bookmarkEnd w:id="553"/>
      <w:bookmarkEnd w:id="554"/>
      <w:bookmarkEnd w:id="555"/>
    </w:p>
    <w:p>
      <w:pPr>
        <w:rPr>
          <w:rFonts w:hint="eastAsia" w:ascii="宋体" w:hAnsi="宋体" w:eastAsia="宋体" w:cs="宋体"/>
          <w:color w:val="auto"/>
          <w:sz w:val="84"/>
          <w:highlight w:val="none"/>
        </w:rPr>
      </w:pPr>
      <w:bookmarkStart w:id="556" w:name="_Toc21133_WPSOffice_Level2"/>
      <w:bookmarkStart w:id="557" w:name="_Toc104991868"/>
      <w:bookmarkStart w:id="558" w:name="_Toc94107202"/>
      <w:bookmarkStart w:id="559" w:name="_Toc142508362"/>
      <w:bookmarkStart w:id="560" w:name="_Toc533708121"/>
      <w:bookmarkStart w:id="561" w:name="_Toc140596921"/>
      <w:bookmarkStart w:id="562" w:name="_Toc102860067"/>
      <w:bookmarkStart w:id="563" w:name="_Toc486167709"/>
      <w:bookmarkStart w:id="564" w:name="_Toc1977721"/>
      <w:bookmarkStart w:id="565" w:name="_Toc102860411"/>
      <w:r>
        <w:rPr>
          <w:rFonts w:hint="eastAsia" w:ascii="宋体" w:hAnsi="宋体" w:eastAsia="宋体" w:cs="宋体"/>
          <w:b/>
          <w:color w:val="auto"/>
          <w:kern w:val="0"/>
          <w:sz w:val="32"/>
          <w:szCs w:val="32"/>
          <w:highlight w:val="none"/>
        </w:rPr>
        <w:br w:type="page"/>
      </w:r>
    </w:p>
    <w:p>
      <w:pPr>
        <w:pStyle w:val="3"/>
        <w:spacing w:line="360" w:lineRule="auto"/>
        <w:jc w:val="center"/>
        <w:rPr>
          <w:rFonts w:hint="eastAsia" w:ascii="宋体" w:hAnsi="宋体" w:eastAsia="宋体" w:cs="宋体"/>
          <w:color w:val="auto"/>
          <w:sz w:val="84"/>
          <w:highlight w:val="none"/>
        </w:rPr>
      </w:pPr>
    </w:p>
    <w:p>
      <w:pPr>
        <w:pStyle w:val="3"/>
        <w:spacing w:line="360" w:lineRule="auto"/>
        <w:jc w:val="center"/>
        <w:rPr>
          <w:rFonts w:hint="eastAsia" w:ascii="宋体" w:hAnsi="宋体" w:eastAsia="宋体" w:cs="宋体"/>
          <w:color w:val="auto"/>
          <w:sz w:val="84"/>
          <w:highlight w:val="none"/>
        </w:rPr>
      </w:pPr>
    </w:p>
    <w:p>
      <w:pPr>
        <w:pStyle w:val="3"/>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3"/>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3"/>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3"/>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3"/>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3"/>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0"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0" w:type="pct"/>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7"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bookmarkStart w:id="566" w:name="_Toc13281"/>
      <w:bookmarkStart w:id="567" w:name="_Toc24723"/>
      <w:bookmarkStart w:id="568" w:name="_Toc27365"/>
      <w:bookmarkStart w:id="569" w:name="_Toc31327"/>
      <w:bookmarkStart w:id="570" w:name="_Toc27679"/>
      <w:bookmarkStart w:id="571" w:name="_Toc23782"/>
      <w:r>
        <w:rPr>
          <w:rFonts w:hint="eastAsia" w:ascii="宋体" w:hAnsi="宋体" w:eastAsia="宋体" w:cs="宋体"/>
          <w:b/>
          <w:color w:val="auto"/>
          <w:kern w:val="0"/>
          <w:sz w:val="32"/>
          <w:szCs w:val="32"/>
          <w:highlight w:val="none"/>
        </w:rPr>
        <w:t>一、投标函格式</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572" w:name="_Toc16695_WPSOffice_Level3"/>
      <w:r>
        <w:rPr>
          <w:rFonts w:hint="eastAsia" w:ascii="宋体" w:hAnsi="宋体" w:eastAsia="宋体" w:cs="宋体"/>
          <w:b/>
          <w:bCs/>
          <w:color w:val="auto"/>
          <w:sz w:val="30"/>
          <w:szCs w:val="30"/>
          <w:highlight w:val="none"/>
          <w:lang w:val="zh-CN"/>
        </w:rPr>
        <w:t>投 标 函</w:t>
      </w:r>
      <w:bookmarkEnd w:id="572"/>
    </w:p>
    <w:p>
      <w:pPr>
        <w:autoSpaceDE w:val="0"/>
        <w:autoSpaceDN w:val="0"/>
        <w:adjustRightInd w:val="0"/>
        <w:spacing w:line="360" w:lineRule="auto"/>
        <w:rPr>
          <w:rFonts w:hint="eastAsia"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东莞市水务集团建设管理有限公司</w:t>
      </w:r>
    </w:p>
    <w:p>
      <w:pPr>
        <w:autoSpaceDE w:val="0"/>
        <w:autoSpaceDN w:val="0"/>
        <w:adjustRightInd w:val="0"/>
        <w:spacing w:line="360" w:lineRule="auto"/>
        <w:rPr>
          <w:rFonts w:hint="eastAsia" w:ascii="宋体" w:hAnsi="宋体" w:eastAsia="宋体" w:cs="宋体"/>
          <w:color w:val="auto"/>
          <w:szCs w:val="21"/>
          <w:highlight w:val="none"/>
        </w:rPr>
      </w:pPr>
    </w:p>
    <w:p>
      <w:pPr>
        <w:wordWrap w:val="0"/>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东莞市茶山镇污水处理厂改扩建项目第三方监测服务采购项目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HSDG2024006</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w:t>
      </w:r>
      <w:r>
        <w:rPr>
          <w:rFonts w:hint="eastAsia" w:ascii="宋体" w:hAnsi="宋体" w:eastAsia="宋体" w:cs="宋体"/>
          <w:color w:val="auto"/>
          <w:szCs w:val="21"/>
          <w:highlight w:val="none"/>
          <w:u w:val="single"/>
          <w:lang w:val="zh-CN"/>
        </w:rPr>
        <w:t>HSDG2024006</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hint="eastAsia"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73" w:name="_Toc28613_WPSOffice_Level2"/>
      <w:bookmarkStart w:id="574" w:name="_Toc142508363"/>
      <w:bookmarkStart w:id="575" w:name="_Toc1977722"/>
      <w:bookmarkStart w:id="576" w:name="_Toc12417"/>
      <w:bookmarkStart w:id="577" w:name="_Toc30995"/>
      <w:bookmarkStart w:id="578" w:name="_Toc104991869"/>
      <w:bookmarkStart w:id="579" w:name="_Toc10535"/>
      <w:bookmarkStart w:id="580" w:name="_Toc486167710"/>
      <w:bookmarkStart w:id="581" w:name="_Toc25589"/>
      <w:bookmarkStart w:id="582" w:name="_Toc23366"/>
      <w:bookmarkStart w:id="583" w:name="_Toc94107203"/>
      <w:bookmarkStart w:id="584" w:name="_Toc102860412"/>
      <w:bookmarkStart w:id="585" w:name="_Toc102860068"/>
      <w:bookmarkStart w:id="586" w:name="_Toc533708122"/>
      <w:bookmarkStart w:id="587" w:name="_Toc3104"/>
      <w:bookmarkStart w:id="588" w:name="_Toc140596922"/>
      <w:r>
        <w:rPr>
          <w:rFonts w:hint="eastAsia" w:ascii="宋体" w:hAnsi="宋体" w:eastAsia="宋体" w:cs="宋体"/>
          <w:b/>
          <w:color w:val="auto"/>
          <w:kern w:val="0"/>
          <w:sz w:val="32"/>
          <w:szCs w:val="32"/>
          <w:highlight w:val="none"/>
        </w:rPr>
        <w:t>二、投标承诺书格式</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u w:val="single"/>
          <w:lang w:eastAsia="zh-CN"/>
        </w:rPr>
        <w:t>东莞市茶山镇污水处理厂改扩建项目第三方监测服务采购项目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HSDG2024006</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firstLine="5040"/>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bookmarkStart w:id="589" w:name="_Toc316896755"/>
      <w:bookmarkStart w:id="590" w:name="_Toc326768876"/>
      <w:bookmarkStart w:id="591" w:name="_Toc311032584"/>
    </w:p>
    <w:p>
      <w:pPr>
        <w:rPr>
          <w:rFonts w:hint="eastAsia" w:ascii="宋体" w:hAnsi="宋体" w:eastAsia="宋体" w:cs="宋体"/>
          <w:b/>
          <w:color w:val="auto"/>
          <w:kern w:val="44"/>
          <w:sz w:val="32"/>
          <w:szCs w:val="32"/>
          <w:highlight w:val="none"/>
        </w:rPr>
      </w:pPr>
      <w:bookmarkStart w:id="592" w:name="_Toc29910"/>
      <w:bookmarkStart w:id="593" w:name="_Toc86764083"/>
      <w:bookmarkStart w:id="594" w:name="_Toc5075"/>
      <w:bookmarkStart w:id="595" w:name="_Toc142508364"/>
      <w:bookmarkStart w:id="596" w:name="_Toc82182546"/>
      <w:bookmarkStart w:id="597" w:name="_Toc24336"/>
      <w:bookmarkStart w:id="598" w:name="_Toc94107204"/>
      <w:bookmarkStart w:id="599" w:name="_Toc102860069"/>
      <w:bookmarkStart w:id="600" w:name="_Toc102860413"/>
      <w:bookmarkStart w:id="601" w:name="_Toc104991870"/>
      <w:bookmarkStart w:id="602" w:name="_Toc140596923"/>
      <w:bookmarkStart w:id="603" w:name="_Toc7024_WPSOffice_Level2"/>
      <w:bookmarkStart w:id="604" w:name="_Toc533708123"/>
      <w:bookmarkStart w:id="605" w:name="_Toc486167711"/>
      <w:bookmarkStart w:id="606" w:name="_Toc1977723"/>
      <w:r>
        <w:rPr>
          <w:rFonts w:hint="eastAsia" w:ascii="宋体" w:hAnsi="宋体" w:eastAsia="宋体" w:cs="宋体"/>
          <w:b/>
          <w:color w:val="auto"/>
          <w:kern w:val="44"/>
          <w:sz w:val="32"/>
          <w:szCs w:val="32"/>
          <w:highlight w:val="none"/>
        </w:rPr>
        <w:br w:type="page"/>
      </w:r>
    </w:p>
    <w:p>
      <w:pPr>
        <w:pStyle w:val="6"/>
        <w:pageBreakBefore/>
        <w:spacing w:line="360" w:lineRule="auto"/>
        <w:rPr>
          <w:rFonts w:hint="eastAsia" w:ascii="宋体" w:hAnsi="宋体" w:eastAsia="宋体" w:cs="宋体"/>
          <w:b/>
          <w:bCs/>
          <w:color w:val="auto"/>
          <w:kern w:val="2"/>
          <w:sz w:val="32"/>
          <w:szCs w:val="32"/>
          <w:highlight w:val="none"/>
          <w:lang w:val="zh-CN"/>
        </w:rPr>
      </w:pPr>
      <w:bookmarkStart w:id="607" w:name="_Toc4983"/>
      <w:bookmarkStart w:id="608" w:name="_Toc16386"/>
      <w:bookmarkStart w:id="609" w:name="_Toc15428"/>
      <w:r>
        <w:rPr>
          <w:rFonts w:hint="eastAsia" w:ascii="宋体" w:hAnsi="宋体" w:eastAsia="宋体" w:cs="宋体"/>
          <w:b/>
          <w:bCs/>
          <w:color w:val="auto"/>
          <w:kern w:val="2"/>
          <w:sz w:val="32"/>
          <w:szCs w:val="32"/>
          <w:highlight w:val="none"/>
        </w:rPr>
        <w:t>三</w:t>
      </w:r>
      <w:r>
        <w:rPr>
          <w:rFonts w:hint="eastAsia" w:ascii="宋体" w:hAnsi="宋体" w:eastAsia="宋体" w:cs="宋体"/>
          <w:b/>
          <w:bCs/>
          <w:color w:val="auto"/>
          <w:kern w:val="2"/>
          <w:sz w:val="32"/>
          <w:szCs w:val="32"/>
          <w:highlight w:val="none"/>
          <w:lang w:val="zh-CN"/>
        </w:rPr>
        <w:t>、现场转换采购方式同意书</w:t>
      </w:r>
      <w:bookmarkEnd w:id="607"/>
      <w:bookmarkEnd w:id="608"/>
      <w:bookmarkEnd w:id="609"/>
    </w:p>
    <w:p>
      <w:pPr>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现场转换采购方式同意书</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致东莞市水务集团建设管理有限公司：</w:t>
      </w:r>
    </w:p>
    <w:p>
      <w:pPr>
        <w:spacing w:line="360" w:lineRule="auto"/>
        <w:ind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我方</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（投标人名称）为</w:t>
      </w:r>
      <w:r>
        <w:rPr>
          <w:rFonts w:hint="eastAsia" w:ascii="宋体" w:hAnsi="宋体" w:eastAsia="宋体" w:cs="宋体"/>
          <w:color w:val="auto"/>
          <w:sz w:val="21"/>
          <w:szCs w:val="21"/>
          <w:highlight w:val="none"/>
          <w:u w:val="single"/>
          <w:lang w:eastAsia="zh-CN"/>
        </w:rPr>
        <w:t>东莞市茶山镇污水处理厂改扩建项目第三方监测服务采购项目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lang w:eastAsia="zh-CN"/>
        </w:rPr>
        <w:t>HSDG2024006</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highlight w:val="none"/>
          <w:lang w:val="zh-CN"/>
        </w:rPr>
        <w:t>的投标单位，本次招标采购过程中我方同意按下列方式继续参与采购。</w:t>
      </w:r>
    </w:p>
    <w:p>
      <w:pPr>
        <w:spacing w:line="360" w:lineRule="auto"/>
        <w:ind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若</w:t>
      </w:r>
      <w:r>
        <w:rPr>
          <w:rFonts w:hint="eastAsia" w:ascii="宋体" w:hAnsi="宋体" w:eastAsia="宋体" w:cs="宋体"/>
          <w:color w:val="auto"/>
          <w:kern w:val="2"/>
          <w:sz w:val="21"/>
          <w:highlight w:val="none"/>
          <w:lang w:val="zh-CN"/>
        </w:rPr>
        <w:t>有效投标人只有2个时，我方同意本项目现场转为竞争性谈判方式继续实施采购，接受原公开招标文件的要求即为竞争性谈判采购文件的要求，接受原公开招标投标文件即为竞争性谈判响应文件。</w:t>
      </w:r>
    </w:p>
    <w:p>
      <w:pPr>
        <w:spacing w:line="360" w:lineRule="auto"/>
        <w:ind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（2）若有效投标人只有1个时，我方同意本项目现场转</w:t>
      </w:r>
      <w:r>
        <w:rPr>
          <w:rFonts w:hint="eastAsia" w:ascii="宋体" w:hAnsi="宋体" w:eastAsia="宋体" w:cs="宋体"/>
          <w:color w:val="auto"/>
          <w:kern w:val="2"/>
          <w:sz w:val="21"/>
          <w:highlight w:val="none"/>
        </w:rPr>
        <w:t>为</w:t>
      </w:r>
      <w:r>
        <w:rPr>
          <w:rFonts w:hint="eastAsia" w:ascii="宋体" w:hAnsi="宋体" w:eastAsia="宋体" w:cs="宋体"/>
          <w:color w:val="auto"/>
          <w:kern w:val="2"/>
          <w:sz w:val="21"/>
          <w:highlight w:val="none"/>
          <w:lang w:val="zh-CN"/>
        </w:rPr>
        <w:t>单一来源的方式继续实施采购。接受原公开招标文件的要求即为单一来源采购文件的要求，接受原公开招标投标文件即为单一来源响应文件。</w:t>
      </w:r>
    </w:p>
    <w:p>
      <w:pPr>
        <w:spacing w:line="360" w:lineRule="auto"/>
        <w:ind w:firstLine="5040"/>
        <w:jc w:val="both"/>
        <w:rPr>
          <w:rFonts w:hint="eastAsia" w:ascii="宋体" w:hAnsi="宋体" w:eastAsia="宋体" w:cs="宋体"/>
          <w:color w:val="auto"/>
          <w:kern w:val="2"/>
          <w:sz w:val="21"/>
          <w:highlight w:val="none"/>
          <w:lang w:val="zh-CN"/>
        </w:rPr>
      </w:pPr>
    </w:p>
    <w:p>
      <w:pPr>
        <w:spacing w:line="360" w:lineRule="auto"/>
        <w:ind w:firstLine="5040"/>
        <w:jc w:val="both"/>
        <w:rPr>
          <w:rFonts w:hint="eastAsia" w:ascii="宋体" w:hAnsi="宋体" w:eastAsia="宋体" w:cs="宋体"/>
          <w:color w:val="auto"/>
          <w:kern w:val="2"/>
          <w:sz w:val="21"/>
          <w:highlight w:val="none"/>
          <w:lang w:val="zh-CN"/>
        </w:rPr>
      </w:pPr>
    </w:p>
    <w:p>
      <w:pPr>
        <w:spacing w:line="360" w:lineRule="auto"/>
        <w:ind w:firstLine="504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投标人：（加盖投标人法人公章）</w:t>
      </w: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pPr>
        <w:ind w:left="0" w:leftChars="0" w:firstLine="5040" w:firstLineChars="2400"/>
        <w:jc w:val="left"/>
        <w:rPr>
          <w:rFonts w:hint="eastAsia" w:ascii="宋体" w:hAnsi="宋体" w:eastAsia="宋体" w:cs="宋体"/>
          <w:b/>
          <w:bCs/>
          <w:color w:val="auto"/>
          <w:kern w:val="2"/>
          <w:sz w:val="32"/>
          <w:szCs w:val="32"/>
          <w:highlight w:val="none"/>
        </w:rPr>
      </w:pPr>
      <w:r>
        <w:rPr>
          <w:rFonts w:hint="eastAsia" w:ascii="宋体" w:hAnsi="宋体" w:eastAsia="宋体" w:cs="宋体"/>
          <w:color w:val="auto"/>
          <w:kern w:val="2"/>
          <w:sz w:val="21"/>
          <w:highlight w:val="none"/>
          <w:lang w:val="zh-CN"/>
        </w:rPr>
        <w:t>日期：   年   月   日</w:t>
      </w:r>
      <w:r>
        <w:rPr>
          <w:rFonts w:hint="eastAsia" w:ascii="宋体" w:hAnsi="宋体" w:eastAsia="宋体" w:cs="宋体"/>
          <w:b/>
          <w:bCs/>
          <w:color w:val="auto"/>
          <w:kern w:val="2"/>
          <w:sz w:val="32"/>
          <w:szCs w:val="32"/>
          <w:highlight w:val="none"/>
        </w:rPr>
        <w:br w:type="page"/>
      </w:r>
    </w:p>
    <w:p>
      <w:pPr>
        <w:pageBreakBefore/>
        <w:autoSpaceDE w:val="0"/>
        <w:autoSpaceDN w:val="0"/>
        <w:adjustRightInd w:val="0"/>
        <w:spacing w:line="360" w:lineRule="auto"/>
        <w:jc w:val="left"/>
        <w:outlineLvl w:val="2"/>
        <w:rPr>
          <w:rFonts w:hint="eastAsia" w:ascii="宋体" w:hAnsi="宋体" w:eastAsia="宋体" w:cs="宋体"/>
          <w:b/>
          <w:color w:val="auto"/>
          <w:kern w:val="44"/>
          <w:sz w:val="32"/>
          <w:szCs w:val="32"/>
          <w:highlight w:val="none"/>
        </w:rPr>
      </w:pPr>
      <w:bookmarkStart w:id="610" w:name="_Toc24483"/>
      <w:bookmarkStart w:id="611" w:name="_Toc5389"/>
      <w:bookmarkStart w:id="612" w:name="_Toc20629"/>
      <w:r>
        <w:rPr>
          <w:rFonts w:hint="eastAsia" w:ascii="宋体" w:hAnsi="宋体" w:eastAsia="宋体" w:cs="宋体"/>
          <w:b/>
          <w:color w:val="auto"/>
          <w:kern w:val="44"/>
          <w:sz w:val="32"/>
          <w:szCs w:val="32"/>
          <w:highlight w:val="none"/>
          <w:lang w:eastAsia="zh-CN"/>
        </w:rPr>
        <w:t>四</w:t>
      </w:r>
      <w:r>
        <w:rPr>
          <w:rFonts w:hint="eastAsia" w:ascii="宋体" w:hAnsi="宋体" w:eastAsia="宋体" w:cs="宋体"/>
          <w:b/>
          <w:color w:val="auto"/>
          <w:kern w:val="44"/>
          <w:sz w:val="32"/>
          <w:szCs w:val="32"/>
          <w:highlight w:val="none"/>
        </w:rPr>
        <w:t>、供货及/或提供服务过程承诺函格式</w:t>
      </w:r>
      <w:bookmarkEnd w:id="592"/>
      <w:bookmarkEnd w:id="593"/>
      <w:bookmarkEnd w:id="594"/>
      <w:bookmarkEnd w:id="595"/>
      <w:bookmarkEnd w:id="596"/>
      <w:bookmarkEnd w:id="597"/>
      <w:bookmarkEnd w:id="598"/>
      <w:bookmarkEnd w:id="599"/>
      <w:bookmarkEnd w:id="600"/>
      <w:bookmarkEnd w:id="601"/>
      <w:bookmarkEnd w:id="602"/>
      <w:bookmarkEnd w:id="610"/>
      <w:bookmarkEnd w:id="611"/>
      <w:bookmarkEnd w:id="612"/>
    </w:p>
    <w:p>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致东莞市水务集团建设管理有限公司：</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东莞市茶山镇污水处理厂改扩建项目第三方监测服务采购项目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HSDG2024006</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bookmarkStart w:id="613" w:name="_Toc18346"/>
      <w:bookmarkStart w:id="614" w:name="_Toc94107206"/>
      <w:bookmarkStart w:id="615" w:name="_Toc102860071"/>
      <w:bookmarkStart w:id="616" w:name="_Toc140596925"/>
      <w:bookmarkStart w:id="617" w:name="_Toc17090"/>
      <w:bookmarkStart w:id="618" w:name="_Toc8982"/>
      <w:bookmarkStart w:id="619" w:name="_Toc102860415"/>
      <w:bookmarkStart w:id="620" w:name="_Toc142508366"/>
      <w:bookmarkStart w:id="621" w:name="_Toc1140"/>
      <w:bookmarkStart w:id="622" w:name="_Toc13416"/>
      <w:bookmarkStart w:id="623" w:name="_Toc29274"/>
      <w:bookmarkStart w:id="624" w:name="_Toc104991872"/>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、投标报价表格式</w:t>
      </w:r>
      <w:bookmarkEnd w:id="603"/>
      <w:bookmarkEnd w:id="604"/>
      <w:bookmarkEnd w:id="605"/>
      <w:bookmarkEnd w:id="606"/>
      <w:bookmarkEnd w:id="613"/>
      <w:bookmarkEnd w:id="614"/>
      <w:bookmarkEnd w:id="615"/>
      <w:bookmarkEnd w:id="616"/>
      <w:bookmarkEnd w:id="617"/>
      <w:bookmarkEnd w:id="618"/>
      <w:bookmarkEnd w:id="619"/>
      <w:bookmarkEnd w:id="620"/>
      <w:bookmarkEnd w:id="621"/>
      <w:bookmarkEnd w:id="622"/>
      <w:bookmarkEnd w:id="623"/>
      <w:bookmarkEnd w:id="624"/>
    </w:p>
    <w:p>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东莞市茶山镇污水处理厂改扩建项目第三方监测服务采购项目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HSDG2024006</w:t>
      </w:r>
    </w:p>
    <w:tbl>
      <w:tblPr>
        <w:tblStyle w:val="3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监测服务系数</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东莞市茶山镇污水处理厂改扩建项目第三方监测服务采购项目</w:t>
            </w:r>
          </w:p>
        </w:tc>
        <w:tc>
          <w:tcPr>
            <w:tcW w:w="1578" w:type="pct"/>
            <w:tcBorders>
              <w:top w:val="single" w:color="auto" w:sz="4" w:space="0"/>
              <w:left w:val="single" w:color="auto" w:sz="4" w:space="0"/>
              <w:right w:val="single" w:color="auto" w:sz="4" w:space="0"/>
            </w:tcBorders>
            <w:vAlign w:val="center"/>
          </w:tcPr>
          <w:p>
            <w:pPr>
              <w:keepNext w:val="0"/>
              <w:keepLines w:val="0"/>
              <w:suppressLineNumbers w:val="0"/>
              <w:tabs>
                <w:tab w:val="left" w:pos="8610"/>
              </w:tabs>
              <w:spacing w:before="0" w:beforeAutospacing="0" w:after="0" w:afterAutospacing="0" w:line="360" w:lineRule="auto"/>
              <w:ind w:left="0" w:right="0"/>
              <w:rPr>
                <w:rFonts w:hint="eastAsia" w:ascii="宋体" w:hAnsi="宋体" w:eastAsia="宋体" w:cs="宋体"/>
                <w:color w:val="auto"/>
                <w:kern w:val="0"/>
                <w:szCs w:val="21"/>
                <w:highlight w:val="none"/>
              </w:rPr>
            </w:pPr>
          </w:p>
        </w:tc>
        <w:tc>
          <w:tcPr>
            <w:tcW w:w="642" w:type="pct"/>
            <w:tcBorders>
              <w:top w:val="single" w:color="auto" w:sz="4" w:space="0"/>
              <w:left w:val="single" w:color="auto" w:sz="4" w:space="0"/>
              <w:right w:val="single" w:color="auto" w:sz="4" w:space="0"/>
            </w:tcBorders>
            <w:vAlign w:val="center"/>
          </w:tcPr>
          <w:p>
            <w:pPr>
              <w:keepNext w:val="0"/>
              <w:keepLines w:val="0"/>
              <w:suppressLineNumbers w:val="0"/>
              <w:tabs>
                <w:tab w:val="left" w:pos="8610"/>
              </w:tabs>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bl>
    <w:p>
      <w:pPr>
        <w:rPr>
          <w:rFonts w:hint="eastAsia" w:ascii="宋体" w:hAnsi="宋体" w:eastAsia="宋体" w:cs="宋体"/>
          <w:color w:val="auto"/>
          <w:kern w:val="0"/>
          <w:sz w:val="20"/>
          <w:szCs w:val="21"/>
          <w:highlight w:val="none"/>
        </w:rPr>
      </w:pPr>
    </w:p>
    <w:p>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zh-CN"/>
        </w:rPr>
        <w:t>本项目的投标报价采用</w:t>
      </w:r>
      <w:r>
        <w:rPr>
          <w:rFonts w:hint="eastAsia" w:ascii="宋体" w:hAnsi="宋体" w:eastAsia="宋体" w:cs="宋体"/>
          <w:color w:val="auto"/>
          <w:kern w:val="0"/>
          <w:szCs w:val="21"/>
          <w:highlight w:val="none"/>
        </w:rPr>
        <w:t>服务</w:t>
      </w:r>
      <w:r>
        <w:rPr>
          <w:rFonts w:hint="eastAsia" w:ascii="宋体" w:hAnsi="宋体" w:eastAsia="宋体" w:cs="宋体"/>
          <w:color w:val="auto"/>
          <w:kern w:val="0"/>
          <w:szCs w:val="21"/>
          <w:highlight w:val="none"/>
          <w:lang w:val="zh-CN"/>
        </w:rPr>
        <w:t>系</w:t>
      </w:r>
      <w:r>
        <w:rPr>
          <w:rFonts w:hint="eastAsia" w:ascii="宋体" w:hAnsi="宋体" w:eastAsia="宋体" w:cs="宋体"/>
          <w:color w:val="auto"/>
          <w:kern w:val="0"/>
          <w:szCs w:val="21"/>
          <w:highlight w:val="none"/>
        </w:rPr>
        <w:t>数</w:t>
      </w:r>
      <w:r>
        <w:rPr>
          <w:rFonts w:hint="eastAsia" w:ascii="宋体" w:hAnsi="宋体" w:eastAsia="宋体" w:cs="宋体"/>
          <w:color w:val="auto"/>
          <w:kern w:val="0"/>
          <w:szCs w:val="21"/>
          <w:highlight w:val="none"/>
          <w:lang w:val="zh-CN"/>
        </w:rPr>
        <w:t>报价，投标人须报出监测</w:t>
      </w:r>
      <w:r>
        <w:rPr>
          <w:rFonts w:hint="eastAsia" w:ascii="宋体" w:hAnsi="宋体" w:eastAsia="宋体" w:cs="宋体"/>
          <w:color w:val="auto"/>
          <w:kern w:val="0"/>
          <w:szCs w:val="21"/>
          <w:highlight w:val="none"/>
        </w:rPr>
        <w:t>服务</w:t>
      </w:r>
      <w:r>
        <w:rPr>
          <w:rFonts w:hint="eastAsia" w:ascii="宋体" w:hAnsi="宋体" w:eastAsia="宋体" w:cs="宋体"/>
          <w:color w:val="auto"/>
          <w:kern w:val="0"/>
          <w:szCs w:val="21"/>
          <w:highlight w:val="none"/>
          <w:lang w:val="zh-CN"/>
        </w:rPr>
        <w:t>系数。合同服务期内，监测服务系数的不含税综合单价按以下方式计算：不含税综合单价=不含税综合单价×中标监测服务系数，以实际发生的工程量进行结算。不含税综合单价出现小数点，保留小数点后2位，从小数点后第3位四舍五入。</w:t>
      </w:r>
      <w:r>
        <w:rPr>
          <w:rFonts w:hint="eastAsia" w:ascii="宋体" w:hAnsi="宋体" w:eastAsia="宋体" w:cs="宋体"/>
          <w:color w:val="auto"/>
          <w:kern w:val="0"/>
          <w:szCs w:val="21"/>
          <w:highlight w:val="none"/>
        </w:rPr>
        <w:t>本招标文件所称的不含税</w:t>
      </w:r>
      <w:r>
        <w:rPr>
          <w:rFonts w:hint="eastAsia" w:ascii="宋体" w:hAnsi="宋体" w:eastAsia="宋体" w:cs="宋体"/>
          <w:color w:val="auto"/>
          <w:kern w:val="0"/>
          <w:szCs w:val="21"/>
          <w:highlight w:val="none"/>
          <w:lang w:val="en-US" w:eastAsia="zh-CN"/>
        </w:rPr>
        <w:t>综合单</w:t>
      </w:r>
      <w:r>
        <w:rPr>
          <w:rFonts w:hint="eastAsia" w:ascii="宋体" w:hAnsi="宋体" w:eastAsia="宋体" w:cs="宋体"/>
          <w:color w:val="auto"/>
          <w:kern w:val="0"/>
          <w:szCs w:val="21"/>
          <w:highlight w:val="none"/>
        </w:rPr>
        <w:t>价</w:t>
      </w:r>
      <w:r>
        <w:rPr>
          <w:rFonts w:hint="eastAsia" w:ascii="宋体" w:hAnsi="宋体" w:eastAsia="宋体" w:cs="宋体"/>
          <w:color w:val="auto"/>
          <w:kern w:val="0"/>
          <w:szCs w:val="21"/>
          <w:highlight w:val="none"/>
          <w:lang w:val="en-US" w:eastAsia="zh-CN"/>
        </w:rPr>
        <w:t>和暂定总合同价</w:t>
      </w:r>
      <w:r>
        <w:rPr>
          <w:rFonts w:hint="eastAsia" w:ascii="宋体" w:hAnsi="宋体" w:eastAsia="宋体" w:cs="宋体"/>
          <w:color w:val="auto"/>
          <w:kern w:val="0"/>
          <w:szCs w:val="21"/>
          <w:highlight w:val="none"/>
        </w:rPr>
        <w:t>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本采购项目的销项税额由项目业主承担</w:t>
      </w:r>
      <w:r>
        <w:rPr>
          <w:rFonts w:hint="eastAsia" w:ascii="宋体" w:hAnsi="宋体" w:eastAsia="宋体" w:cs="宋体"/>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（2）投标人的监测服务系数报价</w:t>
      </w:r>
      <w:r>
        <w:rPr>
          <w:rFonts w:hint="eastAsia" w:ascii="宋体" w:hAnsi="宋体" w:eastAsia="宋体" w:cs="宋体"/>
          <w:b/>
          <w:bCs/>
          <w:color w:val="auto"/>
          <w:szCs w:val="21"/>
          <w:highlight w:val="none"/>
          <w:lang w:val="en-US" w:eastAsia="zh-CN"/>
        </w:rPr>
        <w:t>不得超过0.80（保留小数点后2位），且不能为0.00或负数，投标人未按招标文件要求进行监测服务系数报价的，将被视为无效投标</w:t>
      </w:r>
      <w:r>
        <w:rPr>
          <w:rFonts w:hint="eastAsia" w:ascii="宋体" w:hAnsi="宋体" w:eastAsia="宋体" w:cs="宋体"/>
          <w:b/>
          <w:bCs/>
          <w:color w:val="auto"/>
          <w:kern w:val="0"/>
          <w:szCs w:val="21"/>
          <w:highlight w:val="none"/>
        </w:rPr>
        <w:t>。</w:t>
      </w:r>
    </w:p>
    <w:p>
      <w:pPr>
        <w:autoSpaceDE w:val="0"/>
        <w:autoSpaceDN w:val="0"/>
        <w:adjustRightInd w:val="0"/>
        <w:snapToGrid w:val="0"/>
        <w:spacing w:line="360" w:lineRule="auto"/>
        <w:ind w:left="605" w:leftChars="18" w:hanging="567" w:hangingChars="270"/>
        <w:jc w:val="left"/>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hint="eastAsia" w:ascii="宋体" w:hAnsi="宋体" w:eastAsia="宋体" w:cs="宋体"/>
          <w:bCs/>
          <w:color w:val="auto"/>
          <w:kern w:val="0"/>
          <w:szCs w:val="21"/>
          <w:highlight w:val="none"/>
          <w:lang w:val="zh-CN"/>
        </w:rPr>
      </w:pP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25" w:name="_Toc140596928"/>
      <w:bookmarkStart w:id="626" w:name="_Toc7477"/>
      <w:bookmarkStart w:id="627" w:name="_Toc19156"/>
      <w:bookmarkStart w:id="628" w:name="_Toc94107209"/>
      <w:bookmarkStart w:id="629" w:name="_Toc142508369"/>
      <w:bookmarkStart w:id="630" w:name="_Toc23083"/>
      <w:bookmarkStart w:id="631" w:name="_Toc102860074"/>
      <w:bookmarkStart w:id="632" w:name="_Toc1977725"/>
      <w:bookmarkStart w:id="633" w:name="_Toc104991875"/>
      <w:bookmarkStart w:id="634" w:name="_Toc102860418"/>
      <w:bookmarkStart w:id="635" w:name="_Toc14820"/>
      <w:bookmarkStart w:id="636" w:name="_Toc6190"/>
      <w:bookmarkStart w:id="637" w:name="_Toc26516"/>
      <w:bookmarkStart w:id="638" w:name="_Toc533708124"/>
      <w:bookmarkStart w:id="639" w:name="_Toc20759_WPSOffice_Level2"/>
      <w:bookmarkStart w:id="640" w:name="_Toc486167712"/>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color w:val="auto"/>
          <w:kern w:val="0"/>
          <w:sz w:val="32"/>
          <w:szCs w:val="32"/>
          <w:highlight w:val="none"/>
        </w:rPr>
        <w:t>、投标人资格证明文件</w:t>
      </w:r>
      <w:bookmarkEnd w:id="625"/>
      <w:bookmarkEnd w:id="626"/>
      <w:bookmarkEnd w:id="627"/>
      <w:bookmarkEnd w:id="628"/>
      <w:bookmarkEnd w:id="629"/>
      <w:bookmarkEnd w:id="630"/>
      <w:bookmarkEnd w:id="631"/>
      <w:bookmarkEnd w:id="632"/>
      <w:bookmarkEnd w:id="633"/>
      <w:bookmarkEnd w:id="634"/>
      <w:bookmarkEnd w:id="635"/>
      <w:bookmarkEnd w:id="636"/>
      <w:bookmarkEnd w:id="637"/>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641" w:name="_Toc6761"/>
      <w:bookmarkStart w:id="642" w:name="_Toc142508370"/>
      <w:bookmarkStart w:id="643" w:name="_Toc29874"/>
      <w:bookmarkStart w:id="644" w:name="_Toc102860419"/>
      <w:bookmarkStart w:id="645" w:name="_Toc104991876"/>
      <w:bookmarkStart w:id="646" w:name="_Toc27746"/>
      <w:bookmarkStart w:id="647" w:name="_Toc7990"/>
      <w:bookmarkStart w:id="648" w:name="_Toc17358"/>
      <w:bookmarkStart w:id="649" w:name="_Toc94107210"/>
      <w:bookmarkStart w:id="650" w:name="_Toc102860075"/>
      <w:bookmarkStart w:id="651" w:name="_Toc25267"/>
      <w:bookmarkStart w:id="652" w:name="_Toc140596929"/>
      <w:bookmarkStart w:id="653" w:name="_Toc1977726"/>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.1 多证合一营业执照（或事业单位法人证书）复印件</w:t>
      </w:r>
      <w:bookmarkEnd w:id="641"/>
      <w:bookmarkEnd w:id="642"/>
      <w:bookmarkEnd w:id="643"/>
      <w:bookmarkEnd w:id="644"/>
      <w:bookmarkEnd w:id="645"/>
      <w:bookmarkEnd w:id="646"/>
      <w:bookmarkEnd w:id="647"/>
      <w:bookmarkEnd w:id="648"/>
      <w:bookmarkEnd w:id="649"/>
      <w:bookmarkEnd w:id="650"/>
      <w:bookmarkEnd w:id="651"/>
      <w:bookmarkEnd w:id="652"/>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654" w:name="_Toc142508371"/>
      <w:bookmarkStart w:id="655" w:name="_Toc6545"/>
      <w:bookmarkStart w:id="656" w:name="_Toc7756"/>
      <w:bookmarkStart w:id="657" w:name="_Toc94107211"/>
      <w:bookmarkStart w:id="658" w:name="_Toc104991877"/>
      <w:bookmarkStart w:id="659" w:name="_Toc20204"/>
      <w:bookmarkStart w:id="660" w:name="_Toc140596930"/>
      <w:bookmarkStart w:id="661" w:name="_Toc4875"/>
      <w:bookmarkStart w:id="662" w:name="_Toc27861"/>
      <w:bookmarkStart w:id="663" w:name="_Toc102860076"/>
      <w:bookmarkStart w:id="664" w:name="_Toc25013"/>
      <w:bookmarkStart w:id="665" w:name="_Toc102860420"/>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54"/>
      <w:bookmarkEnd w:id="655"/>
      <w:bookmarkEnd w:id="656"/>
      <w:bookmarkEnd w:id="657"/>
      <w:bookmarkEnd w:id="658"/>
      <w:bookmarkEnd w:id="659"/>
      <w:bookmarkEnd w:id="660"/>
      <w:bookmarkEnd w:id="661"/>
      <w:bookmarkEnd w:id="662"/>
      <w:bookmarkEnd w:id="663"/>
      <w:bookmarkEnd w:id="664"/>
      <w:bookmarkEnd w:id="665"/>
    </w:p>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66" w:name="_Toc94107212"/>
      <w:bookmarkStart w:id="667" w:name="_Toc102860421"/>
      <w:bookmarkStart w:id="668" w:name="_Toc17499"/>
      <w:bookmarkStart w:id="669" w:name="_Toc140596931"/>
      <w:bookmarkStart w:id="670" w:name="_Toc142508372"/>
      <w:bookmarkStart w:id="671" w:name="_Toc7441"/>
      <w:bookmarkStart w:id="672" w:name="_Toc102860077"/>
      <w:bookmarkStart w:id="673" w:name="_Toc104991878"/>
      <w:bookmarkStart w:id="674" w:name="_Toc9132"/>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675" w:name="_Toc23820"/>
      <w:r>
        <w:rPr>
          <w:rFonts w:hint="eastAsia" w:ascii="宋体" w:hAnsi="宋体" w:eastAsia="宋体" w:cs="宋体"/>
          <w:b/>
          <w:color w:val="auto"/>
          <w:kern w:val="0"/>
          <w:sz w:val="30"/>
          <w:szCs w:val="30"/>
          <w:highlight w:val="none"/>
          <w:lang w:val="en-US" w:eastAsia="zh-CN"/>
        </w:rPr>
        <w:t>6.3 具备建设行政主管部门核发有效的工程勘察综合类甲级资质，或同时具备有效的工程勘察专业类岩土工程乙级（或以上）和工程测量乙级（或以上）资质，如资质证书已过有效期，但依据资质证书主管部门相关通知/发文属于资质有效期延期的情况，提供相关通知/发文截图复印件以及官方网站网址链接/全国建筑市场监管公共服务平台（jzsc.mohurd.gov.cn）企业资质证书信息截图</w:t>
      </w:r>
      <w:bookmarkEnd w:id="675"/>
    </w:p>
    <w:p>
      <w:pPr>
        <w:rPr>
          <w:rFonts w:hint="eastAsia" w:ascii="宋体" w:hAnsi="宋体" w:eastAsia="宋体" w:cs="宋体"/>
          <w:b/>
          <w:color w:val="auto"/>
          <w:kern w:val="0"/>
          <w:sz w:val="30"/>
          <w:szCs w:val="30"/>
          <w:highlight w:val="none"/>
        </w:rPr>
      </w:pPr>
    </w:p>
    <w:p>
      <w:pPr>
        <w:rPr>
          <w:rFonts w:hint="eastAsia" w:ascii="宋体" w:hAnsi="宋体" w:eastAsia="宋体" w:cs="宋体"/>
          <w:b/>
          <w:color w:val="auto"/>
          <w:kern w:val="0"/>
          <w:sz w:val="30"/>
          <w:szCs w:val="30"/>
          <w:highlight w:val="none"/>
        </w:rPr>
      </w:pPr>
    </w:p>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Cs w:val="21"/>
          <w:highlight w:val="none"/>
        </w:rPr>
      </w:pPr>
      <w:bookmarkStart w:id="676" w:name="_Toc20778"/>
      <w:bookmarkStart w:id="677" w:name="_Toc24482"/>
      <w:bookmarkStart w:id="678" w:name="_Toc22211"/>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 xml:space="preserve"> 法定代表人身份证明书原件、法定代表人授权书原件格式（法定代表人投标时只需提供法定代表人身份证明书，委托他人为投标代表或签署投标文件时需同时提供法定代表人授权书）</w:t>
      </w:r>
      <w:bookmarkEnd w:id="666"/>
      <w:bookmarkEnd w:id="667"/>
      <w:bookmarkEnd w:id="668"/>
      <w:bookmarkEnd w:id="669"/>
      <w:bookmarkEnd w:id="670"/>
      <w:bookmarkEnd w:id="671"/>
      <w:bookmarkEnd w:id="672"/>
      <w:bookmarkEnd w:id="673"/>
      <w:bookmarkEnd w:id="674"/>
      <w:bookmarkEnd w:id="676"/>
      <w:bookmarkEnd w:id="677"/>
      <w:bookmarkEnd w:id="678"/>
    </w:p>
    <w:p>
      <w:pPr>
        <w:spacing w:before="120" w:after="120" w:line="360" w:lineRule="auto"/>
        <w:ind w:firstLine="426" w:firstLineChars="20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38"/>
      <w:bookmarkEnd w:id="639"/>
      <w:bookmarkEnd w:id="640"/>
      <w:bookmarkEnd w:id="653"/>
    </w:p>
    <w:p>
      <w:pPr>
        <w:spacing w:before="120" w:after="120" w:line="360" w:lineRule="auto"/>
        <w:ind w:firstLine="608" w:firstLineChars="202"/>
        <w:jc w:val="center"/>
        <w:rPr>
          <w:rFonts w:hint="eastAsia" w:ascii="宋体" w:hAnsi="宋体" w:eastAsia="宋体" w:cs="宋体"/>
          <w:b/>
          <w:color w:val="auto"/>
          <w:sz w:val="30"/>
          <w:szCs w:val="30"/>
          <w:highlight w:val="none"/>
        </w:rPr>
      </w:pPr>
    </w:p>
    <w:p>
      <w:pPr>
        <w:spacing w:before="120" w:after="120" w:line="360" w:lineRule="auto"/>
        <w:ind w:firstLine="608" w:firstLineChars="202"/>
        <w:jc w:val="center"/>
        <w:rPr>
          <w:rFonts w:hint="eastAsia" w:ascii="宋体" w:hAnsi="宋体" w:eastAsia="宋体" w:cs="宋体"/>
          <w:b/>
          <w:bCs/>
          <w:color w:val="auto"/>
          <w:sz w:val="30"/>
          <w:szCs w:val="30"/>
          <w:highlight w:val="none"/>
        </w:rPr>
      </w:pPr>
      <w:bookmarkStart w:id="679" w:name="_Toc11033_WPSOffice_Level3"/>
      <w:r>
        <w:rPr>
          <w:rFonts w:hint="eastAsia" w:ascii="宋体" w:hAnsi="宋体" w:eastAsia="宋体" w:cs="宋体"/>
          <w:b/>
          <w:color w:val="auto"/>
          <w:sz w:val="30"/>
          <w:szCs w:val="30"/>
          <w:highlight w:val="none"/>
        </w:rPr>
        <w:t>法定代</w:t>
      </w:r>
      <w:bookmarkStart w:id="680" w:name="_Toc36971359"/>
      <w:bookmarkStart w:id="681" w:name="_Toc45995270"/>
      <w:r>
        <w:rPr>
          <w:rFonts w:hint="eastAsia" w:ascii="宋体" w:hAnsi="宋体" w:eastAsia="宋体" w:cs="宋体"/>
          <w:b/>
          <w:color w:val="auto"/>
          <w:sz w:val="30"/>
          <w:szCs w:val="30"/>
          <w:highlight w:val="none"/>
        </w:rPr>
        <w:t>表人身份证明书</w:t>
      </w:r>
      <w:bookmarkEnd w:id="679"/>
    </w:p>
    <w:bookmarkEnd w:id="680"/>
    <w:bookmarkEnd w:id="681"/>
    <w:p>
      <w:pPr>
        <w:spacing w:before="120" w:after="12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szCs w:val="21"/>
                              </w:rPr>
                            </w:pPr>
                            <w:r>
                              <w:rPr>
                                <w:rFonts w:hint="eastAsia" w:ascii="宋体" w:hAnsi="宋体" w:eastAsia="宋体" w:cs="宋体"/>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rFonts w:hint="eastAsia" w:ascii="宋体" w:hAnsi="宋体" w:eastAsia="宋体" w:cs="宋体"/>
                          <w:szCs w:val="21"/>
                        </w:rPr>
                      </w:pPr>
                      <w:r>
                        <w:rPr>
                          <w:rFonts w:hint="eastAsia" w:ascii="宋体" w:hAnsi="宋体" w:eastAsia="宋体" w:cs="宋体"/>
                          <w:szCs w:val="21"/>
                        </w:rPr>
                        <w:t>法定代表人身份证反面</w:t>
                      </w:r>
                    </w:p>
                    <w:p>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b/>
          <w:color w:val="auto"/>
          <w:kern w:val="0"/>
          <w:szCs w:val="21"/>
          <w:highlight w:val="none"/>
        </w:rPr>
      </w:pPr>
    </w:p>
    <w:p>
      <w:pPr>
        <w:autoSpaceDE w:val="0"/>
        <w:autoSpaceDN w:val="0"/>
        <w:adjustRightInd w:val="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hint="eastAsia" w:ascii="宋体" w:hAnsi="宋体" w:eastAsia="宋体" w:cs="宋体"/>
          <w:color w:val="auto"/>
          <w:kern w:val="0"/>
          <w:szCs w:val="21"/>
          <w:highlight w:val="none"/>
        </w:rPr>
      </w:pPr>
    </w:p>
    <w:p>
      <w:pPr>
        <w:spacing w:before="120" w:after="120" w:line="360" w:lineRule="auto"/>
        <w:ind w:firstLine="424" w:firstLineChars="202"/>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89"/>
      <w:bookmarkEnd w:id="590"/>
      <w:bookmarkEnd w:id="591"/>
      <w:bookmarkStart w:id="682" w:name="_Toc486167713"/>
      <w:bookmarkStart w:id="683" w:name="_Toc533708125"/>
      <w:bookmarkStart w:id="684" w:name="_Toc1977727"/>
      <w:bookmarkStart w:id="685" w:name="_Toc6240_WPSOffice_Level2"/>
      <w:r>
        <w:rPr>
          <w:rFonts w:hint="eastAsia" w:ascii="宋体" w:hAnsi="宋体" w:eastAsia="宋体" w:cs="宋体"/>
          <w:b/>
          <w:color w:val="auto"/>
          <w:szCs w:val="24"/>
          <w:highlight w:val="none"/>
        </w:rPr>
        <w:t>（2）法定代表人授权书格式</w:t>
      </w:r>
      <w:bookmarkEnd w:id="682"/>
      <w:bookmarkEnd w:id="683"/>
      <w:bookmarkEnd w:id="684"/>
      <w:bookmarkEnd w:id="685"/>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686" w:name="_Toc29146_WPSOffice_Level3"/>
      <w:r>
        <w:rPr>
          <w:rFonts w:hint="eastAsia" w:ascii="宋体" w:hAnsi="宋体" w:eastAsia="宋体" w:cs="宋体"/>
          <w:b/>
          <w:bCs/>
          <w:color w:val="auto"/>
          <w:sz w:val="30"/>
          <w:szCs w:val="30"/>
          <w:highlight w:val="none"/>
          <w:lang w:val="zh-CN"/>
        </w:rPr>
        <w:t>法定代表人授权书</w:t>
      </w:r>
      <w:bookmarkEnd w:id="686"/>
    </w:p>
    <w:p>
      <w:pPr>
        <w:autoSpaceDE w:val="0"/>
        <w:autoSpaceDN w:val="0"/>
        <w:adjustRightInd w:val="0"/>
        <w:spacing w:line="360" w:lineRule="auto"/>
        <w:jc w:val="center"/>
        <w:rPr>
          <w:rFonts w:hint="eastAsia" w:ascii="宋体" w:hAnsi="宋体" w:eastAsia="宋体" w:cs="宋体"/>
          <w:color w:val="auto"/>
          <w:szCs w:val="28"/>
          <w:highlight w:val="none"/>
          <w:lang w:val="zh-CN"/>
        </w:rPr>
      </w:pPr>
    </w:p>
    <w:p>
      <w:pPr>
        <w:spacing w:before="120" w:after="12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致：</w:t>
      </w:r>
      <w:r>
        <w:rPr>
          <w:rFonts w:hint="eastAsia" w:ascii="宋体" w:hAnsi="宋体" w:eastAsia="宋体" w:cs="宋体"/>
          <w:color w:val="auto"/>
          <w:szCs w:val="24"/>
          <w:highlight w:val="none"/>
        </w:rPr>
        <w:t>东莞市水务集团建设管理有限公司</w:t>
      </w:r>
    </w:p>
    <w:p>
      <w:pPr>
        <w:spacing w:before="120" w:after="120"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东莞市茶山镇污水处理厂改扩建项目第三方监测服务采购项目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HSDG2024006</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hint="eastAsia" w:ascii="宋体" w:hAnsi="宋体" w:eastAsia="宋体" w:cs="宋体"/>
          <w:color w:val="auto"/>
          <w:szCs w:val="24"/>
          <w:highlight w:val="none"/>
        </w:rPr>
      </w:pP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被授权人身份证反面</w:t>
                      </w:r>
                    </w:p>
                    <w:p/>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rPr>
                          <w:rFonts w:hint="eastAsia" w:ascii="宋体" w:hAnsi="宋体" w:eastAsia="宋体" w:cs="宋体"/>
                        </w:rPr>
                      </w:pPr>
                      <w:r>
                        <w:rPr>
                          <w:rFonts w:hint="eastAsia" w:ascii="宋体" w:hAnsi="宋体" w:eastAsia="宋体" w:cs="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hint="eastAsia"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6"/>
        <w:pageBreakBefore/>
        <w:spacing w:line="360" w:lineRule="auto"/>
        <w:rPr>
          <w:rFonts w:hint="eastAsia" w:ascii="宋体" w:hAnsi="宋体" w:eastAsia="宋体" w:cs="宋体"/>
          <w:b/>
          <w:color w:val="auto"/>
          <w:sz w:val="30"/>
          <w:szCs w:val="30"/>
          <w:highlight w:val="none"/>
          <w:lang w:val="zh-CN"/>
        </w:rPr>
      </w:pPr>
      <w:bookmarkStart w:id="687" w:name="_Toc12400"/>
      <w:bookmarkStart w:id="688" w:name="_Toc15716"/>
      <w:bookmarkStart w:id="689" w:name="_Toc32328"/>
      <w:bookmarkStart w:id="690" w:name="_Toc9836"/>
      <w:bookmarkStart w:id="691" w:name="_Toc20174"/>
      <w:bookmarkStart w:id="692" w:name="_Toc20021"/>
      <w:bookmarkStart w:id="693" w:name="_Toc140596933"/>
      <w:bookmarkStart w:id="694" w:name="_Toc94107214"/>
      <w:bookmarkStart w:id="695" w:name="_Toc1977730"/>
      <w:bookmarkStart w:id="696" w:name="_Toc104991880"/>
      <w:bookmarkStart w:id="697" w:name="_Toc142508373"/>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w:t>
      </w:r>
      <w:bookmarkEnd w:id="687"/>
      <w:bookmarkEnd w:id="688"/>
      <w:bookmarkEnd w:id="689"/>
      <w:r>
        <w:rPr>
          <w:rFonts w:hint="eastAsia" w:ascii="宋体" w:hAnsi="宋体" w:eastAsia="宋体" w:cs="宋体"/>
          <w:b/>
          <w:bCs/>
          <w:color w:val="auto"/>
          <w:sz w:val="32"/>
          <w:szCs w:val="32"/>
          <w:highlight w:val="none"/>
        </w:rPr>
        <w:t>投标人提供一</w:t>
      </w:r>
      <w:r>
        <w:rPr>
          <w:rFonts w:hint="eastAsia" w:ascii="宋体" w:hAnsi="宋体" w:eastAsia="宋体" w:cs="宋体"/>
          <w:b/>
          <w:bCs/>
          <w:color w:val="auto"/>
          <w:sz w:val="32"/>
          <w:szCs w:val="32"/>
          <w:highlight w:val="none"/>
          <w:lang w:eastAsia="zh-CN"/>
        </w:rPr>
        <w:t>项</w:t>
      </w:r>
      <w:r>
        <w:rPr>
          <w:rFonts w:hint="eastAsia" w:ascii="宋体" w:hAnsi="宋体" w:eastAsia="宋体" w:cs="宋体"/>
          <w:b/>
          <w:bCs/>
          <w:color w:val="auto"/>
          <w:sz w:val="32"/>
          <w:szCs w:val="32"/>
          <w:highlight w:val="none"/>
        </w:rPr>
        <w:t>20</w:t>
      </w:r>
      <w:r>
        <w:rPr>
          <w:rFonts w:hint="eastAsia" w:ascii="宋体" w:hAnsi="宋体" w:eastAsia="宋体" w:cs="宋体"/>
          <w:b/>
          <w:bCs/>
          <w:color w:val="auto"/>
          <w:sz w:val="32"/>
          <w:szCs w:val="32"/>
          <w:highlight w:val="none"/>
          <w:lang w:val="en-US" w:eastAsia="zh-CN"/>
        </w:rPr>
        <w:t>21</w:t>
      </w:r>
      <w:r>
        <w:rPr>
          <w:rFonts w:hint="eastAsia" w:ascii="宋体" w:hAnsi="宋体" w:eastAsia="宋体" w:cs="宋体"/>
          <w:b/>
          <w:bCs/>
          <w:color w:val="auto"/>
          <w:sz w:val="32"/>
          <w:szCs w:val="32"/>
          <w:highlight w:val="none"/>
        </w:rPr>
        <w:t>年1月1日以来市政工程监测业绩（合同签订日期为20</w:t>
      </w:r>
      <w:r>
        <w:rPr>
          <w:rFonts w:hint="eastAsia" w:ascii="宋体" w:hAnsi="宋体" w:eastAsia="宋体" w:cs="宋体"/>
          <w:b/>
          <w:bCs/>
          <w:color w:val="auto"/>
          <w:sz w:val="32"/>
          <w:szCs w:val="32"/>
          <w:highlight w:val="none"/>
          <w:lang w:val="en-US" w:eastAsia="zh-CN"/>
        </w:rPr>
        <w:t>21</w:t>
      </w:r>
      <w:r>
        <w:rPr>
          <w:rFonts w:hint="eastAsia" w:ascii="宋体" w:hAnsi="宋体" w:eastAsia="宋体" w:cs="宋体"/>
          <w:b/>
          <w:bCs/>
          <w:color w:val="auto"/>
          <w:sz w:val="32"/>
          <w:szCs w:val="32"/>
          <w:highlight w:val="none"/>
        </w:rPr>
        <w:t>年1月1日或以后）】</w:t>
      </w:r>
      <w:bookmarkEnd w:id="690"/>
      <w:bookmarkEnd w:id="691"/>
      <w:bookmarkEnd w:id="692"/>
    </w:p>
    <w:p>
      <w:pPr>
        <w:spacing w:line="360" w:lineRule="auto"/>
        <w:rPr>
          <w:rFonts w:hint="eastAsia" w:ascii="宋体" w:hAnsi="宋体" w:eastAsia="宋体" w:cs="宋体"/>
          <w:b/>
          <w:color w:val="auto"/>
          <w:szCs w:val="21"/>
          <w:highlight w:val="none"/>
          <w:lang w:val="zh-CN"/>
        </w:rPr>
      </w:pPr>
    </w:p>
    <w:tbl>
      <w:tblPr>
        <w:tblStyle w:val="36"/>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87"/>
        <w:gridCol w:w="1305"/>
        <w:gridCol w:w="1388"/>
        <w:gridCol w:w="1088"/>
        <w:gridCol w:w="676"/>
        <w:gridCol w:w="598"/>
        <w:gridCol w:w="825"/>
        <w:gridCol w:w="812"/>
        <w:gridCol w:w="1035"/>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2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6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60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37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5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4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57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1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6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5"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4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1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2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6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5"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4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1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2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6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5"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4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1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72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66"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0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3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5"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4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1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（1）业绩须附合同复印件；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（2）合同等业绩证明材料必须能反映评审条件：</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1）合同签订日期为20</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lang w:val="zh-CN"/>
        </w:rPr>
        <w:t>年1月1日或以后；</w:t>
      </w:r>
    </w:p>
    <w:p>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2）业绩类型为市政工程监测。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szCs w:val="24"/>
          <w:highlight w:val="none"/>
          <w:lang w:val="zh-CN"/>
        </w:rPr>
        <w:t>（3）未按上述要求在此格式下提供证明材料的业绩，或在此格式下所附材料无法证明符合资格要求的业绩，按无效投标文件处理。</w:t>
      </w: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hint="eastAsia" w:ascii="宋体" w:hAnsi="宋体" w:eastAsia="宋体" w:cs="宋体"/>
          <w:b/>
          <w:bCs/>
          <w:color w:val="auto"/>
          <w:sz w:val="32"/>
          <w:szCs w:val="32"/>
          <w:highlight w:val="none"/>
          <w:lang w:val="zh-CN"/>
        </w:rPr>
      </w:pPr>
      <w:bookmarkStart w:id="698" w:name="_Toc11232"/>
      <w:bookmarkStart w:id="699" w:name="_Toc7508"/>
      <w:bookmarkStart w:id="700" w:name="_Toc21843"/>
      <w:bookmarkStart w:id="701" w:name="_Toc24392"/>
      <w:bookmarkStart w:id="702" w:name="_Toc8121"/>
      <w:bookmarkStart w:id="703" w:name="_Toc32189"/>
      <w:r>
        <w:rPr>
          <w:rFonts w:hint="eastAsia" w:ascii="宋体" w:hAnsi="宋体" w:eastAsia="宋体" w:cs="宋体"/>
          <w:b/>
          <w:color w:val="auto"/>
          <w:kern w:val="0"/>
          <w:sz w:val="30"/>
          <w:szCs w:val="30"/>
          <w:highlight w:val="none"/>
          <w:lang w:val="en-US" w:eastAsia="zh-CN"/>
        </w:rPr>
        <w:t xml:space="preserve">6.6 </w:t>
      </w:r>
      <w:r>
        <w:rPr>
          <w:rFonts w:hint="eastAsia" w:ascii="宋体" w:hAnsi="宋体" w:eastAsia="宋体" w:cs="宋体"/>
          <w:b/>
          <w:color w:val="auto"/>
          <w:kern w:val="0"/>
          <w:sz w:val="30"/>
          <w:szCs w:val="30"/>
          <w:highlight w:val="none"/>
        </w:rPr>
        <w:t>最近3年投标人牵涉的其他（失信和违法）处罚说明格式</w:t>
      </w:r>
      <w:bookmarkEnd w:id="693"/>
      <w:bookmarkEnd w:id="694"/>
      <w:bookmarkEnd w:id="695"/>
      <w:bookmarkEnd w:id="696"/>
      <w:bookmarkEnd w:id="697"/>
      <w:bookmarkEnd w:id="698"/>
      <w:bookmarkEnd w:id="699"/>
      <w:bookmarkEnd w:id="700"/>
      <w:bookmarkEnd w:id="701"/>
      <w:bookmarkEnd w:id="702"/>
      <w:bookmarkEnd w:id="703"/>
    </w:p>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27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bl>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hint="eastAsia" w:ascii="宋体" w:hAnsi="宋体" w:eastAsia="宋体" w:cs="宋体"/>
          <w:b/>
          <w:bCs/>
          <w:color w:val="auto"/>
          <w:kern w:val="0"/>
          <w:szCs w:val="21"/>
          <w:highlight w:val="none"/>
          <w:lang w:val="zh-CN"/>
        </w:rPr>
      </w:pPr>
    </w:p>
    <w:p>
      <w:pPr>
        <w:autoSpaceDE w:val="0"/>
        <w:autoSpaceDN w:val="0"/>
        <w:adjustRightInd w:val="0"/>
        <w:spacing w:line="360" w:lineRule="auto"/>
        <w:jc w:val="center"/>
        <w:rPr>
          <w:rFonts w:hint="eastAsia" w:ascii="宋体" w:hAnsi="宋体" w:eastAsia="宋体" w:cs="宋体"/>
          <w:color w:val="auto"/>
          <w:kern w:val="0"/>
          <w:sz w:val="24"/>
          <w:szCs w:val="24"/>
          <w:highlight w:val="none"/>
        </w:rPr>
      </w:pPr>
    </w:p>
    <w:p>
      <w:pPr>
        <w:spacing w:line="360" w:lineRule="auto"/>
        <w:ind w:firstLine="494" w:firstLineChars="206"/>
        <w:rPr>
          <w:rFonts w:hint="eastAsia" w:ascii="宋体" w:hAnsi="宋体" w:eastAsia="宋体" w:cs="宋体"/>
          <w:color w:val="auto"/>
          <w:kern w:val="0"/>
          <w:sz w:val="24"/>
          <w:szCs w:val="24"/>
          <w:highlight w:val="none"/>
        </w:rPr>
      </w:pPr>
    </w:p>
    <w:p>
      <w:pPr>
        <w:spacing w:line="360" w:lineRule="auto"/>
        <w:ind w:firstLine="494" w:firstLineChars="206"/>
        <w:rPr>
          <w:rFonts w:hint="eastAsia" w:ascii="宋体" w:hAnsi="宋体" w:eastAsia="宋体" w:cs="宋体"/>
          <w:color w:val="auto"/>
          <w:kern w:val="0"/>
          <w:sz w:val="24"/>
          <w:szCs w:val="24"/>
          <w:highlight w:val="none"/>
        </w:rPr>
      </w:pPr>
    </w:p>
    <w:p>
      <w:pPr>
        <w:spacing w:line="360" w:lineRule="auto"/>
        <w:ind w:firstLine="494" w:firstLineChars="206"/>
        <w:rPr>
          <w:rFonts w:hint="eastAsia" w:ascii="宋体" w:hAnsi="宋体" w:eastAsia="宋体" w:cs="宋体"/>
          <w:color w:val="auto"/>
          <w:kern w:val="0"/>
          <w:sz w:val="24"/>
          <w:szCs w:val="24"/>
          <w:highlight w:val="none"/>
        </w:rPr>
      </w:pPr>
    </w:p>
    <w:p>
      <w:pPr>
        <w:spacing w:line="360" w:lineRule="auto"/>
        <w:ind w:right="368" w:rightChars="175" w:firstLine="5460" w:firstLineChars="26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pPr>
        <w:rPr>
          <w:rFonts w:hint="eastAsia" w:ascii="宋体" w:hAnsi="宋体" w:eastAsia="宋体" w:cs="宋体"/>
          <w:color w:val="auto"/>
          <w:szCs w:val="24"/>
          <w:highlight w:val="none"/>
          <w:lang w:val="zh-CN"/>
        </w:rPr>
      </w:pPr>
      <w:bookmarkStart w:id="704" w:name="_Toc94107215"/>
      <w:bookmarkStart w:id="705" w:name="_Toc104991881"/>
      <w:bookmarkStart w:id="706" w:name="_Toc102860423"/>
      <w:bookmarkStart w:id="707" w:name="_Toc2031_WPSOffice_Level2"/>
      <w:bookmarkStart w:id="708" w:name="_Toc533708126"/>
      <w:bookmarkStart w:id="709" w:name="_Toc1977731"/>
      <w:bookmarkStart w:id="710" w:name="_Toc142508374"/>
      <w:bookmarkStart w:id="711" w:name="_Toc486167714"/>
      <w:bookmarkStart w:id="712" w:name="_Toc30939"/>
      <w:bookmarkStart w:id="713" w:name="_Toc140596934"/>
      <w:bookmarkStart w:id="714" w:name="_Toc102860079"/>
      <w:bookmarkStart w:id="715" w:name="_Toc6412"/>
      <w:r>
        <w:rPr>
          <w:rFonts w:hint="eastAsia" w:ascii="宋体" w:hAnsi="宋体" w:eastAsia="宋体" w:cs="宋体"/>
          <w:color w:val="auto"/>
          <w:szCs w:val="24"/>
          <w:highlight w:val="none"/>
          <w:lang w:val="zh-CN"/>
        </w:rPr>
        <w:br w:type="page"/>
      </w:r>
    </w:p>
    <w:p>
      <w:pPr>
        <w:tabs>
          <w:tab w:val="left" w:pos="567"/>
        </w:tabs>
        <w:autoSpaceDE w:val="0"/>
        <w:autoSpaceDN w:val="0"/>
        <w:adjustRightInd w:val="0"/>
        <w:spacing w:line="360" w:lineRule="auto"/>
        <w:jc w:val="left"/>
        <w:outlineLvl w:val="2"/>
        <w:rPr>
          <w:rFonts w:hint="eastAsia" w:ascii="宋体" w:hAnsi="宋体" w:eastAsia="宋体" w:cs="宋体"/>
          <w:color w:val="auto"/>
          <w:kern w:val="0"/>
          <w:szCs w:val="21"/>
          <w:highlight w:val="none"/>
          <w:u w:val="single"/>
        </w:rPr>
      </w:pPr>
      <w:bookmarkStart w:id="716" w:name="_Toc21629"/>
      <w:bookmarkStart w:id="717" w:name="_Toc18771"/>
      <w:bookmarkStart w:id="718" w:name="_Toc28057"/>
      <w:bookmarkStart w:id="719" w:name="_Toc1750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kern w:val="0"/>
          <w:sz w:val="32"/>
          <w:szCs w:val="32"/>
          <w:highlight w:val="none"/>
        </w:rPr>
        <w:t>、投标人基本情况一览表</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720" w:name="_Toc2773_WPSOffice_Level3"/>
      <w:r>
        <w:rPr>
          <w:rFonts w:hint="eastAsia" w:ascii="宋体" w:hAnsi="宋体" w:eastAsia="宋体" w:cs="宋体"/>
          <w:b/>
          <w:bCs/>
          <w:color w:val="auto"/>
          <w:sz w:val="30"/>
          <w:szCs w:val="30"/>
          <w:highlight w:val="none"/>
          <w:lang w:val="zh-CN"/>
        </w:rPr>
        <w:t>投标人基本情况一览表</w:t>
      </w:r>
      <w:bookmarkEnd w:id="720"/>
    </w:p>
    <w:p>
      <w:pPr>
        <w:autoSpaceDE w:val="0"/>
        <w:autoSpaceDN w:val="0"/>
        <w:adjustRightIn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hint="eastAsia" w:ascii="宋体" w:hAnsi="宋体" w:eastAsia="宋体" w:cs="宋体"/>
          <w:color w:val="auto"/>
          <w:szCs w:val="24"/>
          <w:highlight w:val="none"/>
        </w:rPr>
      </w:pPr>
    </w:p>
    <w:p>
      <w:pPr>
        <w:autoSpaceDE w:val="0"/>
        <w:autoSpaceDN w:val="0"/>
        <w:adjustRightInd w:val="0"/>
        <w:spacing w:line="360" w:lineRule="auto"/>
        <w:ind w:right="368" w:rightChars="175"/>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21" w:name="_Toc27491"/>
      <w:bookmarkStart w:id="722" w:name="_Toc29014"/>
      <w:bookmarkStart w:id="723" w:name="_Toc142508375"/>
      <w:bookmarkStart w:id="724" w:name="_Toc94107216"/>
      <w:bookmarkStart w:id="725" w:name="_Toc102860080"/>
      <w:bookmarkStart w:id="726" w:name="_Toc27925"/>
      <w:bookmarkStart w:id="727" w:name="_Toc104991882"/>
      <w:bookmarkStart w:id="728" w:name="_Toc4023"/>
      <w:bookmarkStart w:id="729" w:name="_Toc140596935"/>
      <w:bookmarkStart w:id="730" w:name="_Toc10443"/>
      <w:bookmarkStart w:id="731" w:name="_Toc12189"/>
      <w:bookmarkStart w:id="732" w:name="_Toc102860424"/>
      <w:bookmarkStart w:id="733" w:name="_Toc486167715"/>
      <w:bookmarkStart w:id="734" w:name="_Toc1977733"/>
      <w:bookmarkStart w:id="735" w:name="_Toc9051_WPSOffice_Level2"/>
      <w:bookmarkStart w:id="736" w:name="_Toc533708128"/>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val="zh-CN"/>
        </w:rPr>
        <w:t>、投标人财务状况表格式</w:t>
      </w:r>
      <w:bookmarkEnd w:id="721"/>
      <w:bookmarkEnd w:id="722"/>
      <w:bookmarkEnd w:id="723"/>
      <w:bookmarkEnd w:id="724"/>
      <w:bookmarkEnd w:id="725"/>
      <w:bookmarkEnd w:id="726"/>
      <w:bookmarkEnd w:id="727"/>
      <w:bookmarkEnd w:id="728"/>
      <w:bookmarkEnd w:id="729"/>
      <w:bookmarkEnd w:id="730"/>
      <w:bookmarkEnd w:id="731"/>
      <w:bookmarkEnd w:id="732"/>
    </w:p>
    <w:p>
      <w:pPr>
        <w:autoSpaceDE w:val="0"/>
        <w:autoSpaceDN w:val="0"/>
        <w:adjustRightInd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hint="eastAsia"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33"/>
    <w:bookmarkEnd w:id="734"/>
    <w:bookmarkEnd w:id="735"/>
    <w:bookmarkEnd w:id="736"/>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bookmarkStart w:id="737" w:name="_Toc13233"/>
      <w:bookmarkStart w:id="738" w:name="_Toc102860425"/>
      <w:bookmarkStart w:id="739" w:name="_Toc26821"/>
      <w:bookmarkStart w:id="740" w:name="_Toc333"/>
      <w:bookmarkStart w:id="741" w:name="_Toc24088"/>
      <w:bookmarkStart w:id="742" w:name="_Toc140596936"/>
      <w:bookmarkStart w:id="743" w:name="_Toc13360"/>
      <w:bookmarkStart w:id="744" w:name="_Toc486167716"/>
      <w:bookmarkStart w:id="745" w:name="_Toc739_WPSOffice_Level2"/>
      <w:bookmarkStart w:id="746" w:name="_Toc142508376"/>
      <w:bookmarkStart w:id="747" w:name="_Toc17995"/>
      <w:bookmarkStart w:id="748" w:name="_Toc94107217"/>
      <w:bookmarkStart w:id="749" w:name="_Toc102860081"/>
      <w:bookmarkStart w:id="750" w:name="_Toc533708130"/>
      <w:bookmarkStart w:id="751" w:name="_Toc1977736"/>
      <w:bookmarkStart w:id="752" w:name="_Toc104991883"/>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753" w:name="_Toc26412_WPSOffice_Level3"/>
      <w:r>
        <w:rPr>
          <w:rFonts w:hint="eastAsia" w:ascii="宋体" w:hAnsi="宋体" w:eastAsia="宋体" w:cs="宋体"/>
          <w:b/>
          <w:bCs/>
          <w:color w:val="auto"/>
          <w:kern w:val="0"/>
          <w:sz w:val="28"/>
          <w:szCs w:val="30"/>
          <w:highlight w:val="none"/>
          <w:lang w:val="zh-CN"/>
        </w:rPr>
        <w:t>东莞市茶山镇污水处理厂改扩建项目第三方监测服务采购项目合同条款偏离表</w:t>
      </w:r>
      <w:bookmarkEnd w:id="753"/>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425"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一</w:t>
            </w:r>
          </w:p>
        </w:tc>
        <w:tc>
          <w:tcPr>
            <w:tcW w:w="3055" w:type="dxa"/>
            <w:vAlign w:val="top"/>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工程概况</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二</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服务概况</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三</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服务价格及合同价款</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四</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付款方式</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五</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履约担保</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六</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甲方权利和义务</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七</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乙方权利和义务</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八</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违约责任</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九</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争议解决</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十</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val="en-US" w:eastAsia="zh-CN"/>
              </w:rPr>
              <w:t>约定</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十一</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附则</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附件一</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《监测工程量清单计价表》</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附件二</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廉洁协议书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附件三</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安全生产责任书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附件四</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诚信履约承诺书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附件五</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监测单位履约考核评分表</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一</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不可撤销银行履约保函</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二</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履约保证保险凭证</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pStyle w:val="61"/>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三</w:t>
            </w:r>
          </w:p>
        </w:tc>
        <w:tc>
          <w:tcPr>
            <w:tcW w:w="3055" w:type="dxa"/>
            <w:vAlign w:val="center"/>
          </w:tcPr>
          <w:p>
            <w:pPr>
              <w:pStyle w:val="61"/>
              <w:keepNext w:val="0"/>
              <w:keepLines w:val="0"/>
              <w:suppressLineNumbers w:val="0"/>
              <w:snapToGrid w:val="0"/>
              <w:spacing w:before="0" w:beforeAutospacing="0" w:after="0" w:afterAutospacing="0" w:line="400" w:lineRule="exact"/>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w:t>
            </w:r>
          </w:p>
        </w:tc>
        <w:tc>
          <w:tcPr>
            <w:tcW w:w="134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3524"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pPr>
        <w:spacing w:line="360" w:lineRule="auto"/>
        <w:ind w:left="357" w:leftChars="-100" w:hanging="567" w:hangingChars="270"/>
        <w:rPr>
          <w:rFonts w:hint="eastAsia" w:ascii="宋体" w:hAnsi="宋体" w:eastAsia="宋体" w:cs="宋体"/>
          <w:color w:val="auto"/>
          <w:szCs w:val="21"/>
          <w:highlight w:val="none"/>
        </w:rPr>
      </w:pPr>
    </w:p>
    <w:p>
      <w:pPr>
        <w:spacing w:line="360" w:lineRule="auto"/>
        <w:ind w:left="357" w:leftChars="-100" w:hanging="567" w:hangingChars="270"/>
        <w:rPr>
          <w:rFonts w:hint="eastAsia" w:ascii="宋体" w:hAnsi="宋体" w:eastAsia="宋体" w:cs="宋体"/>
          <w:color w:val="auto"/>
          <w:szCs w:val="21"/>
          <w:highlight w:val="none"/>
        </w:rPr>
      </w:pPr>
    </w:p>
    <w:p>
      <w:pPr>
        <w:spacing w:line="360" w:lineRule="auto"/>
        <w:ind w:left="357" w:leftChars="-100" w:hanging="567" w:hangingChars="270"/>
        <w:rPr>
          <w:rFonts w:hint="eastAsia" w:ascii="宋体" w:hAnsi="宋体" w:eastAsia="宋体" w:cs="宋体"/>
          <w:color w:val="auto"/>
          <w:szCs w:val="21"/>
          <w:highlight w:val="none"/>
        </w:rPr>
      </w:pPr>
    </w:p>
    <w:p>
      <w:pPr>
        <w:spacing w:line="360" w:lineRule="auto"/>
        <w:ind w:right="368" w:rightChars="175" w:firstLine="5355" w:firstLineChars="25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54" w:name="_Toc22644"/>
      <w:bookmarkStart w:id="755" w:name="_Toc13179"/>
      <w:bookmarkStart w:id="756" w:name="_Toc5032"/>
      <w:bookmarkStart w:id="757" w:name="_Toc102860082"/>
      <w:bookmarkStart w:id="758" w:name="_Toc142508377"/>
      <w:bookmarkStart w:id="759" w:name="_Toc94107218"/>
      <w:bookmarkStart w:id="760" w:name="_Toc5473"/>
      <w:bookmarkStart w:id="761" w:name="_Toc29505"/>
      <w:bookmarkStart w:id="762" w:name="_Toc704"/>
      <w:bookmarkStart w:id="763" w:name="_Toc104991884"/>
      <w:bookmarkStart w:id="764" w:name="_Toc140596937"/>
      <w:bookmarkStart w:id="765" w:name="_Toc102860426"/>
      <w:bookmarkStart w:id="766" w:name="_Toc27980_WPSOffice_Level2"/>
      <w:bookmarkStart w:id="767" w:name="_Toc486167717"/>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754"/>
      <w:bookmarkEnd w:id="755"/>
      <w:bookmarkEnd w:id="756"/>
      <w:bookmarkEnd w:id="757"/>
      <w:bookmarkEnd w:id="758"/>
      <w:bookmarkEnd w:id="759"/>
      <w:bookmarkEnd w:id="760"/>
      <w:bookmarkEnd w:id="761"/>
      <w:bookmarkEnd w:id="762"/>
      <w:bookmarkEnd w:id="763"/>
      <w:bookmarkEnd w:id="764"/>
      <w:bookmarkEnd w:id="765"/>
    </w:p>
    <w:p>
      <w:pPr>
        <w:autoSpaceDE w:val="0"/>
        <w:autoSpaceDN w:val="0"/>
        <w:adjustRightInd w:val="0"/>
        <w:spacing w:line="360" w:lineRule="auto"/>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投标人2019年1月1日至今在国内完成的市政工程监测业绩表</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6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8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（1）业绩按单项合同采购金额从高到低的方式排列；同一个单项合同的业绩可以同时在资格业绩和评分业绩重复放置。</w:t>
      </w:r>
    </w:p>
    <w:p>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）业绩须附合同复印件加盖投标人公章，否则不得分；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合同等业绩证明材料必须能反映评分条件[合同签订日期为2019年1月1日或以后，业绩类型为市政工程监测，合同金额]，若合同内容无法反映合同金额的，需提供可反映合同金额的结算资料复印件，否则需同时提供业主出具的书面补充情况说明文件（须加盖业主单位公章）复印件；；</w:t>
      </w:r>
    </w:p>
    <w:p>
      <w:pPr>
        <w:autoSpaceDE w:val="0"/>
        <w:autoSpaceDN w:val="0"/>
        <w:adjustRightInd w:val="0"/>
        <w:snapToGrid w:val="0"/>
        <w:spacing w:line="360" w:lineRule="auto"/>
        <w:ind w:left="483" w:leftChars="-41"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4</w:t>
      </w:r>
      <w:r>
        <w:rPr>
          <w:rFonts w:hint="eastAsia" w:ascii="宋体" w:hAnsi="宋体" w:eastAsia="宋体" w:cs="宋体"/>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b/>
          <w:bCs/>
          <w:color w:val="auto"/>
          <w:kern w:val="0"/>
          <w:szCs w:val="21"/>
          <w:highlight w:val="none"/>
        </w:rPr>
        <w:t>。</w:t>
      </w:r>
    </w:p>
    <w:p>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p>
      <w:pPr>
        <w:autoSpaceDE w:val="0"/>
        <w:autoSpaceDN w:val="0"/>
        <w:adjustRightInd w:val="0"/>
        <w:spacing w:line="360" w:lineRule="auto"/>
        <w:ind w:firstLine="5040" w:firstLineChars="240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pPr>
        <w:autoSpaceDE w:val="0"/>
        <w:autoSpaceDN w:val="0"/>
        <w:adjustRightInd w:val="0"/>
        <w:spacing w:line="360" w:lineRule="auto"/>
        <w:rPr>
          <w:rFonts w:hint="eastAsia" w:ascii="宋体" w:hAnsi="宋体" w:eastAsia="宋体" w:cs="宋体"/>
          <w:b/>
          <w:bCs/>
          <w:color w:val="auto"/>
          <w:sz w:val="30"/>
          <w:szCs w:val="30"/>
          <w:highlight w:val="none"/>
          <w:lang w:val="zh-CN"/>
        </w:rPr>
      </w:pPr>
    </w:p>
    <w:p>
      <w:pPr>
        <w:autoSpaceDE w:val="0"/>
        <w:autoSpaceDN w:val="0"/>
        <w:adjustRightInd w:val="0"/>
        <w:spacing w:line="360" w:lineRule="auto"/>
        <w:ind w:firstLine="602"/>
        <w:rPr>
          <w:rFonts w:hint="eastAsia" w:ascii="宋体" w:hAnsi="宋体" w:eastAsia="宋体" w:cs="宋体"/>
          <w:b/>
          <w:bCs/>
          <w:color w:val="auto"/>
          <w:sz w:val="30"/>
          <w:szCs w:val="30"/>
          <w:highlight w:val="none"/>
          <w:lang w:val="zh-CN"/>
        </w:rPr>
      </w:pPr>
    </w:p>
    <w:bookmarkEnd w:id="766"/>
    <w:bookmarkEnd w:id="767"/>
    <w:p>
      <w:pPr>
        <w:rPr>
          <w:rFonts w:hint="eastAsia" w:ascii="宋体" w:hAnsi="宋体" w:eastAsia="宋体" w:cs="宋体"/>
          <w:b/>
          <w:bCs/>
          <w:color w:val="auto"/>
          <w:kern w:val="0"/>
          <w:sz w:val="32"/>
          <w:szCs w:val="32"/>
          <w:highlight w:val="none"/>
          <w:lang w:val="zh-CN"/>
        </w:rPr>
      </w:pPr>
      <w:bookmarkStart w:id="768" w:name="_Toc102860427"/>
      <w:bookmarkStart w:id="769" w:name="_Toc142508378"/>
      <w:bookmarkStart w:id="770" w:name="_Toc19890"/>
      <w:bookmarkStart w:id="771" w:name="_Toc18175_WPSOffice_Level2"/>
      <w:bookmarkStart w:id="772" w:name="_Toc31965"/>
      <w:bookmarkStart w:id="773" w:name="_Toc102860083"/>
      <w:bookmarkStart w:id="774" w:name="_Toc486167719"/>
      <w:bookmarkStart w:id="775" w:name="_Toc18413"/>
      <w:bookmarkStart w:id="776" w:name="_Toc104991885"/>
      <w:bookmarkStart w:id="777" w:name="_Toc1977737"/>
      <w:bookmarkStart w:id="778" w:name="_Toc533708132"/>
      <w:bookmarkStart w:id="779" w:name="_Toc94107220"/>
      <w:bookmarkStart w:id="780" w:name="_Toc140596938"/>
      <w:r>
        <w:rPr>
          <w:rFonts w:hint="eastAsia" w:ascii="宋体" w:hAnsi="宋体" w:eastAsia="宋体" w:cs="宋体"/>
          <w:b/>
          <w:bCs/>
          <w:color w:val="auto"/>
          <w:kern w:val="0"/>
          <w:sz w:val="32"/>
          <w:szCs w:val="32"/>
          <w:highlight w:val="none"/>
          <w:lang w:val="zh-CN"/>
        </w:rPr>
        <w:br w:type="page"/>
      </w:r>
    </w:p>
    <w:p>
      <w:pPr>
        <w:widowControl/>
        <w:autoSpaceDE/>
        <w:autoSpaceDN/>
        <w:adjustRightInd/>
        <w:outlineLvl w:val="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十一</w:t>
      </w:r>
      <w:r>
        <w:rPr>
          <w:rFonts w:hint="eastAsia" w:ascii="宋体" w:hAnsi="宋体" w:eastAsia="宋体" w:cs="宋体"/>
          <w:b/>
          <w:color w:val="auto"/>
          <w:sz w:val="32"/>
          <w:szCs w:val="32"/>
          <w:highlight w:val="none"/>
        </w:rPr>
        <w:t>、拟投入人员情况格式</w:t>
      </w:r>
    </w:p>
    <w:p>
      <w:pPr>
        <w:spacing w:before="120" w:beforeLines="50"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（1）拟投入人员情况一览表</w:t>
      </w:r>
    </w:p>
    <w:tbl>
      <w:tblPr>
        <w:tblStyle w:val="3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职称证书/资格证书/</w:t>
            </w:r>
            <w:r>
              <w:rPr>
                <w:rFonts w:hint="eastAsia" w:ascii="宋体" w:hAnsi="宋体" w:eastAsia="宋体" w:cs="宋体"/>
                <w:color w:val="auto"/>
                <w:kern w:val="2"/>
                <w:sz w:val="21"/>
                <w:szCs w:val="21"/>
                <w:highlight w:val="none"/>
              </w:rPr>
              <w:t>注册证书</w:t>
            </w: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69"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4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overflowPunct w:val="0"/>
        <w:autoSpaceDE/>
        <w:autoSpaceDN/>
        <w:adjustRightInd/>
        <w:spacing w:before="120" w:line="360" w:lineRule="auto"/>
        <w:ind w:left="267" w:leftChars="-73" w:hanging="420" w:hanging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（1）此表格式供参照，投标人可以根据本表格式内容自行划表填写。</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（2）以上人员须提供身份证、职称证书或资格证书或注册证书、社会保障部门出具的最近1年（即</w:t>
      </w:r>
      <w:r>
        <w:rPr>
          <w:rFonts w:hint="eastAsia" w:ascii="宋体" w:hAnsi="宋体" w:eastAsia="宋体" w:cs="宋体"/>
          <w:b/>
          <w:bCs/>
          <w:color w:val="auto"/>
          <w:sz w:val="21"/>
          <w:szCs w:val="21"/>
          <w:highlight w:val="none"/>
          <w:lang w:eastAsia="zh-CN"/>
        </w:rPr>
        <w:t>2023年</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月至2024年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月</w:t>
      </w:r>
      <w:r>
        <w:rPr>
          <w:rFonts w:hint="eastAsia" w:ascii="宋体" w:hAnsi="宋体" w:eastAsia="宋体" w:cs="宋体"/>
          <w:color w:val="auto"/>
          <w:kern w:val="2"/>
          <w:sz w:val="21"/>
          <w:szCs w:val="21"/>
          <w:highlight w:val="none"/>
        </w:rPr>
        <w:t>）在投标人单位缴纳社会养老保险有效凭证等证明材料复印件加盖投标人公章。</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（3）同一人员具备多个种类证书不重复得分。</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（4）同一人员具备同一种类证书含有多个专业的仅按一个专业计算一次得分。</w:t>
      </w:r>
    </w:p>
    <w:p>
      <w:pPr>
        <w:autoSpaceDE/>
        <w:autoSpaceDN/>
        <w:adjustRightInd/>
        <w:spacing w:line="360" w:lineRule="auto"/>
        <w:ind w:right="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（5）同一人员具备同一种类证书或同一个专业含有多个等级的仅按最高等级证书计算一次得分。</w:t>
      </w:r>
    </w:p>
    <w:p>
      <w:pPr>
        <w:autoSpaceDE/>
        <w:autoSpaceDN/>
        <w:adjustRightInd/>
        <w:spacing w:line="360" w:lineRule="auto"/>
        <w:ind w:right="420"/>
        <w:rPr>
          <w:rFonts w:hint="eastAsia" w:ascii="宋体" w:hAnsi="宋体" w:eastAsia="宋体" w:cs="宋体"/>
          <w:color w:val="auto"/>
          <w:kern w:val="2"/>
          <w:sz w:val="21"/>
          <w:szCs w:val="21"/>
          <w:highlight w:val="none"/>
          <w:lang w:val="zh-CN"/>
        </w:rPr>
      </w:pPr>
    </w:p>
    <w:p>
      <w:pPr>
        <w:autoSpaceDE/>
        <w:autoSpaceDN/>
        <w:adjustRightInd/>
        <w:spacing w:line="360" w:lineRule="auto"/>
        <w:ind w:right="420" w:firstLine="4935" w:firstLineChars="235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投标人：</w:t>
      </w:r>
      <w:r>
        <w:rPr>
          <w:rFonts w:hint="eastAsia" w:ascii="宋体" w:hAnsi="宋体" w:eastAsia="宋体" w:cs="宋体"/>
          <w:color w:val="auto"/>
          <w:sz w:val="21"/>
          <w:szCs w:val="21"/>
          <w:highlight w:val="none"/>
          <w:lang w:val="zh-CN"/>
        </w:rPr>
        <w:t>（加盖投标人法人公章）</w:t>
      </w:r>
    </w:p>
    <w:p>
      <w:pPr>
        <w:spacing w:line="360" w:lineRule="auto"/>
        <w:ind w:firstLine="4935" w:firstLineChars="2350"/>
        <w:jc w:val="both"/>
        <w:rPr>
          <w:rFonts w:hint="eastAsia" w:ascii="宋体" w:hAnsi="宋体" w:eastAsia="宋体" w:cs="宋体"/>
          <w:color w:val="auto"/>
          <w:kern w:val="2"/>
          <w:sz w:val="21"/>
          <w:highlight w:val="none"/>
          <w:lang w:val="zh-CN"/>
        </w:rPr>
      </w:pPr>
      <w:r>
        <w:rPr>
          <w:rFonts w:hint="eastAsia" w:ascii="宋体" w:hAnsi="宋体" w:eastAsia="宋体" w:cs="宋体"/>
          <w:color w:val="auto"/>
          <w:sz w:val="21"/>
          <w:szCs w:val="21"/>
          <w:highlight w:val="none"/>
        </w:rPr>
        <w:t xml:space="preserve">日  期：  </w:t>
      </w:r>
      <w:r>
        <w:rPr>
          <w:rFonts w:hint="eastAsia" w:ascii="宋体" w:hAnsi="宋体" w:eastAsia="宋体" w:cs="宋体"/>
          <w:color w:val="auto"/>
          <w:kern w:val="2"/>
          <w:sz w:val="21"/>
          <w:highlight w:val="none"/>
          <w:lang w:val="zh-CN"/>
        </w:rPr>
        <w:t>年  月  日</w:t>
      </w:r>
    </w:p>
    <w:p>
      <w:pPr>
        <w:spacing w:line="360" w:lineRule="auto"/>
        <w:ind w:firstLine="5040" w:firstLineChars="2400"/>
        <w:rPr>
          <w:rFonts w:hint="eastAsia" w:ascii="宋体" w:hAnsi="宋体" w:eastAsia="宋体" w:cs="宋体"/>
          <w:color w:val="auto"/>
          <w:kern w:val="2"/>
          <w:sz w:val="21"/>
          <w:highlight w:val="none"/>
          <w:lang w:val="zh-CN"/>
        </w:rPr>
      </w:pPr>
    </w:p>
    <w:p>
      <w:pPr>
        <w:spacing w:line="360" w:lineRule="auto"/>
        <w:ind w:firstLine="5040" w:firstLineChars="2400"/>
        <w:rPr>
          <w:rFonts w:hint="eastAsia" w:ascii="宋体" w:hAnsi="宋体" w:eastAsia="宋体" w:cs="宋体"/>
          <w:color w:val="auto"/>
          <w:kern w:val="2"/>
          <w:sz w:val="21"/>
          <w:highlight w:val="none"/>
          <w:lang w:val="zh-CN"/>
        </w:rPr>
      </w:pPr>
    </w:p>
    <w:p>
      <w:pPr>
        <w:pageBreakBefore/>
        <w:spacing w:line="360"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（2）拟投入项目负责人简历表</w:t>
      </w:r>
    </w:p>
    <w:tbl>
      <w:tblPr>
        <w:tblStyle w:val="36"/>
        <w:tblW w:w="5000" w:type="pct"/>
        <w:jc w:val="center"/>
        <w:tblLayout w:type="autofit"/>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tblPrEx>
          <w:tblCellMar>
            <w:top w:w="0" w:type="dxa"/>
            <w:left w:w="108" w:type="dxa"/>
            <w:bottom w:w="0" w:type="dxa"/>
            <w:right w:w="108" w:type="dxa"/>
          </w:tblCellMar>
        </w:tblPrEx>
        <w:trPr>
          <w:trHeight w:val="915" w:hRule="atLeast"/>
          <w:jc w:val="center"/>
        </w:trPr>
        <w:tc>
          <w:tcPr>
            <w:tcW w:w="1112" w:type="pc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00" w:type="pct"/>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0" w:type="pct"/>
            <w:tcBorders>
              <w:top w:val="single" w:color="auto" w:sz="8" w:space="0"/>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779"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709" w:type="pct"/>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112" w:type="pct"/>
            <w:tcBorders>
              <w:top w:val="nil"/>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00" w:type="pct"/>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0" w:type="pct"/>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79"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709" w:type="pct"/>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709" w:type="pct"/>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709" w:type="pct"/>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主要类似项目业绩</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发包单位</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本人在该项目中所任职务</w:t>
            </w:r>
          </w:p>
        </w:tc>
        <w:tc>
          <w:tcPr>
            <w:tcW w:w="953"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（1）拟投入本项目的项目负责人需提供本简历表。</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、社会保障部门出具的最近1年（即</w:t>
      </w:r>
      <w:r>
        <w:rPr>
          <w:rFonts w:hint="eastAsia" w:ascii="宋体" w:hAnsi="宋体" w:eastAsia="宋体" w:cs="宋体"/>
          <w:b/>
          <w:bCs/>
          <w:color w:val="auto"/>
          <w:sz w:val="21"/>
          <w:szCs w:val="21"/>
          <w:highlight w:val="none"/>
          <w:lang w:eastAsia="zh-CN"/>
        </w:rPr>
        <w:t>2023年</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月至2024年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月</w:t>
      </w:r>
      <w:r>
        <w:rPr>
          <w:rFonts w:hint="eastAsia" w:ascii="宋体" w:hAnsi="宋体" w:eastAsia="宋体" w:cs="宋体"/>
          <w:color w:val="auto"/>
          <w:kern w:val="2"/>
          <w:sz w:val="21"/>
          <w:szCs w:val="21"/>
          <w:highlight w:val="none"/>
        </w:rPr>
        <w:t>）在投标人单位缴纳社会养老保险有效凭证等证明材料复印件加盖投标人公章。</w:t>
      </w:r>
    </w:p>
    <w:p>
      <w:p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（3）项目负责人业绩须附合同复印件加盖投标人公章，合同等业绩证明材料必须能反映评审条件[合同签订日期为201</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年1月1日或以后，业绩类型为市政工程监测，项目负责人信息]，否则需同时提供业主出具的书面补充情况说明文件（须加盖业主单位公章）复印件。</w:t>
      </w:r>
    </w:p>
    <w:p>
      <w:pPr>
        <w:spacing w:line="360" w:lineRule="auto"/>
        <w:ind w:left="685" w:leftChars="176" w:hanging="315" w:hanging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highlight w:val="none"/>
          <w:lang w:val="zh-CN"/>
        </w:rPr>
        <w:t>投标人：（加盖投标人法人公章）</w:t>
      </w:r>
    </w:p>
    <w:p>
      <w:pPr>
        <w:autoSpaceDE/>
        <w:autoSpaceDN/>
        <w:adjustRightInd/>
        <w:spacing w:before="120" w:after="120" w:line="360" w:lineRule="auto"/>
        <w:ind w:left="629"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autoSpaceDE/>
        <w:autoSpaceDN/>
        <w:adjustRightInd/>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br w:type="page"/>
      </w:r>
    </w:p>
    <w:p>
      <w:pPr>
        <w:pageBreakBefore/>
        <w:spacing w:line="360" w:lineRule="auto"/>
        <w:jc w:val="center"/>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（3）拟投入技术负责人简历表</w:t>
      </w:r>
    </w:p>
    <w:tbl>
      <w:tblPr>
        <w:tblStyle w:val="36"/>
        <w:tblW w:w="5000" w:type="pct"/>
        <w:jc w:val="center"/>
        <w:tblLayout w:type="autofit"/>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tblPrEx>
          <w:tblCellMar>
            <w:top w:w="0" w:type="dxa"/>
            <w:left w:w="108" w:type="dxa"/>
            <w:bottom w:w="0" w:type="dxa"/>
            <w:right w:w="108" w:type="dxa"/>
          </w:tblCellMar>
        </w:tblPrEx>
        <w:trPr>
          <w:trHeight w:val="915" w:hRule="atLeast"/>
          <w:jc w:val="center"/>
        </w:trPr>
        <w:tc>
          <w:tcPr>
            <w:tcW w:w="1112" w:type="pc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00" w:type="pct"/>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0" w:type="pct"/>
            <w:tcBorders>
              <w:top w:val="single" w:color="auto" w:sz="8" w:space="0"/>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779"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709" w:type="pct"/>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112" w:type="pct"/>
            <w:tcBorders>
              <w:top w:val="nil"/>
              <w:left w:val="single" w:color="auto" w:sz="8" w:space="0"/>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00" w:type="pct"/>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00" w:type="pct"/>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79"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709" w:type="pct"/>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709" w:type="pct"/>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709" w:type="pct"/>
            <w:tcBorders>
              <w:top w:val="nil"/>
              <w:left w:val="nil"/>
              <w:bottom w:val="single" w:color="auto" w:sz="8" w:space="0"/>
              <w:right w:val="single" w:color="auto"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主要类似项目业绩</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发包单位</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本人在该项目中所任职务</w:t>
            </w:r>
          </w:p>
        </w:tc>
        <w:tc>
          <w:tcPr>
            <w:tcW w:w="953"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autoSpaceDE/>
              <w:autoSpaceDN/>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（1）拟投入本项目的技术负责人需提供本简历表。</w:t>
      </w:r>
    </w:p>
    <w:p>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、社会保障部门出具的最近1年（</w:t>
      </w:r>
      <w:r>
        <w:rPr>
          <w:rFonts w:hint="eastAsia" w:ascii="宋体" w:hAnsi="宋体" w:eastAsia="宋体" w:cs="宋体"/>
          <w:b/>
          <w:bCs/>
          <w:color w:val="auto"/>
          <w:kern w:val="2"/>
          <w:sz w:val="21"/>
          <w:szCs w:val="21"/>
          <w:highlight w:val="none"/>
        </w:rPr>
        <w:t>即</w:t>
      </w:r>
      <w:r>
        <w:rPr>
          <w:rFonts w:hint="eastAsia" w:ascii="宋体" w:hAnsi="宋体" w:eastAsia="宋体" w:cs="宋体"/>
          <w:b/>
          <w:bCs/>
          <w:color w:val="auto"/>
          <w:kern w:val="2"/>
          <w:sz w:val="21"/>
          <w:szCs w:val="21"/>
          <w:highlight w:val="none"/>
          <w:lang w:eastAsia="zh-CN"/>
        </w:rPr>
        <w:t>2023年</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eastAsia="zh-CN"/>
        </w:rPr>
        <w:t>月至2024年</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eastAsia="zh-CN"/>
        </w:rPr>
        <w:t>月</w:t>
      </w:r>
      <w:r>
        <w:rPr>
          <w:rFonts w:hint="eastAsia" w:ascii="宋体" w:hAnsi="宋体" w:eastAsia="宋体" w:cs="宋体"/>
          <w:color w:val="auto"/>
          <w:kern w:val="2"/>
          <w:sz w:val="21"/>
          <w:szCs w:val="21"/>
          <w:highlight w:val="none"/>
        </w:rPr>
        <w:t>）在投标人单位缴纳社会养老保险有效凭证等证明材料复印件加盖投标人公章。</w:t>
      </w:r>
    </w:p>
    <w:p>
      <w:pPr>
        <w:numPr>
          <w:ilvl w:val="255"/>
          <w:numId w:val="0"/>
        </w:numPr>
        <w:overflowPunct w:val="0"/>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（3）技术负责人业绩须附合同复印件加盖投标人公章，合同等业绩证明材料必须能反映评审条件[合同签订日期为201</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年1月1日或以后，业绩类型为市政工程监测，技术负责人信息]，否则需同时提供业主出具的书面补充情况说明文件（须加盖业主单位公章）复印件。</w:t>
      </w:r>
    </w:p>
    <w:p>
      <w:pPr>
        <w:spacing w:line="360" w:lineRule="auto"/>
        <w:ind w:left="685" w:leftChars="176" w:hanging="315" w:hangingChars="1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投标人：（加盖投标人法人公章）</w:t>
      </w:r>
    </w:p>
    <w:p>
      <w:pPr>
        <w:spacing w:line="360" w:lineRule="auto"/>
        <w:ind w:left="685" w:leftChars="176" w:hanging="315" w:hangingChars="150"/>
        <w:jc w:val="right"/>
        <w:rPr>
          <w:rFonts w:hint="eastAsia" w:ascii="宋体" w:hAnsi="宋体" w:eastAsia="宋体" w:cs="宋体"/>
          <w:b/>
          <w:bCs/>
          <w:color w:val="auto"/>
          <w:kern w:val="0"/>
          <w:sz w:val="32"/>
          <w:szCs w:val="32"/>
          <w:highlight w:val="none"/>
          <w:lang w:val="zh-CN"/>
        </w:rPr>
      </w:pPr>
      <w:r>
        <w:rPr>
          <w:rFonts w:hint="eastAsia" w:ascii="宋体" w:hAnsi="宋体" w:eastAsia="宋体" w:cs="宋体"/>
          <w:color w:val="auto"/>
          <w:sz w:val="21"/>
          <w:szCs w:val="21"/>
          <w:highlight w:val="none"/>
          <w:lang w:val="zh-CN"/>
        </w:rPr>
        <w:t>日期：   年    月     日</w:t>
      </w:r>
    </w:p>
    <w:p>
      <w:p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pPr>
        <w:pageBreakBefore/>
        <w:spacing w:before="120" w:after="120" w:line="360" w:lineRule="auto"/>
        <w:jc w:val="left"/>
        <w:outlineLvl w:val="2"/>
        <w:rPr>
          <w:rFonts w:hint="eastAsia" w:ascii="宋体" w:hAnsi="宋体" w:eastAsia="宋体" w:cs="宋体"/>
          <w:b/>
          <w:bCs/>
          <w:color w:val="auto"/>
          <w:kern w:val="0"/>
          <w:sz w:val="32"/>
          <w:szCs w:val="32"/>
          <w:highlight w:val="none"/>
          <w:lang w:val="zh-CN"/>
        </w:rPr>
      </w:pPr>
      <w:bookmarkStart w:id="781" w:name="_Toc13077"/>
      <w:bookmarkStart w:id="782" w:name="_Toc7020"/>
      <w:bookmarkStart w:id="783" w:name="_Toc17176"/>
      <w:r>
        <w:rPr>
          <w:rFonts w:hint="eastAsia" w:ascii="宋体" w:hAnsi="宋体" w:eastAsia="宋体" w:cs="宋体"/>
          <w:b/>
          <w:bCs/>
          <w:color w:val="auto"/>
          <w:kern w:val="0"/>
          <w:sz w:val="32"/>
          <w:szCs w:val="32"/>
          <w:highlight w:val="none"/>
          <w:lang w:val="zh-CN"/>
        </w:rPr>
        <w:t>十二、投标保证金汇入情况说明</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autoSpaceDE w:val="0"/>
        <w:autoSpaceDN w:val="0"/>
        <w:adjustRightInd w:val="0"/>
        <w:spacing w:line="360" w:lineRule="auto"/>
        <w:jc w:val="left"/>
        <w:rPr>
          <w:rFonts w:hint="eastAsia" w:ascii="宋体" w:hAnsi="宋体" w:eastAsia="宋体" w:cs="宋体"/>
          <w:color w:val="auto"/>
          <w:szCs w:val="24"/>
          <w:highlight w:val="none"/>
        </w:rPr>
      </w:pPr>
    </w:p>
    <w:p>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bookmarkStart w:id="784" w:name="_Toc31832_WPSOffice_Level3"/>
      <w:r>
        <w:rPr>
          <w:rFonts w:hint="eastAsia" w:ascii="宋体" w:hAnsi="宋体" w:eastAsia="宋体" w:cs="宋体"/>
          <w:b/>
          <w:bCs/>
          <w:color w:val="auto"/>
          <w:kern w:val="0"/>
          <w:sz w:val="24"/>
          <w:szCs w:val="24"/>
          <w:highlight w:val="none"/>
        </w:rPr>
        <w:t>投标保证金汇入情况说明</w:t>
      </w:r>
      <w:bookmarkEnd w:id="784"/>
    </w:p>
    <w:p>
      <w:pPr>
        <w:autoSpaceDE w:val="0"/>
        <w:autoSpaceDN w:val="0"/>
        <w:adjustRightInd w:val="0"/>
        <w:spacing w:line="360" w:lineRule="auto"/>
        <w:jc w:val="center"/>
        <w:rPr>
          <w:rFonts w:hint="eastAsia" w:ascii="宋体" w:hAnsi="宋体" w:eastAsia="宋体" w:cs="宋体"/>
          <w:b/>
          <w:bCs/>
          <w:color w:val="auto"/>
          <w:kern w:val="0"/>
          <w:szCs w:val="24"/>
          <w:highlight w:val="none"/>
        </w:rPr>
      </w:pP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东莞市水务集团建设管理有限公司</w:t>
      </w:r>
      <w:r>
        <w:rPr>
          <w:rFonts w:hint="eastAsia" w:ascii="宋体" w:hAnsi="宋体" w:eastAsia="宋体" w:cs="宋体"/>
          <w:color w:val="auto"/>
          <w:szCs w:val="21"/>
          <w:highlight w:val="none"/>
        </w:rPr>
        <w:t>：</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东莞市茶山镇污水处理厂改扩建项目第三方监测服务采购项目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HSDG2024006</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hint="eastAsia" w:ascii="宋体" w:hAnsi="宋体" w:eastAsia="宋体" w:cs="宋体"/>
          <w:b/>
          <w:bCs/>
          <w:color w:val="auto"/>
          <w:szCs w:val="21"/>
          <w:highlight w:val="none"/>
        </w:rPr>
      </w:pPr>
      <w:bookmarkStart w:id="785" w:name="_Toc26208_WPSOffice_Level3"/>
      <w:r>
        <w:rPr>
          <w:rFonts w:hint="eastAsia" w:ascii="宋体" w:hAnsi="宋体" w:eastAsia="宋体" w:cs="宋体"/>
          <w:b/>
          <w:bCs/>
          <w:color w:val="auto"/>
          <w:szCs w:val="21"/>
          <w:highlight w:val="none"/>
        </w:rPr>
        <w:t>附：1、我方投标保证金汇款凭证（复印件）</w:t>
      </w:r>
      <w:bookmarkEnd w:id="785"/>
    </w:p>
    <w:p>
      <w:pPr>
        <w:spacing w:line="360" w:lineRule="auto"/>
        <w:ind w:left="340" w:leftChars="162" w:firstLine="839" w:firstLineChars="398"/>
        <w:rPr>
          <w:rFonts w:hint="eastAsia" w:ascii="宋体" w:hAnsi="宋体" w:eastAsia="宋体" w:cs="宋体"/>
          <w:b/>
          <w:bCs/>
          <w:color w:val="auto"/>
          <w:szCs w:val="21"/>
          <w:highlight w:val="none"/>
        </w:rPr>
      </w:pPr>
      <w:bookmarkStart w:id="786" w:name="_Toc12992_WPSOffice_Level3"/>
      <w:r>
        <w:rPr>
          <w:rFonts w:hint="eastAsia" w:ascii="宋体" w:hAnsi="宋体" w:eastAsia="宋体" w:cs="宋体"/>
          <w:b/>
          <w:bCs/>
          <w:color w:val="auto"/>
          <w:szCs w:val="21"/>
          <w:highlight w:val="none"/>
        </w:rPr>
        <w:t>2、我方基本账户开户许可证（复印件）</w:t>
      </w:r>
      <w:bookmarkEnd w:id="786"/>
    </w:p>
    <w:p>
      <w:pPr>
        <w:spacing w:line="360" w:lineRule="auto"/>
        <w:ind w:left="340" w:leftChars="162" w:firstLine="736" w:firstLineChars="34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hint="eastAsia" w:ascii="宋体" w:hAnsi="宋体" w:eastAsia="宋体" w:cs="宋体"/>
          <w:color w:val="auto"/>
          <w:szCs w:val="24"/>
          <w:highlight w:val="none"/>
          <w:lang w:val="zh-CN"/>
        </w:rPr>
      </w:pPr>
    </w:p>
    <w:p>
      <w:pPr>
        <w:spacing w:line="360" w:lineRule="auto"/>
        <w:rPr>
          <w:rFonts w:hint="eastAsia" w:ascii="宋体" w:hAnsi="宋体" w:eastAsia="宋体" w:cs="宋体"/>
          <w:b/>
          <w:color w:val="auto"/>
          <w:kern w:val="0"/>
          <w:szCs w:val="21"/>
          <w:highlight w:val="none"/>
        </w:rPr>
      </w:pPr>
      <w:bookmarkStart w:id="787" w:name="_Toc533708134"/>
      <w:bookmarkStart w:id="788" w:name="_Toc486167721"/>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bookmarkStart w:id="789" w:name="_Toc140596939"/>
      <w:bookmarkStart w:id="790" w:name="_Toc102860084"/>
      <w:bookmarkStart w:id="791" w:name="_Toc104991886"/>
      <w:bookmarkStart w:id="792" w:name="_Toc102860428"/>
      <w:bookmarkStart w:id="793" w:name="_Toc1977738"/>
      <w:bookmarkStart w:id="794" w:name="_Toc94107221"/>
      <w:bookmarkStart w:id="795" w:name="_Toc24616"/>
      <w:bookmarkStart w:id="796" w:name="_Toc142508379"/>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97" w:name="_Toc14506"/>
      <w:bookmarkStart w:id="798" w:name="_Toc2007"/>
      <w:bookmarkStart w:id="799" w:name="_Toc17045"/>
      <w:bookmarkStart w:id="800" w:name="_Toc18114"/>
      <w:bookmarkStart w:id="801" w:name="_Toc2965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89"/>
      <w:bookmarkEnd w:id="790"/>
      <w:bookmarkEnd w:id="791"/>
      <w:bookmarkEnd w:id="792"/>
      <w:bookmarkEnd w:id="793"/>
      <w:bookmarkEnd w:id="794"/>
      <w:bookmarkEnd w:id="795"/>
      <w:bookmarkEnd w:id="796"/>
      <w:bookmarkEnd w:id="797"/>
      <w:bookmarkEnd w:id="798"/>
      <w:bookmarkEnd w:id="799"/>
      <w:bookmarkEnd w:id="800"/>
      <w:bookmarkEnd w:id="801"/>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bookmarkStart w:id="802" w:name="_Toc102860429"/>
      <w:bookmarkStart w:id="803" w:name="_Toc1977739"/>
      <w:bookmarkStart w:id="804" w:name="_Toc94107222"/>
      <w:bookmarkStart w:id="805" w:name="_Toc26449"/>
      <w:bookmarkStart w:id="806" w:name="_Toc31134"/>
      <w:bookmarkStart w:id="807" w:name="_Toc142508380"/>
      <w:bookmarkStart w:id="808" w:name="_Toc140596940"/>
      <w:bookmarkStart w:id="809" w:name="_Toc27482"/>
      <w:bookmarkStart w:id="810" w:name="_Toc18038"/>
      <w:bookmarkStart w:id="811" w:name="_Toc104991887"/>
      <w:bookmarkStart w:id="812" w:name="_Toc29583"/>
      <w:bookmarkStart w:id="813" w:name="_Toc102860085"/>
      <w:bookmarkStart w:id="814" w:name="_Toc31916"/>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、技术响应文件格式</w:t>
      </w:r>
      <w:bookmarkEnd w:id="787"/>
      <w:bookmarkEnd w:id="802"/>
      <w:bookmarkEnd w:id="803"/>
      <w:bookmarkEnd w:id="804"/>
      <w:bookmarkEnd w:id="805"/>
      <w:bookmarkEnd w:id="806"/>
      <w:bookmarkEnd w:id="807"/>
      <w:bookmarkEnd w:id="808"/>
      <w:bookmarkEnd w:id="809"/>
      <w:bookmarkEnd w:id="810"/>
      <w:bookmarkEnd w:id="811"/>
      <w:bookmarkEnd w:id="812"/>
      <w:bookmarkEnd w:id="813"/>
      <w:bookmarkEnd w:id="814"/>
    </w:p>
    <w:p>
      <w:pPr>
        <w:tabs>
          <w:tab w:val="left" w:pos="864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、用户需求响应程度（格式见附件1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1用户需求偏离表格式）；</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、监测方案</w:t>
      </w:r>
      <w:r>
        <w:rPr>
          <w:rFonts w:hint="eastAsia" w:ascii="宋体" w:hAnsi="宋体" w:eastAsia="宋体" w:cs="宋体"/>
          <w:color w:val="auto"/>
          <w:kern w:val="0"/>
          <w:szCs w:val="21"/>
          <w:highlight w:val="none"/>
          <w:lang w:val="zh-CN"/>
        </w:rPr>
        <w:t>（投标人自行编写）；</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、原始数据处理计算、整理分析方法及预警消警机制（</w:t>
      </w:r>
      <w:r>
        <w:rPr>
          <w:rFonts w:hint="eastAsia" w:ascii="宋体" w:hAnsi="宋体" w:eastAsia="宋体" w:cs="宋体"/>
          <w:color w:val="auto"/>
          <w:kern w:val="0"/>
          <w:szCs w:val="21"/>
          <w:highlight w:val="none"/>
          <w:lang w:val="zh-CN"/>
        </w:rPr>
        <w:t>投标人自行编写</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监测成果准确性承诺书（格式见附件1</w:t>
      </w:r>
      <w:r>
        <w:rPr>
          <w:rFonts w:hint="eastAsia" w:ascii="宋体" w:hAnsi="宋体" w:eastAsia="宋体" w:cs="宋体"/>
          <w:color w:val="auto"/>
          <w:kern w:val="0"/>
          <w:szCs w:val="21"/>
          <w:highlight w:val="none"/>
          <w:lang w:val="en-US" w:eastAsia="zh-CN"/>
        </w:rPr>
        <w:t>4.4</w:t>
      </w:r>
      <w:r>
        <w:rPr>
          <w:rFonts w:hint="eastAsia" w:ascii="宋体" w:hAnsi="宋体" w:eastAsia="宋体" w:cs="宋体"/>
          <w:color w:val="auto"/>
          <w:kern w:val="0"/>
          <w:szCs w:val="21"/>
          <w:highlight w:val="none"/>
          <w:lang w:val="zh-CN"/>
        </w:rPr>
        <w:t>监测成果准确性承诺书格式）；</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服务响应时间承诺书（格式见附件1</w:t>
      </w:r>
      <w:r>
        <w:rPr>
          <w:rFonts w:hint="eastAsia" w:ascii="宋体" w:hAnsi="宋体" w:eastAsia="宋体" w:cs="宋体"/>
          <w:color w:val="auto"/>
          <w:kern w:val="0"/>
          <w:szCs w:val="21"/>
          <w:highlight w:val="none"/>
          <w:lang w:val="en-US" w:eastAsia="zh-CN"/>
        </w:rPr>
        <w:t>4.5</w:t>
      </w:r>
      <w:r>
        <w:rPr>
          <w:rFonts w:hint="eastAsia" w:ascii="宋体" w:hAnsi="宋体" w:eastAsia="宋体" w:cs="宋体"/>
          <w:color w:val="auto"/>
          <w:kern w:val="0"/>
          <w:szCs w:val="21"/>
          <w:highlight w:val="none"/>
          <w:lang w:val="zh-CN"/>
        </w:rPr>
        <w:t>服务响应时间承诺书格式）；</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投标人认为有需要提供的其他文件（不做强制性要求）</w:t>
      </w:r>
      <w:r>
        <w:rPr>
          <w:rFonts w:hint="eastAsia" w:ascii="宋体" w:hAnsi="宋体" w:eastAsia="宋体" w:cs="宋体"/>
          <w:color w:val="auto"/>
          <w:kern w:val="0"/>
          <w:szCs w:val="21"/>
          <w:highlight w:val="none"/>
        </w:rPr>
        <w:t>。</w:t>
      </w:r>
    </w:p>
    <w:p>
      <w:pPr>
        <w:pStyle w:val="3"/>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788"/>
      <w:bookmarkStart w:id="815" w:name="_Toc1977740"/>
      <w:bookmarkStart w:id="816" w:name="_Toc94107223"/>
      <w:bookmarkStart w:id="817" w:name="_Toc142508381"/>
      <w:bookmarkStart w:id="818" w:name="_Toc102860430"/>
      <w:bookmarkStart w:id="819" w:name="_Toc102860086"/>
      <w:bookmarkStart w:id="820" w:name="_Toc533708135"/>
      <w:bookmarkStart w:id="821" w:name="_Toc104991888"/>
      <w:bookmarkStart w:id="822" w:name="_Toc140596941"/>
    </w:p>
    <w:p>
      <w:pPr>
        <w:pStyle w:val="3"/>
        <w:spacing w:line="360" w:lineRule="auto"/>
        <w:jc w:val="center"/>
        <w:rPr>
          <w:rFonts w:hint="eastAsia" w:ascii="宋体" w:hAnsi="宋体" w:eastAsia="宋体" w:cs="宋体"/>
          <w:b/>
          <w:color w:val="auto"/>
          <w:kern w:val="0"/>
          <w:szCs w:val="21"/>
          <w:highlight w:val="none"/>
        </w:rPr>
      </w:pPr>
    </w:p>
    <w:p>
      <w:pPr>
        <w:pStyle w:val="3"/>
        <w:spacing w:line="360" w:lineRule="auto"/>
        <w:jc w:val="center"/>
        <w:rPr>
          <w:rFonts w:hint="eastAsia" w:ascii="宋体" w:hAnsi="宋体" w:eastAsia="宋体" w:cs="宋体"/>
          <w:b/>
          <w:color w:val="auto"/>
          <w:kern w:val="0"/>
          <w:szCs w:val="21"/>
          <w:highlight w:val="none"/>
        </w:rPr>
      </w:pPr>
    </w:p>
    <w:p>
      <w:pPr>
        <w:pStyle w:val="3"/>
        <w:spacing w:line="360" w:lineRule="auto"/>
        <w:jc w:val="center"/>
        <w:rPr>
          <w:rFonts w:hint="eastAsia" w:ascii="宋体" w:hAnsi="宋体" w:eastAsia="宋体" w:cs="宋体"/>
          <w:b/>
          <w:color w:val="auto"/>
          <w:kern w:val="0"/>
          <w:szCs w:val="21"/>
          <w:highlight w:val="none"/>
        </w:rPr>
      </w:pPr>
    </w:p>
    <w:p>
      <w:pPr>
        <w:pStyle w:val="3"/>
        <w:spacing w:line="360" w:lineRule="auto"/>
        <w:jc w:val="center"/>
        <w:rPr>
          <w:rFonts w:hint="eastAsia" w:ascii="宋体" w:hAnsi="宋体" w:eastAsia="宋体" w:cs="宋体"/>
          <w:b/>
          <w:color w:val="auto"/>
          <w:kern w:val="0"/>
          <w:szCs w:val="21"/>
          <w:highlight w:val="none"/>
        </w:rPr>
      </w:pPr>
    </w:p>
    <w:p>
      <w:pPr>
        <w:pStyle w:val="3"/>
        <w:spacing w:line="360" w:lineRule="auto"/>
        <w:jc w:val="center"/>
        <w:rPr>
          <w:rFonts w:hint="eastAsia" w:ascii="宋体" w:hAnsi="宋体" w:eastAsia="宋体" w:cs="宋体"/>
          <w:b/>
          <w:color w:val="auto"/>
          <w:kern w:val="0"/>
          <w:szCs w:val="21"/>
          <w:highlight w:val="none"/>
        </w:rPr>
      </w:pPr>
    </w:p>
    <w:p>
      <w:pPr>
        <w:pStyle w:val="3"/>
        <w:spacing w:line="360" w:lineRule="auto"/>
        <w:jc w:val="center"/>
        <w:rPr>
          <w:rFonts w:hint="eastAsia" w:ascii="宋体" w:hAnsi="宋体" w:eastAsia="宋体" w:cs="宋体"/>
          <w:b/>
          <w:color w:val="auto"/>
          <w:kern w:val="0"/>
          <w:szCs w:val="21"/>
          <w:highlight w:val="none"/>
        </w:rPr>
      </w:pPr>
    </w:p>
    <w:p>
      <w:pPr>
        <w:pStyle w:val="3"/>
        <w:spacing w:line="360" w:lineRule="auto"/>
        <w:jc w:val="center"/>
        <w:rPr>
          <w:rFonts w:hint="eastAsia" w:ascii="宋体" w:hAnsi="宋体" w:eastAsia="宋体" w:cs="宋体"/>
          <w:b/>
          <w:color w:val="auto"/>
          <w:kern w:val="0"/>
          <w:szCs w:val="21"/>
          <w:highlight w:val="none"/>
        </w:rPr>
      </w:pPr>
    </w:p>
    <w:p>
      <w:pPr>
        <w:pStyle w:val="3"/>
        <w:spacing w:line="360" w:lineRule="auto"/>
        <w:jc w:val="center"/>
        <w:rPr>
          <w:rFonts w:hint="eastAsia" w:ascii="宋体" w:hAnsi="宋体" w:eastAsia="宋体" w:cs="宋体"/>
          <w:b/>
          <w:color w:val="auto"/>
          <w:kern w:val="0"/>
          <w:szCs w:val="21"/>
          <w:highlight w:val="none"/>
        </w:rPr>
      </w:pPr>
    </w:p>
    <w:p>
      <w:pPr>
        <w:pStyle w:val="3"/>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p>
    <w:p>
      <w:pPr>
        <w:pStyle w:val="3"/>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3"/>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3"/>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3"/>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3"/>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3"/>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3"/>
        <w:spacing w:line="360" w:lineRule="auto"/>
        <w:rPr>
          <w:rFonts w:hint="eastAsia" w:ascii="宋体" w:hAnsi="宋体" w:eastAsia="宋体" w:cs="宋体"/>
          <w:color w:val="auto"/>
          <w:highlight w:val="none"/>
        </w:rPr>
      </w:pPr>
    </w:p>
    <w:p>
      <w:pPr>
        <w:pStyle w:val="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7" w:type="pct"/>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0" w:type="pct"/>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823" w:name="_Toc18999"/>
      <w:bookmarkStart w:id="824" w:name="_Toc15515"/>
      <w:bookmarkStart w:id="825" w:name="_Toc27934"/>
      <w:bookmarkStart w:id="826" w:name="_Toc16744"/>
      <w:bookmarkStart w:id="827" w:name="_Toc11059"/>
      <w:bookmarkStart w:id="828" w:name="_Toc3044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pPr>
        <w:spacing w:before="120" w:after="120" w:line="360" w:lineRule="auto"/>
        <w:jc w:val="center"/>
        <w:rPr>
          <w:rFonts w:hint="eastAsia" w:ascii="宋体" w:hAnsi="宋体" w:eastAsia="宋体" w:cs="宋体"/>
          <w:color w:val="auto"/>
          <w:kern w:val="0"/>
          <w:szCs w:val="21"/>
          <w:highlight w:val="none"/>
        </w:rPr>
      </w:pPr>
      <w:bookmarkStart w:id="829" w:name="_Toc17449_WPSOffice_Level3"/>
      <w:r>
        <w:rPr>
          <w:rFonts w:hint="eastAsia" w:ascii="宋体" w:hAnsi="宋体" w:eastAsia="宋体" w:cs="宋体"/>
          <w:b/>
          <w:color w:val="auto"/>
          <w:kern w:val="0"/>
          <w:sz w:val="30"/>
          <w:szCs w:val="30"/>
          <w:highlight w:val="none"/>
          <w:lang w:val="zh-CN"/>
        </w:rPr>
        <w:t>用户需求偏离表</w:t>
      </w:r>
      <w:bookmarkEnd w:id="829"/>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pPr>
              <w:keepNext/>
              <w:keepLines/>
              <w:suppressLineNumbers w:val="0"/>
              <w:spacing w:before="0" w:beforeAutospacing="0" w:after="0" w:afterAutospacing="0" w:line="400" w:lineRule="exact"/>
              <w:ind w:left="0" w:right="0"/>
              <w:jc w:val="center"/>
              <w:outlineLvl w:val="0"/>
              <w:rPr>
                <w:rFonts w:hint="eastAsia" w:ascii="宋体" w:hAnsi="宋体" w:eastAsia="宋体" w:cs="宋体"/>
                <w:color w:val="auto"/>
                <w:kern w:val="0"/>
                <w:sz w:val="18"/>
                <w:szCs w:val="18"/>
                <w:highlight w:val="none"/>
              </w:rPr>
            </w:pPr>
          </w:p>
        </w:tc>
        <w:tc>
          <w:tcPr>
            <w:tcW w:w="45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1"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45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309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总体服务要求</w:t>
            </w:r>
          </w:p>
        </w:tc>
        <w:tc>
          <w:tcPr>
            <w:tcW w:w="34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41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391"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rPr>
              <w:t>三</w:t>
            </w:r>
          </w:p>
        </w:tc>
        <w:tc>
          <w:tcPr>
            <w:tcW w:w="309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合同价款</w:t>
            </w:r>
          </w:p>
        </w:tc>
        <w:tc>
          <w:tcPr>
            <w:tcW w:w="34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41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391"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5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zh-CN"/>
              </w:rPr>
            </w:pPr>
            <w:r>
              <w:rPr>
                <w:rFonts w:hint="eastAsia" w:ascii="宋体" w:hAnsi="宋体" w:eastAsia="宋体" w:cs="宋体"/>
                <w:color w:val="auto"/>
                <w:kern w:val="0"/>
                <w:sz w:val="18"/>
                <w:szCs w:val="18"/>
                <w:highlight w:val="none"/>
              </w:rPr>
              <w:t>四</w:t>
            </w:r>
          </w:p>
        </w:tc>
        <w:tc>
          <w:tcPr>
            <w:tcW w:w="309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费用支付</w:t>
            </w:r>
          </w:p>
        </w:tc>
        <w:tc>
          <w:tcPr>
            <w:tcW w:w="34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41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391"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五</w:t>
            </w:r>
          </w:p>
        </w:tc>
        <w:tc>
          <w:tcPr>
            <w:tcW w:w="309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考核制度</w:t>
            </w:r>
          </w:p>
        </w:tc>
        <w:tc>
          <w:tcPr>
            <w:tcW w:w="34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41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391"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附件1</w:t>
            </w:r>
          </w:p>
        </w:tc>
        <w:tc>
          <w:tcPr>
            <w:tcW w:w="309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《监测工程量清单计价表》</w:t>
            </w:r>
          </w:p>
        </w:tc>
        <w:tc>
          <w:tcPr>
            <w:tcW w:w="34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418"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c>
          <w:tcPr>
            <w:tcW w:w="391" w:type="pct"/>
            <w:vAlign w:val="center"/>
          </w:tcPr>
          <w:p>
            <w:pPr>
              <w:keepNext/>
              <w:keepLines/>
              <w:suppressLineNumbers w:val="0"/>
              <w:spacing w:before="0" w:beforeAutospacing="0" w:after="0" w:afterAutospacing="0" w:line="400" w:lineRule="exact"/>
              <w:ind w:left="0" w:right="0"/>
              <w:jc w:val="center"/>
              <w:outlineLvl w:val="2"/>
              <w:rPr>
                <w:rFonts w:hint="eastAsia" w:ascii="宋体" w:hAnsi="宋体" w:eastAsia="宋体" w:cs="宋体"/>
                <w:color w:val="auto"/>
                <w:kern w:val="0"/>
                <w:sz w:val="18"/>
                <w:szCs w:val="18"/>
                <w:highlight w:val="none"/>
              </w:rPr>
            </w:pPr>
          </w:p>
        </w:tc>
      </w:tr>
    </w:tbl>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pPr>
        <w:spacing w:line="360" w:lineRule="auto"/>
        <w:rPr>
          <w:rFonts w:hint="eastAsia" w:ascii="宋体" w:hAnsi="宋体" w:eastAsia="宋体" w:cs="宋体"/>
          <w:color w:val="auto"/>
          <w:szCs w:val="21"/>
          <w:highlight w:val="none"/>
        </w:rPr>
      </w:pPr>
    </w:p>
    <w:p>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830" w:name="_Toc94107224"/>
      <w:bookmarkStart w:id="831" w:name="_Toc23150"/>
      <w:bookmarkStart w:id="832" w:name="_Toc140596942"/>
      <w:bookmarkStart w:id="833" w:name="_Toc5046"/>
      <w:bookmarkStart w:id="834" w:name="_Toc102860087"/>
      <w:bookmarkStart w:id="835" w:name="_Toc3593"/>
      <w:bookmarkStart w:id="836" w:name="_Toc142508382"/>
      <w:bookmarkStart w:id="837" w:name="_Toc104991889"/>
      <w:bookmarkStart w:id="838" w:name="_Toc102860431"/>
      <w:bookmarkStart w:id="839" w:name="_Toc7762"/>
      <w:bookmarkStart w:id="840" w:name="_Toc13882"/>
      <w:bookmarkStart w:id="841" w:name="_Toc3076"/>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 xml:space="preserve">.2 </w:t>
      </w:r>
      <w:bookmarkEnd w:id="830"/>
      <w:bookmarkEnd w:id="831"/>
      <w:bookmarkEnd w:id="832"/>
      <w:bookmarkEnd w:id="833"/>
      <w:bookmarkEnd w:id="834"/>
      <w:bookmarkEnd w:id="835"/>
      <w:bookmarkEnd w:id="836"/>
      <w:bookmarkEnd w:id="837"/>
      <w:bookmarkEnd w:id="838"/>
      <w:r>
        <w:rPr>
          <w:rFonts w:hint="eastAsia" w:ascii="宋体" w:hAnsi="宋体" w:eastAsia="宋体" w:cs="宋体"/>
          <w:b/>
          <w:color w:val="auto"/>
          <w:kern w:val="0"/>
          <w:sz w:val="30"/>
          <w:szCs w:val="30"/>
          <w:highlight w:val="none"/>
          <w:lang w:eastAsia="zh-CN"/>
        </w:rPr>
        <w:t>监测方案（投标人自行编写）</w:t>
      </w:r>
      <w:bookmarkEnd w:id="839"/>
      <w:bookmarkEnd w:id="840"/>
      <w:bookmarkEnd w:id="841"/>
    </w:p>
    <w:p>
      <w:pPr>
        <w:widowControl/>
        <w:jc w:val="left"/>
        <w:rPr>
          <w:rFonts w:hint="eastAsia" w:ascii="宋体" w:hAnsi="宋体" w:eastAsia="宋体" w:cs="宋体"/>
          <w:color w:val="auto"/>
          <w:kern w:val="0"/>
          <w:szCs w:val="21"/>
          <w:highlight w:val="none"/>
        </w:rPr>
      </w:pPr>
      <w:bookmarkStart w:id="842" w:name="_Toc94107225"/>
      <w:r>
        <w:rPr>
          <w:rFonts w:hint="eastAsia" w:ascii="宋体" w:hAnsi="宋体" w:eastAsia="宋体" w:cs="宋体"/>
          <w:color w:val="auto"/>
          <w:kern w:val="0"/>
          <w:szCs w:val="21"/>
          <w:highlight w:val="none"/>
        </w:rPr>
        <w:br w:type="page"/>
      </w:r>
    </w:p>
    <w:bookmarkEnd w:id="842"/>
    <w:p>
      <w:pPr>
        <w:rPr>
          <w:rFonts w:hint="eastAsia" w:ascii="宋体" w:hAnsi="宋体" w:eastAsia="宋体" w:cs="宋体"/>
          <w:b/>
          <w:color w:val="auto"/>
          <w:kern w:val="0"/>
          <w:sz w:val="30"/>
          <w:szCs w:val="30"/>
          <w:highlight w:val="none"/>
          <w:lang w:val="en-US" w:eastAsia="zh-CN"/>
        </w:rPr>
      </w:pPr>
      <w:bookmarkStart w:id="843" w:name="_Toc140596949"/>
      <w:bookmarkStart w:id="844" w:name="_Toc102860094"/>
      <w:bookmarkStart w:id="845" w:name="_Toc104991896"/>
      <w:bookmarkStart w:id="846" w:name="_Toc102860438"/>
      <w:bookmarkStart w:id="847" w:name="_Toc142508389"/>
      <w:bookmarkStart w:id="848" w:name="_Toc533708139"/>
      <w:r>
        <w:rPr>
          <w:rFonts w:hint="eastAsia" w:ascii="宋体" w:hAnsi="宋体" w:eastAsia="宋体" w:cs="宋体"/>
          <w:b/>
          <w:color w:val="auto"/>
          <w:kern w:val="0"/>
          <w:sz w:val="30"/>
          <w:szCs w:val="30"/>
          <w:highlight w:val="none"/>
          <w:lang w:val="en-US" w:eastAsia="zh-CN"/>
        </w:rPr>
        <w:t>14.3 原始数据处理计算、整理分析方法及预警消警机制（投标人自行编写）</w:t>
      </w:r>
      <w:r>
        <w:rPr>
          <w:rFonts w:hint="eastAsia" w:ascii="宋体" w:hAnsi="宋体" w:eastAsia="宋体" w:cs="宋体"/>
          <w:b/>
          <w:color w:val="auto"/>
          <w:kern w:val="0"/>
          <w:sz w:val="30"/>
          <w:szCs w:val="30"/>
          <w:highlight w:val="none"/>
          <w:lang w:val="en-US" w:eastAsia="zh-CN"/>
        </w:rPr>
        <w:br w:type="page"/>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14.4 监测成果准确性承诺书格式</w:t>
      </w:r>
    </w:p>
    <w:p>
      <w:pPr>
        <w:spacing w:line="360" w:lineRule="auto"/>
        <w:jc w:val="center"/>
        <w:rPr>
          <w:rFonts w:hint="eastAsia" w:ascii="宋体" w:hAnsi="宋体" w:eastAsia="宋体" w:cs="宋体"/>
          <w:b/>
          <w:bCs/>
          <w:color w:val="auto"/>
          <w:kern w:val="2"/>
          <w:sz w:val="30"/>
          <w:szCs w:val="30"/>
          <w:highlight w:val="none"/>
          <w:lang w:val="zh-CN"/>
        </w:rPr>
      </w:pPr>
    </w:p>
    <w:p>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监测成果准确性承诺书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2"/>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34"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76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错误点数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34"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所有监测成果按实测量</w:t>
            </w:r>
          </w:p>
        </w:tc>
        <w:tc>
          <w:tcPr>
            <w:tcW w:w="1766"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shd w:val="clear" w:color="auto" w:fill="FFFFFF"/>
              </w:rPr>
              <w:t>个（含）以内</w:t>
            </w:r>
          </w:p>
        </w:tc>
      </w:tr>
    </w:tbl>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投标人：（加盖投标人法人公章）</w:t>
      </w: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14.5 服务响应时间承诺书格式</w:t>
      </w:r>
    </w:p>
    <w:p>
      <w:pPr>
        <w:widowControl/>
        <w:autoSpaceDE/>
        <w:autoSpaceDN/>
        <w:adjustRightInd/>
        <w:rPr>
          <w:rFonts w:hint="eastAsia" w:ascii="宋体" w:hAnsi="宋体" w:eastAsia="宋体" w:cs="宋体"/>
          <w:b/>
          <w:color w:val="auto"/>
          <w:sz w:val="32"/>
          <w:szCs w:val="32"/>
          <w:highlight w:val="none"/>
        </w:rPr>
      </w:pPr>
    </w:p>
    <w:p>
      <w:pPr>
        <w:widowControl/>
        <w:autoSpaceDE/>
        <w:autoSpaceDN/>
        <w:adjustRightInd/>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color w:val="auto"/>
          <w:sz w:val="32"/>
          <w:szCs w:val="32"/>
          <w:highlight w:val="none"/>
        </w:rPr>
        <w:t>服务响应时间承诺书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1"/>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1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69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1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接到招标人电话通知后机械设备、人员进场服务</w:t>
            </w:r>
          </w:p>
        </w:tc>
        <w:tc>
          <w:tcPr>
            <w:tcW w:w="169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小时（含）内</w:t>
            </w:r>
          </w:p>
        </w:tc>
      </w:tr>
    </w:tbl>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val="zh-CN"/>
        </w:rPr>
        <w:t>对于本承诺，如中标人后期未能做到，视为同意将其行为予以公示，</w:t>
      </w:r>
      <w:r>
        <w:rPr>
          <w:rFonts w:hint="eastAsia" w:ascii="宋体" w:hAnsi="宋体" w:eastAsia="宋体" w:cs="宋体"/>
          <w:b/>
          <w:bCs/>
          <w:color w:val="auto"/>
          <w:sz w:val="21"/>
          <w:szCs w:val="21"/>
          <w:highlight w:val="none"/>
        </w:rPr>
        <w:t>且招标人有权将中标人纳入东莞市水务集团有限公司（含其全资子公司、控股公司、由其管理的参股公司）招标、采购、征集供应商或合作方采购“黑名单”中</w:t>
      </w:r>
      <w:r>
        <w:rPr>
          <w:rFonts w:hint="eastAsia" w:ascii="宋体" w:hAnsi="宋体" w:eastAsia="宋体" w:cs="宋体"/>
          <w:b/>
          <w:bCs/>
          <w:color w:val="auto"/>
          <w:sz w:val="21"/>
          <w:szCs w:val="21"/>
          <w:highlight w:val="none"/>
          <w:lang w:val="zh-CN"/>
        </w:rPr>
        <w:t>。</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投标人：（加盖投标人法人公章）</w:t>
      </w:r>
    </w:p>
    <w:p>
      <w:pPr>
        <w:spacing w:line="360" w:lineRule="auto"/>
        <w:ind w:firstLine="504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日期：   年   月   日</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849" w:name="_Toc262"/>
      <w:bookmarkStart w:id="850" w:name="_Toc16502"/>
      <w:bookmarkStart w:id="851" w:name="_Toc3750"/>
      <w:bookmarkStart w:id="852" w:name="_Toc18180"/>
      <w:bookmarkStart w:id="853" w:name="_Toc2639"/>
      <w:bookmarkStart w:id="854" w:name="_Toc30545"/>
      <w:r>
        <w:rPr>
          <w:rFonts w:hint="eastAsia" w:ascii="宋体" w:hAnsi="宋体" w:eastAsia="宋体" w:cs="宋体"/>
          <w:b/>
          <w:color w:val="auto"/>
          <w:kern w:val="0"/>
          <w:sz w:val="30"/>
          <w:szCs w:val="30"/>
          <w:highlight w:val="none"/>
          <w:lang w:val="en-US" w:eastAsia="zh-CN"/>
        </w:rPr>
        <w:t xml:space="preserve">14.6 </w:t>
      </w:r>
      <w:r>
        <w:rPr>
          <w:rFonts w:hint="eastAsia" w:ascii="宋体" w:hAnsi="宋体" w:eastAsia="宋体" w:cs="宋体"/>
          <w:b/>
          <w:color w:val="auto"/>
          <w:kern w:val="0"/>
          <w:sz w:val="30"/>
          <w:szCs w:val="30"/>
          <w:highlight w:val="none"/>
        </w:rPr>
        <w:t>投标人认为有必要提供的其它材料（不做强制要求）</w:t>
      </w:r>
      <w:bookmarkEnd w:id="843"/>
      <w:bookmarkEnd w:id="844"/>
      <w:bookmarkEnd w:id="845"/>
      <w:bookmarkEnd w:id="846"/>
      <w:bookmarkEnd w:id="847"/>
      <w:bookmarkEnd w:id="849"/>
      <w:bookmarkEnd w:id="850"/>
      <w:bookmarkEnd w:id="851"/>
      <w:bookmarkEnd w:id="852"/>
      <w:bookmarkEnd w:id="853"/>
      <w:bookmarkEnd w:id="854"/>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autoSpaceDE w:val="0"/>
        <w:autoSpaceDN w:val="0"/>
        <w:adjustRightInd w:val="0"/>
        <w:jc w:val="left"/>
        <w:rPr>
          <w:rFonts w:hint="eastAsia" w:ascii="宋体" w:hAnsi="宋体" w:eastAsia="宋体" w:cs="宋体"/>
          <w:color w:val="auto"/>
          <w:kern w:val="0"/>
          <w:sz w:val="24"/>
          <w:szCs w:val="24"/>
          <w:highlight w:val="none"/>
        </w:rPr>
      </w:pPr>
    </w:p>
    <w:p>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855" w:name="_Toc14977"/>
      <w:bookmarkStart w:id="856" w:name="_Toc17936"/>
      <w:bookmarkStart w:id="857" w:name="_Toc769"/>
      <w:bookmarkStart w:id="858" w:name="_Toc30548"/>
      <w:bookmarkStart w:id="859" w:name="_Toc14270"/>
      <w:bookmarkStart w:id="860" w:name="_Toc21059"/>
      <w:bookmarkStart w:id="861" w:name="_Toc142508390"/>
      <w:bookmarkStart w:id="862" w:name="_Toc521918141"/>
      <w:bookmarkStart w:id="863" w:name="_Toc22601_WPSOffice_Level1"/>
      <w:bookmarkStart w:id="864" w:name="_Toc522047402"/>
      <w:r>
        <w:rPr>
          <w:rFonts w:hint="eastAsia" w:ascii="宋体" w:hAnsi="宋体" w:eastAsia="宋体" w:cs="宋体"/>
          <w:b/>
          <w:bCs/>
          <w:color w:val="auto"/>
          <w:kern w:val="44"/>
          <w:sz w:val="32"/>
          <w:szCs w:val="32"/>
          <w:highlight w:val="none"/>
          <w:lang w:val="zh-CN"/>
        </w:rPr>
        <w:t>附件一：评标工作大纲</w:t>
      </w:r>
      <w:bookmarkEnd w:id="855"/>
      <w:bookmarkEnd w:id="856"/>
      <w:bookmarkEnd w:id="857"/>
      <w:bookmarkEnd w:id="858"/>
      <w:bookmarkEnd w:id="859"/>
      <w:bookmarkEnd w:id="860"/>
      <w:bookmarkEnd w:id="861"/>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东莞市茶山镇污水处理厂改扩建项目第三方监测服务采购项目</w:t>
      </w:r>
    </w:p>
    <w:p>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865" w:name="_Toc14752_WPSOffice_Level1"/>
      <w:r>
        <w:rPr>
          <w:rFonts w:hint="eastAsia" w:ascii="宋体" w:hAnsi="宋体" w:eastAsia="宋体" w:cs="宋体"/>
          <w:b/>
          <w:bCs/>
          <w:color w:val="auto"/>
          <w:sz w:val="36"/>
          <w:szCs w:val="36"/>
          <w:highlight w:val="none"/>
          <w:lang w:val="zh-CN"/>
        </w:rPr>
        <w:t>（招标编号：HSDG2024006）</w:t>
      </w:r>
      <w:bookmarkEnd w:id="865"/>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866" w:name="_Toc18947_WPSOffice_Level2"/>
      <w:r>
        <w:rPr>
          <w:rFonts w:hint="eastAsia" w:ascii="宋体" w:hAnsi="宋体" w:eastAsia="宋体" w:cs="宋体"/>
          <w:b/>
          <w:bCs/>
          <w:color w:val="auto"/>
          <w:sz w:val="72"/>
          <w:szCs w:val="72"/>
          <w:highlight w:val="none"/>
          <w:lang w:val="zh-CN"/>
        </w:rPr>
        <w:t>评标工作大纲</w:t>
      </w:r>
      <w:bookmarkEnd w:id="866"/>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广东和盛招标代理有限公司</w:t>
      </w: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67" w:name="_Toc32395_WPSOffice_Level1"/>
      <w:r>
        <w:rPr>
          <w:rFonts w:hint="eastAsia" w:ascii="宋体" w:hAnsi="宋体" w:eastAsia="宋体" w:cs="宋体"/>
          <w:b/>
          <w:bCs/>
          <w:color w:val="auto"/>
          <w:sz w:val="36"/>
          <w:szCs w:val="36"/>
          <w:highlight w:val="none"/>
          <w:lang w:val="zh-CN"/>
        </w:rPr>
        <w:t>目录</w:t>
      </w:r>
      <w:bookmarkEnd w:id="867"/>
    </w:p>
    <w:p>
      <w:pPr>
        <w:autoSpaceDE w:val="0"/>
        <w:autoSpaceDN w:val="0"/>
        <w:adjustRightInd w:val="0"/>
        <w:spacing w:line="400" w:lineRule="atLeast"/>
        <w:jc w:val="center"/>
        <w:rPr>
          <w:rFonts w:hint="eastAsia" w:ascii="宋体" w:hAnsi="宋体" w:eastAsia="宋体" w:cs="宋体"/>
          <w:color w:val="auto"/>
          <w:sz w:val="44"/>
          <w:szCs w:val="44"/>
          <w:highlight w:val="none"/>
        </w:rPr>
      </w:pPr>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68"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68"/>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69"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69"/>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70"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70"/>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71" w:name="_Toc1206_WPSOffice_Level1"/>
      <w:r>
        <w:rPr>
          <w:rFonts w:hint="eastAsia" w:ascii="宋体" w:hAnsi="宋体" w:eastAsia="宋体" w:cs="宋体"/>
          <w:color w:val="auto"/>
          <w:szCs w:val="30"/>
          <w:highlight w:val="none"/>
        </w:rPr>
        <w:t>四、 比较和评价</w:t>
      </w:r>
      <w:bookmarkEnd w:id="871"/>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72"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72"/>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73"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73"/>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74"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74"/>
    </w:p>
    <w:p>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75"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75"/>
    </w:p>
    <w:p>
      <w:pPr>
        <w:tabs>
          <w:tab w:val="left" w:pos="567"/>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东莞市茶山镇污水处理厂改扩建项目第三方监测服务采购项目</w:t>
      </w:r>
      <w:r>
        <w:rPr>
          <w:rFonts w:hint="eastAsia" w:ascii="宋体" w:hAnsi="宋体" w:eastAsia="宋体" w:cs="宋体"/>
          <w:color w:val="auto"/>
          <w:szCs w:val="21"/>
          <w:highlight w:val="none"/>
          <w:lang w:val="zh-CN"/>
        </w:rPr>
        <w:t>(招标编号：HSDG2024006</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广东和盛招标代理有限公司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6"/>
        </w:numPr>
        <w:autoSpaceDE w:val="0"/>
        <w:autoSpaceDN w:val="0"/>
        <w:adjustRightInd w:val="0"/>
        <w:spacing w:line="360" w:lineRule="auto"/>
        <w:ind w:left="565" w:hanging="564" w:hangingChars="269"/>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hint="eastAsia"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A．公开招标：</w:t>
      </w:r>
    </w:p>
    <w:p>
      <w:pPr>
        <w:autoSpaceDE w:val="0"/>
        <w:autoSpaceDN w:val="0"/>
        <w:adjustRightInd w:val="0"/>
        <w:spacing w:line="360" w:lineRule="auto"/>
        <w:ind w:left="567" w:hanging="567"/>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pPr>
        <w:spacing w:line="360" w:lineRule="auto"/>
        <w:ind w:left="567" w:hanging="567"/>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B．竞争性谈判：</w:t>
      </w:r>
    </w:p>
    <w:p>
      <w:pPr>
        <w:spacing w:line="360" w:lineRule="auto"/>
        <w:ind w:left="518" w:hanging="518"/>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highlight w:val="none"/>
          <w:lang w:val="zh-CN"/>
        </w:rPr>
        <w:t>5.8</w:t>
      </w:r>
      <w:r>
        <w:rPr>
          <w:rFonts w:hint="eastAsia" w:ascii="宋体" w:hAnsi="宋体" w:eastAsia="宋体" w:cs="宋体"/>
          <w:bCs/>
          <w:color w:val="auto"/>
          <w:kern w:val="2"/>
          <w:sz w:val="21"/>
          <w:highlight w:val="none"/>
        </w:rPr>
        <w:t xml:space="preserve">  </w:t>
      </w:r>
      <w:r>
        <w:rPr>
          <w:rFonts w:hint="eastAsia" w:ascii="宋体" w:hAnsi="宋体" w:eastAsia="宋体" w:cs="宋体"/>
          <w:color w:val="auto"/>
          <w:kern w:val="2"/>
          <w:sz w:val="21"/>
          <w:szCs w:val="21"/>
          <w:highlight w:val="none"/>
        </w:rPr>
        <w:t>当有效</w:t>
      </w:r>
      <w:r>
        <w:rPr>
          <w:rFonts w:hint="eastAsia" w:ascii="宋体" w:hAnsi="宋体" w:eastAsia="宋体" w:cs="宋体"/>
          <w:color w:val="auto"/>
          <w:kern w:val="2"/>
          <w:sz w:val="21"/>
          <w:szCs w:val="21"/>
          <w:highlight w:val="none"/>
          <w:lang w:val="zh-CN"/>
        </w:rPr>
        <w:t>投标人只有2个时，终止公开招标采购，</w:t>
      </w:r>
      <w:r>
        <w:rPr>
          <w:rFonts w:hint="eastAsia" w:ascii="宋体" w:hAnsi="宋体" w:eastAsia="宋体" w:cs="宋体"/>
          <w:b/>
          <w:bCs/>
          <w:color w:val="auto"/>
          <w:sz w:val="21"/>
          <w:szCs w:val="21"/>
          <w:highlight w:val="none"/>
          <w:lang w:val="en-US" w:eastAsia="zh-CN"/>
        </w:rPr>
        <w:t>经评标委员会论证，采购文件没有不合理条款、采购程序符合规定，</w:t>
      </w:r>
      <w:r>
        <w:rPr>
          <w:rFonts w:hint="eastAsia" w:ascii="宋体" w:hAnsi="宋体" w:eastAsia="宋体" w:cs="宋体"/>
          <w:color w:val="auto"/>
          <w:kern w:val="2"/>
          <w:sz w:val="21"/>
          <w:szCs w:val="21"/>
          <w:highlight w:val="none"/>
          <w:lang w:val="zh-CN"/>
        </w:rPr>
        <w:t>现场经招标人和作出实质性响应的投标人代表同意后，现场更改为竞争性谈判的方式继续采购。</w:t>
      </w:r>
      <w:r>
        <w:rPr>
          <w:rFonts w:hint="eastAsia" w:ascii="宋体" w:hAnsi="宋体" w:eastAsia="宋体" w:cs="宋体"/>
          <w:bCs/>
          <w:color w:val="auto"/>
          <w:kern w:val="2"/>
          <w:sz w:val="21"/>
          <w:highlight w:val="none"/>
          <w:lang w:val="zh-CN"/>
        </w:rPr>
        <w:t>评审首先由评标委员会对投标人的投标文件做</w:t>
      </w:r>
      <w:r>
        <w:rPr>
          <w:rFonts w:hint="eastAsia" w:ascii="宋体" w:hAnsi="宋体" w:eastAsia="宋体" w:cs="宋体"/>
          <w:color w:val="auto"/>
          <w:kern w:val="2"/>
          <w:sz w:val="21"/>
          <w:szCs w:val="21"/>
          <w:highlight w:val="none"/>
          <w:lang w:val="zh-CN"/>
        </w:rPr>
        <w:t>初审</w:t>
      </w:r>
      <w:r>
        <w:rPr>
          <w:rFonts w:hint="eastAsia" w:ascii="宋体" w:hAnsi="宋体" w:eastAsia="宋体" w:cs="宋体"/>
          <w:bCs/>
          <w:color w:val="auto"/>
          <w:kern w:val="2"/>
          <w:sz w:val="21"/>
          <w:highlight w:val="none"/>
          <w:lang w:val="zh-CN"/>
        </w:rPr>
        <w:t>，对未能通过初审的投标文件不再进入下一阶段评审。</w:t>
      </w:r>
    </w:p>
    <w:p>
      <w:pPr>
        <w:spacing w:line="360" w:lineRule="auto"/>
        <w:ind w:left="518" w:hanging="518"/>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lang w:val="zh-CN"/>
        </w:rPr>
        <w:t>5.9</w:t>
      </w:r>
      <w:r>
        <w:rPr>
          <w:rFonts w:hint="eastAsia" w:ascii="宋体" w:hAnsi="宋体" w:eastAsia="宋体" w:cs="宋体"/>
          <w:color w:val="auto"/>
          <w:kern w:val="2"/>
          <w:sz w:val="21"/>
          <w:highlight w:val="none"/>
        </w:rPr>
        <w:t xml:space="preserve">  </w:t>
      </w:r>
      <w:r>
        <w:rPr>
          <w:rFonts w:hint="eastAsia" w:ascii="宋体" w:hAnsi="宋体" w:eastAsia="宋体" w:cs="宋体"/>
          <w:color w:val="auto"/>
          <w:kern w:val="2"/>
          <w:sz w:val="21"/>
          <w:szCs w:val="21"/>
          <w:highlight w:val="none"/>
          <w:lang w:val="zh-CN"/>
        </w:rPr>
        <w:t>评标委员会将集中按递交投标文件的先后顺序逐一与合格的投标人</w:t>
      </w:r>
      <w:r>
        <w:rPr>
          <w:rFonts w:hint="eastAsia" w:ascii="宋体" w:hAnsi="宋体" w:eastAsia="宋体" w:cs="宋体"/>
          <w:color w:val="auto"/>
          <w:sz w:val="21"/>
          <w:szCs w:val="21"/>
          <w:highlight w:val="none"/>
        </w:rPr>
        <w:t>进行相同轮次（一个或多个回合）谈判</w:t>
      </w:r>
      <w:r>
        <w:rPr>
          <w:rFonts w:hint="eastAsia" w:ascii="宋体" w:hAnsi="宋体" w:eastAsia="宋体" w:cs="宋体"/>
          <w:color w:val="auto"/>
          <w:kern w:val="2"/>
          <w:sz w:val="21"/>
          <w:szCs w:val="21"/>
          <w:highlight w:val="none"/>
          <w:lang w:val="zh-CN"/>
        </w:rPr>
        <w:t>，并给予所有参加谈判的响应投标人平等的谈判机会。</w:t>
      </w:r>
      <w:r>
        <w:rPr>
          <w:rFonts w:hint="eastAsia" w:ascii="宋体" w:hAnsi="宋体" w:eastAsia="宋体" w:cs="宋体"/>
          <w:color w:val="auto"/>
          <w:kern w:val="2"/>
          <w:sz w:val="21"/>
          <w:highlight w:val="none"/>
          <w:lang w:val="zh-CN"/>
        </w:rPr>
        <w:t>如需要，进行必要的澄清工作。</w:t>
      </w:r>
      <w:r>
        <w:rPr>
          <w:rFonts w:hint="eastAsia" w:ascii="宋体" w:hAnsi="宋体" w:eastAsia="宋体" w:cs="宋体"/>
          <w:color w:val="auto"/>
          <w:sz w:val="21"/>
          <w:szCs w:val="21"/>
          <w:highlight w:val="none"/>
        </w:rPr>
        <w:t>在谈判中，谈判的任何一方不得透露与谈判有关的其他投标人的技术资料、报价和其他信息。</w:t>
      </w:r>
    </w:p>
    <w:p>
      <w:pPr>
        <w:spacing w:line="360" w:lineRule="auto"/>
        <w:ind w:left="518" w:hanging="518"/>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5.10</w:t>
      </w:r>
      <w:r>
        <w:rPr>
          <w:rFonts w:hint="eastAsia" w:ascii="宋体" w:hAnsi="宋体" w:eastAsia="宋体" w:cs="宋体"/>
          <w:color w:val="auto"/>
          <w:kern w:val="2"/>
          <w:sz w:val="21"/>
          <w:highlight w:val="none"/>
        </w:rPr>
        <w:t xml:space="preserve"> 在谈判过程中，评标委员会可以根据招标文件和谈判情况实质性变动采购需求中的技术、服务要求以及合同草案条款，但不得变动招标文件中的其他内容。实质性变动的内容，须经招标人确认，对招标文件作出的实质性变动是招标文件的有效组成部分，评标委员会应当及时以书面形式同时通知所有参加谈判的投标人。</w:t>
      </w:r>
    </w:p>
    <w:p>
      <w:pPr>
        <w:spacing w:line="360" w:lineRule="auto"/>
        <w:ind w:left="518" w:hanging="518"/>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5.11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spacing w:line="360" w:lineRule="auto"/>
        <w:ind w:left="518" w:hanging="518"/>
        <w:jc w:val="both"/>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2"/>
          <w:sz w:val="21"/>
          <w:highlight w:val="none"/>
        </w:rPr>
        <w:t>5.12 招标文件能够详细列明采购标的的技术、服务要求的，</w:t>
      </w:r>
      <w:r>
        <w:rPr>
          <w:rFonts w:hint="eastAsia" w:ascii="宋体" w:hAnsi="宋体" w:eastAsia="宋体" w:cs="宋体"/>
          <w:color w:val="auto"/>
          <w:kern w:val="2"/>
          <w:sz w:val="21"/>
          <w:szCs w:val="21"/>
          <w:highlight w:val="none"/>
          <w:lang w:val="zh-CN"/>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宋体"/>
          <w:b/>
          <w:color w:val="auto"/>
          <w:kern w:val="2"/>
          <w:sz w:val="21"/>
          <w:szCs w:val="21"/>
          <w:highlight w:val="none"/>
          <w:lang w:val="zh-CN"/>
        </w:rPr>
        <w:t>如在谈判中评标委员会没有对本招标文件作实质性变动增加新的需求，后一轮报价不得高于前一轮报价。</w:t>
      </w:r>
    </w:p>
    <w:p>
      <w:pPr>
        <w:tabs>
          <w:tab w:val="left" w:pos="567"/>
        </w:tabs>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5.13</w:t>
      </w:r>
      <w:r>
        <w:rPr>
          <w:rFonts w:hint="eastAsia" w:ascii="宋体" w:hAnsi="宋体" w:eastAsia="宋体" w:cs="宋体"/>
          <w:color w:val="auto"/>
          <w:kern w:val="2"/>
          <w:sz w:val="21"/>
          <w:szCs w:val="21"/>
          <w:highlight w:val="none"/>
        </w:rPr>
        <w:t xml:space="preserve"> </w:t>
      </w:r>
      <w:r>
        <w:rPr>
          <w:rFonts w:hint="eastAsia" w:ascii="宋体" w:hAnsi="宋体" w:eastAsia="宋体" w:cs="宋体"/>
          <w:b/>
          <w:color w:val="auto"/>
          <w:kern w:val="2"/>
          <w:sz w:val="21"/>
          <w:highlight w:val="none"/>
        </w:rPr>
        <w:t>投标</w:t>
      </w:r>
      <w:r>
        <w:rPr>
          <w:rFonts w:hint="eastAsia" w:ascii="宋体" w:hAnsi="宋体" w:eastAsia="宋体" w:cs="宋体"/>
          <w:b/>
          <w:color w:val="auto"/>
          <w:kern w:val="2"/>
          <w:sz w:val="21"/>
          <w:szCs w:val="21"/>
          <w:highlight w:val="none"/>
          <w:lang w:val="zh-CN"/>
        </w:rPr>
        <w:t>人不得违反标准规范规定，通过降低货物或服务质量、减少服务内容等手段进行恶性竞争，扰乱正常市场秩序。</w:t>
      </w:r>
      <w:r>
        <w:rPr>
          <w:rFonts w:hint="eastAsia" w:ascii="宋体" w:hAnsi="宋体" w:eastAsia="宋体" w:cs="宋体"/>
          <w:b/>
          <w:color w:val="auto"/>
          <w:kern w:val="2"/>
          <w:sz w:val="21"/>
          <w:highlight w:val="none"/>
        </w:rPr>
        <w:t>投标</w:t>
      </w:r>
      <w:r>
        <w:rPr>
          <w:rFonts w:hint="eastAsia" w:ascii="宋体" w:hAnsi="宋体" w:eastAsia="宋体" w:cs="宋体"/>
          <w:b/>
          <w:color w:val="auto"/>
          <w:kern w:val="2"/>
          <w:sz w:val="21"/>
          <w:szCs w:val="21"/>
          <w:highlight w:val="none"/>
          <w:lang w:val="zh-CN"/>
        </w:rPr>
        <w:t>人不得以低于成本的报价竞标。如果评标委员会发现</w:t>
      </w:r>
      <w:r>
        <w:rPr>
          <w:rFonts w:hint="eastAsia" w:ascii="宋体" w:hAnsi="宋体" w:eastAsia="宋体" w:cs="宋体"/>
          <w:b/>
          <w:color w:val="auto"/>
          <w:kern w:val="2"/>
          <w:sz w:val="21"/>
          <w:highlight w:val="none"/>
        </w:rPr>
        <w:t>投标</w:t>
      </w:r>
      <w:r>
        <w:rPr>
          <w:rFonts w:hint="eastAsia" w:ascii="宋体" w:hAnsi="宋体" w:eastAsia="宋体" w:cs="宋体"/>
          <w:b/>
          <w:color w:val="auto"/>
          <w:kern w:val="2"/>
          <w:sz w:val="21"/>
          <w:szCs w:val="21"/>
          <w:highlight w:val="none"/>
          <w:lang w:val="zh-CN"/>
        </w:rPr>
        <w:t>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pPr>
        <w:tabs>
          <w:tab w:val="left" w:pos="567"/>
        </w:tabs>
        <w:spacing w:line="360" w:lineRule="auto"/>
        <w:ind w:left="525" w:hanging="525" w:hangingChars="25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 xml:space="preserve">5.14 </w:t>
      </w:r>
      <w:r>
        <w:rPr>
          <w:rFonts w:hint="eastAsia" w:ascii="宋体" w:hAnsi="宋体" w:eastAsia="宋体" w:cs="宋体"/>
          <w:color w:val="auto"/>
          <w:sz w:val="21"/>
          <w:szCs w:val="21"/>
          <w:highlight w:val="none"/>
        </w:rPr>
        <w:t>参与竞争性谈判的投标人，在提交最</w:t>
      </w:r>
      <w:r>
        <w:rPr>
          <w:rFonts w:hint="eastAsia" w:ascii="宋体" w:hAnsi="宋体" w:eastAsia="宋体" w:cs="宋体"/>
          <w:color w:val="auto"/>
          <w:kern w:val="2"/>
          <w:sz w:val="21"/>
          <w:szCs w:val="21"/>
          <w:highlight w:val="none"/>
          <w:lang w:val="zh-CN"/>
        </w:rPr>
        <w:t>后</w:t>
      </w:r>
      <w:r>
        <w:rPr>
          <w:rFonts w:hint="eastAsia" w:ascii="宋体" w:hAnsi="宋体" w:eastAsia="宋体" w:cs="宋体"/>
          <w:color w:val="auto"/>
          <w:sz w:val="21"/>
          <w:szCs w:val="21"/>
          <w:highlight w:val="none"/>
        </w:rPr>
        <w:t>报价之前，可以根据谈判情况退出谈判，招标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将退还其投标保证金。</w:t>
      </w:r>
    </w:p>
    <w:p>
      <w:pPr>
        <w:spacing w:line="360" w:lineRule="auto"/>
        <w:ind w:left="518" w:hanging="518"/>
        <w:jc w:val="both"/>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highlight w:val="none"/>
          <w:lang w:val="zh-CN"/>
        </w:rPr>
        <w:t>5.15</w:t>
      </w:r>
      <w:r>
        <w:rPr>
          <w:rFonts w:hint="eastAsia" w:ascii="宋体" w:hAnsi="宋体" w:eastAsia="宋体" w:cs="宋体"/>
          <w:color w:val="auto"/>
          <w:kern w:val="2"/>
          <w:sz w:val="21"/>
          <w:highlight w:val="none"/>
        </w:rPr>
        <w:t xml:space="preserve"> </w:t>
      </w:r>
      <w:r>
        <w:rPr>
          <w:rFonts w:hint="eastAsia" w:ascii="宋体" w:hAnsi="宋体" w:eastAsia="宋体" w:cs="宋体"/>
          <w:color w:val="auto"/>
          <w:kern w:val="2"/>
          <w:sz w:val="21"/>
          <w:highlight w:val="none"/>
          <w:lang w:val="zh-CN"/>
        </w:rPr>
        <w:t>评标</w:t>
      </w:r>
      <w:r>
        <w:rPr>
          <w:rFonts w:hint="eastAsia" w:ascii="宋体" w:hAnsi="宋体" w:eastAsia="宋体" w:cs="宋体"/>
          <w:color w:val="auto"/>
          <w:kern w:val="2"/>
          <w:sz w:val="21"/>
          <w:highlight w:val="none"/>
        </w:rPr>
        <w:t>委员会</w:t>
      </w:r>
      <w:r>
        <w:rPr>
          <w:rFonts w:hint="eastAsia" w:ascii="宋体" w:hAnsi="宋体" w:eastAsia="宋体" w:cs="宋体"/>
          <w:color w:val="auto"/>
          <w:kern w:val="2"/>
          <w:sz w:val="21"/>
          <w:szCs w:val="21"/>
          <w:highlight w:val="none"/>
          <w:lang w:val="zh-CN"/>
        </w:rPr>
        <w:t>将</w:t>
      </w:r>
      <w:r>
        <w:rPr>
          <w:rFonts w:hint="eastAsia" w:ascii="宋体" w:hAnsi="宋体" w:eastAsia="宋体" w:cs="宋体"/>
          <w:color w:val="auto"/>
          <w:sz w:val="21"/>
          <w:szCs w:val="21"/>
          <w:highlight w:val="none"/>
        </w:rPr>
        <w:t>从质量和服务均能满足招标文件实质性响应要求的供应商中，按照最后报价由低到高的顺序向招标人推荐最后报价最低的投标人为第一中标候选人，推荐最后报价次低的投标人为第二中标候选人。如出现两个相同报价,则由评标委员会</w:t>
      </w:r>
      <w:r>
        <w:rPr>
          <w:rFonts w:hint="eastAsia" w:ascii="宋体" w:hAnsi="宋体" w:eastAsia="宋体" w:cs="宋体"/>
          <w:color w:val="auto"/>
          <w:sz w:val="21"/>
          <w:szCs w:val="21"/>
          <w:highlight w:val="none"/>
          <w:lang w:val="zh-CN"/>
        </w:rPr>
        <w:t>主持，采取由最低报价的投标人抽签的方式确定</w:t>
      </w:r>
      <w:r>
        <w:rPr>
          <w:rFonts w:hint="eastAsia" w:ascii="宋体" w:hAnsi="宋体" w:eastAsia="宋体" w:cs="宋体"/>
          <w:color w:val="auto"/>
          <w:sz w:val="21"/>
          <w:szCs w:val="21"/>
          <w:highlight w:val="none"/>
        </w:rPr>
        <w:t>第一中标候选人和第二中标候选人(抽签按投标人递交投标文件的先后顺序进行)。</w:t>
      </w:r>
    </w:p>
    <w:p>
      <w:pPr>
        <w:spacing w:line="360" w:lineRule="auto"/>
        <w:ind w:left="518" w:hanging="518"/>
        <w:jc w:val="both"/>
        <w:rPr>
          <w:rFonts w:hint="eastAsia" w:ascii="宋体" w:hAnsi="宋体" w:eastAsia="宋体" w:cs="宋体"/>
          <w:color w:val="auto"/>
          <w:kern w:val="2"/>
          <w:sz w:val="21"/>
          <w:highlight w:val="none"/>
          <w:lang w:val="zh-CN"/>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16</w:t>
      </w:r>
      <w:r>
        <w:rPr>
          <w:rFonts w:hint="eastAsia" w:ascii="宋体" w:hAnsi="宋体" w:eastAsia="宋体" w:cs="宋体"/>
          <w:color w:val="auto"/>
          <w:kern w:val="2"/>
          <w:sz w:val="21"/>
          <w:highlight w:val="none"/>
        </w:rPr>
        <w:t xml:space="preserve"> </w:t>
      </w:r>
      <w:r>
        <w:rPr>
          <w:rFonts w:hint="eastAsia" w:ascii="宋体" w:hAnsi="宋体" w:eastAsia="宋体" w:cs="宋体"/>
          <w:color w:val="auto"/>
          <w:sz w:val="21"/>
          <w:highlight w:val="none"/>
          <w:lang w:val="zh-CN"/>
        </w:rPr>
        <w:t>评标委员会</w:t>
      </w:r>
      <w:r>
        <w:rPr>
          <w:rFonts w:hint="eastAsia" w:ascii="宋体" w:hAnsi="宋体" w:eastAsia="宋体" w:cs="宋体"/>
          <w:color w:val="auto"/>
          <w:kern w:val="2"/>
          <w:sz w:val="21"/>
          <w:highlight w:val="none"/>
          <w:lang w:val="zh-CN"/>
        </w:rPr>
        <w:t>根据评审结果编写评审报告。</w:t>
      </w:r>
    </w:p>
    <w:p>
      <w:pPr>
        <w:spacing w:line="360" w:lineRule="auto"/>
        <w:ind w:left="567" w:hanging="567"/>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C．单一来源：</w:t>
      </w:r>
    </w:p>
    <w:p>
      <w:pPr>
        <w:spacing w:line="360" w:lineRule="auto"/>
        <w:ind w:left="518" w:hanging="51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5.17 当</w:t>
      </w:r>
      <w:r>
        <w:rPr>
          <w:rFonts w:hint="eastAsia" w:ascii="宋体" w:hAnsi="宋体" w:eastAsia="宋体" w:cs="宋体"/>
          <w:color w:val="auto"/>
          <w:kern w:val="2"/>
          <w:sz w:val="21"/>
          <w:szCs w:val="21"/>
          <w:highlight w:val="none"/>
          <w:lang w:val="zh-CN"/>
        </w:rPr>
        <w:t>有效的投标人只有1个时，终止公开招标采购，经</w:t>
      </w:r>
      <w:r>
        <w:rPr>
          <w:rFonts w:hint="eastAsia" w:ascii="宋体" w:hAnsi="宋体" w:eastAsia="宋体" w:cs="宋体"/>
          <w:color w:val="auto"/>
          <w:kern w:val="2"/>
          <w:sz w:val="21"/>
          <w:szCs w:val="21"/>
          <w:highlight w:val="none"/>
        </w:rPr>
        <w:t>评标委员会</w:t>
      </w:r>
      <w:r>
        <w:rPr>
          <w:rFonts w:hint="eastAsia" w:ascii="宋体" w:hAnsi="宋体" w:eastAsia="宋体" w:cs="宋体"/>
          <w:color w:val="auto"/>
          <w:kern w:val="2"/>
          <w:sz w:val="21"/>
          <w:szCs w:val="21"/>
          <w:highlight w:val="none"/>
          <w:lang w:val="zh-CN"/>
        </w:rPr>
        <w:t>论证，采购文件没有不合理条款、采购程序符合规定，现场经招标人和作出实质性响应的投标人代表同意后，更改为单一来源的方式继续采购。</w:t>
      </w:r>
      <w:r>
        <w:rPr>
          <w:rFonts w:hint="eastAsia" w:ascii="宋体" w:hAnsi="宋体" w:eastAsia="宋体" w:cs="宋体"/>
          <w:bCs/>
          <w:color w:val="auto"/>
          <w:kern w:val="2"/>
          <w:sz w:val="21"/>
          <w:highlight w:val="none"/>
          <w:lang w:val="zh-CN"/>
        </w:rPr>
        <w:t>由评标委员会按照本评标工作大纲总则内的5.18款至5.22款的约定直接与投标人在保证采购质量的前提下商定合理的成交价格。</w:t>
      </w:r>
    </w:p>
    <w:p>
      <w:pPr>
        <w:spacing w:line="360" w:lineRule="auto"/>
        <w:ind w:left="518" w:hanging="518"/>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szCs w:val="21"/>
          <w:highlight w:val="none"/>
          <w:lang w:val="zh-CN"/>
        </w:rPr>
        <w:t>5.18</w:t>
      </w:r>
      <w:r>
        <w:rPr>
          <w:rFonts w:hint="eastAsia" w:ascii="宋体" w:hAnsi="宋体" w:eastAsia="宋体" w:cs="宋体"/>
          <w:bCs/>
          <w:color w:val="auto"/>
          <w:kern w:val="2"/>
          <w:sz w:val="21"/>
          <w:highlight w:val="none"/>
          <w:lang w:val="zh-CN"/>
        </w:rPr>
        <w:t xml:space="preserve"> 评标委员会直接与</w:t>
      </w:r>
      <w:r>
        <w:rPr>
          <w:rFonts w:hint="eastAsia" w:ascii="宋体" w:hAnsi="宋体" w:eastAsia="宋体" w:cs="宋体"/>
          <w:color w:val="auto"/>
          <w:kern w:val="2"/>
          <w:sz w:val="21"/>
          <w:highlight w:val="none"/>
          <w:lang w:val="zh-CN"/>
        </w:rPr>
        <w:t>投标人进行谈判协商，然后对最终报价及投标文件进行审查，得出评审结果，编写评审报告（含协商情况记录）及推荐成交候选人。</w:t>
      </w:r>
    </w:p>
    <w:p>
      <w:pPr>
        <w:spacing w:line="360" w:lineRule="auto"/>
        <w:ind w:left="518" w:hanging="518"/>
        <w:jc w:val="both"/>
        <w:rPr>
          <w:rFonts w:hint="eastAsia" w:ascii="宋体" w:hAnsi="宋体" w:eastAsia="宋体" w:cs="宋体"/>
          <w:color w:val="auto"/>
          <w:kern w:val="2"/>
          <w:sz w:val="21"/>
          <w:highlight w:val="none"/>
        </w:rPr>
      </w:pPr>
      <w:r>
        <w:rPr>
          <w:rFonts w:hint="eastAsia" w:ascii="宋体" w:hAnsi="宋体" w:eastAsia="宋体" w:cs="宋体"/>
          <w:bCs/>
          <w:color w:val="auto"/>
          <w:kern w:val="2"/>
          <w:sz w:val="21"/>
          <w:highlight w:val="none"/>
          <w:lang w:val="zh-CN"/>
        </w:rPr>
        <w:t xml:space="preserve">5.19 </w:t>
      </w:r>
      <w:r>
        <w:rPr>
          <w:rFonts w:hint="eastAsia" w:ascii="宋体" w:hAnsi="宋体" w:eastAsia="宋体" w:cs="宋体"/>
          <w:color w:val="auto"/>
          <w:kern w:val="2"/>
          <w:sz w:val="21"/>
          <w:highlight w:val="none"/>
        </w:rPr>
        <w:t>在协商的过程中，评标委员会可以根据招标文件和协商情况实质性变动采购需求中的技术、服务要求以及合同草案条款。实质性变动的内容，须经招标人确认，对招标文件作出的实质性变动是招标文件的有效组成部分。</w:t>
      </w:r>
    </w:p>
    <w:p>
      <w:pPr>
        <w:spacing w:line="360" w:lineRule="auto"/>
        <w:ind w:left="518" w:hanging="518"/>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spacing w:line="360" w:lineRule="auto"/>
        <w:ind w:left="518" w:hanging="518"/>
        <w:jc w:val="both"/>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2"/>
          <w:sz w:val="21"/>
          <w:highlight w:val="none"/>
        </w:rPr>
        <w:t>5.21 招标文件能够详细列明采购标的的技术、服务要求的，协商</w:t>
      </w:r>
      <w:r>
        <w:rPr>
          <w:rFonts w:hint="eastAsia" w:ascii="宋体" w:hAnsi="宋体" w:eastAsia="宋体" w:cs="宋体"/>
          <w:color w:val="auto"/>
          <w:kern w:val="2"/>
          <w:sz w:val="21"/>
          <w:szCs w:val="21"/>
          <w:highlight w:val="none"/>
          <w:lang w:val="zh-CN"/>
        </w:rPr>
        <w:t>结束后，投标人应在规定的时间内提交二次报价（即最终报价，最终报价时间视协商进程由评标委员会决定），最终报价是投标人投标文件的有效组成部分。</w:t>
      </w:r>
      <w:r>
        <w:rPr>
          <w:rFonts w:hint="eastAsia" w:ascii="宋体" w:hAnsi="宋体" w:eastAsia="宋体" w:cs="宋体"/>
          <w:b/>
          <w:color w:val="auto"/>
          <w:kern w:val="2"/>
          <w:sz w:val="21"/>
          <w:szCs w:val="21"/>
          <w:highlight w:val="none"/>
          <w:lang w:val="zh-CN"/>
        </w:rPr>
        <w:t>如在协商中评标委员会没有对本招标文件作实质性变动增加新的需求，后一轮报价不得高于前一轮报价。</w:t>
      </w:r>
    </w:p>
    <w:p>
      <w:pPr>
        <w:spacing w:line="360" w:lineRule="auto"/>
        <w:ind w:left="518" w:hanging="518"/>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5.22 单一来源采购过程中，当出现下列情形之一的，评标委员会应当终止采购活动：</w:t>
      </w:r>
    </w:p>
    <w:p>
      <w:pPr>
        <w:spacing w:line="360" w:lineRule="auto"/>
        <w:ind w:left="708" w:hanging="708" w:hangingChars="336"/>
        <w:jc w:val="both"/>
        <w:rPr>
          <w:rFonts w:hint="eastAsia" w:ascii="宋体" w:hAnsi="宋体" w:eastAsia="宋体" w:cs="宋体"/>
          <w:b/>
          <w:color w:val="auto"/>
          <w:sz w:val="21"/>
          <w:szCs w:val="21"/>
          <w:highlight w:val="none"/>
        </w:rPr>
      </w:pPr>
      <w:r>
        <w:rPr>
          <w:rFonts w:hint="eastAsia" w:ascii="宋体" w:hAnsi="宋体" w:eastAsia="宋体" w:cs="宋体"/>
          <w:b/>
          <w:color w:val="auto"/>
          <w:kern w:val="2"/>
          <w:sz w:val="21"/>
          <w:highlight w:val="none"/>
          <w:lang w:val="zh-CN"/>
        </w:rPr>
        <w:t>5.22.1</w:t>
      </w:r>
      <w:r>
        <w:rPr>
          <w:rFonts w:hint="eastAsia" w:ascii="宋体" w:hAnsi="宋体" w:eastAsia="宋体" w:cs="宋体"/>
          <w:b/>
          <w:color w:val="auto"/>
          <w:kern w:val="2"/>
          <w:sz w:val="21"/>
          <w:highlight w:val="none"/>
        </w:rPr>
        <w:t xml:space="preserve"> </w:t>
      </w:r>
      <w:r>
        <w:rPr>
          <w:rFonts w:hint="eastAsia" w:ascii="宋体" w:hAnsi="宋体" w:eastAsia="宋体" w:cs="宋体"/>
          <w:b/>
          <w:color w:val="auto"/>
          <w:kern w:val="2"/>
          <w:sz w:val="21"/>
          <w:highlight w:val="none"/>
          <w:lang w:val="zh-CN"/>
        </w:rPr>
        <w:t>投标人</w:t>
      </w:r>
      <w:r>
        <w:rPr>
          <w:rFonts w:hint="eastAsia" w:ascii="宋体" w:hAnsi="宋体" w:eastAsia="宋体" w:cs="宋体"/>
          <w:b/>
          <w:color w:val="auto"/>
          <w:sz w:val="21"/>
          <w:szCs w:val="21"/>
          <w:highlight w:val="none"/>
        </w:rPr>
        <w:t>（含其不具有独立法人资格的分支机构）被列入“信用中国”网站失信被执行人、重大税收违法失信主体、严重违法失信行为记录名单的；</w:t>
      </w:r>
    </w:p>
    <w:p>
      <w:pPr>
        <w:spacing w:line="360" w:lineRule="auto"/>
        <w:ind w:left="708" w:hanging="708" w:hangingChars="336"/>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 xml:space="preserve">5.22.2 </w:t>
      </w:r>
      <w:r>
        <w:rPr>
          <w:rFonts w:hint="eastAsia" w:ascii="宋体" w:hAnsi="宋体" w:eastAsia="宋体" w:cs="宋体"/>
          <w:b/>
          <w:bCs/>
          <w:color w:val="auto"/>
          <w:szCs w:val="21"/>
          <w:highlight w:val="none"/>
          <w:lang w:val="zh-CN"/>
        </w:rPr>
        <w:t>监测服务系数报价</w:t>
      </w:r>
      <w:r>
        <w:rPr>
          <w:rFonts w:hint="eastAsia" w:ascii="宋体" w:hAnsi="宋体" w:eastAsia="宋体" w:cs="宋体"/>
          <w:b/>
          <w:bCs/>
          <w:color w:val="auto"/>
          <w:szCs w:val="21"/>
          <w:highlight w:val="none"/>
          <w:lang w:val="en-US" w:eastAsia="zh-CN"/>
        </w:rPr>
        <w:t>超过0.80</w:t>
      </w:r>
      <w:r>
        <w:rPr>
          <w:rFonts w:hint="eastAsia" w:ascii="宋体" w:hAnsi="宋体" w:eastAsia="宋体" w:cs="宋体"/>
          <w:b/>
          <w:bCs/>
          <w:color w:val="auto"/>
          <w:szCs w:val="21"/>
          <w:highlight w:val="none"/>
          <w:lang w:val="zh-CN"/>
        </w:rPr>
        <w:t>（保留小数点后2位）</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val="zh-CN"/>
        </w:rPr>
        <w:t>；</w:t>
      </w:r>
    </w:p>
    <w:p>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5.22.3 投标人未能与评标委员会商定出合理的价格的；</w:t>
      </w:r>
    </w:p>
    <w:p>
      <w:pPr>
        <w:spacing w:line="360" w:lineRule="auto"/>
        <w:ind w:left="708" w:hanging="708" w:hangingChars="336"/>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5.22.4 评标委员会认定投标人最终的投标文件存在影响采购项目质量，且投标人不能合理说明或不能提供相关证明材料，导致招标人的利益得不到保障的。</w:t>
      </w:r>
    </w:p>
    <w:p>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p>
    <w:p>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876" w:name="_Toc19435_WPSOffice_Level1"/>
      <w:r>
        <w:rPr>
          <w:rFonts w:hint="eastAsia" w:ascii="宋体" w:hAnsi="宋体" w:eastAsia="宋体" w:cs="宋体"/>
          <w:b/>
          <w:bCs/>
          <w:color w:val="auto"/>
          <w:sz w:val="28"/>
          <w:szCs w:val="28"/>
          <w:highlight w:val="none"/>
          <w:lang w:val="zh-CN"/>
        </w:rPr>
        <w:t>二、投标文件的初审</w:t>
      </w:r>
      <w:bookmarkEnd w:id="876"/>
    </w:p>
    <w:p>
      <w:pPr>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投标人报价未按照招标文件要求对监测服务系数进行报价的；</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tabs>
          <w:tab w:val="left" w:pos="567"/>
        </w:tabs>
        <w:spacing w:line="360" w:lineRule="auto"/>
        <w:ind w:left="632" w:hanging="632" w:hangingChars="30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7.6投标人为</w:t>
      </w:r>
      <w:r>
        <w:rPr>
          <w:rFonts w:hint="eastAsia" w:ascii="宋体" w:hAnsi="宋体" w:eastAsia="宋体" w:cs="宋体"/>
          <w:b/>
          <w:color w:val="auto"/>
          <w:szCs w:val="21"/>
          <w:highlight w:val="none"/>
          <w:lang w:val="zh-CN"/>
        </w:rPr>
        <w:t>勘察设计单位、施工单位、施工监理单位（包括与该单位法定代表人或负责人为同一人的单位，或者与该单位存在控股、管理关系的单位）；</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xml:space="preserve">  投标有效期限不符合要求；</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10</w:t>
      </w:r>
      <w:r>
        <w:rPr>
          <w:rFonts w:hint="eastAsia" w:ascii="宋体" w:hAnsi="宋体" w:eastAsia="宋体" w:cs="宋体"/>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w:t>
      </w:r>
      <w:r>
        <w:rPr>
          <w:rFonts w:hint="eastAsia" w:ascii="宋体" w:hAnsi="宋体" w:eastAsia="宋体" w:cs="宋体"/>
          <w:b/>
          <w:color w:val="auto"/>
          <w:kern w:val="0"/>
          <w:szCs w:val="21"/>
          <w:highlight w:val="none"/>
          <w:lang w:val="en-US" w:eastAsia="zh-CN"/>
        </w:rPr>
        <w:t>1</w:t>
      </w:r>
      <w:r>
        <w:rPr>
          <w:rFonts w:hint="eastAsia" w:ascii="宋体" w:hAnsi="宋体" w:eastAsia="宋体" w:cs="宋体"/>
          <w:b/>
          <w:color w:val="auto"/>
          <w:kern w:val="0"/>
          <w:szCs w:val="21"/>
          <w:highlight w:val="none"/>
        </w:rPr>
        <w:t xml:space="preserve">  未填写或虚假填写《用户需求偏离表》的；</w:t>
      </w:r>
    </w:p>
    <w:p>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w:t>
      </w:r>
      <w:r>
        <w:rPr>
          <w:rFonts w:hint="eastAsia" w:ascii="宋体" w:hAnsi="宋体" w:eastAsia="宋体" w:cs="宋体"/>
          <w:b/>
          <w:color w:val="auto"/>
          <w:kern w:val="0"/>
          <w:szCs w:val="21"/>
          <w:highlight w:val="none"/>
          <w:lang w:val="en-US" w:eastAsia="zh-CN"/>
        </w:rPr>
        <w:t>2</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未响应招标文件提出的实质性要求和条件（标注★的条款）。</w:t>
      </w:r>
    </w:p>
    <w:p>
      <w:pPr>
        <w:autoSpaceDE w:val="0"/>
        <w:autoSpaceDN w:val="0"/>
        <w:adjustRightInd w:val="0"/>
        <w:spacing w:line="360" w:lineRule="auto"/>
        <w:ind w:left="315" w:hanging="315" w:hangingChars="150"/>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hint="eastAsia"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hint="eastAsia" w:ascii="宋体" w:hAnsi="宋体" w:eastAsia="宋体" w:cs="宋体"/>
          <w:b/>
          <w:bCs/>
          <w:color w:val="auto"/>
          <w:sz w:val="28"/>
          <w:szCs w:val="28"/>
          <w:highlight w:val="none"/>
        </w:rPr>
      </w:pPr>
      <w:bookmarkStart w:id="877" w:name="_Toc4109_WPSOffice_Level1"/>
      <w:r>
        <w:rPr>
          <w:rFonts w:hint="eastAsia" w:ascii="宋体" w:hAnsi="宋体" w:eastAsia="宋体" w:cs="宋体"/>
          <w:b/>
          <w:bCs/>
          <w:color w:val="auto"/>
          <w:sz w:val="28"/>
          <w:szCs w:val="28"/>
          <w:highlight w:val="none"/>
          <w:lang w:val="zh-CN"/>
        </w:rPr>
        <w:t>三、澄清有关问题</w:t>
      </w:r>
      <w:bookmarkEnd w:id="877"/>
    </w:p>
    <w:p>
      <w:pPr>
        <w:autoSpaceDE w:val="0"/>
        <w:autoSpaceDN w:val="0"/>
        <w:adjustRightInd w:val="0"/>
        <w:spacing w:line="360" w:lineRule="auto"/>
        <w:ind w:left="315" w:hanging="315" w:hangingChars="15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 xml:space="preserve">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bookmarkStart w:id="878" w:name="_Toc8518_WPSOffice_Level1"/>
    </w:p>
    <w:p>
      <w:pPr>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78"/>
    </w:p>
    <w:p>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p>
    <w:p>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pPr>
        <w:autoSpaceDE w:val="0"/>
        <w:autoSpaceDN w:val="0"/>
        <w:adjustRightInd w:val="0"/>
        <w:spacing w:line="360" w:lineRule="auto"/>
        <w:rPr>
          <w:rFonts w:hint="eastAsia" w:ascii="宋体" w:hAnsi="宋体" w:eastAsia="宋体" w:cs="宋体"/>
          <w:color w:val="auto"/>
          <w:szCs w:val="24"/>
          <w:highlight w:val="none"/>
          <w:lang w:val="zh-CN"/>
        </w:rPr>
      </w:pPr>
    </w:p>
    <w:p>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30分</w:t>
            </w:r>
          </w:p>
        </w:tc>
      </w:tr>
    </w:tbl>
    <w:p>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879" w:name="_Toc18349_WPSOffice_Level2"/>
    </w:p>
    <w:p>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879"/>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33"/>
        <w:gridCol w:w="765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年-20</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zh-CN"/>
              </w:rPr>
              <w:t>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en-US" w:eastAsia="zh-CN"/>
              </w:rPr>
              <w:t>盈利指净利润为正数（非零、非负数），</w:t>
            </w:r>
            <w:r>
              <w:rPr>
                <w:rFonts w:hint="eastAsia" w:ascii="宋体" w:hAnsi="宋体" w:eastAsia="宋体" w:cs="宋体"/>
                <w:b/>
                <w:color w:val="auto"/>
                <w:szCs w:val="21"/>
                <w:highlight w:val="none"/>
              </w:rPr>
              <w:t>投标人应提供202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年、202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年、202</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年三个年度的财务报表，</w:t>
            </w:r>
            <w:r>
              <w:rPr>
                <w:rFonts w:hint="eastAsia" w:ascii="宋体" w:hAnsi="宋体" w:eastAsia="宋体" w:cs="宋体"/>
                <w:b/>
                <w:color w:val="auto"/>
                <w:szCs w:val="21"/>
                <w:highlight w:val="none"/>
                <w:lang w:val="zh-CN"/>
              </w:rPr>
              <w:t>净利润以</w:t>
            </w:r>
            <w:r>
              <w:rPr>
                <w:rFonts w:hint="eastAsia" w:ascii="宋体" w:hAnsi="宋体" w:eastAsia="宋体" w:cs="宋体"/>
                <w:b/>
                <w:color w:val="auto"/>
                <w:szCs w:val="21"/>
                <w:highlight w:val="none"/>
              </w:rPr>
              <w:t>对应年度</w:t>
            </w:r>
            <w:r>
              <w:rPr>
                <w:rFonts w:hint="eastAsia" w:ascii="宋体" w:hAnsi="宋体" w:eastAsia="宋体" w:cs="宋体"/>
                <w:b/>
                <w:color w:val="auto"/>
                <w:szCs w:val="21"/>
                <w:highlight w:val="none"/>
                <w:lang w:val="zh-CN"/>
              </w:rPr>
              <w:t>经审计的财务报表为准，应提供经独立会计师事务所审计过的有效的</w:t>
            </w:r>
            <w:r>
              <w:rPr>
                <w:rFonts w:hint="eastAsia" w:ascii="宋体" w:hAnsi="宋体" w:eastAsia="宋体" w:cs="宋体"/>
                <w:b/>
                <w:color w:val="auto"/>
                <w:szCs w:val="21"/>
                <w:highlight w:val="none"/>
              </w:rPr>
              <w:t>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复印件；</w:t>
            </w:r>
            <w:r>
              <w:rPr>
                <w:rFonts w:hint="eastAsia" w:ascii="宋体" w:hAnsi="宋体" w:eastAsia="宋体" w:cs="宋体"/>
                <w:b/>
                <w:color w:val="auto"/>
                <w:sz w:val="21"/>
                <w:szCs w:val="21"/>
                <w:highlight w:val="none"/>
                <w:lang w:val="zh-CN"/>
              </w:rPr>
              <w:t>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标准化程度</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(1)投标人具有有效期内的ISO9001质量管理体系认证证书得0.5分；</w:t>
            </w:r>
          </w:p>
          <w:p>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(2)投标人具有有效期内的ISO14001环境管理体系认证证书得0.5分；</w:t>
            </w:r>
          </w:p>
          <w:p>
            <w:pPr>
              <w:keepNext w:val="0"/>
              <w:keepLines w:val="0"/>
              <w:suppressLineNumbers w:val="0"/>
              <w:tabs>
                <w:tab w:val="left" w:pos="134"/>
              </w:tabs>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(3)投标人具有有效期内的OHSAS18001（或GB/T45001-2020，或IS045001）职业健康安全管理体系认证证书得0.5分。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sz w:val="21"/>
                <w:szCs w:val="21"/>
                <w:highlight w:val="none"/>
                <w:lang w:val="en-US" w:eastAsia="zh-CN"/>
              </w:rPr>
              <w:t>投标人应</w:t>
            </w:r>
            <w:r>
              <w:rPr>
                <w:rFonts w:hint="eastAsia" w:ascii="宋体" w:hAnsi="宋体" w:eastAsia="宋体" w:cs="宋体"/>
                <w:b/>
                <w:bCs/>
                <w:color w:val="auto"/>
                <w:szCs w:val="21"/>
                <w:highlight w:val="none"/>
              </w:rPr>
              <w:t>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bookmarkStart w:id="880" w:name="_Hlk104987354"/>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年1月1日（以合同签订日期为准）至今承接的市政工程监测业绩合同，按下列情况评分（满分18分）：</w:t>
            </w:r>
          </w:p>
          <w:p>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单项合同金额≥</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0万元的前述业绩的，每项得3分；</w:t>
            </w:r>
          </w:p>
          <w:p>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0万元的前述业绩的，每项得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adjustRightInd/>
              <w:spacing w:before="0" w:beforeAutospacing="0" w:after="0" w:afterAutospacing="0" w:line="360" w:lineRule="auto"/>
              <w:ind w:left="0" w:right="0" w:firstLine="210" w:firstLineChars="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0万元≤单项合同金额＜</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万元的前述业绩的，每项得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分，本子项满分6分。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1）业绩须附合同复印件加盖投标人公章，否则不得分；</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2）合同等业绩证明材料必须能反映评分条件[合同签订日期为201</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年1月1日或以后，业绩类型为市政工程监测，合同金额]，若合同内容无法反映合同金额的，需提供可反映合同金额的结算资料复印件，否则需同时提供业主出具的书面补充情况说明文件（须加盖业主单位公章）复印件；</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color w:val="auto"/>
                <w:kern w:val="0"/>
                <w:szCs w:val="21"/>
                <w:highlight w:val="none"/>
              </w:rPr>
            </w:pPr>
            <w:r>
              <w:rPr>
                <w:rFonts w:hint="eastAsia" w:ascii="宋体" w:hAnsi="宋体" w:eastAsia="宋体" w:cs="宋体"/>
                <w:b/>
                <w:bCs/>
                <w:color w:val="auto"/>
                <w:sz w:val="21"/>
                <w:szCs w:val="21"/>
                <w:highlight w:val="none"/>
              </w:rPr>
              <w:t>3）未按上述要求提供证明材料的业绩，或所附材料无法证明填报项目符合本项评分要求的业绩，在评标时将不予考虑。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vMerge w:val="restar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bookmarkStart w:id="881" w:name="_Toc11639_WPSOffice_Level2"/>
            <w:r>
              <w:rPr>
                <w:rFonts w:hint="eastAsia" w:ascii="宋体" w:hAnsi="宋体" w:eastAsia="宋体" w:cs="宋体"/>
                <w:color w:val="auto"/>
                <w:kern w:val="0"/>
                <w:szCs w:val="21"/>
                <w:highlight w:val="none"/>
                <w:lang w:val="en-US" w:eastAsia="zh-CN"/>
              </w:rPr>
              <w:t>4</w:t>
            </w:r>
          </w:p>
        </w:tc>
        <w:tc>
          <w:tcPr>
            <w:tcW w:w="546" w:type="pct"/>
            <w:vMerge w:val="restart"/>
            <w:tcBorders>
              <w:top w:val="single" w:color="auto" w:sz="4" w:space="0"/>
              <w:left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拟投入人员情况</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(1)项目负责人（满分6分）：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具有注册土木工程师（岩土）执业资格或测量、岩土、结构类专业高级工程师职称的，得3分；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年1月1日以来（以合同签订日期为准），作为项目负责人，承接过一项市政工程监测项目的，得3分。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或注册证书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、社会保障部门出具的最近1年（即</w:t>
            </w:r>
            <w:r>
              <w:rPr>
                <w:rFonts w:hint="eastAsia" w:ascii="宋体" w:hAnsi="宋体" w:eastAsia="宋体" w:cs="宋体"/>
                <w:b/>
                <w:bCs/>
                <w:color w:val="auto"/>
                <w:sz w:val="21"/>
                <w:szCs w:val="21"/>
                <w:highlight w:val="none"/>
                <w:lang w:eastAsia="zh-CN"/>
              </w:rPr>
              <w:t>2023年</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月至2024年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月</w:t>
            </w:r>
            <w:r>
              <w:rPr>
                <w:rFonts w:hint="eastAsia" w:ascii="宋体" w:hAnsi="宋体" w:eastAsia="宋体" w:cs="宋体"/>
                <w:b/>
                <w:bCs/>
                <w:color w:val="auto"/>
                <w:sz w:val="21"/>
                <w:szCs w:val="21"/>
                <w:highlight w:val="none"/>
              </w:rPr>
              <w:t>）在投标人单位缴纳社会养老保险有效凭证等证明材料复印件加盖投标人公章。</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2）项目负责人业绩须附合同复印件加盖投标人公章，合同等业绩证明材料必须能反映评审条件[合同签订日期为201</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年1月1日或以后，业绩类型为市政工程监测，项目负责人信息]，否则需同时提供业主出具的书面补充情况说明文件（须加盖业主单位公章）复印件。</w:t>
            </w:r>
          </w:p>
        </w:tc>
        <w:tc>
          <w:tcPr>
            <w:tcW w:w="437" w:type="pct"/>
            <w:vMerge w:val="restart"/>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vMerge w:val="continue"/>
            <w:tcBorders>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546" w:type="pct"/>
            <w:vMerge w:val="continue"/>
            <w:tcBorders>
              <w:left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(2)技术负责人（满分6分）：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具有注册土木工程师（岩土）执业资格或测量、岩土、结构类专业高级工程师职称的，得3分；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年1月1日以来（以合同签订日期为准），作为技术负责人，承接过一项市政工程监测项目的，得3分。</w:t>
            </w:r>
          </w:p>
          <w:p>
            <w:pPr>
              <w:keepNext w:val="0"/>
              <w:keepLines w:val="0"/>
              <w:numPr>
                <w:ilvl w:val="255"/>
                <w:numId w:val="0"/>
              </w:numPr>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或注册证书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、社会保障部门出具的最近1年（即</w:t>
            </w:r>
            <w:r>
              <w:rPr>
                <w:rFonts w:hint="eastAsia" w:ascii="宋体" w:hAnsi="宋体" w:eastAsia="宋体" w:cs="宋体"/>
                <w:b/>
                <w:bCs/>
                <w:color w:val="auto"/>
                <w:sz w:val="21"/>
                <w:szCs w:val="21"/>
                <w:highlight w:val="none"/>
                <w:lang w:eastAsia="zh-CN"/>
              </w:rPr>
              <w:t>2023年</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月至2024年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月</w:t>
            </w:r>
            <w:r>
              <w:rPr>
                <w:rFonts w:hint="eastAsia" w:ascii="宋体" w:hAnsi="宋体" w:eastAsia="宋体" w:cs="宋体"/>
                <w:b/>
                <w:bCs/>
                <w:color w:val="auto"/>
                <w:sz w:val="21"/>
                <w:szCs w:val="21"/>
                <w:highlight w:val="none"/>
              </w:rPr>
              <w:t>）在投标人单位缴纳社会养老保险有效凭证等证明材料复印件加盖投标人公章。</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2）技术负责人业绩须附合同复印件加盖投标人公章，合同等业绩证明材料必须能反映评审条件[合同签订日期为201</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年1月1日或以后，业绩类型为市政工程监测，技术负责人信息]，否则需同时提供业主出具的书面补充情况说明文件（须加盖业主单位公章）复印件。</w:t>
            </w:r>
          </w:p>
        </w:tc>
        <w:tc>
          <w:tcPr>
            <w:tcW w:w="437" w:type="pct"/>
            <w:vMerge w:val="continue"/>
            <w:tcBorders>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vMerge w:val="continue"/>
            <w:tcBorders>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546" w:type="pct"/>
            <w:vMerge w:val="continue"/>
            <w:tcBorders>
              <w:left w:val="single" w:color="auto" w:sz="4" w:space="0"/>
              <w:bottom w:val="single" w:color="auto" w:sz="4" w:space="0"/>
              <w:right w:val="single" w:color="auto" w:sz="4" w:space="0"/>
            </w:tcBorders>
            <w:vAlign w:val="center"/>
          </w:tcPr>
          <w:p>
            <w:pPr>
              <w:keepNext w:val="0"/>
              <w:keepLines w:val="0"/>
              <w:suppressLineNumbers w:val="0"/>
              <w:autoSpaceDE/>
              <w:autoSpaceDN/>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(3)拟投入人员（不含项目负责人和技术负责人）：具有测量、岩土、结构类专业中级工程师（或以上）职称，每人得1分，本子项满分5分。</w:t>
            </w:r>
          </w:p>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1）须提供身份证、职称证书、社会保障部门出具的最近1年（即</w:t>
            </w:r>
            <w:r>
              <w:rPr>
                <w:rFonts w:hint="eastAsia" w:ascii="宋体" w:hAnsi="宋体" w:eastAsia="宋体" w:cs="宋体"/>
                <w:b/>
                <w:bCs/>
                <w:color w:val="auto"/>
                <w:sz w:val="21"/>
                <w:szCs w:val="21"/>
                <w:highlight w:val="none"/>
                <w:lang w:eastAsia="zh-CN"/>
              </w:rPr>
              <w:t>2023年</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月至2024年</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月</w:t>
            </w:r>
            <w:r>
              <w:rPr>
                <w:rFonts w:hint="eastAsia" w:ascii="宋体" w:hAnsi="宋体" w:eastAsia="宋体" w:cs="宋体"/>
                <w:b/>
                <w:bCs/>
                <w:color w:val="auto"/>
                <w:sz w:val="21"/>
                <w:szCs w:val="21"/>
                <w:highlight w:val="none"/>
              </w:rPr>
              <w:t>）在投标人单位缴纳社会养老保险有效凭证等证明材料复印件加盖投标人公章。</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2）同一人员具备多个种类证书不重复得分。</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3）同一人员具备同一种类证书含有多个专业的仅按一个专业计算一次得分。</w:t>
            </w:r>
          </w:p>
          <w:p>
            <w:pPr>
              <w:keepNext w:val="0"/>
              <w:keepLines w:val="0"/>
              <w:suppressLineNumbers w:val="0"/>
              <w:adjustRightInd/>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4）同一人员具备同一种类证书或同一个专业含有多个等级的仅按最高等级证书计算一次得分。</w:t>
            </w:r>
          </w:p>
        </w:tc>
        <w:tc>
          <w:tcPr>
            <w:tcW w:w="437" w:type="pct"/>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获奖情况</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年1月1日以来获得（满分2分）:</w:t>
            </w:r>
          </w:p>
          <w:p>
            <w:pPr>
              <w:keepNext w:val="0"/>
              <w:keepLines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(1)国家级行政部门或国家级行业协会（学会）颁发的工程监测类项目奖项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 w:val="21"/>
                <w:szCs w:val="21"/>
                <w:highlight w:val="none"/>
              </w:rPr>
              <w:t>的，每项得1分。</w:t>
            </w:r>
          </w:p>
          <w:p>
            <w:pPr>
              <w:keepNext w:val="0"/>
              <w:keepLines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(2)省级行政部门或省级行业协会（学会）颁发的工程监测类项目奖项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 w:val="21"/>
                <w:szCs w:val="21"/>
                <w:highlight w:val="none"/>
              </w:rPr>
              <w:t>的，每项得0.5分。</w:t>
            </w:r>
          </w:p>
          <w:p>
            <w:pPr>
              <w:keepNext w:val="0"/>
              <w:keepLines w:val="0"/>
              <w:suppressLineNumbers w:val="0"/>
              <w:spacing w:before="0" w:beforeAutospacing="0" w:after="0" w:afterAutospacing="0" w:line="360" w:lineRule="auto"/>
              <w:ind w:left="0" w:right="0"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(3)市级行政部门或市级行业协会（学会）颁发的工程监测类项目奖项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 w:val="21"/>
                <w:szCs w:val="21"/>
                <w:highlight w:val="none"/>
              </w:rPr>
              <w:t>的，每项得0.2分，本子项最高得1分。</w:t>
            </w:r>
          </w:p>
          <w:p>
            <w:pPr>
              <w:keepNext w:val="0"/>
              <w:keepLines w:val="0"/>
              <w:suppressLineNumbers w:val="0"/>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suppressLineNumbers w:val="0"/>
              <w:spacing w:before="0" w:beforeAutospacing="0" w:after="0" w:afterAutospacing="0" w:line="360" w:lineRule="auto"/>
              <w:ind w:left="0" w:right="0"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提供相关获奖证明材料复印件加盖投标人公章，获奖时间以奖项落款时间为准，同一项目的奖项只计一次得分，若上述证明材料无法反映评分条件的，不得分。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r>
      <w:bookmarkEnd w:id="880"/>
    </w:tbl>
    <w:p>
      <w:pPr>
        <w:autoSpaceDE w:val="0"/>
        <w:autoSpaceDN w:val="0"/>
        <w:adjustRightInd w:val="0"/>
        <w:ind w:right="-26" w:firstLine="480"/>
        <w:jc w:val="center"/>
        <w:rPr>
          <w:rFonts w:hint="eastAsia" w:ascii="宋体" w:hAnsi="宋体" w:eastAsia="宋体" w:cs="宋体"/>
          <w:b/>
          <w:bCs/>
          <w:color w:val="auto"/>
          <w:kern w:val="0"/>
          <w:sz w:val="24"/>
          <w:szCs w:val="24"/>
          <w:highlight w:val="none"/>
        </w:rPr>
      </w:pPr>
    </w:p>
    <w:p>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81"/>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bookmarkStart w:id="882" w:name="_Hlk104987779"/>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对用户需求偏离表的偏离情况进行评审计分，完全满足用户需求书的要求得满分；每一处负偏离扣2.5分；同时参照其投标文件中其它部分的内容进行对比，每发现一处投标人填写为无偏离或正偏离，但评标委员会评审认定其为负偏离的，每处扣5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监测方案</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根据各投标人提供的监测方案，对本地区的认识熟悉程度、对监测项目的认知程度、监测质量的保障措施、配合施工进度的监测实施措施、安全文明生产方案等，监测目标明确，监测预控和动态控制措施得力，实施方法可行、操作性</w:t>
            </w:r>
            <w:r>
              <w:rPr>
                <w:rFonts w:hint="eastAsia" w:ascii="宋体" w:hAnsi="宋体" w:eastAsia="宋体" w:cs="宋体"/>
                <w:color w:val="auto"/>
                <w:sz w:val="21"/>
                <w:szCs w:val="21"/>
                <w:highlight w:val="none"/>
                <w:lang w:val="en-US" w:eastAsia="zh-CN"/>
              </w:rPr>
              <w:t>强</w:t>
            </w:r>
            <w:r>
              <w:rPr>
                <w:rFonts w:hint="eastAsia" w:ascii="宋体" w:hAnsi="宋体" w:eastAsia="宋体" w:cs="宋体"/>
                <w:color w:val="auto"/>
                <w:sz w:val="21"/>
                <w:szCs w:val="21"/>
                <w:highlight w:val="none"/>
              </w:rPr>
              <w:t>、手段科学，按优：[15-11分）、良：[11-7分）、中：[7-3分）、差：[3-0分]进行评审。</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原始数据处理计算、整理分析方法及预警消警机制</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contextualSpacing/>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根据投标人对各类仪器观测及原始数据处理、计算方法、资料整编分析方案的合理性及根据监测成果对监测情况的预警消警机制的及时性、可行性，按优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[4-2.5分）、良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[2.5-1分）、差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[1-0分]进行评审。</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6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承诺监测成果的准确性</w:t>
            </w:r>
          </w:p>
        </w:tc>
        <w:tc>
          <w:tcPr>
            <w:tcW w:w="7655" w:type="dxa"/>
            <w:tcBorders>
              <w:top w:val="single" w:color="auto" w:sz="4" w:space="0"/>
              <w:left w:val="single" w:color="auto" w:sz="4" w:space="0"/>
              <w:bottom w:val="single" w:color="auto" w:sz="4" w:space="0"/>
              <w:right w:val="single" w:color="auto" w:sz="4" w:space="0"/>
            </w:tcBorders>
            <w:vAlign w:val="center"/>
          </w:tcPr>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(1)承诺所有监测成果按实测量，错误点数0个（含）以内，得3分；</w:t>
            </w:r>
          </w:p>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(2)承诺所有监测成果按实测量，错误点数1个（含）以内，得2分；</w:t>
            </w:r>
          </w:p>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(3)承诺所有监测成果按实测量，错误点数2个（含）以内，得1分；</w:t>
            </w:r>
          </w:p>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(4)承诺所有监测成果按实测量，错误点数大于或等于3的，得0分。</w:t>
            </w:r>
          </w:p>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pStyle w:val="61"/>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rPr>
              <w:t>根据《监测成果准确性承诺书》对应的内容进行评审。提供承诺函加盖投标人公章。</w:t>
            </w:r>
          </w:p>
        </w:tc>
        <w:tc>
          <w:tcPr>
            <w:tcW w:w="9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134"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服务及时性承诺</w:t>
            </w:r>
          </w:p>
        </w:tc>
        <w:tc>
          <w:tcPr>
            <w:tcW w:w="7655" w:type="dxa"/>
            <w:tcBorders>
              <w:top w:val="single" w:color="auto" w:sz="4" w:space="0"/>
              <w:left w:val="single" w:color="auto" w:sz="4" w:space="0"/>
              <w:right w:val="single" w:color="auto" w:sz="4" w:space="0"/>
            </w:tcBorders>
            <w:vAlign w:val="center"/>
          </w:tcPr>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(1)承诺接到招标人电话通知后1小时（含）内机械设备、人员进场服务的，得3分；</w:t>
            </w:r>
          </w:p>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(2)承诺接到招标人电话通知后2小时（含）内机械设备、人员进场服务的，得2分；</w:t>
            </w:r>
          </w:p>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(3)承诺接到招标人电话通知后4小时（含）内机械设备、人员进场服务的，得1分；</w:t>
            </w:r>
          </w:p>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(4)承诺接到招标人电话通知后超过4小时机械设备、人员进场服务的，得0分。</w:t>
            </w:r>
          </w:p>
          <w:p>
            <w:pPr>
              <w:pStyle w:val="61"/>
              <w:keepNext w:val="0"/>
              <w:keepLines w:val="0"/>
              <w:suppressLineNumbers w:val="0"/>
              <w:spacing w:before="0" w:beforeAutospacing="0" w:after="0" w:afterAutospacing="0" w:line="360" w:lineRule="auto"/>
              <w:ind w:left="0" w:right="0" w:firstLine="0" w:firstLineChars="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pStyle w:val="61"/>
              <w:keepNext w:val="0"/>
              <w:keepLines w:val="0"/>
              <w:suppressLineNumbers w:val="0"/>
              <w:spacing w:before="0" w:beforeAutospacing="0" w:after="0" w:afterAutospacing="0" w:line="360" w:lineRule="auto"/>
              <w:ind w:left="0" w:right="0" w:firstLine="422" w:firstLineChars="200"/>
              <w:contextualSpacing/>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rPr>
              <w:t>根据《服务响应时间承诺书》对应的内容进行评审。提供承诺函加盖投标人公章。</w:t>
            </w:r>
          </w:p>
        </w:tc>
        <w:tc>
          <w:tcPr>
            <w:tcW w:w="907" w:type="dxa"/>
            <w:tcBorders>
              <w:top w:val="single" w:color="auto" w:sz="4" w:space="0"/>
              <w:left w:val="single" w:color="auto" w:sz="4" w:space="0"/>
              <w:right w:val="single" w:color="auto" w:sz="4" w:space="0"/>
            </w:tcBorders>
            <w:vAlign w:val="center"/>
          </w:tcPr>
          <w:p>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bookmarkEnd w:id="882"/>
    </w:tbl>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hint="eastAsia" w:ascii="宋体" w:hAnsi="宋体" w:eastAsia="宋体" w:cs="宋体"/>
          <w:color w:val="auto"/>
          <w:kern w:val="0"/>
          <w:szCs w:val="21"/>
          <w:highlight w:val="none"/>
          <w:lang w:val="zh-CN"/>
        </w:rPr>
      </w:pPr>
    </w:p>
    <w:p>
      <w:pPr>
        <w:spacing w:line="360" w:lineRule="auto"/>
        <w:ind w:left="480"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rPr>
        <w:t>根据有效投标人的</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，最低</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作为基准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（Y）。投标人</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（X）等于基准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的得满分</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分，其他投标人的价格得分统一按照下列公式计算：</w:t>
      </w:r>
    </w:p>
    <w:p>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w:t>
      </w:r>
      <w:r>
        <w:rPr>
          <w:rFonts w:hint="eastAsia" w:ascii="宋体" w:hAnsi="宋体" w:eastAsia="宋体" w:cs="宋体"/>
          <w:color w:val="auto"/>
          <w:kern w:val="0"/>
          <w:szCs w:val="21"/>
          <w:highlight w:val="none"/>
          <w:lang w:val="en-US" w:eastAsia="zh-CN"/>
        </w:rPr>
        <w:t>系数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监测服务系数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30</w:t>
      </w:r>
    </w:p>
    <w:p>
      <w:pPr>
        <w:autoSpaceDN w:val="0"/>
        <w:adjustRightInd w:val="0"/>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rPr>
        <w:t>、分数出现小数点，保留小数点后2位，从小数点后第3位四舍五入。</w:t>
      </w:r>
    </w:p>
    <w:p>
      <w:pPr>
        <w:tabs>
          <w:tab w:val="left" w:pos="585"/>
        </w:tabs>
        <w:autoSpaceDE w:val="0"/>
        <w:autoSpaceDN w:val="0"/>
        <w:adjustRightInd w:val="0"/>
        <w:spacing w:line="4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hint="eastAsia" w:ascii="宋体" w:hAnsi="宋体" w:eastAsia="宋体" w:cs="宋体"/>
          <w:color w:val="auto"/>
          <w:kern w:val="0"/>
          <w:szCs w:val="28"/>
          <w:highlight w:val="none"/>
          <w:lang w:val="zh-CN"/>
        </w:rPr>
      </w:pPr>
      <w:bookmarkStart w:id="883" w:name="_Toc31624_WPSOffice_Level2"/>
      <w:r>
        <w:rPr>
          <w:rFonts w:hint="eastAsia" w:ascii="宋体" w:hAnsi="宋体" w:eastAsia="宋体" w:cs="宋体"/>
          <w:color w:val="auto"/>
          <w:kern w:val="0"/>
          <w:szCs w:val="28"/>
          <w:highlight w:val="none"/>
          <w:lang w:val="zh-CN"/>
        </w:rPr>
        <w:t>评标总得分=F1＋F2＋……+Fn</w:t>
      </w:r>
      <w:bookmarkEnd w:id="883"/>
    </w:p>
    <w:p>
      <w:pPr>
        <w:widowControl/>
        <w:autoSpaceDE w:val="0"/>
        <w:autoSpaceDN w:val="0"/>
        <w:adjustRightInd w:val="0"/>
        <w:spacing w:line="400" w:lineRule="exact"/>
        <w:ind w:firstLine="840" w:firstLineChars="400"/>
        <w:jc w:val="left"/>
        <w:rPr>
          <w:rFonts w:hint="eastAsia" w:ascii="宋体" w:hAnsi="宋体" w:eastAsia="宋体" w:cs="宋体"/>
          <w:color w:val="auto"/>
          <w:kern w:val="0"/>
          <w:szCs w:val="21"/>
          <w:highlight w:val="none"/>
        </w:rPr>
      </w:pPr>
      <w:bookmarkStart w:id="884" w:name="_Toc13236_WPSOffice_Level2"/>
      <w:r>
        <w:rPr>
          <w:rFonts w:hint="eastAsia" w:ascii="宋体" w:hAnsi="宋体" w:eastAsia="宋体" w:cs="宋体"/>
          <w:color w:val="auto"/>
          <w:kern w:val="0"/>
          <w:szCs w:val="21"/>
          <w:highlight w:val="none"/>
        </w:rPr>
        <w:t>F1、F2、……Fn分别为各项评分因素的得分</w:t>
      </w:r>
      <w:bookmarkEnd w:id="884"/>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hint="eastAsia" w:ascii="宋体" w:hAnsi="宋体" w:eastAsia="宋体" w:cs="宋体"/>
          <w:b/>
          <w:bCs/>
          <w:color w:val="auto"/>
          <w:sz w:val="28"/>
          <w:szCs w:val="28"/>
          <w:highlight w:val="none"/>
        </w:rPr>
      </w:pPr>
    </w:p>
    <w:p>
      <w:pPr>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885" w:name="_Toc518_WPSOffice_Level1"/>
      <w:r>
        <w:rPr>
          <w:rFonts w:hint="eastAsia" w:ascii="宋体" w:hAnsi="宋体" w:eastAsia="宋体" w:cs="宋体"/>
          <w:b/>
          <w:bCs/>
          <w:color w:val="auto"/>
          <w:sz w:val="28"/>
          <w:szCs w:val="28"/>
          <w:highlight w:val="none"/>
          <w:lang w:val="zh-CN"/>
        </w:rPr>
        <w:t>五、推荐中标人</w:t>
      </w:r>
      <w:bookmarkEnd w:id="885"/>
    </w:p>
    <w:p>
      <w:pPr>
        <w:autoSpaceDE w:val="0"/>
        <w:autoSpaceDN w:val="0"/>
        <w:adjustRightInd w:val="0"/>
        <w:spacing w:line="360" w:lineRule="auto"/>
        <w:ind w:left="420" w:hanging="420" w:hanging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hint="eastAsia" w:ascii="宋体" w:hAnsi="宋体" w:eastAsia="宋体" w:cs="宋体"/>
          <w:b/>
          <w:bCs/>
          <w:color w:val="auto"/>
          <w:sz w:val="28"/>
          <w:szCs w:val="28"/>
          <w:highlight w:val="none"/>
          <w:lang w:val="zh-CN"/>
        </w:rPr>
      </w:pPr>
      <w:bookmarkStart w:id="886" w:name="_Toc22724_WPSOffice_Level1"/>
      <w:r>
        <w:rPr>
          <w:rFonts w:hint="eastAsia" w:ascii="宋体" w:hAnsi="宋体" w:eastAsia="宋体" w:cs="宋体"/>
          <w:b/>
          <w:bCs/>
          <w:color w:val="auto"/>
          <w:sz w:val="28"/>
          <w:szCs w:val="28"/>
          <w:highlight w:val="none"/>
          <w:lang w:val="zh-CN"/>
        </w:rPr>
        <w:t>六、编写评标报告</w:t>
      </w:r>
      <w:bookmarkEnd w:id="886"/>
    </w:p>
    <w:p>
      <w:pPr>
        <w:autoSpaceDE w:val="0"/>
        <w:autoSpaceDN w:val="0"/>
        <w:adjustRightInd w:val="0"/>
        <w:spacing w:line="360" w:lineRule="auto"/>
        <w:ind w:left="420" w:hanging="420" w:hangingChars="200"/>
        <w:jc w:val="left"/>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887" w:name="_Toc23773_WPSOffice_Level1"/>
      <w:r>
        <w:rPr>
          <w:rFonts w:hint="eastAsia" w:ascii="宋体" w:hAnsi="宋体" w:eastAsia="宋体" w:cs="宋体"/>
          <w:b/>
          <w:bCs/>
          <w:color w:val="auto"/>
          <w:sz w:val="28"/>
          <w:szCs w:val="28"/>
          <w:highlight w:val="none"/>
          <w:lang w:val="zh-CN"/>
        </w:rPr>
        <w:t>七、注意事项</w:t>
      </w:r>
      <w:bookmarkEnd w:id="887"/>
    </w:p>
    <w:p>
      <w:pPr>
        <w:autoSpaceDE w:val="0"/>
        <w:autoSpaceDN w:val="0"/>
        <w:adjustRightInd w:val="0"/>
        <w:spacing w:line="360" w:lineRule="auto"/>
        <w:ind w:left="420" w:hanging="420" w:hanging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autoSpaceDE w:val="0"/>
        <w:autoSpaceDN w:val="0"/>
        <w:adjustRightInd w:val="0"/>
        <w:spacing w:line="360" w:lineRule="auto"/>
        <w:ind w:left="436" w:leftChars="-59" w:hanging="560" w:hangingChars="267"/>
        <w:rPr>
          <w:rFonts w:hint="eastAsia" w:ascii="宋体" w:hAnsi="宋体" w:eastAsia="宋体" w:cs="宋体"/>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848"/>
    <w:bookmarkEnd w:id="862"/>
    <w:bookmarkEnd w:id="863"/>
    <w:bookmarkEnd w:id="864"/>
    <w:p>
      <w:pPr>
        <w:widowControl/>
        <w:jc w:val="left"/>
        <w:rPr>
          <w:rFonts w:hint="eastAsia"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9497"/>
        </w:tabs>
        <w:ind w:left="9497" w:hanging="425"/>
      </w:pPr>
      <w:rPr>
        <w:rFonts w:hint="eastAsia"/>
      </w:rPr>
    </w:lvl>
    <w:lvl w:ilvl="1" w:tentative="0">
      <w:start w:val="1"/>
      <w:numFmt w:val="decimal"/>
      <w:lvlText w:val="%1.%2"/>
      <w:lvlJc w:val="left"/>
      <w:pPr>
        <w:tabs>
          <w:tab w:val="left" w:pos="9639"/>
        </w:tabs>
        <w:ind w:left="9639" w:hanging="567"/>
      </w:pPr>
      <w:rPr>
        <w:rFonts w:hint="default" w:ascii="等线 Light" w:hAnsi="等线 Light" w:eastAsia="等线 Light" w:cs="等线 Light"/>
        <w:b w:val="0"/>
        <w:dstrike w:val="0"/>
      </w:rPr>
    </w:lvl>
    <w:lvl w:ilvl="2" w:tentative="0">
      <w:start w:val="1"/>
      <w:numFmt w:val="decimal"/>
      <w:lvlText w:val="14.1.%3."/>
      <w:lvlJc w:val="left"/>
      <w:pPr>
        <w:tabs>
          <w:tab w:val="left" w:pos="10775"/>
        </w:tabs>
        <w:ind w:left="10775" w:hanging="851"/>
      </w:pPr>
      <w:rPr>
        <w:rFonts w:hint="eastAsia"/>
        <w:b w:val="0"/>
        <w:color w:val="auto"/>
        <w:sz w:val="21"/>
        <w:szCs w:val="21"/>
      </w:rPr>
    </w:lvl>
    <w:lvl w:ilvl="3" w:tentative="0">
      <w:start w:val="1"/>
      <w:numFmt w:val="decimal"/>
      <w:pStyle w:val="201"/>
      <w:lvlText w:val="%1.%2.%3.%4"/>
      <w:lvlJc w:val="left"/>
      <w:pPr>
        <w:tabs>
          <w:tab w:val="left" w:pos="9923"/>
        </w:tabs>
        <w:ind w:left="9923" w:hanging="851"/>
      </w:pPr>
      <w:rPr>
        <w:rFonts w:hint="eastAsia"/>
        <w:dstrike w:val="0"/>
      </w:rPr>
    </w:lvl>
    <w:lvl w:ilvl="4" w:tentative="0">
      <w:start w:val="1"/>
      <w:numFmt w:val="decimal"/>
      <w:lvlText w:val="%1.%2.%3.%4.%5."/>
      <w:lvlJc w:val="left"/>
      <w:pPr>
        <w:tabs>
          <w:tab w:val="left" w:pos="10064"/>
        </w:tabs>
        <w:ind w:left="10064" w:hanging="992"/>
      </w:pPr>
      <w:rPr>
        <w:rFonts w:hint="eastAsia"/>
      </w:rPr>
    </w:lvl>
    <w:lvl w:ilvl="5" w:tentative="0">
      <w:start w:val="1"/>
      <w:numFmt w:val="decimal"/>
      <w:lvlText w:val="%1.%2.%3.%4.%5.%6."/>
      <w:lvlJc w:val="left"/>
      <w:pPr>
        <w:tabs>
          <w:tab w:val="left" w:pos="10206"/>
        </w:tabs>
        <w:ind w:left="10206" w:hanging="1134"/>
      </w:pPr>
      <w:rPr>
        <w:rFonts w:hint="eastAsia"/>
      </w:rPr>
    </w:lvl>
    <w:lvl w:ilvl="6" w:tentative="0">
      <w:start w:val="1"/>
      <w:numFmt w:val="decimal"/>
      <w:lvlText w:val="%1.%2.%3.%4.%5.%6.%7."/>
      <w:lvlJc w:val="left"/>
      <w:pPr>
        <w:tabs>
          <w:tab w:val="left" w:pos="10348"/>
        </w:tabs>
        <w:ind w:left="10348" w:hanging="1276"/>
      </w:pPr>
      <w:rPr>
        <w:rFonts w:hint="eastAsia"/>
      </w:rPr>
    </w:lvl>
    <w:lvl w:ilvl="7" w:tentative="0">
      <w:start w:val="1"/>
      <w:numFmt w:val="decimal"/>
      <w:lvlText w:val="%1.%2.%3.%4.%5.%6.%7.%8."/>
      <w:lvlJc w:val="left"/>
      <w:pPr>
        <w:tabs>
          <w:tab w:val="left" w:pos="10490"/>
        </w:tabs>
        <w:ind w:left="10490" w:hanging="1418"/>
      </w:pPr>
      <w:rPr>
        <w:rFonts w:hint="eastAsia"/>
      </w:rPr>
    </w:lvl>
    <w:lvl w:ilvl="8" w:tentative="0">
      <w:start w:val="1"/>
      <w:numFmt w:val="decimal"/>
      <w:lvlText w:val="%1.%2.%3.%4.%5.%6.%7.%8.%9."/>
      <w:lvlJc w:val="left"/>
      <w:pPr>
        <w:tabs>
          <w:tab w:val="left" w:pos="10631"/>
        </w:tabs>
        <w:ind w:left="10631" w:hanging="1559"/>
      </w:pPr>
      <w:rPr>
        <w:rFonts w:hint="eastAsia"/>
      </w:rPr>
    </w:lvl>
  </w:abstractNum>
  <w:abstractNum w:abstractNumId="1">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0C59F"/>
    <w:multiLevelType w:val="singleLevel"/>
    <w:tmpl w:val="5860C59F"/>
    <w:lvl w:ilvl="0" w:tentative="0">
      <w:start w:val="3"/>
      <w:numFmt w:val="chineseCounting"/>
      <w:suff w:val="nothing"/>
      <w:lvlText w:val="%1、"/>
      <w:lvlJc w:val="left"/>
    </w:lvl>
  </w:abstractNum>
  <w:abstractNum w:abstractNumId="5">
    <w:nsid w:val="5860D940"/>
    <w:multiLevelType w:val="singleLevel"/>
    <w:tmpl w:val="5860D940"/>
    <w:lvl w:ilvl="0" w:tentative="0">
      <w:start w:val="1"/>
      <w:numFmt w:val="chineseCounting"/>
      <w:suff w:val="nothing"/>
      <w:lvlText w:val="%1、"/>
      <w:lvlJc w:val="left"/>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Mzc3NzliNjE2OTY4OGFmNGU5NzYxMWRlNGI2MmQifQ=="/>
    <w:docVar w:name="KSO_WPS_MARK_KEY" w:val="60a8d0a8-1c96-483d-a2c6-cef847597954"/>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474"/>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16DB9"/>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536131"/>
    <w:rsid w:val="04FA6A1F"/>
    <w:rsid w:val="058F7720"/>
    <w:rsid w:val="06A75D00"/>
    <w:rsid w:val="071D19E2"/>
    <w:rsid w:val="08397703"/>
    <w:rsid w:val="0A0F14E4"/>
    <w:rsid w:val="0BF422BF"/>
    <w:rsid w:val="0EB74D33"/>
    <w:rsid w:val="0F241091"/>
    <w:rsid w:val="102536B4"/>
    <w:rsid w:val="103C3B2F"/>
    <w:rsid w:val="10BC03C7"/>
    <w:rsid w:val="1111121D"/>
    <w:rsid w:val="114D3805"/>
    <w:rsid w:val="11CB1CC4"/>
    <w:rsid w:val="129C0F85"/>
    <w:rsid w:val="12CF0C5B"/>
    <w:rsid w:val="130F4A87"/>
    <w:rsid w:val="14237C67"/>
    <w:rsid w:val="14C111AC"/>
    <w:rsid w:val="14DA17EE"/>
    <w:rsid w:val="153D6025"/>
    <w:rsid w:val="15A02974"/>
    <w:rsid w:val="15A13C38"/>
    <w:rsid w:val="1699227B"/>
    <w:rsid w:val="16B60189"/>
    <w:rsid w:val="17BB0319"/>
    <w:rsid w:val="17BE3B58"/>
    <w:rsid w:val="1B0940FF"/>
    <w:rsid w:val="1B475739"/>
    <w:rsid w:val="1B483045"/>
    <w:rsid w:val="1C52688C"/>
    <w:rsid w:val="1D0A4B40"/>
    <w:rsid w:val="1EBA0B66"/>
    <w:rsid w:val="1F316F2E"/>
    <w:rsid w:val="1F685444"/>
    <w:rsid w:val="207A1985"/>
    <w:rsid w:val="208A18F1"/>
    <w:rsid w:val="21222FD3"/>
    <w:rsid w:val="22C62CF4"/>
    <w:rsid w:val="23A06120"/>
    <w:rsid w:val="24224F0F"/>
    <w:rsid w:val="242F54D7"/>
    <w:rsid w:val="279D1A6A"/>
    <w:rsid w:val="286E02B3"/>
    <w:rsid w:val="28AC24C6"/>
    <w:rsid w:val="28C0585D"/>
    <w:rsid w:val="28CD7B64"/>
    <w:rsid w:val="28DA309E"/>
    <w:rsid w:val="28DA73F5"/>
    <w:rsid w:val="295A3AD4"/>
    <w:rsid w:val="29AE6B2F"/>
    <w:rsid w:val="29B41A43"/>
    <w:rsid w:val="2A590CAB"/>
    <w:rsid w:val="2A9E4307"/>
    <w:rsid w:val="2B635879"/>
    <w:rsid w:val="2CFC2BFE"/>
    <w:rsid w:val="2F021D94"/>
    <w:rsid w:val="2F20029F"/>
    <w:rsid w:val="30EB7A65"/>
    <w:rsid w:val="314D028A"/>
    <w:rsid w:val="31734BF5"/>
    <w:rsid w:val="31CF6638"/>
    <w:rsid w:val="33980570"/>
    <w:rsid w:val="355530AA"/>
    <w:rsid w:val="356E44E9"/>
    <w:rsid w:val="358B0CEF"/>
    <w:rsid w:val="35B21924"/>
    <w:rsid w:val="364631D7"/>
    <w:rsid w:val="368865E8"/>
    <w:rsid w:val="368928C2"/>
    <w:rsid w:val="37850378"/>
    <w:rsid w:val="38F00B77"/>
    <w:rsid w:val="395A6F3B"/>
    <w:rsid w:val="39AE1450"/>
    <w:rsid w:val="3A1F5ABF"/>
    <w:rsid w:val="3B1F29B6"/>
    <w:rsid w:val="3DAB4624"/>
    <w:rsid w:val="3E0806D4"/>
    <w:rsid w:val="3E1533E8"/>
    <w:rsid w:val="3E374AC3"/>
    <w:rsid w:val="3EE26C5D"/>
    <w:rsid w:val="3F5B255F"/>
    <w:rsid w:val="3FDC7D8A"/>
    <w:rsid w:val="40DC5A18"/>
    <w:rsid w:val="41662E61"/>
    <w:rsid w:val="420F4A55"/>
    <w:rsid w:val="42C6061C"/>
    <w:rsid w:val="432F42B7"/>
    <w:rsid w:val="43B50E83"/>
    <w:rsid w:val="441B6831"/>
    <w:rsid w:val="4549510F"/>
    <w:rsid w:val="474F33E3"/>
    <w:rsid w:val="482F2B7B"/>
    <w:rsid w:val="48E41B97"/>
    <w:rsid w:val="495C3B0C"/>
    <w:rsid w:val="49A11F60"/>
    <w:rsid w:val="49B86CC1"/>
    <w:rsid w:val="4A9D3546"/>
    <w:rsid w:val="4AE011A8"/>
    <w:rsid w:val="4BC8467F"/>
    <w:rsid w:val="4CA80732"/>
    <w:rsid w:val="4CFE53E3"/>
    <w:rsid w:val="4E810A89"/>
    <w:rsid w:val="4F0A4599"/>
    <w:rsid w:val="4F6B6A97"/>
    <w:rsid w:val="4FE63648"/>
    <w:rsid w:val="5206251F"/>
    <w:rsid w:val="54F06565"/>
    <w:rsid w:val="562576F8"/>
    <w:rsid w:val="567C2D8D"/>
    <w:rsid w:val="56B37004"/>
    <w:rsid w:val="56C00F63"/>
    <w:rsid w:val="58490869"/>
    <w:rsid w:val="589F5F9E"/>
    <w:rsid w:val="59633BAD"/>
    <w:rsid w:val="59956A8E"/>
    <w:rsid w:val="59FB128F"/>
    <w:rsid w:val="5A645724"/>
    <w:rsid w:val="5AA272A4"/>
    <w:rsid w:val="5BE12FA3"/>
    <w:rsid w:val="5C071286"/>
    <w:rsid w:val="5C0D1BAE"/>
    <w:rsid w:val="5C4D6613"/>
    <w:rsid w:val="5C5F065B"/>
    <w:rsid w:val="5C95407D"/>
    <w:rsid w:val="5D8866EC"/>
    <w:rsid w:val="5E3E6996"/>
    <w:rsid w:val="5E433DF3"/>
    <w:rsid w:val="5E9F2944"/>
    <w:rsid w:val="5EBF421E"/>
    <w:rsid w:val="5F3B5A4A"/>
    <w:rsid w:val="5F7C23A0"/>
    <w:rsid w:val="60093A55"/>
    <w:rsid w:val="62153E30"/>
    <w:rsid w:val="62B13874"/>
    <w:rsid w:val="63672753"/>
    <w:rsid w:val="63B374DF"/>
    <w:rsid w:val="65E62E7A"/>
    <w:rsid w:val="65FC6D1C"/>
    <w:rsid w:val="66544FA9"/>
    <w:rsid w:val="66EC7F6C"/>
    <w:rsid w:val="675D280E"/>
    <w:rsid w:val="679707C7"/>
    <w:rsid w:val="67BB5990"/>
    <w:rsid w:val="69F452BC"/>
    <w:rsid w:val="6A0C27F4"/>
    <w:rsid w:val="6AAD178D"/>
    <w:rsid w:val="6AE13F25"/>
    <w:rsid w:val="6CC649E7"/>
    <w:rsid w:val="6DDA5CDD"/>
    <w:rsid w:val="6E2E60E0"/>
    <w:rsid w:val="6E413AE6"/>
    <w:rsid w:val="6F3F77E3"/>
    <w:rsid w:val="6F5F71DE"/>
    <w:rsid w:val="7227553C"/>
    <w:rsid w:val="74A54C22"/>
    <w:rsid w:val="751D3132"/>
    <w:rsid w:val="765D3A06"/>
    <w:rsid w:val="77281627"/>
    <w:rsid w:val="77480E67"/>
    <w:rsid w:val="780253C7"/>
    <w:rsid w:val="78E21419"/>
    <w:rsid w:val="790D22C6"/>
    <w:rsid w:val="7B3602C6"/>
    <w:rsid w:val="7CB718F6"/>
    <w:rsid w:val="7D4B13A5"/>
    <w:rsid w:val="7D630A43"/>
    <w:rsid w:val="7D6457E7"/>
    <w:rsid w:val="7D7D04EA"/>
    <w:rsid w:val="7E5366FB"/>
    <w:rsid w:val="7F236D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8"/>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6"/>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2"/>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48"/>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0"/>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0"/>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1"/>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2"/>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3"/>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116"/>
    <w:autoRedefine/>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Indent"/>
    <w:basedOn w:val="1"/>
    <w:next w:val="1"/>
    <w:link w:val="90"/>
    <w:autoRedefine/>
    <w:qFormat/>
    <w:uiPriority w:val="0"/>
    <w:pPr>
      <w:ind w:left="567" w:leftChars="270"/>
    </w:pPr>
    <w:rPr>
      <w:rFonts w:ascii="Times New Roman" w:hAnsi="Times New Roman" w:eastAsia="宋体" w:cs="Times New Roman"/>
      <w:szCs w:val="20"/>
    </w:rPr>
  </w:style>
  <w:style w:type="paragraph" w:customStyle="1" w:styleId="10">
    <w:name w:val="模板正文"/>
    <w:basedOn w:val="1"/>
    <w:link w:val="92"/>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1"/>
    <w:autoRedefine/>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4"/>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1"/>
    <w:autoRedefine/>
    <w:unhideWhenUsed/>
    <w:qFormat/>
    <w:uiPriority w:val="99"/>
    <w:pPr>
      <w:jc w:val="left"/>
    </w:pPr>
  </w:style>
  <w:style w:type="paragraph" w:styleId="19">
    <w:name w:val="Body Text 3"/>
    <w:basedOn w:val="1"/>
    <w:link w:val="154"/>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98"/>
    <w:autoRedefine/>
    <w:qFormat/>
    <w:uiPriority w:val="0"/>
    <w:rPr>
      <w:rFonts w:ascii="宋体" w:hAnsi="Courier New" w:eastAsia="宋体"/>
    </w:rPr>
  </w:style>
  <w:style w:type="paragraph" w:styleId="22">
    <w:name w:val="Date"/>
    <w:basedOn w:val="1"/>
    <w:next w:val="1"/>
    <w:link w:val="106"/>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autoRedefine/>
    <w:qFormat/>
    <w:uiPriority w:val="0"/>
    <w:rPr>
      <w:rFonts w:ascii="Times New Roman" w:hAnsi="Times New Roman" w:eastAsia="宋体" w:cs="Times New Roman"/>
      <w:sz w:val="18"/>
      <w:szCs w:val="18"/>
    </w:rPr>
  </w:style>
  <w:style w:type="paragraph" w:styleId="25">
    <w:name w:val="footer"/>
    <w:basedOn w:val="1"/>
    <w:link w:val="76"/>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autoRedefine/>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autoRedefine/>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autoRedefine/>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8"/>
    <w:next w:val="18"/>
    <w:link w:val="108"/>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2"/>
    <w:link w:val="199"/>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FollowedHyperlink"/>
    <w:autoRedefine/>
    <w:unhideWhenUsed/>
    <w:qFormat/>
    <w:uiPriority w:val="99"/>
    <w:rPr>
      <w:color w:val="954F72"/>
      <w:u w:val="single"/>
    </w:rPr>
  </w:style>
  <w:style w:type="character" w:styleId="41">
    <w:name w:val="Emphasis"/>
    <w:autoRedefine/>
    <w:qFormat/>
    <w:uiPriority w:val="0"/>
    <w:rPr>
      <w:i/>
      <w:iCs/>
    </w:rPr>
  </w:style>
  <w:style w:type="character" w:styleId="42">
    <w:name w:val="Hyperlink"/>
    <w:autoRedefine/>
    <w:qFormat/>
    <w:uiPriority w:val="99"/>
    <w:rPr>
      <w:rFonts w:hint="default" w:ascii="Arial" w:hAnsi="Arial" w:cs="Arial"/>
      <w:color w:val="000000"/>
      <w:sz w:val="20"/>
      <w:szCs w:val="20"/>
      <w:u w:val="none"/>
    </w:rPr>
  </w:style>
  <w:style w:type="character" w:styleId="43">
    <w:name w:val="annotation reference"/>
    <w:autoRedefine/>
    <w:qFormat/>
    <w:uiPriority w:val="99"/>
    <w:rPr>
      <w:sz w:val="21"/>
      <w:szCs w:val="21"/>
    </w:rPr>
  </w:style>
  <w:style w:type="paragraph" w:customStyle="1" w:styleId="44">
    <w:name w:val="首行缩进"/>
    <w:basedOn w:val="1"/>
    <w:autoRedefine/>
    <w:qFormat/>
    <w:uiPriority w:val="0"/>
    <w:pPr>
      <w:ind w:firstLine="480" w:firstLineChars="200"/>
    </w:pPr>
    <w:rPr>
      <w:lang w:val="zh-CN"/>
    </w:rPr>
  </w:style>
  <w:style w:type="character" w:customStyle="1" w:styleId="45">
    <w:name w:val="标题 1 字符"/>
    <w:basedOn w:val="38"/>
    <w:autoRedefine/>
    <w:qFormat/>
    <w:uiPriority w:val="0"/>
    <w:rPr>
      <w:b/>
      <w:bCs/>
      <w:kern w:val="44"/>
      <w:sz w:val="44"/>
      <w:szCs w:val="44"/>
    </w:rPr>
  </w:style>
  <w:style w:type="character" w:customStyle="1" w:styleId="46">
    <w:name w:val="标题 2 Char"/>
    <w:basedOn w:val="38"/>
    <w:link w:val="5"/>
    <w:autoRedefine/>
    <w:qFormat/>
    <w:uiPriority w:val="0"/>
    <w:rPr>
      <w:rFonts w:ascii="宋体" w:hAnsi="Calibri" w:eastAsia="宋体" w:cs="Times New Roman"/>
      <w:kern w:val="0"/>
      <w:sz w:val="24"/>
      <w:szCs w:val="24"/>
    </w:rPr>
  </w:style>
  <w:style w:type="character" w:customStyle="1" w:styleId="47">
    <w:name w:val="标题 3 字符"/>
    <w:basedOn w:val="38"/>
    <w:autoRedefine/>
    <w:qFormat/>
    <w:uiPriority w:val="0"/>
    <w:rPr>
      <w:b/>
      <w:bCs/>
      <w:sz w:val="32"/>
      <w:szCs w:val="32"/>
    </w:rPr>
  </w:style>
  <w:style w:type="character" w:customStyle="1" w:styleId="48">
    <w:name w:val="标题 4 Char1"/>
    <w:basedOn w:val="38"/>
    <w:link w:val="7"/>
    <w:autoRedefine/>
    <w:qFormat/>
    <w:uiPriority w:val="9"/>
    <w:rPr>
      <w:rFonts w:ascii="Arial" w:hAnsi="Arial" w:eastAsia="黑体" w:cs="Times New Roman"/>
      <w:b/>
      <w:bCs/>
      <w:kern w:val="0"/>
      <w:sz w:val="28"/>
      <w:szCs w:val="28"/>
    </w:rPr>
  </w:style>
  <w:style w:type="character" w:customStyle="1" w:styleId="49">
    <w:name w:val="标题 5 字符"/>
    <w:basedOn w:val="38"/>
    <w:autoRedefine/>
    <w:qFormat/>
    <w:uiPriority w:val="9"/>
    <w:rPr>
      <w:b/>
      <w:bCs/>
      <w:sz w:val="28"/>
      <w:szCs w:val="28"/>
    </w:rPr>
  </w:style>
  <w:style w:type="character" w:customStyle="1" w:styleId="50">
    <w:name w:val="标题 6 字符"/>
    <w:basedOn w:val="38"/>
    <w:autoRedefine/>
    <w:qFormat/>
    <w:uiPriority w:val="0"/>
    <w:rPr>
      <w:rFonts w:asciiTheme="majorHAnsi" w:hAnsiTheme="majorHAnsi" w:eastAsiaTheme="majorEastAsia" w:cstheme="majorBidi"/>
      <w:b/>
      <w:bCs/>
      <w:sz w:val="24"/>
      <w:szCs w:val="24"/>
    </w:rPr>
  </w:style>
  <w:style w:type="character" w:customStyle="1" w:styleId="51">
    <w:name w:val="标题 7 Char"/>
    <w:basedOn w:val="38"/>
    <w:link w:val="11"/>
    <w:autoRedefine/>
    <w:qFormat/>
    <w:uiPriority w:val="9"/>
    <w:rPr>
      <w:rFonts w:ascii="Times New Roman" w:hAnsi="Calibri" w:eastAsia="黑体" w:cs="Times New Roman"/>
      <w:b/>
      <w:bCs/>
      <w:kern w:val="0"/>
      <w:sz w:val="28"/>
      <w:szCs w:val="24"/>
    </w:rPr>
  </w:style>
  <w:style w:type="character" w:customStyle="1" w:styleId="52">
    <w:name w:val="标题 8 Char"/>
    <w:basedOn w:val="38"/>
    <w:link w:val="12"/>
    <w:autoRedefine/>
    <w:qFormat/>
    <w:uiPriority w:val="9"/>
    <w:rPr>
      <w:rFonts w:ascii="Times New Roman" w:hAnsi="Calibri" w:eastAsia="黑体" w:cs="Times New Roman"/>
      <w:b/>
      <w:kern w:val="0"/>
      <w:sz w:val="28"/>
      <w:szCs w:val="24"/>
    </w:rPr>
  </w:style>
  <w:style w:type="character" w:customStyle="1" w:styleId="53">
    <w:name w:val="标题 9 Char"/>
    <w:basedOn w:val="38"/>
    <w:link w:val="13"/>
    <w:autoRedefine/>
    <w:qFormat/>
    <w:uiPriority w:val="9"/>
    <w:rPr>
      <w:rFonts w:ascii="Times New Roman" w:hAnsi="Calibri" w:eastAsia="黑体" w:cs="Times New Roman"/>
      <w:b/>
      <w:kern w:val="0"/>
      <w:sz w:val="28"/>
      <w:szCs w:val="24"/>
    </w:rPr>
  </w:style>
  <w:style w:type="character" w:customStyle="1" w:styleId="54">
    <w:name w:val="正文文本缩进 字符"/>
    <w:autoRedefine/>
    <w:qFormat/>
    <w:uiPriority w:val="0"/>
    <w:rPr>
      <w:rFonts w:ascii="Times New Roman" w:hAnsi="Times New Roman" w:eastAsia="宋体" w:cs="Times New Roman"/>
      <w:szCs w:val="20"/>
    </w:rPr>
  </w:style>
  <w:style w:type="character" w:customStyle="1" w:styleId="55">
    <w:name w:val="普通(网站) Char"/>
    <w:autoRedefine/>
    <w:qFormat/>
    <w:locked/>
    <w:uiPriority w:val="0"/>
    <w:rPr>
      <w:rFonts w:ascii="宋体" w:hAnsi="宋体"/>
      <w:sz w:val="15"/>
      <w:szCs w:val="15"/>
    </w:rPr>
  </w:style>
  <w:style w:type="character" w:customStyle="1" w:styleId="56">
    <w:name w:val="标题 Char"/>
    <w:link w:val="33"/>
    <w:autoRedefine/>
    <w:qFormat/>
    <w:uiPriority w:val="10"/>
    <w:rPr>
      <w:rFonts w:ascii="等线 Light" w:hAnsi="等线 Light" w:eastAsia="仿宋"/>
      <w:b/>
      <w:bCs/>
      <w:sz w:val="28"/>
      <w:szCs w:val="32"/>
    </w:rPr>
  </w:style>
  <w:style w:type="character" w:customStyle="1" w:styleId="57">
    <w:name w:val="日期 Char"/>
    <w:autoRedefine/>
    <w:semiHidden/>
    <w:qFormat/>
    <w:uiPriority w:val="99"/>
    <w:rPr>
      <w:kern w:val="2"/>
      <w:sz w:val="21"/>
    </w:rPr>
  </w:style>
  <w:style w:type="character" w:customStyle="1" w:styleId="58">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59">
    <w:name w:val="批注文字 Char"/>
    <w:autoRedefine/>
    <w:semiHidden/>
    <w:qFormat/>
    <w:uiPriority w:val="99"/>
    <w:rPr>
      <w:kern w:val="2"/>
      <w:sz w:val="21"/>
    </w:rPr>
  </w:style>
  <w:style w:type="character" w:customStyle="1" w:styleId="60">
    <w:name w:val="正文缩进2格 Char"/>
    <w:link w:val="61"/>
    <w:autoRedefine/>
    <w:qFormat/>
    <w:uiPriority w:val="0"/>
    <w:rPr>
      <w:rFonts w:ascii="仿宋_GB2312" w:hAnsi="宋体" w:eastAsia="仿宋_GB2312"/>
      <w:sz w:val="31"/>
      <w:szCs w:val="28"/>
    </w:rPr>
  </w:style>
  <w:style w:type="paragraph" w:customStyle="1" w:styleId="61">
    <w:name w:val="正文缩进2格"/>
    <w:basedOn w:val="1"/>
    <w:link w:val="60"/>
    <w:autoRedefine/>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autoRedefine/>
    <w:semiHidden/>
    <w:qFormat/>
    <w:uiPriority w:val="99"/>
    <w:rPr>
      <w:rFonts w:ascii="Times New Roman" w:hAnsi="Times New Roman"/>
      <w:kern w:val="2"/>
      <w:sz w:val="24"/>
      <w:szCs w:val="24"/>
    </w:rPr>
  </w:style>
  <w:style w:type="character" w:customStyle="1" w:styleId="63">
    <w:name w:val="正文文本缩进 Char"/>
    <w:autoRedefine/>
    <w:qFormat/>
    <w:uiPriority w:val="0"/>
    <w:rPr>
      <w:rFonts w:ascii="Times New Roman" w:hAnsi="Times New Roman" w:eastAsia="宋体" w:cs="Times New Roman"/>
      <w:szCs w:val="20"/>
      <w:lang w:val="en-US" w:eastAsia="zh-CN"/>
    </w:rPr>
  </w:style>
  <w:style w:type="character" w:customStyle="1" w:styleId="64">
    <w:name w:val="批注框文本 字符1"/>
    <w:autoRedefine/>
    <w:semiHidden/>
    <w:qFormat/>
    <w:uiPriority w:val="99"/>
    <w:rPr>
      <w:rFonts w:ascii="宋体" w:hAnsi="Calibri" w:eastAsia="宋体" w:cs="Times New Roman"/>
      <w:kern w:val="0"/>
      <w:sz w:val="18"/>
      <w:szCs w:val="18"/>
    </w:rPr>
  </w:style>
  <w:style w:type="character" w:customStyle="1" w:styleId="65">
    <w:name w:val="List Paragraph Char"/>
    <w:link w:val="66"/>
    <w:autoRedefine/>
    <w:qFormat/>
    <w:uiPriority w:val="34"/>
    <w:rPr>
      <w:rFonts w:ascii="Calibri" w:hAnsi="Calibri"/>
    </w:rPr>
  </w:style>
  <w:style w:type="paragraph" w:customStyle="1" w:styleId="66">
    <w:name w:val="列出段落1"/>
    <w:basedOn w:val="1"/>
    <w:link w:val="65"/>
    <w:autoRedefine/>
    <w:qFormat/>
    <w:uiPriority w:val="34"/>
    <w:pPr>
      <w:ind w:firstLine="420" w:firstLineChars="200"/>
    </w:pPr>
    <w:rPr>
      <w:rFonts w:ascii="Calibri" w:hAnsi="Calibri"/>
    </w:rPr>
  </w:style>
  <w:style w:type="character" w:customStyle="1" w:styleId="67">
    <w:name w:val="标书正文 字符"/>
    <w:link w:val="68"/>
    <w:autoRedefine/>
    <w:qFormat/>
    <w:uiPriority w:val="0"/>
    <w:rPr>
      <w:rFonts w:ascii="Calibri" w:hAnsi="Calibri" w:eastAsia="仿宋"/>
      <w:sz w:val="24"/>
      <w:szCs w:val="21"/>
    </w:rPr>
  </w:style>
  <w:style w:type="paragraph" w:customStyle="1" w:styleId="68">
    <w:name w:val="标书正文"/>
    <w:basedOn w:val="1"/>
    <w:link w:val="67"/>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autoRedefine/>
    <w:semiHidden/>
    <w:qFormat/>
    <w:uiPriority w:val="99"/>
    <w:rPr>
      <w:rFonts w:ascii="Times New Roman" w:hAnsi="Times New Roman"/>
      <w:kern w:val="2"/>
      <w:sz w:val="24"/>
      <w:szCs w:val="24"/>
    </w:rPr>
  </w:style>
  <w:style w:type="character" w:customStyle="1" w:styleId="70">
    <w:name w:val="页脚 Char"/>
    <w:autoRedefine/>
    <w:qFormat/>
    <w:uiPriority w:val="0"/>
    <w:rPr>
      <w:kern w:val="2"/>
      <w:sz w:val="18"/>
      <w:szCs w:val="18"/>
    </w:rPr>
  </w:style>
  <w:style w:type="character" w:customStyle="1" w:styleId="71">
    <w:name w:val="neir1"/>
    <w:autoRedefine/>
    <w:qFormat/>
    <w:uiPriority w:val="0"/>
    <w:rPr>
      <w:rFonts w:hint="default" w:ascii="ˎ̥" w:hAnsi="ˎ̥"/>
      <w:color w:val="333333"/>
      <w:sz w:val="21"/>
      <w:szCs w:val="21"/>
      <w:u w:val="none"/>
    </w:rPr>
  </w:style>
  <w:style w:type="character" w:customStyle="1" w:styleId="72">
    <w:name w:val="批注框文本 Char1"/>
    <w:link w:val="24"/>
    <w:autoRedefine/>
    <w:qFormat/>
    <w:uiPriority w:val="0"/>
    <w:rPr>
      <w:rFonts w:ascii="Times New Roman" w:hAnsi="Times New Roman" w:eastAsia="宋体" w:cs="Times New Roman"/>
      <w:sz w:val="18"/>
      <w:szCs w:val="18"/>
    </w:rPr>
  </w:style>
  <w:style w:type="character" w:customStyle="1" w:styleId="73">
    <w:name w:val="正文文本 3 字符1"/>
    <w:autoRedefine/>
    <w:semiHidden/>
    <w:qFormat/>
    <w:uiPriority w:val="99"/>
    <w:rPr>
      <w:rFonts w:ascii="宋体" w:hAnsi="Calibri" w:eastAsia="宋体" w:cs="Times New Roman"/>
      <w:kern w:val="0"/>
      <w:sz w:val="16"/>
      <w:szCs w:val="16"/>
    </w:rPr>
  </w:style>
  <w:style w:type="character" w:customStyle="1" w:styleId="74">
    <w:name w:val="正文文本 字符3"/>
    <w:autoRedefine/>
    <w:semiHidden/>
    <w:qFormat/>
    <w:uiPriority w:val="99"/>
    <w:rPr>
      <w:rFonts w:ascii="宋体" w:hAnsi="Calibri" w:eastAsia="宋体" w:cs="Times New Roman"/>
      <w:kern w:val="0"/>
      <w:sz w:val="24"/>
      <w:szCs w:val="24"/>
    </w:rPr>
  </w:style>
  <w:style w:type="character" w:customStyle="1" w:styleId="75">
    <w:name w:val="日期 字符1"/>
    <w:autoRedefine/>
    <w:semiHidden/>
    <w:qFormat/>
    <w:uiPriority w:val="99"/>
    <w:rPr>
      <w:rFonts w:ascii="宋体" w:hAnsi="Calibri" w:eastAsia="宋体" w:cs="Times New Roman"/>
      <w:kern w:val="0"/>
      <w:sz w:val="24"/>
      <w:szCs w:val="24"/>
    </w:rPr>
  </w:style>
  <w:style w:type="character" w:customStyle="1" w:styleId="76">
    <w:name w:val="页脚 Char2"/>
    <w:link w:val="25"/>
    <w:autoRedefine/>
    <w:qFormat/>
    <w:uiPriority w:val="99"/>
    <w:rPr>
      <w:rFonts w:ascii="宋体" w:eastAsia="宋体"/>
      <w:sz w:val="18"/>
      <w:szCs w:val="18"/>
    </w:rPr>
  </w:style>
  <w:style w:type="character" w:customStyle="1" w:styleId="77">
    <w:name w:val="吉奥正文 Char"/>
    <w:link w:val="78"/>
    <w:autoRedefine/>
    <w:qFormat/>
    <w:locked/>
    <w:uiPriority w:val="0"/>
    <w:rPr>
      <w:rFonts w:eastAsia="仿宋_GB2312"/>
      <w:sz w:val="28"/>
    </w:rPr>
  </w:style>
  <w:style w:type="paragraph" w:customStyle="1" w:styleId="78">
    <w:name w:val="吉奥正文"/>
    <w:basedOn w:val="1"/>
    <w:link w:val="77"/>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autoRedefine/>
    <w:qFormat/>
    <w:uiPriority w:val="99"/>
    <w:rPr>
      <w:rFonts w:ascii="宋体" w:hAnsi="Times New Roman" w:eastAsia="宋体" w:cs="Times New Roman"/>
      <w:kern w:val="0"/>
      <w:sz w:val="18"/>
      <w:szCs w:val="18"/>
    </w:rPr>
  </w:style>
  <w:style w:type="character" w:customStyle="1" w:styleId="80">
    <w:name w:val="标题 字符"/>
    <w:autoRedefine/>
    <w:qFormat/>
    <w:uiPriority w:val="10"/>
    <w:rPr>
      <w:rFonts w:ascii="Cambria" w:hAnsi="Cambria" w:eastAsia="宋体" w:cs="Times New Roman"/>
      <w:b/>
      <w:bCs/>
      <w:kern w:val="0"/>
      <w:sz w:val="32"/>
      <w:szCs w:val="32"/>
      <w:lang w:val="en-US" w:eastAsia="zh-CN"/>
    </w:rPr>
  </w:style>
  <w:style w:type="character" w:customStyle="1" w:styleId="81">
    <w:name w:val="题注 Char"/>
    <w:link w:val="15"/>
    <w:autoRedefine/>
    <w:qFormat/>
    <w:uiPriority w:val="0"/>
    <w:rPr>
      <w:rFonts w:ascii="Arial" w:hAnsi="Arial" w:eastAsia="黑体" w:cs="Arial"/>
    </w:rPr>
  </w:style>
  <w:style w:type="character" w:customStyle="1" w:styleId="82">
    <w:name w:val="批注文字 字符2"/>
    <w:autoRedefine/>
    <w:qFormat/>
    <w:uiPriority w:val="99"/>
    <w:rPr>
      <w:rFonts w:ascii="宋体" w:hAnsi="Times New Roman" w:eastAsia="宋体" w:cs="Times New Roman"/>
      <w:kern w:val="0"/>
      <w:sz w:val="24"/>
      <w:szCs w:val="24"/>
    </w:rPr>
  </w:style>
  <w:style w:type="character" w:customStyle="1" w:styleId="83">
    <w:name w:val="批注主题 字符1"/>
    <w:autoRedefine/>
    <w:semiHidden/>
    <w:qFormat/>
    <w:uiPriority w:val="99"/>
    <w:rPr>
      <w:rFonts w:ascii="宋体" w:hAnsi="Calibri" w:eastAsia="宋体" w:cs="Times New Roman"/>
      <w:b/>
      <w:bCs/>
      <w:kern w:val="0"/>
      <w:sz w:val="24"/>
      <w:szCs w:val="24"/>
    </w:rPr>
  </w:style>
  <w:style w:type="character" w:customStyle="1" w:styleId="84">
    <w:name w:val="HTML 预设格式 Char"/>
    <w:link w:val="31"/>
    <w:autoRedefine/>
    <w:qFormat/>
    <w:uiPriority w:val="99"/>
    <w:rPr>
      <w:rFonts w:ascii="Arial" w:hAnsi="Arial" w:eastAsia="宋体" w:cs="Arial"/>
      <w:szCs w:val="21"/>
    </w:rPr>
  </w:style>
  <w:style w:type="character" w:customStyle="1" w:styleId="85">
    <w:name w:val="标题 3.1 Char"/>
    <w:link w:val="86"/>
    <w:autoRedefine/>
    <w:qFormat/>
    <w:uiPriority w:val="0"/>
    <w:rPr>
      <w:rFonts w:ascii="宋体" w:hAnsi="宋体"/>
      <w:b/>
      <w:bCs/>
      <w:sz w:val="32"/>
      <w:szCs w:val="32"/>
    </w:rPr>
  </w:style>
  <w:style w:type="paragraph" w:customStyle="1" w:styleId="86">
    <w:name w:val="标题 3.1"/>
    <w:basedOn w:val="6"/>
    <w:link w:val="85"/>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autoRedefine/>
    <w:semiHidden/>
    <w:qFormat/>
    <w:uiPriority w:val="99"/>
    <w:rPr>
      <w:rFonts w:ascii="Courier New" w:hAnsi="Courier New" w:eastAsia="宋体" w:cs="Courier New"/>
      <w:kern w:val="0"/>
      <w:sz w:val="20"/>
      <w:szCs w:val="20"/>
    </w:rPr>
  </w:style>
  <w:style w:type="character" w:customStyle="1" w:styleId="88">
    <w:name w:val="批注文字 字符1"/>
    <w:autoRedefine/>
    <w:qFormat/>
    <w:uiPriority w:val="0"/>
    <w:rPr>
      <w:rFonts w:eastAsia="宋体"/>
      <w:kern w:val="2"/>
      <w:sz w:val="24"/>
      <w:szCs w:val="24"/>
      <w:lang w:val="en-US" w:eastAsia="zh-CN" w:bidi="ar-SA"/>
    </w:rPr>
  </w:style>
  <w:style w:type="character" w:customStyle="1" w:styleId="89">
    <w:name w:val="正文文本缩进 字符2"/>
    <w:autoRedefine/>
    <w:semiHidden/>
    <w:qFormat/>
    <w:uiPriority w:val="99"/>
    <w:rPr>
      <w:rFonts w:ascii="宋体" w:hAnsi="Calibri" w:eastAsia="宋体" w:cs="Times New Roman"/>
      <w:kern w:val="0"/>
      <w:sz w:val="24"/>
      <w:szCs w:val="24"/>
    </w:rPr>
  </w:style>
  <w:style w:type="character" w:customStyle="1" w:styleId="90">
    <w:name w:val="正文文本缩进 Char1"/>
    <w:link w:val="3"/>
    <w:autoRedefine/>
    <w:qFormat/>
    <w:uiPriority w:val="0"/>
    <w:rPr>
      <w:rFonts w:ascii="Times New Roman" w:hAnsi="Times New Roman" w:eastAsia="宋体" w:cs="Times New Roman"/>
      <w:szCs w:val="20"/>
    </w:rPr>
  </w:style>
  <w:style w:type="character" w:customStyle="1" w:styleId="91">
    <w:name w:val="普通(网站) Char1"/>
    <w:link w:val="32"/>
    <w:autoRedefine/>
    <w:qFormat/>
    <w:locked/>
    <w:uiPriority w:val="0"/>
    <w:rPr>
      <w:rFonts w:ascii="宋体" w:hAnsi="宋体"/>
      <w:sz w:val="15"/>
      <w:szCs w:val="15"/>
    </w:rPr>
  </w:style>
  <w:style w:type="character" w:customStyle="1" w:styleId="92">
    <w:name w:val="模板正文 Char"/>
    <w:link w:val="10"/>
    <w:autoRedefine/>
    <w:qFormat/>
    <w:uiPriority w:val="0"/>
    <w:rPr>
      <w:rFonts w:ascii="宋体" w:eastAsia="仿宋"/>
      <w:sz w:val="24"/>
      <w:szCs w:val="21"/>
    </w:rPr>
  </w:style>
  <w:style w:type="character" w:customStyle="1" w:styleId="93">
    <w:name w:val="批注主题 Char"/>
    <w:autoRedefine/>
    <w:semiHidden/>
    <w:qFormat/>
    <w:uiPriority w:val="99"/>
    <w:rPr>
      <w:b/>
      <w:bCs/>
      <w:kern w:val="2"/>
      <w:sz w:val="21"/>
    </w:rPr>
  </w:style>
  <w:style w:type="character" w:customStyle="1" w:styleId="94">
    <w:name w:val="正文文本 Char1"/>
    <w:autoRedefine/>
    <w:qFormat/>
    <w:uiPriority w:val="0"/>
    <w:rPr>
      <w:rFonts w:ascii="宋体" w:hAnsi="Times New Roman" w:eastAsia="宋体" w:cs="Times New Roman"/>
      <w:kern w:val="0"/>
      <w:sz w:val="24"/>
      <w:szCs w:val="24"/>
    </w:rPr>
  </w:style>
  <w:style w:type="character" w:customStyle="1" w:styleId="95">
    <w:name w:val="正文文本 字符1"/>
    <w:autoRedefine/>
    <w:qFormat/>
    <w:uiPriority w:val="99"/>
    <w:rPr>
      <w:rFonts w:ascii="宋体" w:eastAsia="宋体"/>
      <w:b/>
      <w:bCs/>
      <w:sz w:val="84"/>
      <w:szCs w:val="84"/>
      <w:lang w:val="zh-CN"/>
    </w:rPr>
  </w:style>
  <w:style w:type="character" w:customStyle="1" w:styleId="96">
    <w:name w:val="标题 1 Char"/>
    <w:autoRedefine/>
    <w:qFormat/>
    <w:uiPriority w:val="9"/>
    <w:rPr>
      <w:rFonts w:ascii="宋体" w:hAnsi="Times New Roman" w:eastAsia="宋体" w:cs="Times New Roman"/>
      <w:kern w:val="0"/>
      <w:sz w:val="24"/>
      <w:szCs w:val="24"/>
    </w:rPr>
  </w:style>
  <w:style w:type="character" w:customStyle="1" w:styleId="97">
    <w:name w:val="正文文本 Char2"/>
    <w:autoRedefine/>
    <w:qFormat/>
    <w:uiPriority w:val="99"/>
    <w:rPr>
      <w:rFonts w:ascii="宋体" w:eastAsia="宋体"/>
      <w:b/>
      <w:bCs/>
      <w:sz w:val="84"/>
      <w:szCs w:val="84"/>
      <w:lang w:val="zh-CN"/>
    </w:rPr>
  </w:style>
  <w:style w:type="character" w:customStyle="1" w:styleId="98">
    <w:name w:val="纯文本 Char2"/>
    <w:link w:val="21"/>
    <w:autoRedefine/>
    <w:qFormat/>
    <w:uiPriority w:val="0"/>
    <w:rPr>
      <w:rFonts w:ascii="宋体" w:hAnsi="Courier New" w:eastAsia="宋体"/>
    </w:rPr>
  </w:style>
  <w:style w:type="character" w:customStyle="1" w:styleId="99">
    <w:name w:val="正文文本缩进 2 Char"/>
    <w:link w:val="23"/>
    <w:autoRedefine/>
    <w:qFormat/>
    <w:uiPriority w:val="0"/>
    <w:rPr>
      <w:rFonts w:ascii="宋体" w:hAnsi="Times New Roman" w:eastAsia="宋体" w:cs="Times New Roman"/>
      <w:szCs w:val="20"/>
    </w:rPr>
  </w:style>
  <w:style w:type="character" w:customStyle="1" w:styleId="100">
    <w:name w:val="HTML Markup"/>
    <w:autoRedefine/>
    <w:qFormat/>
    <w:uiPriority w:val="0"/>
    <w:rPr>
      <w:vanish/>
      <w:color w:val="FF0000"/>
    </w:rPr>
  </w:style>
  <w:style w:type="character" w:customStyle="1" w:styleId="101">
    <w:name w:val="页眉 Char1"/>
    <w:autoRedefine/>
    <w:qFormat/>
    <w:uiPriority w:val="0"/>
    <w:rPr>
      <w:rFonts w:ascii="宋体" w:hAnsi="Times New Roman" w:eastAsia="宋体" w:cs="Times New Roman"/>
      <w:kern w:val="0"/>
      <w:sz w:val="18"/>
      <w:szCs w:val="18"/>
    </w:rPr>
  </w:style>
  <w:style w:type="character" w:customStyle="1" w:styleId="102">
    <w:name w:val="font11"/>
    <w:autoRedefine/>
    <w:qFormat/>
    <w:uiPriority w:val="0"/>
    <w:rPr>
      <w:rFonts w:hint="eastAsia" w:ascii="宋体" w:hAnsi="宋体" w:eastAsia="宋体" w:cs="宋体"/>
      <w:color w:val="FF0000"/>
      <w:sz w:val="22"/>
      <w:szCs w:val="22"/>
      <w:u w:val="none"/>
    </w:rPr>
  </w:style>
  <w:style w:type="character" w:customStyle="1" w:styleId="103">
    <w:name w:val="style61"/>
    <w:autoRedefine/>
    <w:qFormat/>
    <w:uiPriority w:val="0"/>
    <w:rPr>
      <w:b/>
      <w:bCs/>
    </w:rPr>
  </w:style>
  <w:style w:type="character" w:customStyle="1" w:styleId="104">
    <w:name w:val="表头文字 Char"/>
    <w:link w:val="105"/>
    <w:autoRedefine/>
    <w:qFormat/>
    <w:uiPriority w:val="0"/>
    <w:rPr>
      <w:rFonts w:eastAsia="仿宋_GB2312"/>
      <w:b/>
      <w:sz w:val="28"/>
      <w:szCs w:val="21"/>
    </w:rPr>
  </w:style>
  <w:style w:type="paragraph" w:customStyle="1" w:styleId="105">
    <w:name w:val="表头文字"/>
    <w:basedOn w:val="1"/>
    <w:link w:val="104"/>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2"/>
    <w:autoRedefine/>
    <w:qFormat/>
    <w:uiPriority w:val="99"/>
    <w:rPr>
      <w:rFonts w:ascii="宋体" w:hAnsi="Times New Roman" w:eastAsia="宋体" w:cs="Times New Roman"/>
      <w:b/>
      <w:bCs/>
      <w:szCs w:val="21"/>
      <w:lang w:val="zh-CN"/>
    </w:rPr>
  </w:style>
  <w:style w:type="character" w:customStyle="1" w:styleId="107">
    <w:name w:val="纯文本 Char1"/>
    <w:autoRedefine/>
    <w:qFormat/>
    <w:uiPriority w:val="0"/>
    <w:rPr>
      <w:rFonts w:ascii="宋体" w:hAnsi="Courier New" w:eastAsia="宋体" w:cs="Courier New"/>
      <w:kern w:val="0"/>
      <w:szCs w:val="21"/>
    </w:rPr>
  </w:style>
  <w:style w:type="character" w:customStyle="1" w:styleId="108">
    <w:name w:val="批注主题 Char1"/>
    <w:link w:val="34"/>
    <w:autoRedefine/>
    <w:qFormat/>
    <w:uiPriority w:val="99"/>
    <w:rPr>
      <w:rFonts w:ascii="宋体" w:hAnsi="Times New Roman" w:eastAsia="宋体" w:cs="Times New Roman"/>
      <w:b/>
      <w:bCs/>
      <w:kern w:val="0"/>
      <w:sz w:val="24"/>
      <w:szCs w:val="24"/>
    </w:rPr>
  </w:style>
  <w:style w:type="character" w:customStyle="1" w:styleId="109">
    <w:name w:val="纯文本 字符"/>
    <w:autoRedefine/>
    <w:qFormat/>
    <w:uiPriority w:val="99"/>
    <w:rPr>
      <w:rFonts w:ascii="宋体" w:hAnsi="Courier New" w:eastAsia="宋体" w:cs="Times New Roman"/>
      <w:szCs w:val="20"/>
      <w:lang w:val="en-US" w:eastAsia="zh-CN"/>
    </w:rPr>
  </w:style>
  <w:style w:type="character" w:customStyle="1" w:styleId="110">
    <w:name w:val="font71"/>
    <w:autoRedefine/>
    <w:qFormat/>
    <w:uiPriority w:val="0"/>
    <w:rPr>
      <w:rFonts w:hint="eastAsia" w:ascii="宋体" w:hAnsi="宋体" w:eastAsia="宋体" w:cs="宋体"/>
      <w:color w:val="FF0000"/>
      <w:sz w:val="18"/>
      <w:szCs w:val="18"/>
      <w:u w:val="none"/>
    </w:rPr>
  </w:style>
  <w:style w:type="character" w:customStyle="1" w:styleId="111">
    <w:name w:val="font21"/>
    <w:autoRedefine/>
    <w:qFormat/>
    <w:uiPriority w:val="0"/>
    <w:rPr>
      <w:rFonts w:hint="eastAsia" w:ascii="宋体" w:hAnsi="宋体" w:eastAsia="宋体" w:cs="宋体"/>
      <w:b/>
      <w:color w:val="000000"/>
      <w:sz w:val="21"/>
      <w:szCs w:val="21"/>
      <w:u w:val="none"/>
    </w:rPr>
  </w:style>
  <w:style w:type="character" w:customStyle="1" w:styleId="112">
    <w:name w:val="纯文本 字符3"/>
    <w:autoRedefine/>
    <w:semiHidden/>
    <w:qFormat/>
    <w:uiPriority w:val="99"/>
    <w:rPr>
      <w:rFonts w:ascii="等线" w:hAnsi="Courier New" w:cs="Courier New"/>
      <w:kern w:val="0"/>
      <w:sz w:val="24"/>
      <w:szCs w:val="24"/>
    </w:rPr>
  </w:style>
  <w:style w:type="character" w:customStyle="1" w:styleId="113">
    <w:name w:val="font31"/>
    <w:autoRedefine/>
    <w:qFormat/>
    <w:uiPriority w:val="0"/>
    <w:rPr>
      <w:rFonts w:hint="eastAsia" w:ascii="宋体" w:hAnsi="宋体" w:eastAsia="宋体" w:cs="宋体"/>
      <w:color w:val="000000"/>
      <w:sz w:val="18"/>
      <w:szCs w:val="18"/>
      <w:u w:val="none"/>
    </w:rPr>
  </w:style>
  <w:style w:type="character" w:customStyle="1" w:styleId="114">
    <w:name w:val="文档结构图 Char"/>
    <w:link w:val="16"/>
    <w:autoRedefine/>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autoRedefine/>
    <w:qFormat/>
    <w:locked/>
    <w:uiPriority w:val="0"/>
    <w:rPr>
      <w:rFonts w:ascii="宋体" w:hAnsi="宋体"/>
      <w:sz w:val="15"/>
      <w:szCs w:val="15"/>
    </w:rPr>
  </w:style>
  <w:style w:type="character" w:customStyle="1" w:styleId="116">
    <w:name w:val="正文文本 Char3"/>
    <w:link w:val="2"/>
    <w:autoRedefine/>
    <w:qFormat/>
    <w:uiPriority w:val="99"/>
    <w:rPr>
      <w:rFonts w:ascii="宋体" w:eastAsia="宋体"/>
      <w:b/>
      <w:bCs/>
      <w:sz w:val="84"/>
      <w:szCs w:val="84"/>
      <w:lang w:val="zh-CN"/>
    </w:rPr>
  </w:style>
  <w:style w:type="character" w:customStyle="1" w:styleId="117">
    <w:name w:val="标题 5 Char"/>
    <w:autoRedefine/>
    <w:semiHidden/>
    <w:qFormat/>
    <w:uiPriority w:val="9"/>
    <w:rPr>
      <w:b/>
      <w:bCs/>
      <w:kern w:val="2"/>
      <w:sz w:val="28"/>
      <w:szCs w:val="28"/>
    </w:rPr>
  </w:style>
  <w:style w:type="character" w:customStyle="1" w:styleId="118">
    <w:name w:val="页眉 Char2"/>
    <w:link w:val="26"/>
    <w:autoRedefine/>
    <w:qFormat/>
    <w:uiPriority w:val="99"/>
    <w:rPr>
      <w:rFonts w:ascii="宋体" w:eastAsia="宋体"/>
      <w:sz w:val="18"/>
      <w:szCs w:val="18"/>
    </w:rPr>
  </w:style>
  <w:style w:type="character" w:customStyle="1" w:styleId="119">
    <w:name w:val="表格文字 Char"/>
    <w:link w:val="120"/>
    <w:autoRedefine/>
    <w:qFormat/>
    <w:uiPriority w:val="0"/>
    <w:rPr>
      <w:rFonts w:eastAsia="仿宋_GB2312"/>
      <w:sz w:val="28"/>
      <w:szCs w:val="24"/>
    </w:rPr>
  </w:style>
  <w:style w:type="paragraph" w:customStyle="1" w:styleId="120">
    <w:name w:val="表格文字"/>
    <w:basedOn w:val="1"/>
    <w:link w:val="119"/>
    <w:autoRedefine/>
    <w:qFormat/>
    <w:uiPriority w:val="0"/>
    <w:rPr>
      <w:rFonts w:eastAsia="仿宋_GB2312"/>
      <w:sz w:val="28"/>
      <w:szCs w:val="24"/>
    </w:rPr>
  </w:style>
  <w:style w:type="character" w:customStyle="1" w:styleId="121">
    <w:name w:val="标题 字符2"/>
    <w:autoRedefine/>
    <w:qFormat/>
    <w:uiPriority w:val="10"/>
    <w:rPr>
      <w:rFonts w:ascii="等线 Light" w:hAnsi="等线 Light" w:eastAsia="等线 Light" w:cs="Times New Roman"/>
      <w:b/>
      <w:bCs/>
      <w:kern w:val="0"/>
      <w:sz w:val="32"/>
      <w:szCs w:val="32"/>
    </w:rPr>
  </w:style>
  <w:style w:type="character" w:customStyle="1" w:styleId="122">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3">
    <w:name w:val="小 Char"/>
    <w:autoRedefine/>
    <w:qFormat/>
    <w:uiPriority w:val="0"/>
    <w:rPr>
      <w:rFonts w:ascii="宋体" w:hAnsi="Courier New" w:eastAsia="宋体"/>
      <w:kern w:val="2"/>
      <w:sz w:val="21"/>
      <w:lang w:val="en-US" w:eastAsia="zh-CN" w:bidi="ar-SA"/>
    </w:rPr>
  </w:style>
  <w:style w:type="character" w:customStyle="1" w:styleId="124">
    <w:name w:val="themebody1"/>
    <w:autoRedefine/>
    <w:qFormat/>
    <w:uiPriority w:val="0"/>
    <w:rPr>
      <w:color w:val="FFFFFF"/>
    </w:rPr>
  </w:style>
  <w:style w:type="character" w:customStyle="1" w:styleId="125">
    <w:name w:val="页脚 字符1"/>
    <w:autoRedefine/>
    <w:semiHidden/>
    <w:qFormat/>
    <w:uiPriority w:val="99"/>
    <w:rPr>
      <w:rFonts w:ascii="宋体" w:hAnsi="Calibri" w:eastAsia="宋体" w:cs="Times New Roman"/>
      <w:kern w:val="0"/>
      <w:sz w:val="18"/>
      <w:szCs w:val="18"/>
    </w:rPr>
  </w:style>
  <w:style w:type="character" w:customStyle="1" w:styleId="126">
    <w:name w:val="列出段落 Char"/>
    <w:link w:val="127"/>
    <w:autoRedefine/>
    <w:qFormat/>
    <w:uiPriority w:val="34"/>
    <w:rPr>
      <w:kern w:val="2"/>
      <w:sz w:val="21"/>
      <w:szCs w:val="22"/>
    </w:rPr>
  </w:style>
  <w:style w:type="paragraph" w:styleId="127">
    <w:name w:val="List Paragraph"/>
    <w:basedOn w:val="1"/>
    <w:link w:val="126"/>
    <w:autoRedefine/>
    <w:qFormat/>
    <w:uiPriority w:val="34"/>
    <w:pPr>
      <w:ind w:firstLine="420" w:firstLineChars="200"/>
    </w:pPr>
  </w:style>
  <w:style w:type="character" w:customStyle="1" w:styleId="128">
    <w:name w:val="正文文本 Char"/>
    <w:autoRedefine/>
    <w:qFormat/>
    <w:uiPriority w:val="99"/>
    <w:rPr>
      <w:rFonts w:ascii="宋体" w:eastAsia="宋体"/>
      <w:b/>
      <w:bCs/>
      <w:sz w:val="84"/>
      <w:szCs w:val="84"/>
      <w:lang w:val="zh-CN"/>
    </w:rPr>
  </w:style>
  <w:style w:type="character" w:customStyle="1" w:styleId="129">
    <w:name w:val="页眉 字符1"/>
    <w:autoRedefine/>
    <w:semiHidden/>
    <w:qFormat/>
    <w:uiPriority w:val="99"/>
    <w:rPr>
      <w:rFonts w:ascii="宋体" w:hAnsi="Calibri" w:eastAsia="宋体" w:cs="Times New Roman"/>
      <w:kern w:val="0"/>
      <w:sz w:val="18"/>
      <w:szCs w:val="18"/>
    </w:rPr>
  </w:style>
  <w:style w:type="character" w:customStyle="1" w:styleId="130">
    <w:name w:val="标题 5 Char1"/>
    <w:link w:val="8"/>
    <w:autoRedefine/>
    <w:qFormat/>
    <w:uiPriority w:val="9"/>
    <w:rPr>
      <w:rFonts w:ascii="宋体" w:hAnsi="Calibri" w:eastAsia="宋体" w:cs="Times New Roman"/>
      <w:b/>
      <w:bCs/>
      <w:kern w:val="0"/>
      <w:sz w:val="28"/>
      <w:szCs w:val="28"/>
    </w:rPr>
  </w:style>
  <w:style w:type="character" w:customStyle="1" w:styleId="131">
    <w:name w:val="keyfeatures1"/>
    <w:autoRedefine/>
    <w:qFormat/>
    <w:uiPriority w:val="0"/>
    <w:rPr>
      <w:rFonts w:hint="default" w:ascii="Arial" w:hAnsi="Arial" w:cs="Arial"/>
      <w:color w:val="003366"/>
      <w:sz w:val="17"/>
      <w:szCs w:val="17"/>
      <w:u w:val="none"/>
    </w:rPr>
  </w:style>
  <w:style w:type="character" w:customStyle="1" w:styleId="132">
    <w:name w:val="题注 字符"/>
    <w:autoRedefine/>
    <w:qFormat/>
    <w:uiPriority w:val="0"/>
    <w:rPr>
      <w:rFonts w:ascii="宋体" w:hAnsi="宋体" w:eastAsia="黑体" w:cs="Times New Roman"/>
      <w:b/>
      <w:szCs w:val="21"/>
    </w:rPr>
  </w:style>
  <w:style w:type="character" w:customStyle="1" w:styleId="133">
    <w:name w:val="标题 4 Char"/>
    <w:autoRedefine/>
    <w:qFormat/>
    <w:uiPriority w:val="0"/>
    <w:rPr>
      <w:rFonts w:ascii="宋体" w:hAnsi="宋体" w:eastAsia="宋体"/>
      <w:b/>
      <w:kern w:val="2"/>
      <w:sz w:val="21"/>
      <w:szCs w:val="24"/>
      <w:lang w:val="en-US" w:eastAsia="zh-CN" w:bidi="ar-SA"/>
    </w:rPr>
  </w:style>
  <w:style w:type="character" w:customStyle="1" w:styleId="134">
    <w:name w:val="批注文字 字符3"/>
    <w:autoRedefine/>
    <w:semiHidden/>
    <w:qFormat/>
    <w:uiPriority w:val="99"/>
    <w:rPr>
      <w:rFonts w:ascii="宋体" w:hAnsi="Calibri" w:eastAsia="宋体" w:cs="Times New Roman"/>
      <w:kern w:val="0"/>
      <w:sz w:val="24"/>
      <w:szCs w:val="24"/>
    </w:rPr>
  </w:style>
  <w:style w:type="character" w:customStyle="1" w:styleId="135">
    <w:name w:val="纯文本 字符1"/>
    <w:autoRedefine/>
    <w:qFormat/>
    <w:uiPriority w:val="0"/>
    <w:rPr>
      <w:rFonts w:ascii="宋体" w:hAnsi="Courier New" w:eastAsia="宋体"/>
      <w:kern w:val="2"/>
      <w:sz w:val="21"/>
      <w:szCs w:val="24"/>
      <w:lang w:val="en-US" w:eastAsia="zh-CN" w:bidi="ar-SA"/>
    </w:rPr>
  </w:style>
  <w:style w:type="character" w:customStyle="1" w:styleId="136">
    <w:name w:val="列出段落 Char1"/>
    <w:autoRedefine/>
    <w:qFormat/>
    <w:uiPriority w:val="34"/>
    <w:rPr>
      <w:rFonts w:ascii="宋体"/>
      <w:sz w:val="24"/>
      <w:szCs w:val="24"/>
    </w:rPr>
  </w:style>
  <w:style w:type="character" w:customStyle="1" w:styleId="137">
    <w:name w:val="彩色列表 - 着色 1 字符"/>
    <w:link w:val="138"/>
    <w:autoRedefine/>
    <w:qFormat/>
    <w:uiPriority w:val="0"/>
    <w:rPr>
      <w:rFonts w:ascii="Calibri" w:hAnsi="Calibri"/>
    </w:rPr>
  </w:style>
  <w:style w:type="paragraph" w:customStyle="1" w:styleId="138">
    <w:name w:val="彩色列表 - 着色 11"/>
    <w:basedOn w:val="1"/>
    <w:link w:val="137"/>
    <w:autoRedefine/>
    <w:qFormat/>
    <w:uiPriority w:val="0"/>
    <w:pPr>
      <w:ind w:firstLine="420" w:firstLineChars="200"/>
    </w:pPr>
    <w:rPr>
      <w:rFonts w:ascii="Calibri" w:hAnsi="Calibri"/>
    </w:rPr>
  </w:style>
  <w:style w:type="character" w:customStyle="1" w:styleId="139">
    <w:name w:val="纯文本 Char"/>
    <w:autoRedefine/>
    <w:qFormat/>
    <w:uiPriority w:val="0"/>
    <w:rPr>
      <w:rFonts w:ascii="宋体" w:hAnsi="Courier New" w:eastAsia="宋体" w:cs="Times New Roman"/>
      <w:szCs w:val="20"/>
    </w:rPr>
  </w:style>
  <w:style w:type="character" w:customStyle="1" w:styleId="140">
    <w:name w:val="标题 6 Char"/>
    <w:link w:val="9"/>
    <w:autoRedefine/>
    <w:qFormat/>
    <w:uiPriority w:val="9"/>
    <w:rPr>
      <w:rFonts w:ascii="Times New Roman" w:hAnsi="Calibri" w:eastAsia="黑体" w:cs="Times New Roman"/>
      <w:b/>
      <w:bCs/>
      <w:kern w:val="0"/>
      <w:sz w:val="28"/>
      <w:szCs w:val="24"/>
    </w:rPr>
  </w:style>
  <w:style w:type="character" w:customStyle="1" w:styleId="141">
    <w:name w:val="正文文本 2 Char"/>
    <w:link w:val="30"/>
    <w:autoRedefine/>
    <w:qFormat/>
    <w:uiPriority w:val="0"/>
    <w:rPr>
      <w:rFonts w:ascii="Arial" w:hAnsi="Arial" w:eastAsia="宋体" w:cs="Times New Roman"/>
      <w:color w:val="000000"/>
      <w:szCs w:val="24"/>
    </w:rPr>
  </w:style>
  <w:style w:type="character" w:customStyle="1" w:styleId="142">
    <w:name w:val="标题 3 Char"/>
    <w:link w:val="6"/>
    <w:autoRedefine/>
    <w:qFormat/>
    <w:uiPriority w:val="0"/>
    <w:rPr>
      <w:rFonts w:ascii="宋体" w:hAnsi="Calibri" w:eastAsia="宋体" w:cs="Times New Roman"/>
      <w:kern w:val="0"/>
      <w:sz w:val="24"/>
      <w:szCs w:val="24"/>
    </w:rPr>
  </w:style>
  <w:style w:type="character" w:customStyle="1" w:styleId="143">
    <w:name w:val="正文文本缩进 2 字符1"/>
    <w:autoRedefine/>
    <w:semiHidden/>
    <w:qFormat/>
    <w:uiPriority w:val="99"/>
    <w:rPr>
      <w:rFonts w:ascii="宋体" w:hAnsi="Calibri" w:eastAsia="宋体" w:cs="Times New Roman"/>
      <w:kern w:val="0"/>
      <w:sz w:val="24"/>
      <w:szCs w:val="24"/>
    </w:rPr>
  </w:style>
  <w:style w:type="character" w:customStyle="1" w:styleId="144">
    <w:name w:val="正文文本缩进 3 字符1"/>
    <w:autoRedefine/>
    <w:semiHidden/>
    <w:qFormat/>
    <w:uiPriority w:val="99"/>
    <w:rPr>
      <w:rFonts w:ascii="宋体" w:hAnsi="Calibri" w:eastAsia="宋体" w:cs="Times New Roman"/>
      <w:kern w:val="0"/>
      <w:sz w:val="16"/>
      <w:szCs w:val="16"/>
    </w:rPr>
  </w:style>
  <w:style w:type="character" w:customStyle="1" w:styleId="145">
    <w:name w:val="正文文本 2 字符1"/>
    <w:autoRedefine/>
    <w:semiHidden/>
    <w:qFormat/>
    <w:uiPriority w:val="99"/>
    <w:rPr>
      <w:rFonts w:ascii="宋体" w:hAnsi="Calibri" w:eastAsia="宋体" w:cs="Times New Roman"/>
      <w:kern w:val="0"/>
      <w:sz w:val="24"/>
      <w:szCs w:val="24"/>
    </w:rPr>
  </w:style>
  <w:style w:type="character" w:customStyle="1" w:styleId="146">
    <w:name w:val="eschoolnr"/>
    <w:autoRedefine/>
    <w:qFormat/>
    <w:uiPriority w:val="0"/>
    <w:rPr>
      <w:sz w:val="23"/>
      <w:szCs w:val="23"/>
    </w:rPr>
  </w:style>
  <w:style w:type="character" w:customStyle="1" w:styleId="147">
    <w:name w:val="访问过的超链接1"/>
    <w:autoRedefine/>
    <w:qFormat/>
    <w:uiPriority w:val="0"/>
    <w:rPr>
      <w:rFonts w:ascii="Arial" w:hAnsi="Arial" w:cs="Arial"/>
      <w:color w:val="000000"/>
      <w:sz w:val="20"/>
      <w:szCs w:val="20"/>
      <w:u w:val="none"/>
    </w:rPr>
  </w:style>
  <w:style w:type="character" w:customStyle="1" w:styleId="148">
    <w:name w:val="标题 1 Char1"/>
    <w:link w:val="4"/>
    <w:autoRedefine/>
    <w:qFormat/>
    <w:uiPriority w:val="0"/>
    <w:rPr>
      <w:rFonts w:ascii="宋体" w:hAnsi="Calibri" w:eastAsia="宋体" w:cs="Times New Roman"/>
      <w:kern w:val="0"/>
      <w:sz w:val="24"/>
      <w:szCs w:val="24"/>
    </w:rPr>
  </w:style>
  <w:style w:type="character" w:customStyle="1" w:styleId="149">
    <w:name w:val="批注文字 Char1"/>
    <w:autoRedefine/>
    <w:qFormat/>
    <w:uiPriority w:val="0"/>
    <w:rPr>
      <w:kern w:val="2"/>
      <w:sz w:val="21"/>
      <w:szCs w:val="24"/>
    </w:rPr>
  </w:style>
  <w:style w:type="character" w:customStyle="1" w:styleId="150">
    <w:name w:val="批注框文本 Char"/>
    <w:autoRedefine/>
    <w:semiHidden/>
    <w:qFormat/>
    <w:uiPriority w:val="99"/>
    <w:rPr>
      <w:kern w:val="2"/>
      <w:sz w:val="18"/>
      <w:szCs w:val="18"/>
    </w:rPr>
  </w:style>
  <w:style w:type="character" w:customStyle="1" w:styleId="151">
    <w:name w:val="DAS正文 Char"/>
    <w:autoRedefine/>
    <w:qFormat/>
    <w:uiPriority w:val="0"/>
    <w:rPr>
      <w:rFonts w:ascii="Verdana" w:hAnsi="Verdana" w:eastAsia="宋体"/>
      <w:kern w:val="2"/>
      <w:sz w:val="21"/>
      <w:szCs w:val="21"/>
      <w:lang w:val="en-US" w:eastAsia="zh-CN" w:bidi="ar-SA"/>
    </w:rPr>
  </w:style>
  <w:style w:type="character" w:customStyle="1" w:styleId="152">
    <w:name w:val="正文文本缩进 3 Char"/>
    <w:link w:val="29"/>
    <w:autoRedefine/>
    <w:qFormat/>
    <w:uiPriority w:val="0"/>
    <w:rPr>
      <w:rFonts w:ascii="宋体" w:hAnsi="Times New Roman" w:eastAsia="宋体" w:cs="Times New Roman"/>
      <w:kern w:val="0"/>
      <w:sz w:val="24"/>
      <w:szCs w:val="24"/>
    </w:rPr>
  </w:style>
  <w:style w:type="character" w:customStyle="1" w:styleId="153">
    <w:name w:val="页眉 Char"/>
    <w:autoRedefine/>
    <w:qFormat/>
    <w:uiPriority w:val="99"/>
    <w:rPr>
      <w:kern w:val="2"/>
      <w:sz w:val="18"/>
      <w:szCs w:val="18"/>
    </w:rPr>
  </w:style>
  <w:style w:type="character" w:customStyle="1" w:styleId="154">
    <w:name w:val="正文文本 3 Char"/>
    <w:link w:val="19"/>
    <w:autoRedefine/>
    <w:qFormat/>
    <w:uiPriority w:val="0"/>
    <w:rPr>
      <w:rFonts w:ascii="宋体" w:hAnsi="Times New Roman" w:eastAsia="宋体" w:cs="Times New Roman"/>
      <w:b/>
      <w:bCs/>
      <w:color w:val="3366FF"/>
      <w:sz w:val="52"/>
      <w:szCs w:val="52"/>
      <w:lang w:val="zh-CN"/>
    </w:rPr>
  </w:style>
  <w:style w:type="character" w:customStyle="1" w:styleId="155">
    <w:name w:val="HTML 预设格式 字符1"/>
    <w:autoRedefine/>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autoRedefine/>
    <w:qFormat/>
    <w:uiPriority w:val="0"/>
    <w:rPr>
      <w:rFonts w:ascii="宋体"/>
      <w:sz w:val="24"/>
      <w:szCs w:val="24"/>
    </w:rPr>
  </w:style>
  <w:style w:type="paragraph" w:customStyle="1" w:styleId="157">
    <w:name w:val="彩色列表 - 强调文字颜色 11"/>
    <w:basedOn w:val="1"/>
    <w:link w:val="156"/>
    <w:autoRedefine/>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autoRedefine/>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autoRedefine/>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autoRedefine/>
    <w:semiHidden/>
    <w:qFormat/>
    <w:uiPriority w:val="99"/>
    <w:rPr>
      <w:rFonts w:hAnsi="Courier New" w:cs="Courier New" w:asciiTheme="minorEastAsia"/>
    </w:rPr>
  </w:style>
  <w:style w:type="character" w:customStyle="1" w:styleId="161">
    <w:name w:val="批注文字 Char2"/>
    <w:basedOn w:val="38"/>
    <w:link w:val="18"/>
    <w:autoRedefine/>
    <w:semiHidden/>
    <w:qFormat/>
    <w:uiPriority w:val="99"/>
  </w:style>
  <w:style w:type="character" w:customStyle="1" w:styleId="162">
    <w:name w:val="批注主题 字符2"/>
    <w:basedOn w:val="161"/>
    <w:autoRedefine/>
    <w:semiHidden/>
    <w:qFormat/>
    <w:uiPriority w:val="99"/>
    <w:rPr>
      <w:b/>
      <w:bCs/>
    </w:rPr>
  </w:style>
  <w:style w:type="character" w:customStyle="1" w:styleId="163">
    <w:name w:val="标题 字符3"/>
    <w:basedOn w:val="38"/>
    <w:autoRedefine/>
    <w:qFormat/>
    <w:uiPriority w:val="10"/>
    <w:rPr>
      <w:rFonts w:asciiTheme="majorHAnsi" w:hAnsiTheme="majorHAnsi" w:eastAsiaTheme="majorEastAsia" w:cstheme="majorBidi"/>
      <w:b/>
      <w:bCs/>
      <w:sz w:val="32"/>
      <w:szCs w:val="32"/>
    </w:rPr>
  </w:style>
  <w:style w:type="character" w:customStyle="1" w:styleId="164">
    <w:name w:val="正文文本缩进 字符3"/>
    <w:basedOn w:val="38"/>
    <w:autoRedefine/>
    <w:semiHidden/>
    <w:qFormat/>
    <w:uiPriority w:val="99"/>
  </w:style>
  <w:style w:type="character" w:customStyle="1" w:styleId="165">
    <w:name w:val="正文文本 字符4"/>
    <w:basedOn w:val="38"/>
    <w:autoRedefine/>
    <w:semiHidden/>
    <w:qFormat/>
    <w:uiPriority w:val="99"/>
  </w:style>
  <w:style w:type="character" w:customStyle="1" w:styleId="166">
    <w:name w:val="正文文本缩进 3 字符2"/>
    <w:basedOn w:val="38"/>
    <w:autoRedefine/>
    <w:semiHidden/>
    <w:qFormat/>
    <w:uiPriority w:val="99"/>
    <w:rPr>
      <w:sz w:val="16"/>
      <w:szCs w:val="16"/>
    </w:rPr>
  </w:style>
  <w:style w:type="character" w:customStyle="1" w:styleId="167">
    <w:name w:val="页眉 字符2"/>
    <w:basedOn w:val="38"/>
    <w:autoRedefine/>
    <w:semiHidden/>
    <w:qFormat/>
    <w:uiPriority w:val="99"/>
    <w:rPr>
      <w:sz w:val="18"/>
      <w:szCs w:val="18"/>
    </w:rPr>
  </w:style>
  <w:style w:type="character" w:customStyle="1" w:styleId="168">
    <w:name w:val="批注框文本 字符2"/>
    <w:basedOn w:val="38"/>
    <w:autoRedefine/>
    <w:semiHidden/>
    <w:qFormat/>
    <w:uiPriority w:val="99"/>
    <w:rPr>
      <w:sz w:val="18"/>
      <w:szCs w:val="18"/>
    </w:rPr>
  </w:style>
  <w:style w:type="character" w:customStyle="1" w:styleId="169">
    <w:name w:val="HTML 预设格式 字符2"/>
    <w:basedOn w:val="38"/>
    <w:autoRedefine/>
    <w:semiHidden/>
    <w:qFormat/>
    <w:uiPriority w:val="99"/>
    <w:rPr>
      <w:rFonts w:ascii="Courier New" w:hAnsi="Courier New" w:cs="Courier New"/>
      <w:sz w:val="20"/>
      <w:szCs w:val="20"/>
    </w:rPr>
  </w:style>
  <w:style w:type="character" w:customStyle="1" w:styleId="170">
    <w:name w:val="页脚 字符2"/>
    <w:basedOn w:val="38"/>
    <w:autoRedefine/>
    <w:semiHidden/>
    <w:qFormat/>
    <w:uiPriority w:val="99"/>
    <w:rPr>
      <w:sz w:val="18"/>
      <w:szCs w:val="18"/>
    </w:rPr>
  </w:style>
  <w:style w:type="character" w:customStyle="1" w:styleId="171">
    <w:name w:val="正文文本缩进 2 字符2"/>
    <w:basedOn w:val="38"/>
    <w:autoRedefine/>
    <w:semiHidden/>
    <w:qFormat/>
    <w:uiPriority w:val="99"/>
  </w:style>
  <w:style w:type="character" w:customStyle="1" w:styleId="172">
    <w:name w:val="正文文本 3 字符2"/>
    <w:basedOn w:val="38"/>
    <w:autoRedefine/>
    <w:semiHidden/>
    <w:qFormat/>
    <w:uiPriority w:val="99"/>
    <w:rPr>
      <w:sz w:val="16"/>
      <w:szCs w:val="16"/>
    </w:rPr>
  </w:style>
  <w:style w:type="character" w:customStyle="1" w:styleId="173">
    <w:name w:val="正文文本 2 字符2"/>
    <w:basedOn w:val="38"/>
    <w:autoRedefine/>
    <w:semiHidden/>
    <w:qFormat/>
    <w:uiPriority w:val="99"/>
  </w:style>
  <w:style w:type="paragraph" w:customStyle="1" w:styleId="174">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autoRedefine/>
    <w:semiHidden/>
    <w:qFormat/>
    <w:uiPriority w:val="99"/>
    <w:rPr>
      <w:rFonts w:ascii="Microsoft YaHei UI" w:eastAsia="Microsoft YaHei UI"/>
      <w:sz w:val="18"/>
      <w:szCs w:val="18"/>
    </w:rPr>
  </w:style>
  <w:style w:type="character" w:customStyle="1" w:styleId="177">
    <w:name w:val="日期 字符2"/>
    <w:basedOn w:val="38"/>
    <w:autoRedefine/>
    <w:semiHidden/>
    <w:qFormat/>
    <w:uiPriority w:val="99"/>
  </w:style>
  <w:style w:type="paragraph" w:customStyle="1" w:styleId="178">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79">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autoRedefine/>
    <w:semiHidden/>
    <w:qFormat/>
    <w:uiPriority w:val="99"/>
    <w:rPr>
      <w:rFonts w:ascii="宋体" w:hAnsi="Calibri" w:eastAsia="宋体" w:cs="Times New Roman"/>
      <w:sz w:val="24"/>
      <w:szCs w:val="24"/>
      <w:lang w:val="en-US" w:eastAsia="zh-CN" w:bidi="ar-SA"/>
    </w:rPr>
  </w:style>
  <w:style w:type="paragraph" w:customStyle="1" w:styleId="181">
    <w:name w:val="图/图注"/>
    <w:basedOn w:val="10"/>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autoRedefine/>
    <w:qFormat/>
    <w:uiPriority w:val="0"/>
    <w:pPr>
      <w:widowControl/>
    </w:pPr>
    <w:rPr>
      <w:rFonts w:ascii="Times New Roman" w:hAnsi="Calibri" w:eastAsia="宋体" w:cs="Times New Roman"/>
      <w:kern w:val="0"/>
      <w:szCs w:val="20"/>
    </w:rPr>
  </w:style>
  <w:style w:type="paragraph" w:customStyle="1" w:styleId="186">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4"/>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autoRedefine/>
    <w:qFormat/>
    <w:uiPriority w:val="0"/>
    <w:rPr>
      <w:rFonts w:ascii="Calibri" w:hAnsi="Calibri" w:eastAsia="宋体" w:cs="Times New Roman"/>
      <w:lang w:val="en-US" w:eastAsia="zh-CN" w:bidi="ar-SA"/>
    </w:rPr>
  </w:style>
  <w:style w:type="paragraph" w:customStyle="1" w:styleId="190">
    <w:name w:val="_Style 69"/>
    <w:basedOn w:val="1"/>
    <w:next w:val="127"/>
    <w:autoRedefine/>
    <w:qFormat/>
    <w:uiPriority w:val="34"/>
    <w:pPr>
      <w:spacing w:line="360" w:lineRule="auto"/>
      <w:ind w:firstLine="420" w:firstLineChars="200"/>
    </w:pPr>
    <w:rPr>
      <w:rFonts w:ascii="Calibri" w:hAnsi="Calibri" w:eastAsia="宋体" w:cs="Times New Roman"/>
    </w:rPr>
  </w:style>
  <w:style w:type="paragraph" w:customStyle="1" w:styleId="191">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4">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5">
    <w:name w:val="网格表 31"/>
    <w:basedOn w:val="4"/>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autoRedefine/>
    <w:qFormat/>
    <w:uiPriority w:val="0"/>
    <w:pPr>
      <w:jc w:val="center"/>
    </w:pPr>
    <w:rPr>
      <w:rFonts w:cs="宋体"/>
      <w:szCs w:val="20"/>
    </w:rPr>
  </w:style>
  <w:style w:type="paragraph" w:customStyle="1" w:styleId="197">
    <w:name w:val="正文缩进4格"/>
    <w:basedOn w:val="61"/>
    <w:autoRedefine/>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5"/>
    <w:autoRedefine/>
    <w:semiHidden/>
    <w:qFormat/>
    <w:uiPriority w:val="99"/>
    <w:rPr>
      <w:rFonts w:ascii="宋体" w:eastAsia="宋体"/>
      <w:b w:val="0"/>
      <w:bCs w:val="0"/>
      <w:sz w:val="84"/>
      <w:szCs w:val="84"/>
      <w:lang w:val="zh-CN"/>
    </w:rPr>
  </w:style>
  <w:style w:type="paragraph" w:customStyle="1" w:styleId="20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1">
    <w:name w:val="样式4"/>
    <w:basedOn w:val="1"/>
    <w:autoRedefine/>
    <w:qFormat/>
    <w:uiPriority w:val="0"/>
    <w:pPr>
      <w:numPr>
        <w:ilvl w:val="3"/>
        <w:numId w:val="1"/>
      </w:numPr>
      <w:tabs>
        <w:tab w:val="left" w:pos="851"/>
        <w:tab w:val="left" w:pos="1984"/>
      </w:tabs>
      <w:autoSpaceDE/>
      <w:autoSpaceDN/>
      <w:adjustRightInd/>
      <w:jc w:val="both"/>
    </w:pPr>
    <w:rPr>
      <w:rFonts w:ascii="等线 Light"/>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69229</Words>
  <Characters>72696</Characters>
  <Lines>1</Lines>
  <Paragraphs>1</Paragraphs>
  <TotalTime>0</TotalTime>
  <ScaleCrop>false</ScaleCrop>
  <LinksUpToDate>false</LinksUpToDate>
  <CharactersWithSpaces>75768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Stella</cp:lastModifiedBy>
  <cp:lastPrinted>2024-01-26T08:00:00Z</cp:lastPrinted>
  <dcterms:modified xsi:type="dcterms:W3CDTF">2024-05-17T03:21:24Z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50FF91F185E24FC7A915DA69B156D260_13</vt:lpwstr>
  </property>
</Properties>
</file>