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东莞市茶山镇污水处理厂改扩建项目第三方检测服务（不含桩基完整性检测）采购项目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号：0832-SFCX24DG032C</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right="-23" w:rightChars="-11"/>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17</w:t>
      </w:r>
      <w:r>
        <w:rPr>
          <w:rFonts w:hint="eastAsia" w:ascii="宋体" w:hAnsi="宋体" w:eastAsia="宋体" w:cs="宋体"/>
          <w:b/>
          <w:bCs/>
          <w:color w:val="auto"/>
          <w:sz w:val="32"/>
          <w:szCs w:val="32"/>
          <w:highlight w:val="none"/>
          <w:lang w:val="zh-CN"/>
        </w:rPr>
        <w:t>日</w:t>
      </w:r>
    </w:p>
    <w:p>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_Toc2266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_Toc25872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_Toc25872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_Toc27426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_Toc27426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_Toc21162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_Toc21162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_Toc5793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_Toc5793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_Toc1957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_Toc1674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_Toc1674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_Toc14841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_Toc23939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_Toc23939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_Toc3794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_Toc3794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_Toc26321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_Toc26321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_Toc7168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_Toc18247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_Toc14340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_Toc28917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_Toc28917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_Toc213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_Toc19594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_Toc13600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_Toc13600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_Toc7983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_Toc7983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_Toc8381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_Toc8381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_Toc6989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_Toc6989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_Toc12961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_Toc12961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_Toc2443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_Toc22606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_Toc13041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_Toc18933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_Toc18933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_Toc23822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_Toc23822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_Toc29829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_Toc29829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_Toc28746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_Toc22833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_Toc22833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_Toc25036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_Toc13882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_Toc13882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_Toc1442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_Toc11011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_Toc11011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_Toc21256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_Toc21256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_Toc22960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_Toc22960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_Toc13312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_Toc13312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_Toc23271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_Toc23271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_Toc668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_Toc15467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_Toc15467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_Toc10666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_Toc10666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_Toc18846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_Toc19356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_Toc19356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_Toc5441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_Toc5441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_Toc10728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_Toc10728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_Toc6198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_Toc29364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_Toc29364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_Toc25099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_Toc25099 \h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_Toc19778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_Toc19778 \h </w:instrText>
      </w:r>
      <w:r>
        <w:rPr>
          <w:rFonts w:hint="eastAsia" w:ascii="宋体" w:hAnsi="宋体" w:eastAsia="宋体" w:cs="宋体"/>
          <w:color w:val="auto"/>
        </w:rPr>
        <w:fldChar w:fldCharType="separate"/>
      </w:r>
      <w:r>
        <w:rPr>
          <w:rFonts w:hint="eastAsia" w:ascii="宋体" w:hAnsi="宋体" w:eastAsia="宋体" w:cs="宋体"/>
          <w:color w:val="auto"/>
        </w:rPr>
        <w:t>61</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_Toc32476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_Toc32476 \h </w:instrText>
      </w:r>
      <w:r>
        <w:rPr>
          <w:rFonts w:hint="eastAsia" w:ascii="宋体" w:hAnsi="宋体" w:eastAsia="宋体" w:cs="宋体"/>
          <w:color w:val="auto"/>
        </w:rPr>
        <w:fldChar w:fldCharType="separate"/>
      </w:r>
      <w:r>
        <w:rPr>
          <w:rFonts w:hint="eastAsia" w:ascii="宋体" w:hAnsi="宋体" w:eastAsia="宋体" w:cs="宋体"/>
          <w:color w:val="auto"/>
        </w:rPr>
        <w:t>64</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_Toc32664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_Toc32664 \h </w:instrText>
      </w:r>
      <w:r>
        <w:rPr>
          <w:rFonts w:hint="eastAsia" w:ascii="宋体" w:hAnsi="宋体" w:eastAsia="宋体" w:cs="宋体"/>
          <w:color w:val="auto"/>
        </w:rPr>
        <w:fldChar w:fldCharType="separate"/>
      </w:r>
      <w:r>
        <w:rPr>
          <w:rFonts w:hint="eastAsia" w:ascii="宋体" w:hAnsi="宋体" w:eastAsia="宋体" w:cs="宋体"/>
          <w:color w:val="auto"/>
        </w:rPr>
        <w:t>100</w:t>
      </w:r>
      <w:r>
        <w:rPr>
          <w:rFonts w:hint="eastAsia" w:ascii="宋体" w:hAnsi="宋体" w:eastAsia="宋体" w:cs="宋体"/>
          <w:color w:val="auto"/>
        </w:rPr>
        <w:fldChar w:fldCharType="end"/>
      </w:r>
      <w:r>
        <w:rPr>
          <w:rFonts w:hint="eastAsia" w:ascii="宋体" w:hAnsi="宋体" w:eastAsia="宋体" w:cs="宋体"/>
          <w:bCs/>
          <w:color w:val="auto"/>
          <w:szCs w:val="21"/>
          <w:highlight w:val="none"/>
        </w:rPr>
        <w:fldChar w:fldCharType="end"/>
      </w:r>
    </w:p>
    <w:p>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450662846"/>
      <w:bookmarkStart w:id="2" w:name="_Toc20249"/>
      <w:bookmarkStart w:id="3" w:name="_Toc2266"/>
      <w:bookmarkStart w:id="4" w:name="_Toc486167660"/>
      <w:bookmarkStart w:id="5" w:name="_Toc4869"/>
      <w:bookmarkStart w:id="6" w:name="_Toc2723_WPSOffice_Level1"/>
      <w:bookmarkStart w:id="7" w:name="_Toc142508310"/>
      <w:bookmarkStart w:id="8" w:name="_Toc1732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东莞市水务集团建设管理有限公司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东莞市茶山镇污水处理厂改扩建项目第三方检测服务（不含桩基完整性检测）采购项目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0832-SFCX24DG032C</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Times New Roman"/>
          <w:color w:val="auto"/>
          <w:szCs w:val="21"/>
          <w:lang w:val="zh-CN"/>
        </w:rPr>
        <w:t>本项目由东莞市水务集团建设管理有限公司（以下简称“招标人”或“委托人”）采购一家检测服务单位（以下简称“中标人”或“检测人”）对东莞市石鼓净水有限公司（以下简称“项目业主”）委托招标人代建的</w:t>
      </w:r>
      <w:r>
        <w:rPr>
          <w:rFonts w:hint="eastAsia" w:ascii="宋体" w:hAnsi="宋体" w:eastAsia="宋体" w:cs="Times New Roman"/>
          <w:color w:val="auto"/>
          <w:kern w:val="0"/>
          <w:szCs w:val="21"/>
          <w:highlight w:val="none"/>
          <w:lang w:eastAsia="zh-CN"/>
        </w:rPr>
        <w:t>东莞市茶山镇污水处理厂改扩建项目</w:t>
      </w:r>
      <w:r>
        <w:rPr>
          <w:rFonts w:hint="eastAsia" w:ascii="宋体" w:hAnsi="宋体" w:eastAsia="宋体" w:cs="Times New Roman"/>
          <w:color w:val="auto"/>
          <w:szCs w:val="21"/>
          <w:lang w:val="zh-CN"/>
        </w:rPr>
        <w:t>（以下简称“本工程”）进行原材料、中间产品、地基基础工程检测及相关技术工作。</w:t>
      </w:r>
      <w:r>
        <w:rPr>
          <w:rFonts w:hint="eastAsia" w:ascii="宋体" w:hAnsi="宋体" w:eastAsia="宋体" w:cs="Times New Roman"/>
          <w:color w:val="auto"/>
          <w:szCs w:val="21"/>
          <w:highlight w:val="none"/>
          <w:lang w:val="zh-CN"/>
        </w:rPr>
        <w:t>（具体内容详见：第三篇用户需求书）。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7"/>
        <w:spacing w:line="360" w:lineRule="auto"/>
        <w:ind w:left="422" w:right="-29" w:rightChars="-14" w:hanging="422" w:hangingChars="200"/>
        <w:jc w:val="both"/>
        <w:rPr>
          <w:rFonts w:hAnsi="宋体" w:eastAsia="宋体"/>
          <w:b/>
          <w:color w:val="auto"/>
          <w:sz w:val="21"/>
          <w:szCs w:val="21"/>
          <w:lang w:val="zh-CN"/>
        </w:rPr>
      </w:pPr>
      <w:bookmarkStart w:id="10" w:name="_Toc25819"/>
      <w:r>
        <w:rPr>
          <w:rFonts w:hint="eastAsia" w:hAnsi="宋体" w:eastAsia="宋体"/>
          <w:b/>
          <w:color w:val="auto"/>
          <w:sz w:val="21"/>
          <w:szCs w:val="21"/>
          <w:lang w:val="zh-CN"/>
        </w:rPr>
        <w:t>2.2</w:t>
      </w:r>
      <w:r>
        <w:rPr>
          <w:rFonts w:hint="eastAsia" w:hAnsi="宋体" w:eastAsia="宋体"/>
          <w:b/>
          <w:color w:val="auto"/>
          <w:sz w:val="21"/>
          <w:szCs w:val="21"/>
        </w:rPr>
        <w:t xml:space="preserve"> </w:t>
      </w:r>
      <w:r>
        <w:rPr>
          <w:rFonts w:hint="eastAsia" w:hAnsi="宋体" w:eastAsia="宋体"/>
          <w:b/>
          <w:color w:val="auto"/>
          <w:sz w:val="21"/>
          <w:szCs w:val="21"/>
          <w:lang w:val="zh-CN"/>
        </w:rPr>
        <w:t>投标人须具备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w:t>
      </w:r>
    </w:p>
    <w:p>
      <w:pPr>
        <w:pStyle w:val="157"/>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rPr>
        <w:t xml:space="preserve">2.3 </w:t>
      </w:r>
      <w:r>
        <w:rPr>
          <w:rFonts w:hint="eastAsia" w:hAnsi="宋体" w:eastAsia="宋体"/>
          <w:b/>
          <w:color w:val="auto"/>
          <w:sz w:val="21"/>
          <w:szCs w:val="21"/>
          <w:lang w:val="zh-CN"/>
        </w:rPr>
        <w:t>投标人2021年</w:t>
      </w:r>
      <w:r>
        <w:rPr>
          <w:rFonts w:hAnsi="宋体" w:eastAsia="宋体"/>
          <w:b/>
          <w:color w:val="auto"/>
          <w:sz w:val="21"/>
          <w:szCs w:val="21"/>
          <w:lang w:val="zh-CN"/>
        </w:rPr>
        <w:t>1月1日以来具有一项市政工程检测业绩（合同签订日期为</w:t>
      </w:r>
      <w:r>
        <w:rPr>
          <w:rFonts w:hint="eastAsia" w:hAnsi="宋体" w:eastAsia="宋体"/>
          <w:b/>
          <w:color w:val="auto"/>
          <w:sz w:val="21"/>
          <w:szCs w:val="21"/>
          <w:lang w:val="zh-CN"/>
        </w:rPr>
        <w:t>2021年</w:t>
      </w:r>
      <w:r>
        <w:rPr>
          <w:rFonts w:hAnsi="宋体" w:eastAsia="宋体"/>
          <w:b/>
          <w:color w:val="auto"/>
          <w:sz w:val="21"/>
          <w:szCs w:val="21"/>
          <w:lang w:val="zh-CN"/>
        </w:rPr>
        <w:t>1月1日或以后）</w:t>
      </w:r>
      <w:r>
        <w:rPr>
          <w:rFonts w:hint="eastAsia" w:hAnsi="宋体" w:eastAsia="宋体"/>
          <w:b/>
          <w:color w:val="auto"/>
          <w:sz w:val="21"/>
          <w:szCs w:val="21"/>
          <w:lang w:val="zh-CN"/>
        </w:rPr>
        <w:t>；</w:t>
      </w:r>
    </w:p>
    <w:p>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0"/>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6</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6</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u w:val="single"/>
          <w:lang w:val="zh-CN"/>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网站（www.sfcx.cn</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东莞市水务集团建设管理有限公司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广东省东莞市南城街道滨河路100号一期1号楼102室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：陈方凯</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0769-22008759</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1" w:name="_Toc486167661"/>
      <w:bookmarkStart w:id="12" w:name="_Toc450662847"/>
      <w:bookmarkStart w:id="13" w:name="_Toc31764_WPSOffice_Level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szCs w:val="21"/>
          <w:highlight w:val="none"/>
          <w:lang w:val="zh-CN"/>
        </w:rPr>
        <w:t>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宋体"/>
          <w:color w:val="auto"/>
          <w:szCs w:val="21"/>
          <w:highlight w:val="none"/>
        </w:rPr>
        <w:t>卢静娴</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lang w:val="zh-CN"/>
        </w:rPr>
        <w:t>0769-216826</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18212"/>
      <w:bookmarkStart w:id="15" w:name="_Toc31498"/>
      <w:bookmarkStart w:id="16" w:name="_Toc142508311"/>
      <w:bookmarkStart w:id="17" w:name="_Toc25872"/>
      <w:bookmarkStart w:id="18" w:name="_Toc151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 w:name="_Toc27426"/>
      <w:bookmarkStart w:id="20" w:name="_Toc140596871"/>
      <w:bookmarkStart w:id="21" w:name="_Toc142508312"/>
      <w:bookmarkStart w:id="22" w:name="_Toc11520"/>
      <w:bookmarkStart w:id="23" w:name="_Toc15366_WPSOffice_Level2"/>
      <w:bookmarkStart w:id="24" w:name="_Toc450662848"/>
      <w:bookmarkStart w:id="25" w:name="_Toc486167662"/>
      <w:bookmarkStart w:id="26" w:name="_Toc9555"/>
      <w:bookmarkStart w:id="27" w:name="_Toc24479"/>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2684"/>
      <w:bookmarkStart w:id="29" w:name="_Toc9608"/>
      <w:bookmarkStart w:id="30" w:name="_Toc486167663"/>
      <w:bookmarkStart w:id="31" w:name="_Toc23333"/>
      <w:bookmarkStart w:id="32" w:name="_Toc450662849"/>
      <w:bookmarkStart w:id="33" w:name="_Toc21710_WPSOffice_Level3"/>
      <w:bookmarkStart w:id="34" w:name="_Toc16303"/>
      <w:bookmarkStart w:id="35" w:name="_Toc14250831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 w:name="_Toc18557"/>
      <w:bookmarkStart w:id="37" w:name="_Toc80_WPSOffice_Level3"/>
      <w:bookmarkStart w:id="38" w:name="_Toc21162"/>
      <w:bookmarkStart w:id="39" w:name="_Toc28698"/>
      <w:bookmarkStart w:id="40" w:name="_Toc486167664"/>
      <w:bookmarkStart w:id="41" w:name="_Toc450662850"/>
      <w:bookmarkStart w:id="42" w:name="_Toc32244"/>
      <w:bookmarkStart w:id="43" w:name="_Toc14250831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6"/>
      <w:bookmarkEnd w:id="37"/>
      <w:bookmarkEnd w:id="38"/>
      <w:bookmarkEnd w:id="39"/>
      <w:bookmarkEnd w:id="40"/>
      <w:bookmarkEnd w:id="41"/>
      <w:bookmarkEnd w:id="42"/>
      <w:bookmarkEnd w:id="43"/>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4" w:name="_Toc23847_WPSOffice_Level3"/>
      <w:bookmarkStart w:id="45" w:name="_Toc142508315"/>
      <w:bookmarkStart w:id="46" w:name="_Toc11689"/>
      <w:bookmarkStart w:id="47" w:name="_Toc19774"/>
      <w:bookmarkStart w:id="48" w:name="_Toc5793"/>
      <w:bookmarkStart w:id="49" w:name="_Toc16100"/>
      <w:bookmarkStart w:id="50" w:name="_Toc486167665"/>
      <w:bookmarkStart w:id="51"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4"/>
      <w:bookmarkEnd w:id="45"/>
      <w:r>
        <w:rPr>
          <w:rFonts w:hint="eastAsia" w:ascii="宋体" w:hAnsi="宋体" w:eastAsia="宋体" w:cs="宋体"/>
          <w:b/>
          <w:color w:val="auto"/>
          <w:szCs w:val="21"/>
          <w:highlight w:val="none"/>
          <w:lang w:val="en-US" w:eastAsia="zh-CN"/>
        </w:rPr>
        <w:t>服务</w:t>
      </w:r>
      <w:bookmarkEnd w:id="46"/>
      <w:bookmarkEnd w:id="47"/>
      <w:bookmarkEnd w:id="48"/>
      <w:bookmarkEnd w:id="4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1977663"/>
      <w:bookmarkStart w:id="53" w:name="_Toc533708063"/>
      <w:r>
        <w:rPr>
          <w:rFonts w:hint="eastAsia" w:ascii="宋体" w:hAnsi="宋体" w:eastAsia="宋体" w:cs="宋体"/>
          <w:color w:val="auto"/>
          <w:szCs w:val="21"/>
          <w:highlight w:val="none"/>
          <w:lang w:val="zh-CN"/>
        </w:rPr>
        <w:t xml:space="preserve">3.2  </w:t>
      </w:r>
      <w:bookmarkEnd w:id="52"/>
      <w:bookmarkEnd w:id="53"/>
      <w:bookmarkStart w:id="54" w:name="_Toc533708065"/>
      <w:bookmarkStart w:id="55"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66"/>
      <w:bookmarkStart w:id="57"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6"/>
      <w:bookmarkEnd w:id="57"/>
      <w:bookmarkStart w:id="58" w:name="_Toc1977667"/>
      <w:bookmarkStart w:id="59"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8"/>
      <w:bookmarkEnd w:id="5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68"/>
      <w:bookmarkStart w:id="6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0"/>
      <w:bookmarkEnd w:id="61"/>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2" w:name="_Toc3404"/>
      <w:bookmarkStart w:id="63" w:name="_Toc1957"/>
      <w:bookmarkStart w:id="64" w:name="_Toc142508316"/>
      <w:bookmarkStart w:id="65" w:name="_Toc9753"/>
      <w:bookmarkStart w:id="66" w:name="_Toc11533"/>
      <w:bookmarkStart w:id="67" w:name="_Toc9658_WPSOffice_Level3"/>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2"/>
      <w:bookmarkEnd w:id="63"/>
      <w:bookmarkEnd w:id="64"/>
      <w:bookmarkEnd w:id="65"/>
      <w:bookmarkEnd w:id="66"/>
      <w:bookmarkEnd w:id="67"/>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977670"/>
      <w:bookmarkStart w:id="69" w:name="_Toc533708070"/>
      <w:r>
        <w:rPr>
          <w:rFonts w:hint="eastAsia" w:ascii="宋体" w:hAnsi="宋体" w:eastAsia="宋体" w:cs="宋体"/>
          <w:color w:val="auto"/>
          <w:szCs w:val="21"/>
          <w:highlight w:val="none"/>
          <w:lang w:val="zh-CN"/>
        </w:rPr>
        <w:t>4.1  投标费用</w:t>
      </w:r>
      <w:bookmarkEnd w:id="68"/>
      <w:bookmarkEnd w:id="69"/>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0" w:name="_Toc533708072"/>
      <w:bookmarkStart w:id="71"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0"/>
      <w:bookmarkEnd w:id="7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1977673"/>
      <w:bookmarkStart w:id="73" w:name="_Toc533708073"/>
      <w:r>
        <w:rPr>
          <w:rFonts w:hint="eastAsia" w:ascii="宋体" w:hAnsi="宋体" w:eastAsia="宋体" w:cs="宋体"/>
          <w:color w:val="auto"/>
          <w:szCs w:val="21"/>
          <w:highlight w:val="none"/>
          <w:lang w:val="zh-CN"/>
        </w:rPr>
        <w:t>4.2  踏勘现场</w:t>
      </w:r>
      <w:bookmarkEnd w:id="72"/>
      <w:bookmarkEnd w:id="73"/>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4" w:name="_Toc533708076"/>
      <w:bookmarkStart w:id="75"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4"/>
      <w:bookmarkEnd w:id="75"/>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6" w:name="_Toc142508317"/>
      <w:bookmarkStart w:id="77" w:name="_Toc23213"/>
      <w:bookmarkStart w:id="78" w:name="_Toc5395"/>
      <w:bookmarkStart w:id="79" w:name="_Toc140596876"/>
      <w:bookmarkStart w:id="80" w:name="_Toc450662853"/>
      <w:bookmarkStart w:id="81" w:name="_Toc486167667"/>
      <w:bookmarkStart w:id="82" w:name="_Toc1565"/>
      <w:bookmarkStart w:id="83" w:name="_Toc1674"/>
      <w:bookmarkStart w:id="84" w:name="_Toc30507_WPSOffice_Level2"/>
      <w:r>
        <w:rPr>
          <w:rFonts w:hint="eastAsia" w:ascii="宋体" w:hAnsi="宋体" w:eastAsia="宋体" w:cs="宋体"/>
          <w:b/>
          <w:bCs/>
          <w:color w:val="auto"/>
          <w:kern w:val="44"/>
          <w:szCs w:val="21"/>
          <w:highlight w:val="none"/>
          <w:lang w:val="zh-CN"/>
        </w:rPr>
        <w:t>二、招标文件</w:t>
      </w:r>
      <w:bookmarkEnd w:id="76"/>
      <w:bookmarkEnd w:id="77"/>
      <w:bookmarkEnd w:id="78"/>
      <w:bookmarkEnd w:id="79"/>
      <w:bookmarkEnd w:id="80"/>
      <w:bookmarkEnd w:id="81"/>
      <w:bookmarkEnd w:id="82"/>
      <w:bookmarkEnd w:id="83"/>
      <w:bookmarkEnd w:id="8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5" w:name="_Toc2406"/>
      <w:bookmarkStart w:id="86" w:name="_Toc14841"/>
      <w:bookmarkStart w:id="87" w:name="_Toc142508318"/>
      <w:bookmarkStart w:id="88" w:name="_Toc28893"/>
      <w:bookmarkStart w:id="89" w:name="_Toc3978"/>
      <w:bookmarkStart w:id="90" w:name="_Toc450662854"/>
      <w:bookmarkStart w:id="91" w:name="_Toc26635_WPSOffice_Level3"/>
      <w:bookmarkStart w:id="92" w:name="_Toc48616766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5"/>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rPr>
        <w:t>“项目业主”指</w:t>
      </w:r>
      <w:r>
        <w:rPr>
          <w:rFonts w:hint="eastAsia" w:ascii="宋体" w:hAnsi="宋体" w:eastAsia="宋体" w:cs="Times New Roman"/>
          <w:color w:val="auto"/>
          <w:kern w:val="0"/>
          <w:szCs w:val="21"/>
          <w:lang w:eastAsia="zh-CN"/>
        </w:rPr>
        <w:t>东莞市石鼓净水有限公司；</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“投标人”指</w:t>
      </w:r>
      <w:r>
        <w:rPr>
          <w:rFonts w:hint="eastAsia" w:ascii="宋体" w:hAnsi="宋体" w:eastAsia="宋体" w:cs="Times New Roman"/>
          <w:color w:val="auto"/>
          <w:kern w:val="0"/>
          <w:szCs w:val="21"/>
          <w:highlight w:val="none"/>
        </w:rPr>
        <w:t>在参加</w:t>
      </w:r>
      <w:r>
        <w:rPr>
          <w:rFonts w:hint="eastAsia" w:ascii="宋体" w:hAnsi="宋体" w:eastAsia="宋体" w:cs="Times New Roman"/>
          <w:color w:val="auto"/>
          <w:kern w:val="0"/>
          <w:szCs w:val="21"/>
          <w:highlight w:val="none"/>
          <w:lang w:eastAsia="zh-CN"/>
        </w:rPr>
        <w:t>东莞市茶山镇污水处理厂改扩建项目第三方检测服务（不含桩基完整性检测）采购项目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rPr>
        <w:t>暂定总合同价</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宋体"/>
          <w:color w:val="auto"/>
          <w:szCs w:val="21"/>
          <w:lang w:val="zh-CN"/>
        </w:rPr>
        <w:t>项目业主</w:t>
      </w:r>
      <w:r>
        <w:rPr>
          <w:rFonts w:hint="eastAsia" w:ascii="宋体" w:hAnsi="宋体" w:eastAsia="宋体" w:cs="Times New Roman"/>
          <w:color w:val="auto"/>
          <w:kern w:val="0"/>
          <w:szCs w:val="21"/>
          <w:highlight w:val="none"/>
        </w:rPr>
        <w:t>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486167669"/>
      <w:bookmarkStart w:id="94" w:name="_Toc29125_WPSOffice_Level3"/>
      <w:bookmarkStart w:id="95" w:name="_Toc3727"/>
      <w:bookmarkStart w:id="96" w:name="_Toc11346"/>
      <w:bookmarkStart w:id="97" w:name="_Toc23939"/>
      <w:bookmarkStart w:id="98" w:name="_Toc142508319"/>
      <w:bookmarkStart w:id="99" w:name="_Toc1433"/>
      <w:bookmarkStart w:id="100"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3"/>
      <w:bookmarkEnd w:id="94"/>
      <w:bookmarkEnd w:id="95"/>
      <w:bookmarkEnd w:id="96"/>
      <w:bookmarkEnd w:id="97"/>
      <w:bookmarkEnd w:id="98"/>
      <w:bookmarkEnd w:id="99"/>
      <w:bookmarkEnd w:id="100"/>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23483_WPSOffice_Level3"/>
      <w:bookmarkStart w:id="102" w:name="_Toc486167670"/>
      <w:bookmarkStart w:id="103" w:name="_Toc17145"/>
      <w:bookmarkStart w:id="104" w:name="_Toc3794"/>
      <w:bookmarkStart w:id="105" w:name="_Toc39"/>
      <w:bookmarkStart w:id="106" w:name="_Toc142508320"/>
      <w:bookmarkStart w:id="107" w:name="_Toc29864"/>
      <w:bookmarkStart w:id="108" w:name="_Toc45066285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1"/>
      <w:bookmarkEnd w:id="102"/>
      <w:bookmarkEnd w:id="103"/>
      <w:bookmarkEnd w:id="104"/>
      <w:bookmarkEnd w:id="105"/>
      <w:bookmarkEnd w:id="106"/>
      <w:bookmarkEnd w:id="107"/>
      <w:bookmarkEnd w:id="108"/>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招标文件的修改、补充通知在中国招标投标公共服务平台（</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"http://www.cebpubservice.com）、广东省招标投标监管"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www.cebpubservice.com）、</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"www.dgswjt.cn）、招标代理公司网站（http://%20%20%20%20%20%20%20%20%20%20%20%20%20%20）"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www.dgswjt.cn）、招标代理</w:t>
      </w:r>
      <w:r>
        <w:rPr>
          <w:rFonts w:hint="eastAsia" w:ascii="宋体" w:hAnsi="宋体" w:eastAsia="宋体" w:cs="宋体"/>
          <w:color w:val="auto"/>
          <w:szCs w:val="21"/>
          <w:highlight w:val="none"/>
          <w:lang w:val="en-US" w:eastAsia="zh-CN"/>
        </w:rPr>
        <w:t>机构</w:t>
      </w:r>
      <w:r>
        <w:rPr>
          <w:rFonts w:hint="eastAsia" w:ascii="宋体" w:hAnsi="宋体" w:eastAsia="宋体" w:cs="宋体"/>
          <w:color w:val="auto"/>
          <w:szCs w:val="21"/>
          <w:highlight w:val="none"/>
          <w:lang w:val="zh-CN"/>
        </w:rPr>
        <w:t>网站（www.sfcx.cn）</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9" w:name="_Toc8711"/>
      <w:bookmarkStart w:id="110" w:name="_Toc23342"/>
      <w:bookmarkStart w:id="111" w:name="_Toc29659_WPSOffice_Level2"/>
      <w:bookmarkStart w:id="112" w:name="_Toc140596880"/>
      <w:bookmarkStart w:id="113" w:name="_Toc26321"/>
      <w:bookmarkStart w:id="114" w:name="_Toc450662857"/>
      <w:bookmarkStart w:id="115" w:name="_Toc27196"/>
      <w:bookmarkStart w:id="116" w:name="_Toc486167671"/>
      <w:bookmarkStart w:id="117" w:name="_Toc142508321"/>
      <w:r>
        <w:rPr>
          <w:rFonts w:hint="eastAsia" w:ascii="宋体" w:hAnsi="宋体" w:eastAsia="宋体" w:cs="宋体"/>
          <w:b/>
          <w:bCs/>
          <w:color w:val="auto"/>
          <w:kern w:val="44"/>
          <w:szCs w:val="21"/>
          <w:highlight w:val="none"/>
          <w:lang w:val="zh-CN"/>
        </w:rPr>
        <w:t>三、投标文件的编制</w:t>
      </w:r>
      <w:bookmarkEnd w:id="109"/>
      <w:bookmarkEnd w:id="110"/>
      <w:bookmarkEnd w:id="111"/>
      <w:bookmarkEnd w:id="112"/>
      <w:bookmarkEnd w:id="113"/>
      <w:bookmarkEnd w:id="114"/>
      <w:bookmarkEnd w:id="115"/>
      <w:bookmarkEnd w:id="116"/>
      <w:bookmarkEnd w:id="117"/>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8" w:name="_Toc7168"/>
      <w:bookmarkStart w:id="119" w:name="_Toc31162"/>
      <w:bookmarkStart w:id="120" w:name="_Toc450662858"/>
      <w:bookmarkStart w:id="121" w:name="_Toc6244"/>
      <w:bookmarkStart w:id="122" w:name="_Toc3827"/>
      <w:bookmarkStart w:id="123" w:name="_Toc486167672"/>
      <w:bookmarkStart w:id="124" w:name="_Toc10015_WPSOffice_Level3"/>
      <w:bookmarkStart w:id="125"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8"/>
      <w:bookmarkEnd w:id="119"/>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6" w:name="_Toc142508323"/>
      <w:bookmarkStart w:id="127" w:name="_Toc14943"/>
      <w:bookmarkStart w:id="128" w:name="_Toc26462"/>
      <w:bookmarkStart w:id="129" w:name="_Toc7348"/>
      <w:bookmarkStart w:id="130" w:name="_Toc450662859"/>
      <w:bookmarkStart w:id="131" w:name="_Toc486167673"/>
      <w:bookmarkStart w:id="132" w:name="_Toc24916_WPSOffice_Level3"/>
      <w:bookmarkStart w:id="133" w:name="_Toc53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6"/>
      <w:bookmarkEnd w:id="127"/>
      <w:bookmarkEnd w:id="128"/>
      <w:bookmarkEnd w:id="129"/>
      <w:bookmarkEnd w:id="130"/>
      <w:bookmarkEnd w:id="131"/>
      <w:bookmarkEnd w:id="132"/>
      <w:bookmarkEnd w:id="133"/>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）现场转换采购方式同意书；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ascii="宋体" w:hAnsi="宋体" w:eastAsia="宋体" w:cs="Times New Roman"/>
          <w:color w:val="auto"/>
          <w:szCs w:val="21"/>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s="Times New Roman"/>
          <w:color w:val="auto"/>
          <w:szCs w:val="21"/>
        </w:rPr>
        <w:t>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复印件；</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rPr>
        <w:t>5</w:t>
      </w:r>
      <w:r>
        <w:rPr>
          <w:rFonts w:hint="eastAsia" w:ascii="宋体" w:hAnsi="宋体" w:eastAsia="宋体" w:cs="宋体"/>
          <w:color w:val="auto"/>
          <w:szCs w:val="21"/>
        </w:rPr>
        <w:t>）</w:t>
      </w:r>
      <w:r>
        <w:rPr>
          <w:rFonts w:hint="eastAsia" w:ascii="宋体" w:hAnsi="宋体" w:eastAsia="宋体"/>
          <w:color w:val="auto"/>
          <w:szCs w:val="21"/>
        </w:rPr>
        <w:t>资格业绩</w:t>
      </w:r>
      <w:r>
        <w:rPr>
          <w:rFonts w:hint="default" w:ascii="宋体" w:hAnsi="宋体" w:eastAsia="宋体" w:cs="Times New Roman"/>
          <w:color w:val="auto"/>
          <w:szCs w:val="21"/>
          <w:lang w:val="zh-CN"/>
        </w:rPr>
        <w:t>【</w:t>
      </w:r>
      <w:r>
        <w:rPr>
          <w:rFonts w:hint="default" w:ascii="宋体" w:hAnsi="宋体" w:eastAsia="宋体" w:cs="Times New Roman"/>
          <w:color w:val="auto"/>
          <w:sz w:val="21"/>
          <w:szCs w:val="21"/>
          <w:lang w:val="zh-CN"/>
        </w:rPr>
        <w:t>投标人</w:t>
      </w:r>
      <w:r>
        <w:rPr>
          <w:rFonts w:hint="default" w:ascii="宋体" w:hAnsi="宋体" w:eastAsia="宋体" w:cs="Times New Roman"/>
          <w:color w:val="auto"/>
          <w:sz w:val="21"/>
          <w:szCs w:val="21"/>
          <w:lang w:val="zh-CN" w:eastAsia="zh-CN"/>
        </w:rPr>
        <w:t>2021年</w:t>
      </w:r>
      <w:r>
        <w:rPr>
          <w:rFonts w:hint="default" w:ascii="宋体" w:hAnsi="宋体" w:eastAsia="宋体" w:cs="Times New Roman"/>
          <w:color w:val="auto"/>
          <w:sz w:val="21"/>
          <w:szCs w:val="21"/>
          <w:lang w:val="zh-CN"/>
        </w:rPr>
        <w:t>1月1日以来具有一项市政工程检测业绩（合同签订日期为</w:t>
      </w:r>
      <w:r>
        <w:rPr>
          <w:rFonts w:hint="default" w:ascii="宋体" w:hAnsi="宋体" w:eastAsia="宋体" w:cs="Times New Roman"/>
          <w:color w:val="auto"/>
          <w:sz w:val="21"/>
          <w:szCs w:val="21"/>
          <w:lang w:val="zh-CN" w:eastAsia="zh-CN"/>
        </w:rPr>
        <w:t>2021年</w:t>
      </w:r>
      <w:r>
        <w:rPr>
          <w:rFonts w:hint="default" w:ascii="宋体" w:hAnsi="宋体" w:eastAsia="宋体" w:cs="Times New Roman"/>
          <w:color w:val="auto"/>
          <w:sz w:val="21"/>
          <w:szCs w:val="21"/>
          <w:lang w:val="zh-CN"/>
        </w:rPr>
        <w:t>1月1日或以后）</w:t>
      </w:r>
      <w:r>
        <w:rPr>
          <w:rFonts w:hint="default" w:ascii="宋体" w:hAnsi="宋体" w:eastAsia="宋体" w:cs="Times New Roman"/>
          <w:color w:val="auto"/>
          <w:szCs w:val="21"/>
          <w:lang w:val="zh-CN"/>
        </w:rPr>
        <w:t>，资格业绩证明材料提交要求详见招标文件第六篇投标文件格式</w:t>
      </w:r>
      <w:r>
        <w:rPr>
          <w:rFonts w:hint="eastAsia" w:ascii="宋体" w:hAnsi="宋体" w:eastAsia="宋体" w:cs="Times New Roman"/>
          <w:color w:val="auto"/>
          <w:szCs w:val="21"/>
          <w:u w:val="none"/>
          <w:lang w:val="en-US" w:eastAsia="zh-CN"/>
        </w:rPr>
        <w:t>6</w:t>
      </w:r>
      <w:r>
        <w:rPr>
          <w:rFonts w:hint="default" w:ascii="宋体" w:hAnsi="宋体" w:eastAsia="宋体" w:cs="Times New Roman"/>
          <w:color w:val="auto"/>
          <w:szCs w:val="21"/>
          <w:u w:val="none"/>
          <w:lang w:val="zh-CN"/>
        </w:rPr>
        <w:t>.</w:t>
      </w:r>
      <w:r>
        <w:rPr>
          <w:rFonts w:hint="eastAsia" w:ascii="宋体" w:hAnsi="宋体" w:eastAsia="宋体" w:cs="Times New Roman"/>
          <w:color w:val="auto"/>
          <w:szCs w:val="21"/>
          <w:u w:val="none"/>
          <w:lang w:val="en-US" w:eastAsia="zh-CN"/>
        </w:rPr>
        <w:t>5</w:t>
      </w:r>
      <w:r>
        <w:rPr>
          <w:rFonts w:hint="default" w:ascii="宋体" w:hAnsi="宋体" w:eastAsia="宋体" w:cs="Times New Roman"/>
          <w:color w:val="auto"/>
          <w:szCs w:val="21"/>
          <w:lang w:val="zh-CN"/>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）拟投入人员情况；</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（1）用户需求响应程度（即用户需求偏离表格式）；</w:t>
      </w:r>
    </w:p>
    <w:p>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（2）检测方案</w:t>
      </w:r>
      <w:r>
        <w:rPr>
          <w:rFonts w:hint="eastAsia" w:ascii="宋体" w:hAnsi="宋体" w:eastAsia="宋体" w:cs="Times New Roman"/>
          <w:color w:val="auto"/>
          <w:kern w:val="0"/>
          <w:szCs w:val="21"/>
          <w:lang w:val="zh-CN"/>
        </w:rPr>
        <w:t>；</w:t>
      </w:r>
    </w:p>
    <w:p>
      <w:pPr>
        <w:spacing w:line="360" w:lineRule="auto"/>
        <w:ind w:left="315" w:leftChars="-100" w:hanging="525" w:hangingChars="250"/>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检测成果准确性承诺书；</w:t>
      </w:r>
    </w:p>
    <w:p>
      <w:pPr>
        <w:spacing w:line="360" w:lineRule="auto"/>
        <w:ind w:left="315" w:leftChars="-100" w:hanging="525" w:hangingChars="250"/>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服务响应时间承诺书；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486167674"/>
      <w:bookmarkStart w:id="135" w:name="_Toc8675_WPSOffice_Level3"/>
      <w:bookmarkStart w:id="136" w:name="_Toc13214"/>
      <w:bookmarkStart w:id="137" w:name="_Toc450662860"/>
      <w:bookmarkStart w:id="138" w:name="_Toc142508324"/>
      <w:bookmarkStart w:id="139" w:name="_Toc31771"/>
      <w:bookmarkStart w:id="140" w:name="_Toc11170"/>
      <w:bookmarkStart w:id="141" w:name="_Toc1824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4"/>
      <w:bookmarkEnd w:id="135"/>
      <w:bookmarkEnd w:id="136"/>
      <w:bookmarkEnd w:id="137"/>
      <w:bookmarkEnd w:id="138"/>
      <w:bookmarkEnd w:id="139"/>
      <w:bookmarkEnd w:id="140"/>
      <w:bookmarkEnd w:id="141"/>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15427"/>
      <w:bookmarkStart w:id="143" w:name="_Toc142508325"/>
      <w:bookmarkStart w:id="144" w:name="_Toc20186"/>
      <w:bookmarkStart w:id="145" w:name="_Toc450662861"/>
      <w:bookmarkStart w:id="146" w:name="_Toc24311"/>
      <w:bookmarkStart w:id="147" w:name="_Toc486167675"/>
      <w:bookmarkStart w:id="148" w:name="_Toc14340"/>
      <w:bookmarkStart w:id="149"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2"/>
      <w:bookmarkEnd w:id="143"/>
      <w:bookmarkEnd w:id="144"/>
      <w:bookmarkEnd w:id="145"/>
      <w:bookmarkEnd w:id="146"/>
      <w:bookmarkEnd w:id="147"/>
      <w:bookmarkEnd w:id="148"/>
      <w:bookmarkEnd w:id="149"/>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lang w:val="zh-CN"/>
        </w:rPr>
        <w:t>本项目的投标报价采用填报服务系数的方式，投标人须报出检测服务系数。</w:t>
      </w:r>
      <w:r>
        <w:rPr>
          <w:rFonts w:hint="eastAsia" w:ascii="宋体" w:hAnsi="宋体" w:eastAsia="宋体" w:cs="宋体"/>
          <w:b/>
          <w:color w:val="auto"/>
          <w:szCs w:val="21"/>
          <w:highlight w:val="none"/>
          <w:lang w:val="zh-CN"/>
        </w:rPr>
        <w:t>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lang w:val="zh-CN"/>
        </w:rPr>
        <w:t>本项目的投标报价采用检测服务系数报价，合同履约过程中，工程量清单计价表中检测项目</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不含税综合单价按以下方式计算：</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不含税综合单价=不含税综合单价×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lang w:val="zh-CN"/>
        </w:rPr>
        <w:t>检测服务系数，以实际工作量进行结算，</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rPr>
        <w:t>暂定总合同价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lang w:val="zh-CN"/>
        </w:rPr>
        <w:t>项目业主</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Cs w:val="21"/>
          <w:highlight w:val="none"/>
          <w:lang w:val="zh-CN"/>
        </w:rPr>
        <w:t>；</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 w:val="21"/>
          <w:szCs w:val="21"/>
          <w:highlight w:val="none"/>
        </w:rPr>
        <w:t>检测时，如需土建施工单位配合或向其租借设备时，中标人自行与施工单位协调，配合及租借费用</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Times New Roman"/>
          <w:b/>
          <w:bCs/>
          <w:color w:val="auto"/>
          <w:szCs w:val="21"/>
          <w:u w:val="single"/>
        </w:rPr>
        <w:t>投标人</w:t>
      </w:r>
      <w:r>
        <w:rPr>
          <w:rFonts w:hint="eastAsia" w:ascii="宋体" w:hAnsi="宋体" w:eastAsia="宋体" w:cs="Times New Roman"/>
          <w:b/>
          <w:bCs/>
          <w:color w:val="auto"/>
          <w:szCs w:val="21"/>
          <w:u w:val="single"/>
          <w:lang w:val="en-US" w:eastAsia="zh-CN"/>
        </w:rPr>
        <w:t>检测</w:t>
      </w:r>
      <w:r>
        <w:rPr>
          <w:rFonts w:hint="eastAsia" w:ascii="宋体" w:hAnsi="宋体" w:eastAsia="宋体" w:cs="Times New Roman"/>
          <w:b/>
          <w:bCs/>
          <w:color w:val="auto"/>
          <w:szCs w:val="21"/>
          <w:u w:val="single"/>
        </w:rPr>
        <w:t>服务系数报价</w:t>
      </w:r>
      <w:r>
        <w:rPr>
          <w:rFonts w:hint="eastAsia" w:ascii="宋体" w:hAnsi="宋体" w:eastAsia="宋体" w:cs="Times New Roman"/>
          <w:b/>
          <w:bCs/>
          <w:color w:val="auto"/>
          <w:szCs w:val="21"/>
          <w:u w:val="single"/>
          <w:lang w:val="en-US" w:eastAsia="zh-CN"/>
        </w:rPr>
        <w:t>不得超过0.80</w:t>
      </w:r>
      <w:r>
        <w:rPr>
          <w:rFonts w:hint="eastAsia" w:ascii="宋体" w:hAnsi="宋体" w:eastAsia="宋体" w:cs="Times New Roman"/>
          <w:b/>
          <w:bCs/>
          <w:color w:val="auto"/>
          <w:szCs w:val="21"/>
          <w:u w:val="single"/>
        </w:rPr>
        <w:t>（保留小数点后2位）</w:t>
      </w:r>
      <w:r>
        <w:rPr>
          <w:rFonts w:hint="eastAsia" w:ascii="宋体" w:hAnsi="宋体" w:eastAsia="宋体" w:cs="Times New Roman"/>
          <w:b/>
          <w:bCs/>
          <w:color w:val="auto"/>
          <w:szCs w:val="21"/>
          <w:u w:val="single"/>
          <w:lang w:eastAsia="zh-CN"/>
        </w:rPr>
        <w:t>，</w:t>
      </w:r>
      <w:r>
        <w:rPr>
          <w:rFonts w:hint="eastAsia" w:ascii="宋体" w:hAnsi="宋体" w:eastAsia="宋体" w:cs="Times New Roman"/>
          <w:b/>
          <w:bCs/>
          <w:color w:val="auto"/>
          <w:szCs w:val="21"/>
          <w:u w:val="single"/>
        </w:rPr>
        <w:t>且不能为</w:t>
      </w:r>
      <w:r>
        <w:rPr>
          <w:rFonts w:hint="eastAsia" w:ascii="宋体" w:hAnsi="宋体" w:eastAsia="宋体" w:cs="Times New Roman"/>
          <w:b/>
          <w:bCs/>
          <w:color w:val="auto"/>
          <w:szCs w:val="21"/>
          <w:u w:val="single"/>
          <w:lang w:val="en-US" w:eastAsia="zh-CN"/>
        </w:rPr>
        <w:t>0.00或</w:t>
      </w:r>
      <w:r>
        <w:rPr>
          <w:rFonts w:hint="eastAsia" w:ascii="宋体" w:hAnsi="宋体" w:eastAsia="宋体" w:cs="Times New Roman"/>
          <w:b/>
          <w:bCs/>
          <w:color w:val="auto"/>
          <w:szCs w:val="21"/>
          <w:u w:val="single"/>
        </w:rPr>
        <w:t>负数</w:t>
      </w:r>
      <w:bookmarkStart w:id="782" w:name="_GoBack"/>
      <w:bookmarkEnd w:id="782"/>
      <w:r>
        <w:rPr>
          <w:rFonts w:hint="eastAsia" w:ascii="宋体" w:hAnsi="宋体" w:eastAsia="宋体" w:cs="Times New Roman"/>
          <w:b/>
          <w:bCs/>
          <w:color w:val="auto"/>
          <w:szCs w:val="21"/>
          <w:u w:val="single"/>
        </w:rPr>
        <w:t>，投标人未按招标文件要求进行检测服务系数报价的，将被视为无效投标。暂定含税总采购金额为1,441,009.53元（大写：人民币</w:t>
      </w:r>
      <w:r>
        <w:rPr>
          <w:rFonts w:hint="eastAsia" w:ascii="宋体" w:hAnsi="宋体" w:eastAsia="宋体" w:cs="Times New Roman"/>
          <w:b/>
          <w:bCs/>
          <w:color w:val="auto"/>
          <w:szCs w:val="21"/>
          <w:u w:val="single"/>
          <w:lang w:val="en-US" w:eastAsia="zh-CN"/>
        </w:rPr>
        <w:t>壹佰肆拾肆万壹仟零玖元伍角叁分</w:t>
      </w:r>
      <w:r>
        <w:rPr>
          <w:rFonts w:hint="eastAsia" w:ascii="宋体" w:hAnsi="宋体" w:eastAsia="宋体" w:cs="Times New Roman"/>
          <w:b/>
          <w:bCs/>
          <w:color w:val="auto"/>
          <w:szCs w:val="21"/>
          <w:u w:val="single"/>
        </w:rPr>
        <w:t>），暂定不含税总采购金额为 1,359,442.96元（大写：人民币</w:t>
      </w:r>
      <w:r>
        <w:rPr>
          <w:rFonts w:hint="eastAsia" w:ascii="宋体" w:hAnsi="宋体" w:eastAsia="宋体" w:cs="Times New Roman"/>
          <w:b/>
          <w:bCs/>
          <w:color w:val="auto"/>
          <w:szCs w:val="21"/>
          <w:u w:val="single"/>
          <w:lang w:val="en-US" w:eastAsia="zh-CN"/>
        </w:rPr>
        <w:t>壹佰叁拾伍万玖仟肆佰肆拾贰元玖角陆分</w:t>
      </w:r>
      <w:r>
        <w:rPr>
          <w:rFonts w:hint="eastAsia" w:ascii="宋体" w:hAnsi="宋体" w:eastAsia="宋体" w:cs="Times New Roman"/>
          <w:b/>
          <w:bCs/>
          <w:color w:val="auto"/>
          <w:szCs w:val="21"/>
          <w:u w:val="single"/>
        </w:rPr>
        <w:t>）</w:t>
      </w:r>
      <w:r>
        <w:rPr>
          <w:rFonts w:hint="eastAsia" w:ascii="宋体" w:hAnsi="宋体" w:eastAsia="宋体" w:cs="宋体"/>
          <w:b/>
          <w:color w:val="auto"/>
          <w:szCs w:val="21"/>
          <w:u w:val="singl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50" w:name="_Toc450662862"/>
      <w:bookmarkStart w:id="151" w:name="_Toc486167676"/>
      <w:bookmarkStart w:id="152" w:name="_Toc3469"/>
      <w:bookmarkStart w:id="153" w:name="_Toc30042_WPSOffice_Level3"/>
      <w:bookmarkStart w:id="154" w:name="_Toc20312"/>
      <w:bookmarkStart w:id="155" w:name="_Toc8937"/>
      <w:bookmarkStart w:id="156" w:name="_Toc142508326"/>
      <w:bookmarkStart w:id="157" w:name="_Toc28917"/>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0"/>
      <w:bookmarkEnd w:id="151"/>
      <w:bookmarkEnd w:id="152"/>
      <w:bookmarkEnd w:id="153"/>
      <w:bookmarkEnd w:id="154"/>
      <w:bookmarkEnd w:id="155"/>
      <w:bookmarkEnd w:id="156"/>
      <w:bookmarkEnd w:id="157"/>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lang w:val="zh-CN"/>
        </w:rPr>
        <w:t>本项目投标报价或以投标报价换算的金额采用的币种为人民币</w:t>
      </w:r>
      <w:r>
        <w:rPr>
          <w:rFonts w:hint="eastAsia" w:ascii="宋体" w:hAnsi="宋体" w:eastAsia="宋体" w:cs="Times New Roman"/>
          <w:b/>
          <w:color w:val="auto"/>
          <w:szCs w:val="21"/>
          <w:highlight w:val="none"/>
          <w:lang w:val="zh-CN"/>
        </w:rPr>
        <w:t>，以其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450662863"/>
      <w:bookmarkStart w:id="159" w:name="_Toc213"/>
      <w:bookmarkStart w:id="160" w:name="_Toc142508327"/>
      <w:bookmarkStart w:id="161" w:name="_Toc3961"/>
      <w:bookmarkStart w:id="162" w:name="_Toc486167677"/>
      <w:bookmarkStart w:id="163" w:name="_Toc1091"/>
      <w:bookmarkStart w:id="164" w:name="_Toc20031"/>
      <w:bookmarkStart w:id="165"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8"/>
      <w:bookmarkEnd w:id="159"/>
      <w:bookmarkEnd w:id="160"/>
      <w:bookmarkEnd w:id="161"/>
      <w:bookmarkEnd w:id="162"/>
      <w:bookmarkEnd w:id="163"/>
      <w:bookmarkEnd w:id="164"/>
      <w:bookmarkEnd w:id="16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6" w:name="_Toc486167678"/>
      <w:bookmarkStart w:id="167" w:name="_Toc19594"/>
      <w:bookmarkStart w:id="168" w:name="_Toc142508328"/>
      <w:bookmarkStart w:id="169" w:name="_Toc8615"/>
      <w:bookmarkStart w:id="170" w:name="_Toc450662864"/>
      <w:bookmarkStart w:id="171" w:name="_Toc27771_WPSOffice_Level3"/>
      <w:bookmarkStart w:id="172" w:name="_Toc16467"/>
      <w:bookmarkStart w:id="173" w:name="_Toc297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66"/>
      <w:bookmarkEnd w:id="167"/>
      <w:bookmarkEnd w:id="168"/>
      <w:bookmarkEnd w:id="169"/>
      <w:bookmarkEnd w:id="170"/>
      <w:bookmarkEnd w:id="171"/>
      <w:bookmarkEnd w:id="172"/>
      <w:bookmarkEnd w:id="173"/>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16828"/>
      <w:bookmarkStart w:id="175" w:name="_Toc486167679"/>
      <w:bookmarkStart w:id="176" w:name="_Toc8644"/>
      <w:bookmarkStart w:id="177" w:name="_Toc142508329"/>
      <w:bookmarkStart w:id="178" w:name="_Toc30555"/>
      <w:bookmarkStart w:id="179" w:name="_Toc13600"/>
      <w:bookmarkStart w:id="180" w:name="_Toc5356_WPSOffice_Level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4"/>
      <w:bookmarkEnd w:id="175"/>
      <w:bookmarkEnd w:id="176"/>
      <w:bookmarkEnd w:id="177"/>
      <w:bookmarkEnd w:id="178"/>
      <w:bookmarkEnd w:id="179"/>
      <w:bookmarkEnd w:id="180"/>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28</w:t>
      </w:r>
      <w:r>
        <w:rPr>
          <w:rFonts w:hint="eastAsia" w:ascii="宋体" w:hAnsi="宋体" w:eastAsia="宋体" w:cs="宋体"/>
          <w:b/>
          <w:bCs/>
          <w:color w:val="auto"/>
          <w:kern w:val="0"/>
          <w:szCs w:val="21"/>
          <w:highlight w:val="none"/>
          <w:u w:val="single"/>
          <w:lang w:val="zh-CN"/>
        </w:rPr>
        <w:t>,000.00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贰万捌仟元整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840" w:firstLineChars="40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开户名称：东莞市水务集团建设管理有限公司</w:t>
      </w:r>
    </w:p>
    <w:p>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1" w:name="_Toc1458"/>
      <w:bookmarkStart w:id="182" w:name="_Toc7983"/>
      <w:bookmarkStart w:id="183" w:name="_Toc29607"/>
      <w:bookmarkStart w:id="184" w:name="_Toc142508330"/>
      <w:bookmarkStart w:id="185" w:name="_Toc22649_WPSOffice_Level3"/>
      <w:bookmarkStart w:id="186" w:name="_Toc23267"/>
      <w:bookmarkStart w:id="187" w:name="_Toc486167680"/>
      <w:bookmarkStart w:id="188"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1"/>
      <w:bookmarkEnd w:id="182"/>
      <w:bookmarkEnd w:id="183"/>
      <w:bookmarkEnd w:id="184"/>
      <w:bookmarkEnd w:id="185"/>
      <w:bookmarkEnd w:id="186"/>
      <w:bookmarkEnd w:id="187"/>
      <w:bookmarkEnd w:id="188"/>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9" w:name="_Toc8381"/>
      <w:bookmarkStart w:id="190" w:name="_Toc25637_WPSOffice_Level3"/>
      <w:bookmarkStart w:id="191" w:name="_Toc20422"/>
      <w:bookmarkStart w:id="192" w:name="_Toc486167681"/>
      <w:bookmarkStart w:id="193" w:name="_Toc15544"/>
      <w:bookmarkStart w:id="194" w:name="_Toc142508331"/>
      <w:bookmarkStart w:id="195" w:name="_Toc450662866"/>
      <w:bookmarkStart w:id="196" w:name="_Toc93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89"/>
      <w:bookmarkEnd w:id="190"/>
      <w:bookmarkEnd w:id="191"/>
      <w:bookmarkEnd w:id="192"/>
      <w:bookmarkEnd w:id="193"/>
      <w:bookmarkEnd w:id="194"/>
      <w:bookmarkEnd w:id="195"/>
      <w:bookmarkEnd w:id="196"/>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97"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98" w:name="_Toc6989"/>
      <w:bookmarkStart w:id="199" w:name="_Toc16145"/>
      <w:bookmarkStart w:id="200" w:name="_Toc142508332"/>
      <w:bookmarkStart w:id="201" w:name="_Toc140596891"/>
      <w:bookmarkStart w:id="202" w:name="_Toc17199"/>
      <w:bookmarkStart w:id="203" w:name="_Toc486167682"/>
      <w:bookmarkStart w:id="204" w:name="_Toc26605"/>
      <w:bookmarkStart w:id="205" w:name="_Toc22356_WPSOffice_Level2"/>
      <w:r>
        <w:rPr>
          <w:rFonts w:hint="eastAsia" w:ascii="宋体" w:hAnsi="宋体" w:eastAsia="宋体" w:cs="宋体"/>
          <w:b/>
          <w:bCs/>
          <w:color w:val="auto"/>
          <w:kern w:val="44"/>
          <w:szCs w:val="21"/>
          <w:highlight w:val="none"/>
          <w:lang w:val="zh-CN"/>
        </w:rPr>
        <w:t>四、投标文件的递交</w:t>
      </w:r>
      <w:bookmarkEnd w:id="197"/>
      <w:bookmarkEnd w:id="198"/>
      <w:bookmarkEnd w:id="199"/>
      <w:bookmarkEnd w:id="200"/>
      <w:bookmarkEnd w:id="201"/>
      <w:bookmarkEnd w:id="202"/>
      <w:bookmarkEnd w:id="203"/>
      <w:bookmarkEnd w:id="204"/>
      <w:bookmarkEnd w:id="20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6" w:name="_Toc12961"/>
      <w:bookmarkStart w:id="207" w:name="_Toc31551"/>
      <w:bookmarkStart w:id="208" w:name="_Toc12192_WPSOffice_Level3"/>
      <w:bookmarkStart w:id="209" w:name="_Toc29885"/>
      <w:bookmarkStart w:id="210" w:name="_Toc450662868"/>
      <w:bookmarkStart w:id="211" w:name="_Toc486167683"/>
      <w:bookmarkStart w:id="212" w:name="_Toc142508333"/>
      <w:bookmarkStart w:id="213" w:name="_Toc2903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6"/>
      <w:bookmarkEnd w:id="207"/>
      <w:bookmarkEnd w:id="208"/>
      <w:bookmarkEnd w:id="209"/>
      <w:bookmarkEnd w:id="210"/>
      <w:bookmarkEnd w:id="211"/>
      <w:bookmarkEnd w:id="212"/>
      <w:bookmarkEnd w:id="213"/>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86167684"/>
      <w:bookmarkStart w:id="215" w:name="_Toc450662869"/>
      <w:bookmarkStart w:id="216" w:name="_Toc2443"/>
      <w:bookmarkStart w:id="217" w:name="_Toc4979"/>
      <w:bookmarkStart w:id="218" w:name="_Toc142508334"/>
      <w:bookmarkStart w:id="219" w:name="_Toc29665_WPSOffice_Level3"/>
      <w:bookmarkStart w:id="220" w:name="_Toc12582"/>
      <w:bookmarkStart w:id="221" w:name="_Toc2336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4"/>
      <w:bookmarkEnd w:id="215"/>
      <w:bookmarkEnd w:id="216"/>
      <w:bookmarkEnd w:id="217"/>
      <w:bookmarkEnd w:id="218"/>
      <w:bookmarkEnd w:id="219"/>
      <w:bookmarkEnd w:id="220"/>
      <w:bookmarkEnd w:id="22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2" w:name="_Toc486167685"/>
      <w:bookmarkStart w:id="223" w:name="_Toc450662870"/>
      <w:bookmarkStart w:id="224" w:name="_Toc30287"/>
      <w:bookmarkStart w:id="225" w:name="_Toc20835"/>
      <w:bookmarkStart w:id="226" w:name="_Toc142508335"/>
      <w:bookmarkStart w:id="227" w:name="_Toc21327"/>
      <w:bookmarkStart w:id="228" w:name="_Toc22606"/>
      <w:bookmarkStart w:id="229" w:name="_Toc22431_WPSOffice_Level3"/>
      <w:r>
        <w:rPr>
          <w:rFonts w:hint="eastAsia" w:ascii="宋体" w:hAnsi="宋体" w:eastAsia="宋体" w:cs="宋体"/>
          <w:color w:val="auto"/>
          <w:szCs w:val="21"/>
          <w:highlight w:val="none"/>
          <w:lang w:val="zh-CN"/>
        </w:rPr>
        <w:t>20 迟交的投标文件</w:t>
      </w:r>
      <w:bookmarkEnd w:id="222"/>
      <w:bookmarkEnd w:id="223"/>
      <w:bookmarkEnd w:id="224"/>
      <w:bookmarkEnd w:id="225"/>
      <w:bookmarkEnd w:id="226"/>
      <w:bookmarkEnd w:id="227"/>
      <w:bookmarkEnd w:id="228"/>
      <w:bookmarkEnd w:id="229"/>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3814"/>
      <w:bookmarkStart w:id="231" w:name="_Toc142508336"/>
      <w:bookmarkStart w:id="232" w:name="_Toc4883_WPSOffice_Level3"/>
      <w:bookmarkStart w:id="233" w:name="_Toc486167686"/>
      <w:bookmarkStart w:id="234" w:name="_Toc24876"/>
      <w:bookmarkStart w:id="235" w:name="_Toc13041"/>
      <w:bookmarkStart w:id="236" w:name="_Toc450662871"/>
      <w:bookmarkStart w:id="237" w:name="_Toc2785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0"/>
      <w:bookmarkEnd w:id="231"/>
      <w:bookmarkEnd w:id="232"/>
      <w:bookmarkEnd w:id="233"/>
      <w:bookmarkEnd w:id="234"/>
      <w:bookmarkEnd w:id="235"/>
      <w:bookmarkEnd w:id="236"/>
      <w:bookmarkEnd w:id="23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8" w:name="_Toc18933"/>
      <w:bookmarkStart w:id="239" w:name="_Toc142508337"/>
      <w:bookmarkStart w:id="240" w:name="_Toc486167687"/>
      <w:bookmarkStart w:id="241" w:name="_Toc28824"/>
      <w:bookmarkStart w:id="242" w:name="_Toc140596896"/>
      <w:bookmarkStart w:id="243" w:name="_Toc450662872"/>
      <w:bookmarkStart w:id="244" w:name="_Toc20923"/>
      <w:bookmarkStart w:id="245" w:name="_Toc1049_WPSOffice_Level2"/>
      <w:bookmarkStart w:id="246" w:name="_Toc30428"/>
      <w:r>
        <w:rPr>
          <w:rFonts w:hint="eastAsia" w:ascii="宋体" w:hAnsi="宋体" w:eastAsia="宋体" w:cs="宋体"/>
          <w:b/>
          <w:bCs/>
          <w:color w:val="auto"/>
          <w:kern w:val="44"/>
          <w:szCs w:val="21"/>
          <w:highlight w:val="none"/>
          <w:lang w:val="zh-CN"/>
        </w:rPr>
        <w:t>五、开标与评标</w:t>
      </w:r>
      <w:bookmarkEnd w:id="238"/>
      <w:bookmarkEnd w:id="239"/>
      <w:bookmarkEnd w:id="240"/>
      <w:bookmarkEnd w:id="241"/>
      <w:bookmarkEnd w:id="242"/>
      <w:bookmarkEnd w:id="243"/>
      <w:bookmarkEnd w:id="244"/>
      <w:bookmarkEnd w:id="245"/>
      <w:bookmarkEnd w:id="24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7" w:name="_Toc450662873"/>
      <w:bookmarkStart w:id="248" w:name="_Toc32206"/>
      <w:bookmarkStart w:id="249" w:name="_Toc8728"/>
      <w:bookmarkStart w:id="250" w:name="_Toc142508338"/>
      <w:bookmarkStart w:id="251" w:name="_Toc486167688"/>
      <w:bookmarkStart w:id="252" w:name="_Toc11256"/>
      <w:bookmarkStart w:id="253" w:name="_Toc23822"/>
      <w:bookmarkStart w:id="254" w:name="_Toc144_WPSOffice_Level3"/>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7"/>
      <w:bookmarkEnd w:id="248"/>
      <w:bookmarkEnd w:id="249"/>
      <w:bookmarkEnd w:id="250"/>
      <w:bookmarkEnd w:id="251"/>
      <w:bookmarkEnd w:id="252"/>
      <w:bookmarkEnd w:id="253"/>
      <w:bookmarkEnd w:id="25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32534"/>
      <w:bookmarkStart w:id="256" w:name="_Toc142508339"/>
      <w:bookmarkStart w:id="257" w:name="_Toc23491"/>
      <w:bookmarkStart w:id="258" w:name="_Toc12165_WPSOffice_Level3"/>
      <w:bookmarkStart w:id="259" w:name="_Toc29829"/>
      <w:bookmarkStart w:id="260" w:name="_Toc486167689"/>
      <w:bookmarkStart w:id="261" w:name="_Toc450662874"/>
      <w:bookmarkStart w:id="262" w:name="_Toc2305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5"/>
      <w:bookmarkEnd w:id="256"/>
      <w:bookmarkEnd w:id="257"/>
      <w:bookmarkEnd w:id="258"/>
      <w:bookmarkEnd w:id="259"/>
      <w:bookmarkEnd w:id="260"/>
      <w:bookmarkEnd w:id="261"/>
      <w:bookmarkEnd w:id="26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450662875"/>
      <w:bookmarkStart w:id="264" w:name="_Toc15565_WPSOffice_Level3"/>
      <w:bookmarkStart w:id="265" w:name="_Toc142508340"/>
      <w:bookmarkStart w:id="266" w:name="_Toc16920"/>
      <w:bookmarkStart w:id="267" w:name="_Toc18693"/>
      <w:bookmarkStart w:id="268" w:name="_Toc800"/>
      <w:bookmarkStart w:id="269" w:name="_Toc28746"/>
      <w:bookmarkStart w:id="270" w:name="_Toc48616769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bookmarkEnd w:id="27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1" w:name="_Toc12715"/>
      <w:bookmarkStart w:id="272" w:name="_Toc28910_WPSOffice_Level3"/>
      <w:bookmarkStart w:id="273" w:name="_Toc22833"/>
      <w:bookmarkStart w:id="274" w:name="_Toc18668"/>
      <w:bookmarkStart w:id="275" w:name="_Toc142508341"/>
      <w:bookmarkStart w:id="276" w:name="_Toc450662876"/>
      <w:bookmarkStart w:id="277" w:name="_Toc8908"/>
      <w:bookmarkStart w:id="278" w:name="_Toc486167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1"/>
      <w:bookmarkEnd w:id="272"/>
      <w:bookmarkEnd w:id="273"/>
      <w:bookmarkEnd w:id="274"/>
      <w:bookmarkEnd w:id="275"/>
      <w:bookmarkEnd w:id="276"/>
      <w:bookmarkEnd w:id="277"/>
      <w:bookmarkEnd w:id="278"/>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30225"/>
      <w:bookmarkStart w:id="280" w:name="_Toc4837"/>
      <w:bookmarkStart w:id="281" w:name="_Toc142508342"/>
      <w:bookmarkStart w:id="282" w:name="_Toc338_WPSOffice_Level3"/>
      <w:bookmarkStart w:id="283" w:name="_Toc486167692"/>
      <w:bookmarkStart w:id="284" w:name="_Toc19456"/>
      <w:bookmarkStart w:id="285" w:name="_Toc450662877"/>
      <w:bookmarkStart w:id="286" w:name="_Toc2503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9"/>
      <w:bookmarkEnd w:id="280"/>
      <w:bookmarkEnd w:id="281"/>
      <w:bookmarkEnd w:id="282"/>
      <w:bookmarkEnd w:id="283"/>
      <w:bookmarkEnd w:id="284"/>
      <w:bookmarkEnd w:id="285"/>
      <w:bookmarkEnd w:id="28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7"/>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8" w:name="_Toc522047355"/>
      <w:bookmarkStart w:id="289" w:name="_Toc13882"/>
      <w:bookmarkStart w:id="290" w:name="_Toc22065"/>
      <w:bookmarkStart w:id="291" w:name="_Toc10967"/>
      <w:bookmarkStart w:id="292" w:name="_Toc142508343"/>
      <w:bookmarkStart w:id="293" w:name="_Toc6970"/>
      <w:bookmarkStart w:id="294" w:name="_Toc18368_WPSOffice_Level3"/>
      <w:bookmarkStart w:id="295" w:name="_Toc52191809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8"/>
      <w:bookmarkEnd w:id="289"/>
      <w:bookmarkEnd w:id="290"/>
      <w:bookmarkEnd w:id="291"/>
      <w:bookmarkEnd w:id="292"/>
      <w:bookmarkEnd w:id="293"/>
      <w:bookmarkEnd w:id="294"/>
      <w:bookmarkEnd w:id="295"/>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6" w:name="_Toc521918097"/>
      <w:bookmarkStart w:id="297"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8" w:name="_Toc14804"/>
      <w:bookmarkStart w:id="299" w:name="_Toc21460_WPSOffice_Level3"/>
      <w:bookmarkStart w:id="300" w:name="_Toc16829"/>
      <w:bookmarkStart w:id="301" w:name="_Toc27026"/>
      <w:bookmarkStart w:id="302" w:name="_Toc142508344"/>
      <w:bookmarkStart w:id="303" w:name="_Toc1442"/>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6"/>
      <w:bookmarkEnd w:id="297"/>
      <w:bookmarkEnd w:id="298"/>
      <w:bookmarkEnd w:id="299"/>
      <w:bookmarkEnd w:id="300"/>
      <w:bookmarkEnd w:id="301"/>
      <w:bookmarkEnd w:id="302"/>
      <w:bookmarkEnd w:id="30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tabs>
          <w:tab w:val="left" w:pos="360"/>
        </w:tabs>
        <w:autoSpaceDE w:val="0"/>
        <w:autoSpaceDN w:val="0"/>
        <w:adjustRightInd w:val="0"/>
        <w:spacing w:line="360" w:lineRule="auto"/>
        <w:ind w:left="334" w:leftChars="-100" w:right="44" w:rightChars="21" w:hanging="544"/>
        <w:rPr>
          <w:rFonts w:ascii="宋体" w:hAnsi="宋体" w:eastAsia="宋体" w:cs="宋体"/>
          <w:color w:val="auto"/>
          <w:szCs w:val="21"/>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r>
        <w:rPr>
          <w:rFonts w:hint="eastAsia" w:ascii="宋体" w:hAnsi="宋体" w:eastAsia="宋体" w:cs="宋体"/>
          <w:color w:val="auto"/>
          <w:szCs w:val="21"/>
        </w:rPr>
        <w:t>本项目根据以下情况可以现场转换采购方式继续采购：</w:t>
      </w:r>
    </w:p>
    <w:p>
      <w:pPr>
        <w:spacing w:line="360" w:lineRule="auto"/>
        <w:ind w:left="542" w:hanging="541" w:hangingChars="25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（1）当有效投标人只有</w:t>
      </w:r>
      <w:r>
        <w:rPr>
          <w:rFonts w:hint="eastAsia" w:ascii="宋体" w:hAnsi="宋体" w:eastAsia="宋体" w:cs="宋体"/>
          <w:b w:val="0"/>
          <w:bCs w:val="0"/>
          <w:color w:val="auto"/>
          <w:kern w:val="2"/>
          <w:sz w:val="21"/>
          <w:szCs w:val="21"/>
          <w:highlight w:val="none"/>
        </w:rPr>
        <w:t>2个时，</w:t>
      </w:r>
      <w:r>
        <w:rPr>
          <w:rFonts w:hint="eastAsia" w:ascii="宋体" w:hAnsi="宋体" w:eastAsia="宋体" w:cs="宋体"/>
          <w:b w:val="0"/>
          <w:bCs w:val="0"/>
          <w:color w:val="auto"/>
          <w:sz w:val="21"/>
          <w:szCs w:val="21"/>
          <w:highlight w:val="none"/>
          <w:lang w:val="en-US" w:eastAsia="zh-CN"/>
        </w:rPr>
        <w:t>经评标委员会论证，采购文件没有不合理条款、采购程序符合规定的，</w:t>
      </w:r>
      <w:r>
        <w:rPr>
          <w:rFonts w:hint="eastAsia" w:ascii="宋体" w:hAnsi="宋体" w:eastAsia="宋体" w:cs="宋体"/>
          <w:b w:val="0"/>
          <w:bCs w:val="0"/>
          <w:color w:val="auto"/>
          <w:kern w:val="2"/>
          <w:sz w:val="21"/>
          <w:szCs w:val="21"/>
          <w:highlight w:val="none"/>
        </w:rPr>
        <w:t>经招</w:t>
      </w:r>
      <w:r>
        <w:rPr>
          <w:rFonts w:hint="eastAsia" w:ascii="宋体" w:hAnsi="宋体" w:eastAsia="宋体" w:cs="宋体"/>
          <w:color w:val="auto"/>
          <w:kern w:val="2"/>
          <w:sz w:val="21"/>
          <w:szCs w:val="21"/>
          <w:highlight w:val="none"/>
        </w:rPr>
        <w:t>标人和作出实质性响应的投标人代表同意后，现场更改为竞争性谈判的方式继续采购。</w:t>
      </w:r>
    </w:p>
    <w:p>
      <w:pPr>
        <w:spacing w:line="360" w:lineRule="auto"/>
        <w:ind w:left="542" w:hanging="541" w:hangingChars="25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（2）若有效投标人只有1个时，经评标委员会论证，采购文件没有不合理条款、采购程序符合规定的，经招标人和作出实质性响应的投标人代表同意后，现场更改为单一来源的方式继续采购。</w:t>
      </w:r>
    </w:p>
    <w:p>
      <w:pPr>
        <w:spacing w:line="360" w:lineRule="auto"/>
        <w:ind w:left="542" w:hanging="541" w:hangingChars="258"/>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32498_WPSOffice_Level3"/>
      <w:bookmarkStart w:id="305" w:name="_Toc29588"/>
      <w:bookmarkStart w:id="306" w:name="_Toc11011"/>
      <w:bookmarkStart w:id="307" w:name="_Toc465358969"/>
      <w:bookmarkStart w:id="308" w:name="_Toc4819"/>
      <w:bookmarkStart w:id="309" w:name="_Toc11615"/>
      <w:bookmarkStart w:id="310" w:name="_Toc466882017"/>
      <w:bookmarkStart w:id="311" w:name="_Toc142508345"/>
      <w:bookmarkStart w:id="312" w:name="_Toc48616769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4"/>
      <w:bookmarkEnd w:id="305"/>
      <w:bookmarkEnd w:id="306"/>
      <w:bookmarkEnd w:id="307"/>
      <w:bookmarkEnd w:id="308"/>
      <w:bookmarkEnd w:id="309"/>
      <w:bookmarkEnd w:id="310"/>
      <w:bookmarkEnd w:id="311"/>
      <w:bookmarkEnd w:id="312"/>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3" w:name="_Toc465358970"/>
      <w:bookmarkStart w:id="314" w:name="_Toc21256"/>
      <w:bookmarkStart w:id="315" w:name="_Toc486167695"/>
      <w:bookmarkStart w:id="316" w:name="_Toc26354"/>
      <w:bookmarkStart w:id="317" w:name="_Toc3154"/>
      <w:bookmarkStart w:id="318" w:name="_Toc1848_WPSOffice_Level3"/>
      <w:bookmarkStart w:id="319" w:name="_Toc2077"/>
      <w:bookmarkStart w:id="320" w:name="_Toc466882018"/>
      <w:bookmarkStart w:id="321"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3"/>
      <w:bookmarkEnd w:id="314"/>
      <w:bookmarkEnd w:id="315"/>
      <w:bookmarkEnd w:id="316"/>
      <w:bookmarkEnd w:id="317"/>
      <w:bookmarkEnd w:id="318"/>
      <w:bookmarkEnd w:id="319"/>
      <w:bookmarkEnd w:id="320"/>
      <w:bookmarkEnd w:id="321"/>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22" w:name="_Toc465358971"/>
      <w:bookmarkStart w:id="323"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4" w:name="_Toc486167696"/>
      <w:bookmarkStart w:id="325" w:name="_Toc22960"/>
      <w:bookmarkStart w:id="326" w:name="_Toc10867_WPSOffice_Level3"/>
      <w:bookmarkStart w:id="327" w:name="_Toc142508347"/>
      <w:bookmarkStart w:id="328" w:name="_Toc15815"/>
      <w:bookmarkStart w:id="329" w:name="_Toc8654"/>
      <w:bookmarkStart w:id="330"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2"/>
      <w:bookmarkEnd w:id="323"/>
      <w:bookmarkEnd w:id="324"/>
      <w:bookmarkEnd w:id="325"/>
      <w:bookmarkEnd w:id="326"/>
      <w:bookmarkEnd w:id="327"/>
      <w:bookmarkEnd w:id="328"/>
      <w:bookmarkEnd w:id="329"/>
      <w:bookmarkEnd w:id="330"/>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1"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2" w:name="_Toc16848_WPSOffice_Level2"/>
      <w:bookmarkStart w:id="333" w:name="_Toc142508348"/>
      <w:bookmarkStart w:id="334" w:name="_Toc11941"/>
      <w:bookmarkStart w:id="335" w:name="_Toc13312"/>
      <w:bookmarkStart w:id="336" w:name="_Toc16789"/>
      <w:bookmarkStart w:id="337" w:name="_Toc486167697"/>
      <w:bookmarkStart w:id="338" w:name="_Toc140596907"/>
      <w:bookmarkStart w:id="339" w:name="_Toc27936"/>
      <w:r>
        <w:rPr>
          <w:rFonts w:hint="eastAsia" w:ascii="宋体" w:hAnsi="宋体" w:eastAsia="宋体" w:cs="宋体"/>
          <w:b/>
          <w:bCs/>
          <w:color w:val="auto"/>
          <w:kern w:val="44"/>
          <w:szCs w:val="21"/>
          <w:highlight w:val="none"/>
          <w:lang w:val="zh-CN"/>
        </w:rPr>
        <w:t>六、授予合同</w:t>
      </w:r>
      <w:bookmarkEnd w:id="331"/>
      <w:bookmarkEnd w:id="332"/>
      <w:bookmarkEnd w:id="333"/>
      <w:bookmarkEnd w:id="334"/>
      <w:bookmarkEnd w:id="335"/>
      <w:bookmarkEnd w:id="336"/>
      <w:bookmarkEnd w:id="337"/>
      <w:bookmarkEnd w:id="338"/>
      <w:bookmarkEnd w:id="339"/>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6401_WPSOffice_Level3"/>
      <w:bookmarkStart w:id="341" w:name="_Toc31713"/>
      <w:bookmarkStart w:id="342" w:name="_Toc142508349"/>
      <w:bookmarkStart w:id="343" w:name="_Toc23271"/>
      <w:bookmarkStart w:id="344" w:name="_Toc9067"/>
      <w:bookmarkStart w:id="345" w:name="_Toc29383"/>
      <w:bookmarkStart w:id="346" w:name="_Toc486167698"/>
      <w:bookmarkStart w:id="347"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0"/>
      <w:bookmarkEnd w:id="341"/>
      <w:bookmarkEnd w:id="342"/>
      <w:bookmarkEnd w:id="343"/>
      <w:bookmarkEnd w:id="344"/>
      <w:bookmarkEnd w:id="345"/>
      <w:bookmarkEnd w:id="346"/>
      <w:bookmarkEnd w:id="347"/>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8"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9" w:name="_Toc18984"/>
      <w:bookmarkStart w:id="350" w:name="_Toc486167699"/>
      <w:bookmarkStart w:id="351" w:name="_Toc668"/>
      <w:bookmarkStart w:id="352" w:name="_Toc14377"/>
      <w:bookmarkStart w:id="353" w:name="_Toc6726_WPSOffice_Level3"/>
      <w:bookmarkStart w:id="354" w:name="_Toc142508350"/>
      <w:bookmarkStart w:id="355" w:name="_Toc819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48"/>
      <w:bookmarkEnd w:id="349"/>
      <w:bookmarkEnd w:id="350"/>
      <w:bookmarkEnd w:id="351"/>
      <w:bookmarkEnd w:id="352"/>
      <w:bookmarkEnd w:id="353"/>
      <w:bookmarkEnd w:id="354"/>
      <w:bookmarkEnd w:id="355"/>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7" w:name="_Toc142508351"/>
      <w:bookmarkStart w:id="358" w:name="_Toc28020"/>
      <w:bookmarkStart w:id="359" w:name="_Toc486167700"/>
      <w:bookmarkStart w:id="360" w:name="_Toc19127"/>
      <w:bookmarkStart w:id="361" w:name="_Toc15467"/>
      <w:bookmarkStart w:id="362" w:name="_Toc1331"/>
      <w:bookmarkStart w:id="363" w:name="_Toc9694_WPSOffice_Level3"/>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56"/>
      <w:bookmarkEnd w:id="357"/>
      <w:bookmarkEnd w:id="358"/>
      <w:bookmarkEnd w:id="359"/>
      <w:bookmarkEnd w:id="360"/>
      <w:bookmarkEnd w:id="361"/>
      <w:bookmarkEnd w:id="362"/>
      <w:bookmarkEnd w:id="36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4" w:name="_Toc10666"/>
      <w:bookmarkStart w:id="365" w:name="_Toc486167701"/>
      <w:bookmarkStart w:id="366" w:name="_Toc8181"/>
      <w:bookmarkStart w:id="367" w:name="_Toc3830"/>
      <w:bookmarkStart w:id="368" w:name="_Toc10513_WPSOffice_Level3"/>
      <w:bookmarkStart w:id="369" w:name="_Toc142508352"/>
      <w:bookmarkStart w:id="370" w:name="_Toc450662887"/>
      <w:bookmarkStart w:id="371" w:name="_Toc5304"/>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64"/>
      <w:bookmarkEnd w:id="365"/>
      <w:bookmarkEnd w:id="366"/>
      <w:bookmarkEnd w:id="367"/>
      <w:bookmarkEnd w:id="368"/>
      <w:bookmarkEnd w:id="369"/>
      <w:bookmarkEnd w:id="370"/>
      <w:bookmarkEnd w:id="371"/>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72" w:name="_Toc465358977"/>
      <w:bookmarkStart w:id="373"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的5%，采用不可撤销银行履约保函形式的金额为暂定总合同价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的8%，采用担保公司履约担保书形式的金额为暂定总合同价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142508353"/>
      <w:bookmarkStart w:id="375" w:name="_Toc9976"/>
      <w:bookmarkStart w:id="376" w:name="_Toc18846"/>
      <w:bookmarkStart w:id="377" w:name="_Toc27162"/>
      <w:bookmarkStart w:id="378" w:name="_Toc10548"/>
      <w:bookmarkStart w:id="379"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2"/>
      <w:bookmarkEnd w:id="373"/>
      <w:bookmarkEnd w:id="374"/>
      <w:bookmarkEnd w:id="375"/>
      <w:bookmarkEnd w:id="376"/>
      <w:bookmarkEnd w:id="377"/>
      <w:bookmarkEnd w:id="378"/>
      <w:bookmarkEnd w:id="379"/>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1" w:name="_Toc142508354"/>
      <w:bookmarkStart w:id="382" w:name="_Toc28921_WPSOffice_Level3"/>
      <w:bookmarkStart w:id="383" w:name="_Toc26429"/>
      <w:bookmarkStart w:id="384" w:name="_Toc23218"/>
      <w:bookmarkStart w:id="385" w:name="_Toc486167703"/>
      <w:bookmarkStart w:id="386" w:name="_Toc2401"/>
      <w:bookmarkStart w:id="387" w:name="_Toc19356"/>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80"/>
      <w:bookmarkEnd w:id="381"/>
      <w:bookmarkEnd w:id="382"/>
      <w:bookmarkEnd w:id="383"/>
      <w:bookmarkEnd w:id="384"/>
      <w:bookmarkEnd w:id="385"/>
      <w:bookmarkEnd w:id="386"/>
      <w:bookmarkEnd w:id="387"/>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本项目中标服务费由项目业主向招标代理机构支付。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8"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9" w:name="_Toc5441"/>
      <w:bookmarkStart w:id="390" w:name="_Toc6764_WPSOffice_Level3"/>
      <w:bookmarkStart w:id="391" w:name="_Toc21985"/>
      <w:bookmarkStart w:id="392" w:name="_Toc486167704"/>
      <w:bookmarkStart w:id="393" w:name="_Toc21757"/>
      <w:bookmarkStart w:id="394" w:name="_Toc142508355"/>
      <w:bookmarkStart w:id="395" w:name="_Toc6796"/>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8"/>
      <w:bookmarkEnd w:id="389"/>
      <w:bookmarkEnd w:id="390"/>
      <w:bookmarkEnd w:id="391"/>
      <w:bookmarkEnd w:id="392"/>
      <w:bookmarkEnd w:id="393"/>
      <w:bookmarkEnd w:id="394"/>
      <w:bookmarkEnd w:id="395"/>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96" w:name="_Toc31106_WPSOffice_Level3"/>
      <w:bookmarkStart w:id="397" w:name="_Toc486167705"/>
      <w:r>
        <w:rPr>
          <w:rFonts w:hint="eastAsia" w:ascii="宋体" w:hAnsi="宋体" w:eastAsia="宋体" w:cs="Times New Roman"/>
          <w:color w:val="auto"/>
          <w:szCs w:val="21"/>
          <w:highlight w:val="none"/>
          <w:lang w:val="zh-CN"/>
        </w:rPr>
        <w:t>该项目获得中标的中标人在执行合同过程中，向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出具的发票类型为增值税专用发票。</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98" w:name="_Toc24547"/>
      <w:bookmarkStart w:id="399" w:name="_Toc142508356"/>
      <w:bookmarkStart w:id="400" w:name="_Toc8619"/>
      <w:bookmarkStart w:id="401" w:name="_Toc27075"/>
      <w:bookmarkStart w:id="402" w:name="_Toc10728"/>
      <w:r>
        <w:rPr>
          <w:rFonts w:ascii="宋体" w:hAnsi="宋体" w:eastAsia="宋体" w:cs="宋体"/>
          <w:b/>
          <w:color w:val="auto"/>
          <w:szCs w:val="21"/>
          <w:highlight w:val="none"/>
        </w:rPr>
        <w:t>39 招标相关补充约定</w:t>
      </w:r>
      <w:bookmarkEnd w:id="398"/>
      <w:bookmarkEnd w:id="399"/>
      <w:bookmarkEnd w:id="400"/>
      <w:bookmarkEnd w:id="401"/>
      <w:bookmarkEnd w:id="402"/>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403" w:name="_Toc15481"/>
      <w:bookmarkStart w:id="404" w:name="_Toc17346"/>
      <w:bookmarkStart w:id="405" w:name="_Toc13789"/>
      <w:r>
        <w:rPr>
          <w:rFonts w:hint="eastAsia" w:ascii="宋体" w:hAnsi="宋体" w:eastAsia="宋体" w:cs="宋体"/>
          <w:b/>
          <w:color w:val="auto"/>
          <w:szCs w:val="21"/>
          <w:lang w:val="zh-CN"/>
        </w:rPr>
        <w:t>3</w:t>
      </w:r>
      <w:r>
        <w:rPr>
          <w:rFonts w:hint="eastAsia" w:ascii="宋体" w:hAnsi="宋体" w:eastAsia="宋体" w:cs="宋体"/>
          <w:b/>
          <w:color w:val="auto"/>
          <w:szCs w:val="21"/>
        </w:rPr>
        <w:t>9</w:t>
      </w:r>
      <w:r>
        <w:rPr>
          <w:rFonts w:hint="eastAsia" w:ascii="宋体" w:hAnsi="宋体" w:eastAsia="宋体" w:cs="宋体"/>
          <w:b/>
          <w:color w:val="auto"/>
          <w:szCs w:val="21"/>
          <w:lang w:val="zh-CN"/>
        </w:rPr>
        <w:t>.</w:t>
      </w:r>
      <w:r>
        <w:rPr>
          <w:rFonts w:hint="eastAsia" w:ascii="宋体" w:hAnsi="宋体" w:eastAsia="宋体" w:cs="宋体"/>
          <w:b/>
          <w:color w:val="auto"/>
          <w:szCs w:val="21"/>
        </w:rPr>
        <w:t>2</w:t>
      </w:r>
      <w:r>
        <w:rPr>
          <w:rFonts w:hint="eastAsia" w:ascii="宋体" w:hAnsi="宋体" w:eastAsia="宋体" w:cs="宋体"/>
          <w:b/>
          <w:color w:val="auto"/>
          <w:szCs w:val="21"/>
          <w:lang w:val="zh-CN"/>
        </w:rPr>
        <w:t xml:space="preserve"> 已参与本工程的勘察设计单位、</w:t>
      </w:r>
      <w:r>
        <w:rPr>
          <w:rFonts w:hint="eastAsia" w:ascii="宋体" w:hAnsi="宋体" w:eastAsia="宋体" w:cs="宋体"/>
          <w:b/>
          <w:color w:val="auto"/>
          <w:szCs w:val="21"/>
          <w:lang w:val="en-US" w:eastAsia="zh-CN"/>
        </w:rPr>
        <w:t>施工单位、施工监理单位、</w:t>
      </w:r>
      <w:r>
        <w:rPr>
          <w:rFonts w:hint="eastAsia" w:ascii="宋体" w:hAnsi="宋体" w:eastAsia="宋体" w:cs="宋体"/>
          <w:b/>
          <w:color w:val="auto"/>
          <w:szCs w:val="21"/>
          <w:lang w:val="zh-CN"/>
        </w:rPr>
        <w:t>桩基完整性检测单位（包括与该单位法定代表人或负责人为同一人的单位，或者与该单位存在控股、管理关系的单位）不得参与</w:t>
      </w:r>
      <w:r>
        <w:rPr>
          <w:rFonts w:hint="eastAsia" w:ascii="宋体" w:hAnsi="宋体" w:eastAsia="宋体" w:cs="宋体"/>
          <w:b/>
          <w:color w:val="auto"/>
          <w:szCs w:val="21"/>
        </w:rPr>
        <w:t>本</w:t>
      </w:r>
      <w:r>
        <w:rPr>
          <w:rFonts w:hint="eastAsia" w:ascii="宋体" w:hAnsi="宋体" w:eastAsia="宋体" w:cs="宋体"/>
          <w:b/>
          <w:color w:val="auto"/>
          <w:szCs w:val="21"/>
          <w:lang w:val="zh-CN"/>
        </w:rPr>
        <w:t>检测项目投标。</w:t>
      </w:r>
      <w:bookmarkEnd w:id="403"/>
      <w:bookmarkEnd w:id="404"/>
      <w:bookmarkEnd w:id="405"/>
    </w:p>
    <w:p>
      <w:pPr>
        <w:pStyle w:val="127"/>
        <w:numPr>
          <w:ilvl w:val="255"/>
          <w:numId w:val="0"/>
        </w:numPr>
        <w:tabs>
          <w:tab w:val="left" w:pos="426"/>
        </w:tabs>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本工程相关参建单位统计表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609"/>
        <w:gridCol w:w="5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pct"/>
            <w:vMerge w:val="restart"/>
            <w:vAlign w:val="center"/>
          </w:tcPr>
          <w:p>
            <w:pPr>
              <w:pStyle w:val="127"/>
              <w:numPr>
                <w:ilvl w:val="255"/>
                <w:numId w:val="0"/>
              </w:numPr>
              <w:tabs>
                <w:tab w:val="left" w:pos="426"/>
              </w:tabs>
              <w:adjustRightInd w:val="0"/>
              <w:snapToGrid w:val="0"/>
              <w:spacing w:line="360" w:lineRule="auto"/>
              <w:jc w:val="center"/>
              <w:rPr>
                <w:rFonts w:ascii="宋体" w:hAnsi="宋体" w:eastAsia="宋体" w:cs="宋体"/>
                <w:color w:val="auto"/>
                <w:szCs w:val="21"/>
                <w:lang w:val="zh-CN"/>
              </w:rPr>
            </w:pPr>
            <w:bookmarkStart w:id="406" w:name="OLE_LINK1"/>
            <w:r>
              <w:rPr>
                <w:rFonts w:hint="eastAsia" w:ascii="宋体" w:hAnsi="宋体" w:eastAsia="宋体" w:cs="宋体"/>
                <w:b/>
                <w:bCs/>
                <w:color w:val="auto"/>
                <w:szCs w:val="21"/>
                <w:lang w:val="zh-CN"/>
              </w:rPr>
              <w:t>东莞市茶山镇污水处理厂改扩建项目</w:t>
            </w:r>
          </w:p>
        </w:tc>
        <w:tc>
          <w:tcPr>
            <w:tcW w:w="1258" w:type="pct"/>
            <w:vAlign w:val="center"/>
          </w:tcPr>
          <w:p>
            <w:pPr>
              <w:pStyle w:val="127"/>
              <w:numPr>
                <w:ilvl w:val="255"/>
                <w:numId w:val="0"/>
              </w:numPr>
              <w:tabs>
                <w:tab w:val="left" w:pos="426"/>
              </w:tabs>
              <w:adjustRightInd w:val="0"/>
              <w:snapToGrid w:val="0"/>
              <w:spacing w:line="360" w:lineRule="auto"/>
              <w:jc w:val="center"/>
              <w:rPr>
                <w:rFonts w:ascii="宋体" w:hAnsi="宋体" w:eastAsia="宋体" w:cs="宋体"/>
                <w:color w:val="auto"/>
                <w:szCs w:val="21"/>
                <w:lang w:val="zh-CN"/>
              </w:rPr>
            </w:pPr>
            <w:r>
              <w:rPr>
                <w:rFonts w:hint="eastAsia" w:ascii="宋体" w:hAnsi="宋体" w:eastAsia="宋体" w:cs="宋体"/>
                <w:b/>
                <w:bCs/>
                <w:color w:val="auto"/>
                <w:szCs w:val="21"/>
              </w:rPr>
              <w:t>勘察设计单位</w:t>
            </w:r>
          </w:p>
        </w:tc>
        <w:tc>
          <w:tcPr>
            <w:tcW w:w="2739" w:type="pct"/>
            <w:vAlign w:val="center"/>
          </w:tcPr>
          <w:p>
            <w:pPr>
              <w:pStyle w:val="127"/>
              <w:numPr>
                <w:ilvl w:val="255"/>
                <w:numId w:val="0"/>
              </w:numPr>
              <w:tabs>
                <w:tab w:val="left" w:pos="426"/>
              </w:tabs>
              <w:adjustRightInd w:val="0"/>
              <w:snapToGrid w:val="0"/>
              <w:spacing w:line="360" w:lineRule="auto"/>
              <w:jc w:val="center"/>
              <w:rPr>
                <w:rFonts w:ascii="宋体" w:hAnsi="宋体" w:eastAsia="宋体" w:cs="宋体"/>
                <w:b/>
                <w:bCs/>
                <w:color w:val="auto"/>
                <w:szCs w:val="21"/>
                <w:lang w:val="zh-CN"/>
              </w:rPr>
            </w:pPr>
            <w:r>
              <w:rPr>
                <w:rFonts w:hint="eastAsia" w:ascii="宋体" w:hAnsi="宋体" w:eastAsia="宋体" w:cs="宋体"/>
                <w:b/>
                <w:bCs/>
                <w:color w:val="auto"/>
                <w:szCs w:val="21"/>
                <w:lang w:val="zh-CN"/>
              </w:rPr>
              <w:t>中国市政工程中南设计研究总院有限公司,中兵勘察设计研究院有限公司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pct"/>
            <w:vMerge w:val="continue"/>
            <w:vAlign w:val="center"/>
          </w:tcPr>
          <w:p>
            <w:pPr>
              <w:pStyle w:val="127"/>
              <w:numPr>
                <w:ilvl w:val="255"/>
                <w:numId w:val="0"/>
              </w:numPr>
              <w:tabs>
                <w:tab w:val="left" w:pos="426"/>
              </w:tabs>
              <w:adjustRightInd w:val="0"/>
              <w:snapToGrid w:val="0"/>
              <w:spacing w:line="360" w:lineRule="auto"/>
              <w:jc w:val="center"/>
              <w:rPr>
                <w:rFonts w:ascii="宋体" w:hAnsi="宋体" w:eastAsia="宋体" w:cs="宋体"/>
                <w:color w:val="auto"/>
                <w:szCs w:val="21"/>
                <w:lang w:val="zh-CN"/>
              </w:rPr>
            </w:pPr>
          </w:p>
        </w:tc>
        <w:tc>
          <w:tcPr>
            <w:tcW w:w="1258" w:type="pct"/>
            <w:vAlign w:val="center"/>
          </w:tcPr>
          <w:p>
            <w:pPr>
              <w:pStyle w:val="127"/>
              <w:numPr>
                <w:ilvl w:val="255"/>
                <w:numId w:val="0"/>
              </w:numPr>
              <w:tabs>
                <w:tab w:val="left" w:pos="426"/>
              </w:tabs>
              <w:adjustRightInd w:val="0"/>
              <w:snapToGrid w:val="0"/>
              <w:spacing w:line="360" w:lineRule="auto"/>
              <w:jc w:val="center"/>
              <w:rPr>
                <w:color w:val="auto"/>
              </w:rPr>
            </w:pPr>
            <w:r>
              <w:rPr>
                <w:rFonts w:hint="eastAsia" w:ascii="宋体" w:hAnsi="宋体" w:eastAsia="宋体" w:cs="宋体"/>
                <w:b/>
                <w:bCs/>
                <w:color w:val="auto"/>
                <w:szCs w:val="21"/>
              </w:rPr>
              <w:t>桩基完整性</w:t>
            </w:r>
            <w:r>
              <w:rPr>
                <w:rFonts w:hint="eastAsia" w:ascii="宋体" w:hAnsi="宋体" w:eastAsia="宋体" w:cs="宋体"/>
                <w:b/>
                <w:bCs/>
                <w:color w:val="auto"/>
                <w:szCs w:val="21"/>
                <w:lang w:val="en-US" w:eastAsia="zh-CN"/>
              </w:rPr>
              <w:t>检测单位</w:t>
            </w:r>
          </w:p>
        </w:tc>
        <w:tc>
          <w:tcPr>
            <w:tcW w:w="2739" w:type="pct"/>
            <w:vAlign w:val="center"/>
          </w:tcPr>
          <w:p>
            <w:pPr>
              <w:pStyle w:val="127"/>
              <w:numPr>
                <w:ilvl w:val="255"/>
                <w:numId w:val="0"/>
              </w:numPr>
              <w:tabs>
                <w:tab w:val="left" w:pos="426"/>
              </w:tabs>
              <w:adjustRightInd w:val="0"/>
              <w:snapToGrid w:val="0"/>
              <w:spacing w:line="360" w:lineRule="auto"/>
              <w:jc w:val="center"/>
              <w:rPr>
                <w:rFonts w:hint="default" w:ascii="宋体" w:hAnsi="宋体" w:eastAsia="宋体" w:cs="宋体"/>
                <w:b/>
                <w:bCs/>
                <w:color w:val="auto"/>
                <w:szCs w:val="21"/>
                <w:lang w:val="en-US" w:eastAsia="zh-CN"/>
              </w:rPr>
            </w:pPr>
            <w:r>
              <w:rPr>
                <w:rFonts w:hint="default" w:ascii="宋体" w:hAnsi="宋体" w:eastAsia="宋体" w:cs="宋体"/>
                <w:b/>
                <w:bCs/>
                <w:color w:val="auto"/>
                <w:szCs w:val="21"/>
                <w:lang w:val="en-US" w:eastAsia="zh-CN"/>
              </w:rPr>
              <w:t>东莞市建设工程检测中心有限公司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pct"/>
            <w:vMerge w:val="continue"/>
            <w:vAlign w:val="center"/>
          </w:tcPr>
          <w:p>
            <w:pPr>
              <w:pStyle w:val="127"/>
              <w:numPr>
                <w:ilvl w:val="255"/>
                <w:numId w:val="0"/>
              </w:numPr>
              <w:tabs>
                <w:tab w:val="left" w:pos="426"/>
              </w:tabs>
              <w:adjustRightInd w:val="0"/>
              <w:snapToGrid w:val="0"/>
              <w:spacing w:line="360" w:lineRule="auto"/>
              <w:jc w:val="center"/>
              <w:rPr>
                <w:rFonts w:ascii="宋体" w:hAnsi="宋体" w:eastAsia="宋体" w:cs="宋体"/>
                <w:color w:val="auto"/>
                <w:szCs w:val="21"/>
                <w:lang w:val="zh-CN"/>
              </w:rPr>
            </w:pPr>
          </w:p>
        </w:tc>
        <w:tc>
          <w:tcPr>
            <w:tcW w:w="1258" w:type="pct"/>
            <w:vAlign w:val="center"/>
          </w:tcPr>
          <w:p>
            <w:pPr>
              <w:pStyle w:val="127"/>
              <w:numPr>
                <w:ilvl w:val="255"/>
                <w:numId w:val="0"/>
              </w:numPr>
              <w:tabs>
                <w:tab w:val="left" w:pos="426"/>
              </w:tabs>
              <w:adjustRightInd w:val="0"/>
              <w:snapToGrid w:val="0"/>
              <w:spacing w:line="360" w:lineRule="auto"/>
              <w:jc w:val="center"/>
              <w:rPr>
                <w:rFonts w:hint="eastAsia" w:ascii="宋体" w:hAnsi="宋体" w:eastAsia="宋体" w:cs="宋体"/>
                <w:b/>
                <w:bCs/>
                <w:color w:val="auto"/>
                <w:szCs w:val="21"/>
              </w:rPr>
            </w:pPr>
            <w:r>
              <w:rPr>
                <w:rFonts w:hint="eastAsia" w:ascii="宋体" w:hAnsi="宋体" w:eastAsia="宋体" w:cs="宋体"/>
                <w:b/>
                <w:color w:val="auto"/>
                <w:szCs w:val="21"/>
                <w:lang w:val="en-US" w:eastAsia="zh-CN"/>
              </w:rPr>
              <w:t>施工单位</w:t>
            </w:r>
          </w:p>
        </w:tc>
        <w:tc>
          <w:tcPr>
            <w:tcW w:w="2739" w:type="pct"/>
            <w:vAlign w:val="center"/>
          </w:tcPr>
          <w:p>
            <w:pPr>
              <w:pStyle w:val="127"/>
              <w:numPr>
                <w:ilvl w:val="255"/>
                <w:numId w:val="0"/>
              </w:numPr>
              <w:tabs>
                <w:tab w:val="left" w:pos="426"/>
              </w:tabs>
              <w:adjustRightInd w:val="0"/>
              <w:snapToGrid w:val="0"/>
              <w:spacing w:line="360" w:lineRule="auto"/>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pct"/>
            <w:vMerge w:val="continue"/>
            <w:vAlign w:val="center"/>
          </w:tcPr>
          <w:p>
            <w:pPr>
              <w:pStyle w:val="127"/>
              <w:numPr>
                <w:ilvl w:val="255"/>
                <w:numId w:val="0"/>
              </w:numPr>
              <w:tabs>
                <w:tab w:val="left" w:pos="426"/>
              </w:tabs>
              <w:adjustRightInd w:val="0"/>
              <w:snapToGrid w:val="0"/>
              <w:spacing w:line="360" w:lineRule="auto"/>
              <w:jc w:val="center"/>
              <w:rPr>
                <w:rFonts w:ascii="宋体" w:hAnsi="宋体" w:eastAsia="宋体" w:cs="宋体"/>
                <w:color w:val="auto"/>
                <w:szCs w:val="21"/>
                <w:lang w:val="zh-CN"/>
              </w:rPr>
            </w:pPr>
          </w:p>
        </w:tc>
        <w:tc>
          <w:tcPr>
            <w:tcW w:w="1258" w:type="pct"/>
            <w:vAlign w:val="center"/>
          </w:tcPr>
          <w:p>
            <w:pPr>
              <w:pStyle w:val="127"/>
              <w:numPr>
                <w:ilvl w:val="255"/>
                <w:numId w:val="0"/>
              </w:numPr>
              <w:tabs>
                <w:tab w:val="left" w:pos="426"/>
              </w:tabs>
              <w:adjustRightInd w:val="0"/>
              <w:snapToGrid w:val="0"/>
              <w:spacing w:line="360" w:lineRule="auto"/>
              <w:jc w:val="center"/>
              <w:rPr>
                <w:rFonts w:hint="eastAsia" w:ascii="宋体" w:hAnsi="宋体" w:eastAsia="宋体" w:cs="宋体"/>
                <w:b/>
                <w:bCs/>
                <w:color w:val="auto"/>
                <w:szCs w:val="21"/>
              </w:rPr>
            </w:pPr>
            <w:r>
              <w:rPr>
                <w:rFonts w:hint="eastAsia" w:ascii="宋体" w:hAnsi="宋体" w:eastAsia="宋体" w:cs="宋体"/>
                <w:b/>
                <w:color w:val="auto"/>
                <w:szCs w:val="21"/>
                <w:lang w:val="en-US" w:eastAsia="zh-CN"/>
              </w:rPr>
              <w:t>监理单位</w:t>
            </w:r>
          </w:p>
        </w:tc>
        <w:tc>
          <w:tcPr>
            <w:tcW w:w="2739" w:type="pct"/>
            <w:vAlign w:val="center"/>
          </w:tcPr>
          <w:p>
            <w:pPr>
              <w:pStyle w:val="127"/>
              <w:numPr>
                <w:ilvl w:val="255"/>
                <w:numId w:val="0"/>
              </w:numPr>
              <w:tabs>
                <w:tab w:val="left" w:pos="426"/>
              </w:tabs>
              <w:adjustRightInd w:val="0"/>
              <w:snapToGrid w:val="0"/>
              <w:spacing w:line="360" w:lineRule="auto"/>
              <w:jc w:val="center"/>
              <w:rPr>
                <w:rFonts w:hint="default" w:ascii="宋体" w:hAnsi="宋体" w:eastAsia="宋体" w:cs="宋体"/>
                <w:b/>
                <w:bCs/>
                <w:color w:val="auto"/>
                <w:szCs w:val="21"/>
                <w:lang w:val="en-US" w:eastAsia="zh-CN"/>
              </w:rPr>
            </w:pPr>
            <w:r>
              <w:rPr>
                <w:rFonts w:hint="default" w:ascii="宋体" w:hAnsi="宋体" w:eastAsia="宋体" w:cs="宋体"/>
                <w:b/>
                <w:bCs/>
                <w:color w:val="auto"/>
                <w:szCs w:val="21"/>
                <w:lang w:val="en-US" w:eastAsia="zh-CN"/>
              </w:rPr>
              <w:t>广东广信建筑工程监理有限公司</w:t>
            </w:r>
          </w:p>
        </w:tc>
      </w:tr>
      <w:bookmarkEnd w:id="406"/>
    </w:tbl>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7" w:name="_Toc26594"/>
      <w:bookmarkStart w:id="408" w:name="_Toc5205"/>
      <w:bookmarkStart w:id="409" w:name="_Toc142508357"/>
      <w:bookmarkStart w:id="410" w:name="_Toc6198"/>
      <w:bookmarkStart w:id="411" w:name="_Toc29758"/>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96"/>
      <w:bookmarkEnd w:id="397"/>
      <w:bookmarkEnd w:id="407"/>
      <w:bookmarkEnd w:id="408"/>
      <w:bookmarkEnd w:id="409"/>
      <w:bookmarkEnd w:id="410"/>
      <w:bookmarkEnd w:id="411"/>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2" w:name="_Toc142508358"/>
      <w:bookmarkStart w:id="413" w:name="_Toc4386"/>
      <w:bookmarkStart w:id="414" w:name="_Toc21446"/>
      <w:bookmarkStart w:id="415" w:name="_Toc486167706"/>
      <w:bookmarkStart w:id="416" w:name="_Toc27939_WPSOffice_Level1"/>
      <w:bookmarkStart w:id="417" w:name="_Toc14879"/>
      <w:bookmarkStart w:id="418" w:name="_Toc29364"/>
      <w:bookmarkStart w:id="419"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12"/>
      <w:bookmarkEnd w:id="413"/>
      <w:bookmarkEnd w:id="414"/>
      <w:bookmarkEnd w:id="415"/>
      <w:bookmarkEnd w:id="416"/>
      <w:bookmarkEnd w:id="417"/>
      <w:bookmarkEnd w:id="418"/>
      <w:bookmarkEnd w:id="419"/>
    </w:p>
    <w:p>
      <w:pPr>
        <w:adjustRightInd w:val="0"/>
        <w:snapToGrid w:val="0"/>
        <w:spacing w:line="360" w:lineRule="auto"/>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lang w:eastAsia="zh-CN"/>
        </w:rPr>
        <w:t>东莞市石鼓净水有限公司</w:t>
      </w:r>
      <w:r>
        <w:rPr>
          <w:rFonts w:hint="eastAsia" w:ascii="宋体" w:hAnsi="宋体" w:eastAsia="宋体" w:cs="宋体"/>
          <w:b/>
          <w:bCs/>
          <w:color w:val="auto"/>
          <w:szCs w:val="21"/>
        </w:rPr>
        <w:t>（以下简称“项目业主”）为</w:t>
      </w:r>
      <w:r>
        <w:rPr>
          <w:rFonts w:hint="eastAsia" w:ascii="宋体" w:hAnsi="宋体" w:eastAsia="宋体" w:cs="宋体"/>
          <w:b/>
          <w:bCs/>
          <w:color w:val="auto"/>
          <w:szCs w:val="21"/>
          <w:lang w:eastAsia="zh-CN"/>
        </w:rPr>
        <w:t>东莞市茶山镇污水处理厂改扩建项目</w:t>
      </w:r>
      <w:r>
        <w:rPr>
          <w:rFonts w:hint="eastAsia" w:ascii="宋体" w:hAnsi="宋体" w:eastAsia="宋体" w:cs="宋体"/>
          <w:b/>
          <w:bCs/>
          <w:color w:val="auto"/>
          <w:szCs w:val="21"/>
        </w:rPr>
        <w:t>的项目业主，招标人为上述项目的代建单位，项目业主已将</w:t>
      </w:r>
      <w:r>
        <w:rPr>
          <w:rFonts w:hint="eastAsia" w:ascii="宋体" w:hAnsi="宋体" w:eastAsia="宋体" w:cs="宋体"/>
          <w:b/>
          <w:bCs/>
          <w:color w:val="auto"/>
          <w:szCs w:val="21"/>
          <w:lang w:eastAsia="zh-CN"/>
        </w:rPr>
        <w:t>东莞市茶山镇污水处理厂改扩建项目</w:t>
      </w:r>
      <w:r>
        <w:rPr>
          <w:rFonts w:hint="eastAsia" w:ascii="宋体" w:hAnsi="宋体" w:eastAsia="宋体" w:cs="宋体"/>
          <w:b/>
          <w:bCs/>
          <w:color w:val="auto"/>
          <w:szCs w:val="21"/>
        </w:rPr>
        <w:t>委托给招标人实施代建。</w:t>
      </w:r>
    </w:p>
    <w:p>
      <w:pPr>
        <w:pStyle w:val="12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一、项目概况</w:t>
      </w:r>
    </w:p>
    <w:p>
      <w:pPr>
        <w:pStyle w:val="12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东莞市茶山镇污水处理厂改扩建项目位于东莞市茶山镇内,本工程扩容规模为4.5万m3/d，采用地上式建设形式，扩容后总规模达到9.5万m3/d，变化系数采用1.3，采用工艺为“五段式Bardenpho+MBR”工艺。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建设内容包括厂区主要构（建）筑物：粗格栅及进水泵房（改造）、细格栅及旋流沉砂池（新建）、精细格栅（新建）、五段式Bardenpho生物池（新建厌氧池+改造）、MBR膜池及设备间（新建）、紫外消毒渠（改造）、出水流量计井（新建）、鼓风机房及变配电间（改造）、脱水车间（改造）、生物除臭滤池（新建）以及厂区道路、绿化、电气及自控等辅助工程。</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二、总</w:t>
      </w:r>
      <w:r>
        <w:rPr>
          <w:rFonts w:hint="eastAsia" w:ascii="宋体" w:hAnsi="宋体" w:eastAsia="宋体" w:cs="宋体"/>
          <w:b/>
          <w:bCs w:val="0"/>
          <w:color w:val="auto"/>
          <w:sz w:val="21"/>
          <w:szCs w:val="21"/>
          <w:highlight w:val="none"/>
        </w:rPr>
        <w:t>体服务要求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（一）检测周期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lang w:val="en-US" w:eastAsia="zh-CN"/>
        </w:rPr>
        <w:t>东莞市茶山镇污水处理厂改扩建项目</w:t>
      </w:r>
      <w:r>
        <w:rPr>
          <w:rFonts w:hint="eastAsia" w:ascii="宋体" w:hAnsi="宋体" w:eastAsia="宋体" w:cs="宋体"/>
          <w:color w:val="auto"/>
          <w:sz w:val="21"/>
          <w:szCs w:val="21"/>
          <w:highlight w:val="none"/>
        </w:rPr>
        <w:t>开工至完成约定的各项检测及相关技术工作为止。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bookmarkStart w:id="420" w:name="_Toc46812559"/>
      <w:r>
        <w:rPr>
          <w:rFonts w:hint="eastAsia" w:ascii="宋体" w:hAnsi="宋体" w:eastAsia="宋体" w:cs="宋体"/>
          <w:color w:val="auto"/>
          <w:sz w:val="21"/>
          <w:szCs w:val="21"/>
          <w:highlight w:val="none"/>
        </w:rPr>
        <w:t>（二）检测依据</w:t>
      </w:r>
      <w:bookmarkEnd w:id="42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1、《建筑地基基础检测规范》（DBJ/T 15-60-2019）；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2、《岩土工程勘察规范》(2009年版)（GB 50021-2001）；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3、《建筑地基基础设计规范》（DBJ 15-31-2016）；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4、《建筑地基检测技术规范》（JGJ 340-2015）；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5、《钢结构工程施工质量验收标准》（GB 50205-2020）；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6、《钢结构现场检测技术标准》（GB/T 50621-2010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7、《焊缝无损检测 超声检测 技术、检测等级和评定》（GB/T 11345-2013）；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8、《城镇道路路面设计规范》（GJJ 169-2012）；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9、《城镇道路工程施工与质量验收规范》（GJJ 1-2008）；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10、《给水排水管道工程施工及验收规范 》（GB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50268-2008）；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11、《城市道路交通标志和标线设置规范》（GB 51038-2015）；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12、《广东省建筑节能与绿色建筑工程施工质量验收规范》(DBJ 15-65-2021)；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13、《建筑工程饰面砖粘结强度检验标准》(JGJ/T 110-2017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14、《建筑工程施工质量验收统一标准》（GB 50300-2013)；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15、《民用建筑工程室内环境污染控制标准》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 50325-2020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16、《公共建筑节能检测标准》（JGJ/T177-2009）；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17、《声学建筑和建筑构件隔声测量》（GB/T 19889.3-2005）；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18、《关于加强东莞市建设工程质量检测机构监督管理的通知》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东建质安〔2018〕33号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19、《关于开展建设工程混凝土结构实体质量监督抽测工作的通知》（东建质安〔2016〕262号）</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20、东莞市建设工程质量检测服务手册（第一版）；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21、《东莞市建设工程检测行业参考收费标准（2023版）》；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22、《广东省房屋建筑和市政工程工程质量安全检测收费指导价》（粤建检协[2015]8号）；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23、国家及省市建设主管部门的相关标准和规范；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24、设计资料等。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（三）检测内容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检测内容包括但不限于：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1、地基基础工程质量检测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开展地基承载力、桩基的承载力、压实度检测。根据《关于加强东莞市建设工程质量检测机构监督管理的通知》（东建质安〔2018〕33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声波透射、低应变、钻芯法等桩基完整性检测不在本次招标范围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2、钢结构焊缝检测及涂层厚度检测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开展焊缝的质量情况,以及防腐厚度</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检测。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3、原材料、道路等实体检测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开展混凝土原材料、道路工程、钻芯法检测混凝土强度、室内环境、防雷、外墙节能厚度钻芯、隔声噪声、后锚固件抗拔、饰面砖粘结强度等检测。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4、其它根据工程实际需要委托的检测项目。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5、根据相关法律、法规及主管部门的规定，必须另行独立采购的项目不包含在本次采购范围之内。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工程检测质量要求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（1）中标人</w:t>
      </w:r>
      <w:r>
        <w:rPr>
          <w:rFonts w:hint="eastAsia" w:ascii="宋体" w:hAnsi="宋体" w:eastAsia="宋体" w:cs="宋体"/>
          <w:color w:val="auto"/>
          <w:sz w:val="21"/>
          <w:szCs w:val="21"/>
          <w:highlight w:val="none"/>
          <w:lang w:val="hr-HR"/>
        </w:rPr>
        <w:t>提供检定合格、手续完备的检测（试验）仪器，及时出具具有法律</w:t>
      </w:r>
      <w:r>
        <w:rPr>
          <w:rFonts w:hint="eastAsia" w:ascii="宋体" w:hAnsi="宋体" w:eastAsia="宋体" w:cs="宋体"/>
          <w:color w:val="auto"/>
          <w:sz w:val="21"/>
          <w:szCs w:val="21"/>
          <w:highlight w:val="none"/>
        </w:rPr>
        <w:t>效力</w:t>
      </w:r>
      <w:r>
        <w:rPr>
          <w:rFonts w:hint="eastAsia" w:ascii="宋体" w:hAnsi="宋体" w:eastAsia="宋体" w:cs="宋体"/>
          <w:color w:val="auto"/>
          <w:sz w:val="21"/>
          <w:szCs w:val="21"/>
          <w:highlight w:val="none"/>
          <w:lang w:val="hr-HR"/>
        </w:rPr>
        <w:t>的检测（试验）报告。</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hr-HR"/>
        </w:rPr>
        <w:t>须保证检测（试验）成果质量，对技术成果负全</w:t>
      </w:r>
      <w:r>
        <w:rPr>
          <w:rFonts w:hint="eastAsia" w:ascii="宋体" w:hAnsi="宋体" w:eastAsia="宋体" w:cs="宋体"/>
          <w:color w:val="auto"/>
          <w:sz w:val="21"/>
          <w:szCs w:val="21"/>
          <w:highlight w:val="none"/>
          <w:lang w:val="en-US" w:eastAsia="zh-CN"/>
        </w:rPr>
        <w:t>部</w:t>
      </w:r>
      <w:r>
        <w:rPr>
          <w:rFonts w:hint="eastAsia" w:ascii="宋体" w:hAnsi="宋体" w:eastAsia="宋体" w:cs="宋体"/>
          <w:color w:val="auto"/>
          <w:sz w:val="21"/>
          <w:szCs w:val="21"/>
          <w:highlight w:val="none"/>
          <w:lang w:val="hr-HR"/>
        </w:rPr>
        <w:t>责任，如因检测（试验）不实，造成招标人经济损失费用全部由检测单位承担，并应负责重检。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执行国家、广东省以及东莞市有关工程检测（试验）的标准规范的规定。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其他质量要求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hr-HR"/>
        </w:rPr>
        <w:t>中标人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hr-HR"/>
        </w:rPr>
        <w:t>中标人应负责按东莞市建设工程质量安全监督站要求，根据本工程质量安全监督计划及相关规范编制并完善本工程的检测方案，并完成检测方案的审查备案、检测工作根据备案确认后的方案执行。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（3）中标人应当建立健全并落实各项管理制度，保证检测项目工作正常进行，并接受</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人及有关主管部门对项目服务质量的监督检查。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（4）中标人应建立并实施符合本项目各项要求的质量管理体系。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（5）招标人代表有权在工作时间内进入中标人的工作地点检查其质量手册、质量计划及其它与质量相关的文件的实施情况。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（五）成果要求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1、合同签订后15天内，中标人应根据批准的工程施工组织设计、工程设计文件、市政工程建设标准、国家及行业规范等制定并向招标人提交详细的可实施的检测方案1份。中标人</w:t>
      </w:r>
      <w:r>
        <w:rPr>
          <w:rFonts w:hint="eastAsia" w:ascii="宋体" w:hAnsi="宋体" w:eastAsia="宋体" w:cs="宋体"/>
          <w:color w:val="auto"/>
          <w:sz w:val="21"/>
          <w:szCs w:val="21"/>
          <w:highlight w:val="none"/>
          <w:lang w:val="hr-HR"/>
        </w:rPr>
        <w:t>应积极配合招标人调整优化检测方案，并提交招标人确认。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2、中标人在各项检测工作完成后应提交检测报告一式三份（含纸质版及电子档），检测报告包含但不限于：项目概况、检测位置、检测结果与结论、各类原始记录等内容，具体以相关规范为准。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3、中标人应向招标人提交正式、合法的检测报告书，并同时加盖资质认定标志（即CMA印章）和中标人检验检测报告专用章。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4、中标人所提供给招标人的成果资料所有权由招标人享有，未经招标人许可，中标人不得将成果泄露给第三方。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5、中标人</w:t>
      </w:r>
      <w:r>
        <w:rPr>
          <w:rFonts w:hint="eastAsia" w:ascii="宋体" w:hAnsi="宋体" w:eastAsia="宋体" w:cs="宋体"/>
          <w:color w:val="auto"/>
          <w:kern w:val="2"/>
          <w:sz w:val="21"/>
          <w:szCs w:val="21"/>
          <w:highlight w:val="none"/>
        </w:rPr>
        <w:t>须保证检测成果质量，对技术成果负全</w:t>
      </w:r>
      <w:r>
        <w:rPr>
          <w:rFonts w:hint="eastAsia" w:ascii="宋体" w:hAnsi="宋体" w:eastAsia="宋体" w:cs="宋体"/>
          <w:color w:val="auto"/>
          <w:kern w:val="2"/>
          <w:sz w:val="21"/>
          <w:szCs w:val="21"/>
          <w:highlight w:val="none"/>
          <w:lang w:val="en-US" w:eastAsia="zh-CN"/>
        </w:rPr>
        <w:t>部</w:t>
      </w:r>
      <w:r>
        <w:rPr>
          <w:rFonts w:hint="eastAsia" w:ascii="宋体" w:hAnsi="宋体" w:eastAsia="宋体" w:cs="宋体"/>
          <w:color w:val="auto"/>
          <w:kern w:val="2"/>
          <w:sz w:val="21"/>
          <w:szCs w:val="21"/>
          <w:highlight w:val="none"/>
        </w:rPr>
        <w:t>责任，如因检测不实，造成招标人经济损失费用全部由</w:t>
      </w:r>
      <w:r>
        <w:rPr>
          <w:rFonts w:hint="eastAsia" w:ascii="宋体" w:hAnsi="宋体" w:eastAsia="宋体" w:cs="宋体"/>
          <w:color w:val="auto"/>
          <w:sz w:val="21"/>
          <w:szCs w:val="21"/>
          <w:highlight w:val="none"/>
        </w:rPr>
        <w:t>中标人</w:t>
      </w:r>
      <w:r>
        <w:rPr>
          <w:rFonts w:hint="eastAsia" w:ascii="宋体" w:hAnsi="宋体" w:eastAsia="宋体" w:cs="宋体"/>
          <w:color w:val="auto"/>
          <w:kern w:val="2"/>
          <w:sz w:val="21"/>
          <w:szCs w:val="21"/>
          <w:highlight w:val="none"/>
        </w:rPr>
        <w:t>承担，并应负责重检。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（六）安全要求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1、中标人应做好服务的安全防护措施，服务过程中出现的安全事故由中标人自行承担。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2、中标人必须做好安全防护工作，由于中标人自身的原因发生的任何伤害（包括人身伤害），均由中标人自行承担。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严格按照东莞市住房和城乡建设局规定，使用“东莞市工程质量检测监管平台”开展相关检测工作，投标人须在“东莞市工程质量检测监管平台”完成注册备案，并提供相关网页截图。（须提供已备案网页截图，或提供中标后须在7个工作日内完成备案的承诺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2、中标人派出的检测人员应具备相应的专业知识及技术水平，有足够能力完成本项目检测服务工作。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3、中标人需配备1名项目负责人、1名技术负责人及数量充足的检测工作人员，保证检测工作有序、顺利完成。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4、中标人应配备完成本项目所必须的检测设备，其性能良好并符合国家规定。同时配备数量充足的交通警示标志和施工围档，以及检测仪器、无线通讯设备、劳动防护用品等其它必须使用的工具。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hr-HR"/>
        </w:rPr>
        <w:t>若</w:t>
      </w: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项目业主</w:t>
      </w:r>
      <w:r>
        <w:rPr>
          <w:rFonts w:hint="eastAsia" w:ascii="宋体" w:hAnsi="宋体" w:eastAsia="宋体" w:cs="宋体"/>
          <w:color w:val="auto"/>
          <w:sz w:val="21"/>
          <w:szCs w:val="21"/>
          <w:highlight w:val="none"/>
        </w:rPr>
        <w:t>、上级行政主管部门</w:t>
      </w:r>
      <w:r>
        <w:rPr>
          <w:rFonts w:hint="eastAsia" w:ascii="宋体" w:hAnsi="宋体" w:eastAsia="宋体" w:cs="宋体"/>
          <w:color w:val="auto"/>
          <w:sz w:val="21"/>
          <w:szCs w:val="21"/>
          <w:highlight w:val="none"/>
          <w:lang w:val="hr-HR"/>
        </w:rPr>
        <w:t>要求（</w:t>
      </w:r>
      <w:r>
        <w:rPr>
          <w:rFonts w:hint="eastAsia" w:ascii="宋体" w:hAnsi="宋体" w:eastAsia="宋体" w:cs="宋体"/>
          <w:color w:val="auto"/>
          <w:sz w:val="21"/>
          <w:szCs w:val="21"/>
          <w:highlight w:val="none"/>
        </w:rPr>
        <w:t>含政策变动</w:t>
      </w:r>
      <w:r>
        <w:rPr>
          <w:rFonts w:hint="eastAsia" w:ascii="宋体" w:hAnsi="宋体" w:eastAsia="宋体" w:cs="宋体"/>
          <w:color w:val="auto"/>
          <w:sz w:val="21"/>
          <w:szCs w:val="21"/>
          <w:highlight w:val="none"/>
          <w:lang w:val="hr-HR"/>
        </w:rPr>
        <w:t>）</w:t>
      </w: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val="hr-HR"/>
        </w:rPr>
        <w:t>内容和频次增加或减少，</w:t>
      </w:r>
      <w:r>
        <w:rPr>
          <w:rFonts w:hint="eastAsia" w:ascii="宋体" w:hAnsi="宋体" w:eastAsia="宋体" w:cs="宋体"/>
          <w:color w:val="auto"/>
          <w:sz w:val="21"/>
          <w:szCs w:val="21"/>
          <w:highlight w:val="none"/>
        </w:rPr>
        <w:t>中标人必须无条件</w:t>
      </w:r>
      <w:r>
        <w:rPr>
          <w:rFonts w:hint="eastAsia" w:ascii="宋体" w:hAnsi="宋体" w:eastAsia="宋体" w:cs="宋体"/>
          <w:color w:val="auto"/>
          <w:sz w:val="21"/>
          <w:szCs w:val="21"/>
          <w:highlight w:val="none"/>
          <w:lang w:val="hr-HR"/>
        </w:rPr>
        <w:t>遵守执行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hr-HR"/>
        </w:rPr>
        <w:t>实际检测量以招标人审核为准。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hr-HR"/>
        </w:rPr>
        <w:t>若特殊项目中标人无相应资质的，必须经招标人批准后送符合条件（具备相应资质）的分包单位进行检测，并出具相应的检测报告，否则将视为中标人违约，出具的报告不予承认。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hr-HR"/>
        </w:rPr>
        <w:t>在合同服务期内中标人不得因实际检测点过少或其他理由，而要求招标人提供任何形式的补偿或赔偿，或要求招标人所有的项目必须开展检测服务。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8、中标人</w:t>
      </w:r>
      <w:r>
        <w:rPr>
          <w:rFonts w:hint="eastAsia" w:ascii="宋体" w:hAnsi="宋体" w:eastAsia="宋体" w:cs="宋体"/>
          <w:color w:val="auto"/>
          <w:sz w:val="21"/>
          <w:szCs w:val="21"/>
          <w:highlight w:val="none"/>
          <w:lang w:val="hr-HR"/>
        </w:rPr>
        <w:t>自行解决现场检测（试验）所需辅助劳务及相关费用。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9、服务过程中涉及的设备、工具，由中标人自行解决。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10、服务过程中涉及的用水、用电由中标人自行接入，中标人需做好用水、用电安全防护措施并无条件接受招标人监督。</w:t>
      </w:r>
    </w:p>
    <w:p>
      <w:pPr>
        <w:pStyle w:val="12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三、合同价款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1、本项目《工程量清单计价表》（详见附件）的</w:t>
      </w:r>
      <w:r>
        <w:rPr>
          <w:rFonts w:hint="eastAsia" w:ascii="宋体" w:hAnsi="宋体" w:eastAsia="宋体" w:cs="宋体"/>
          <w:color w:val="auto"/>
          <w:sz w:val="21"/>
          <w:szCs w:val="21"/>
          <w:highlight w:val="none"/>
          <w:lang w:val="en-US" w:eastAsia="zh-CN"/>
        </w:rPr>
        <w:t>计费标准</w:t>
      </w:r>
      <w:r>
        <w:rPr>
          <w:rFonts w:hint="eastAsia" w:ascii="宋体" w:hAnsi="宋体" w:eastAsia="宋体" w:cs="宋体"/>
          <w:color w:val="auto"/>
          <w:sz w:val="21"/>
          <w:szCs w:val="21"/>
          <w:highlight w:val="none"/>
        </w:rPr>
        <w:t>参照《东莞市建设工程检测行业参考收费标准（2023版）》（东检协字（2023）3号）的参考单价，</w:t>
      </w:r>
      <w:r>
        <w:rPr>
          <w:rFonts w:hint="eastAsia" w:ascii="宋体" w:hAnsi="宋体" w:eastAsia="宋体" w:cs="宋体"/>
          <w:color w:val="auto"/>
          <w:sz w:val="21"/>
          <w:szCs w:val="21"/>
          <w:highlight w:val="none"/>
          <w:lang w:val="en-US" w:eastAsia="zh-CN"/>
        </w:rPr>
        <w:t>计费</w:t>
      </w:r>
      <w:r>
        <w:rPr>
          <w:rFonts w:hint="eastAsia" w:ascii="宋体" w:hAnsi="宋体" w:eastAsia="宋体" w:cs="宋体"/>
          <w:color w:val="auto"/>
          <w:sz w:val="21"/>
          <w:szCs w:val="21"/>
          <w:highlight w:val="none"/>
        </w:rPr>
        <w:t>标准未包含的部分参照《广东省房屋建筑和市政工程质量安全检测收费指导价》（粤建检协[2015]8号）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暂定总合同价款按照招标文件所附《工程量清单计价表》（详见附件）的不含税综合单价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不含税综合单价</w:t>
      </w:r>
      <w:r>
        <w:rPr>
          <w:rFonts w:hint="eastAsia" w:ascii="宋体" w:hAnsi="宋体" w:eastAsia="宋体" w:cs="宋体"/>
          <w:color w:val="auto"/>
          <w:sz w:val="21"/>
          <w:szCs w:val="21"/>
          <w:highlight w:val="none"/>
          <w:lang w:val="en-US" w:eastAsia="zh-CN"/>
        </w:rPr>
        <w:t>=参考单价÷1.06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检测服务系数×实际检测工作量</w:t>
      </w:r>
      <w:r>
        <w:rPr>
          <w:rFonts w:hint="eastAsia" w:ascii="宋体" w:hAnsi="宋体" w:eastAsia="宋体" w:cs="宋体"/>
          <w:color w:val="auto"/>
          <w:sz w:val="21"/>
          <w:szCs w:val="21"/>
          <w:highlight w:val="none"/>
          <w:lang w:val="en-US" w:eastAsia="zh-CN"/>
        </w:rPr>
        <w:t>计算所得</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招标人及项目业主也不承担任何额外费用。检测时，如需土建施工单位配合或向其租借设备时，中标人自行与施工单位协调，配合及租借费用已包括在</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量清单计价表》不作为中标人最终服务范围及业务承接数量的保证，招标人有权根据实际需求对检测工程量进行优化调整，最终服务费用按实际发生工程量结算。在合同服务期内，中标人不得因实际检测项目数量及服务费用的增减而要求招标人提供任何形式的补偿或赔偿，或只按招标人暂定的《工程量清单计价表》提供相应的对应服务。否则，视为中标人违约，招标人有权依据合同约定追究中标人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4、对于《工程量清单计价表》外新增的检测项目，不含税综合单价按以下方法计算：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（1）《东莞市建设工程检测行业参考收费标准 (2023版)》（东检协字（2023）3号）对应项参考单价÷1.06×</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检测服务系数；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（2）《东莞市建设工程检测行业参考收费标准 (2023版)》（东检协字（2023）3号）中无对应项，则按照《广东省房屋建筑和市政工程工程质量安全检测收费指导价》（粤建检协〔2015〕8号）对应项单价÷1.06×</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检测服务系数；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（3）《东莞市建设工程检测行业参考收费标准 (2023版)》（东检协字（2023）3号）与《广东省房屋建筑和市政工程工程质量安全检测收费指导价》（粤建检协〔2015〕8号）均无对应项的，由招标人结合本地</w:t>
      </w:r>
      <w:r>
        <w:rPr>
          <w:rFonts w:hint="eastAsia" w:ascii="宋体" w:hAnsi="宋体" w:eastAsia="宋体" w:cs="宋体"/>
          <w:color w:val="auto"/>
          <w:sz w:val="21"/>
          <w:szCs w:val="21"/>
          <w:highlight w:val="none"/>
          <w:lang w:val="en-US" w:eastAsia="zh-CN"/>
        </w:rPr>
        <w:t>及周边同类城市</w:t>
      </w:r>
      <w:r>
        <w:rPr>
          <w:rFonts w:hint="eastAsia" w:ascii="宋体" w:hAnsi="宋体" w:eastAsia="宋体" w:cs="宋体"/>
          <w:color w:val="auto"/>
          <w:sz w:val="21"/>
          <w:szCs w:val="21"/>
          <w:highlight w:val="none"/>
        </w:rPr>
        <w:t>市场询价</w:t>
      </w:r>
      <w:r>
        <w:rPr>
          <w:rFonts w:hint="eastAsia" w:ascii="宋体" w:hAnsi="宋体" w:eastAsia="宋体" w:cs="宋体"/>
          <w:color w:val="auto"/>
          <w:sz w:val="21"/>
          <w:szCs w:val="21"/>
          <w:highlight w:val="none"/>
          <w:lang w:val="en-US" w:eastAsia="zh-CN"/>
        </w:rPr>
        <w:t>的不含税综合单价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检测服务系数。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以上不含税综合单价均保留两位小数。</w:t>
      </w:r>
    </w:p>
    <w:p>
      <w:pPr>
        <w:pStyle w:val="12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四、费用支付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1、以季度为单位，即按季度计量支付进度款，中标人须向招标人提供相应的正式检测报告，经监理人及招标人审核通过后，项目业主应在中标人提交对应的请款报告30天内向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支付进度款。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业主以季度为单位按经监理人及招标人审核通过的检测报告所涉款项的80%支付本合同进度款，但项目业主累计支付的进度款不超过暂定总合同价款价税合计的80%，待工程竣工验收合格，项目结算完毕，并提交请款报告后30天内，项目业主按结算价一次性支付余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中标人收取每笔款项前，在提交请款报告的同时一并提供等额有效的增值税专用发票，项目业主在收到相关请款材料审核后支付；中标人逾期提交请款材料或提供的发票不合格的，项目业主的付款时间可相应顺延，且不视为违约。因支付产生的相关银行手续费用，根据有关银行规定执行，如不能明确费用承担主体的，相关手续费用由双方各承担50%。由于中标人提供的发票不符合税法规定，给项目业主造成的损失由中标人承担赔偿责任。</w:t>
      </w:r>
    </w:p>
    <w:p>
      <w:pPr>
        <w:pStyle w:val="127"/>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人每季度对中标人评价一次，出具考核评价结果。招标人将严格按照考核评分标准对中标人进行季度检查和考核。考评[70,80)分的，处相应付款周期内经招标人确认的检测费的10%作为违约金，考评[60,70)分的，处相应付款周期经招标人确认的检测费的20%作为违约金，考评60分以下的，处相应付款周期经招标人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的30%作为违约金。上述“[”代表闭区间，“)”代表开区间，如[70,80)代表该分数段范围为大于等于70且小于80。达到相应付款周期时,如中标人未申请支付本期费用, 招标人根据支付条件暂定本周期检测费并计算本周期内应缴纳的暂定违约金，中标人应予以缴纳。下一周期仍未申请时按上述做法执行，待到中标人申请支付费用时，根据合同付款流程确认检测费，同步对以往暂定违约金在本次一并确认并予以结算。</w:t>
      </w:r>
    </w:p>
    <w:p>
      <w:pPr>
        <w:adjustRightInd w:val="0"/>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检测单位履约考核评分表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804"/>
        <w:gridCol w:w="4306"/>
        <w:gridCol w:w="340"/>
        <w:gridCol w:w="1773"/>
        <w:gridCol w:w="108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6" w:type="pct"/>
            <w:gridSpan w:val="2"/>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检测人名称</w:t>
            </w:r>
          </w:p>
        </w:tc>
        <w:tc>
          <w:tcPr>
            <w:tcW w:w="2241" w:type="pct"/>
            <w:gridSpan w:val="2"/>
            <w:vAlign w:val="center"/>
          </w:tcPr>
          <w:p>
            <w:pPr>
              <w:adjustRightInd w:val="0"/>
              <w:snapToGrid w:val="0"/>
              <w:spacing w:line="360" w:lineRule="auto"/>
              <w:jc w:val="center"/>
              <w:rPr>
                <w:rFonts w:hint="eastAsia" w:ascii="宋体" w:hAnsi="宋体" w:eastAsia="宋体" w:cs="宋体"/>
                <w:color w:val="auto"/>
                <w:szCs w:val="21"/>
              </w:rPr>
            </w:pPr>
          </w:p>
        </w:tc>
        <w:tc>
          <w:tcPr>
            <w:tcW w:w="854"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评价时间</w:t>
            </w:r>
          </w:p>
        </w:tc>
        <w:tc>
          <w:tcPr>
            <w:tcW w:w="1037" w:type="pct"/>
            <w:gridSpan w:val="2"/>
            <w:vAlign w:val="center"/>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评价内容</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各项分值</w:t>
            </w:r>
          </w:p>
        </w:tc>
        <w:tc>
          <w:tcPr>
            <w:tcW w:w="3096" w:type="pct"/>
            <w:gridSpan w:val="3"/>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具体内容</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评分 </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各项</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服务响应</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1、不积极配合协助处理服务履行中发生的争议，不主动提供真实情况，每次扣3分；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2、未能在约定时间内进驻现场的，每次扣5分；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3、因无相应资质，需另行委托分包单位进行检测的，每检测项（细项）扣5分；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4、未派人员参加业主要求的相关会议，每次扣5分。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需求</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设备人员配置</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1、未按我公司要求配齐相应检测人员的，每人每次扣5分；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2、未按我公司要求配齐相应设备的，每次扣5分：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3、检测人员能力无法满足实际需要，且经我公司要求更换而未更换的，每人每次扣5分；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4、检测人员未持有效证件上岗及佩戴工作证，每人每次扣5分；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5、特种作业人员未持有效证件上岗及佩戴工作证，每人每次扣5分；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6、开展检测的设备未在检定有效期内，每台设备每次扣5分。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需求</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工作质量</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1、实际检测协作服务未达用户需求书、合同文件要求，且经我公司要求后未配合整改至符合要求的，每处每次扣5分；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2、检测记录、数据与实际不相符的，每次扣5分；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3、检测资料管理混乱、台账不及时更新、资料不及时签字或盖章不全的，每次扣5分；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4、未按《关于加强东莞市建设工程质量检测机构监督管理的通知》的规定进行拍照或录像的，每次扣5分；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5、检测报告的准确率，如出现报告的工程部位、工程名称、数据等错误的，每份报告扣5分；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6、检测结果不合格未及时反馈或通报的，每次扣10分。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需求</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服务进度</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1、没有在规定时间内完成检测协作服务工作的，每处每次扣5分；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2、没有按照合同规定时间内出具检测报告的，每份报告扣5分。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需求</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安全文明管理</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1、未按要求进行安全防护或安全防护不到位，我公司或上级部门检查中发现的，每处扣5分；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2、涉及有限空间作业未按照相关流程制度审批的，每次扣5分；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3、发生一般安全事故的，每次扣10分；</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4、发生较大安全事故的，每次扣20分。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安全管理部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7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服务态度</w:t>
            </w:r>
          </w:p>
        </w:tc>
        <w:tc>
          <w:tcPr>
            <w:tcW w:w="388"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3096" w:type="pct"/>
            <w:gridSpan w:val="3"/>
            <w:vAlign w:val="center"/>
          </w:tcPr>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对检测协作服务单位日常工作的服务态度，以及甲方、上级主管部门、建设单位检查中配合情况、服务投诉情况进行评价。每收到投诉一次扣5分。</w:t>
            </w:r>
          </w:p>
        </w:tc>
        <w:tc>
          <w:tcPr>
            <w:tcW w:w="521" w:type="pct"/>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需求</w:t>
            </w:r>
          </w:p>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部门</w:t>
            </w:r>
          </w:p>
        </w:tc>
        <w:tc>
          <w:tcPr>
            <w:tcW w:w="515" w:type="pct"/>
            <w:vAlign w:val="bottom"/>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2" w:type="pct"/>
            <w:gridSpan w:val="5"/>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1037" w:type="pct"/>
            <w:gridSpan w:val="2"/>
            <w:vAlign w:val="center"/>
          </w:tcPr>
          <w:p>
            <w:pPr>
              <w:adjustRightInd w:val="0"/>
              <w:snapToGrid w:val="0"/>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000" w:type="pct"/>
            <w:gridSpan w:val="7"/>
            <w:vAlign w:val="center"/>
          </w:tcPr>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考核评分须知：</w:t>
            </w:r>
          </w:p>
          <w:p>
            <w:pPr>
              <w:adjustRightInd w:val="0"/>
              <w:snapToGrid w:val="0"/>
              <w:spacing w:line="360" w:lineRule="auto"/>
              <w:rPr>
                <w:rFonts w:ascii="宋体" w:hAnsi="宋体" w:eastAsia="宋体" w:cs="宋体"/>
                <w:b w:val="0"/>
                <w:bCs w:val="0"/>
                <w:color w:val="auto"/>
                <w:szCs w:val="21"/>
              </w:rPr>
            </w:pPr>
            <w:bookmarkStart w:id="421" w:name="_Hlk139741337"/>
            <w:r>
              <w:rPr>
                <w:rFonts w:hint="eastAsia" w:ascii="宋体" w:hAnsi="宋体" w:eastAsia="宋体" w:cs="宋体"/>
                <w:b w:val="0"/>
                <w:bCs w:val="0"/>
                <w:color w:val="auto"/>
                <w:szCs w:val="21"/>
              </w:rPr>
              <w:t>1、委托人每季度对检测人评价一次，出具考核评价结果。</w:t>
            </w:r>
          </w:p>
          <w:p>
            <w:pPr>
              <w:adjustRightInd w:val="0"/>
              <w:snapToGrid w:val="0"/>
              <w:spacing w:line="360" w:lineRule="auto"/>
              <w:rPr>
                <w:rFonts w:ascii="宋体" w:hAnsi="宋体" w:eastAsia="宋体" w:cs="宋体"/>
                <w:b w:val="0"/>
                <w:bCs w:val="0"/>
                <w:color w:val="auto"/>
                <w:szCs w:val="21"/>
              </w:rPr>
            </w:pPr>
            <w:r>
              <w:rPr>
                <w:rFonts w:hint="eastAsia" w:ascii="宋体" w:hAnsi="宋体" w:eastAsia="宋体" w:cs="宋体"/>
                <w:b w:val="0"/>
                <w:bCs w:val="0"/>
                <w:color w:val="auto"/>
                <w:szCs w:val="21"/>
              </w:rPr>
              <w:t>2、委托人将严格按照考核评分标准对检测人进行季度检查和考核。</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b w:val="0"/>
                <w:bCs w:val="0"/>
                <w:color w:val="auto"/>
                <w:szCs w:val="21"/>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Cs w:val="21"/>
                <w:lang w:val="en-US" w:eastAsia="zh-CN"/>
              </w:rPr>
              <w:t>费</w:t>
            </w:r>
            <w:r>
              <w:rPr>
                <w:rFonts w:hint="eastAsia" w:ascii="宋体" w:hAnsi="宋体" w:eastAsia="宋体" w:cs="宋体"/>
                <w:b w:val="0"/>
                <w:bCs w:val="0"/>
                <w:color w:val="auto"/>
                <w:szCs w:val="21"/>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6" w:type="pct"/>
            <w:gridSpan w:val="2"/>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评价人员签名</w:t>
            </w:r>
          </w:p>
        </w:tc>
        <w:tc>
          <w:tcPr>
            <w:tcW w:w="2077" w:type="pct"/>
            <w:vAlign w:val="center"/>
          </w:tcPr>
          <w:p>
            <w:pPr>
              <w:adjustRightInd w:val="0"/>
              <w:snapToGrid w:val="0"/>
              <w:spacing w:line="360" w:lineRule="auto"/>
              <w:jc w:val="center"/>
              <w:rPr>
                <w:rFonts w:hint="eastAsia" w:ascii="宋体" w:hAnsi="宋体" w:eastAsia="宋体" w:cs="宋体"/>
                <w:color w:val="auto"/>
                <w:szCs w:val="21"/>
              </w:rPr>
            </w:pPr>
          </w:p>
        </w:tc>
        <w:tc>
          <w:tcPr>
            <w:tcW w:w="1018" w:type="pct"/>
            <w:gridSpan w:val="2"/>
            <w:vAlign w:val="center"/>
          </w:tcPr>
          <w:p>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评价日期</w:t>
            </w:r>
          </w:p>
        </w:tc>
        <w:tc>
          <w:tcPr>
            <w:tcW w:w="1037" w:type="pct"/>
            <w:gridSpan w:val="2"/>
            <w:vAlign w:val="center"/>
          </w:tcPr>
          <w:p>
            <w:pPr>
              <w:adjustRightInd w:val="0"/>
              <w:snapToGrid w:val="0"/>
              <w:spacing w:line="360" w:lineRule="auto"/>
              <w:jc w:val="center"/>
              <w:rPr>
                <w:rFonts w:hint="eastAsia" w:ascii="宋体" w:hAnsi="宋体" w:eastAsia="宋体" w:cs="宋体"/>
                <w:color w:val="auto"/>
                <w:szCs w:val="21"/>
              </w:rPr>
            </w:pPr>
          </w:p>
        </w:tc>
      </w:tr>
    </w:tbl>
    <w:p>
      <w:pPr>
        <w:spacing w:line="360" w:lineRule="auto"/>
        <w:ind w:firstLine="420" w:firstLineChars="200"/>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附件：</w:t>
      </w:r>
      <w:r>
        <w:rPr>
          <w:rFonts w:hint="eastAsia" w:ascii="宋体" w:hAnsi="宋体" w:eastAsia="宋体" w:cs="宋体"/>
          <w:b/>
          <w:bCs w:val="0"/>
          <w:color w:val="auto"/>
          <w:sz w:val="21"/>
          <w:szCs w:val="21"/>
          <w:highlight w:val="none"/>
          <w:lang w:val="en-US" w:eastAsia="zh-CN"/>
        </w:rPr>
        <w:t>《工程量清单计价表》</w:t>
      </w:r>
    </w:p>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color w:val="auto"/>
          <w:szCs w:val="21"/>
          <w:highlight w:val="none"/>
        </w:rPr>
      </w:pPr>
    </w:p>
    <w:p>
      <w:pPr>
        <w:rPr>
          <w:rFonts w:ascii="宋体" w:hAnsi="宋体" w:eastAsia="宋体" w:cs="Times New Roman"/>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color w:val="auto"/>
          <w:kern w:val="0"/>
          <w:sz w:val="24"/>
          <w:szCs w:val="24"/>
          <w:highlight w:val="none"/>
        </w:rPr>
      </w:pPr>
      <w:bookmarkStart w:id="422" w:name="_Toc20401"/>
      <w:bookmarkStart w:id="423" w:name="_Toc142508359"/>
      <w:bookmarkStart w:id="424" w:name="_Toc16287"/>
      <w:bookmarkStart w:id="425" w:name="_Toc11281_WPSOffice_Level1"/>
      <w:bookmarkStart w:id="426" w:name="_Toc450662892"/>
      <w:bookmarkStart w:id="427" w:name="_Toc486167707"/>
      <w:bookmarkStart w:id="428" w:name="_Toc25251"/>
      <w:bookmarkStart w:id="429" w:name="_Toc2509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22"/>
      <w:bookmarkEnd w:id="423"/>
      <w:bookmarkEnd w:id="424"/>
      <w:bookmarkEnd w:id="425"/>
      <w:bookmarkEnd w:id="426"/>
      <w:bookmarkEnd w:id="427"/>
      <w:bookmarkEnd w:id="428"/>
      <w:bookmarkEnd w:id="429"/>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ind w:right="281"/>
        <w:jc w:val="right"/>
        <w:rPr>
          <w:rFonts w:ascii="宋体" w:hAnsi="宋体"/>
          <w:color w:val="auto"/>
          <w:sz w:val="30"/>
          <w:szCs w:val="30"/>
          <w:u w:val="single"/>
        </w:rPr>
      </w:pPr>
      <w:r>
        <w:rPr>
          <w:rFonts w:hint="eastAsia" w:ascii="宋体" w:hAnsi="宋体" w:eastAsia="宋体" w:cs="宋体"/>
          <w:color w:val="auto"/>
          <w:sz w:val="30"/>
          <w:szCs w:val="30"/>
        </w:rPr>
        <w:t>合同编号：</w:t>
      </w:r>
      <w:r>
        <w:rPr>
          <w:rFonts w:hint="eastAsia" w:ascii="宋体" w:hAnsi="宋体" w:eastAsia="宋体" w:cs="宋体"/>
          <w:color w:val="auto"/>
          <w:sz w:val="30"/>
          <w:szCs w:val="30"/>
          <w:u w:val="single"/>
        </w:rPr>
        <w:t xml:space="preserve">  </w:t>
      </w:r>
      <w:r>
        <w:rPr>
          <w:rFonts w:hint="eastAsia" w:ascii="宋体" w:hAnsi="宋体"/>
          <w:color w:val="auto"/>
          <w:sz w:val="30"/>
          <w:szCs w:val="30"/>
          <w:u w:val="single"/>
        </w:rPr>
        <w:t xml:space="preserve">       </w:t>
      </w:r>
    </w:p>
    <w:p>
      <w:pPr>
        <w:ind w:right="500" w:firstLine="2940" w:firstLineChars="1400"/>
        <w:rPr>
          <w:rFonts w:ascii="宋体" w:hAnsi="宋体"/>
          <w:color w:val="auto"/>
          <w:szCs w:val="28"/>
        </w:rPr>
      </w:pPr>
    </w:p>
    <w:p>
      <w:pPr>
        <w:spacing w:line="360" w:lineRule="auto"/>
        <w:rPr>
          <w:rFonts w:ascii="宋体" w:hAnsi="宋体" w:cs="宋体"/>
          <w:b/>
          <w:bCs/>
          <w:snapToGrid w:val="0"/>
          <w:color w:val="auto"/>
          <w:sz w:val="52"/>
          <w:szCs w:val="32"/>
        </w:rPr>
      </w:pPr>
    </w:p>
    <w:p>
      <w:pPr>
        <w:spacing w:line="360" w:lineRule="auto"/>
        <w:jc w:val="center"/>
        <w:rPr>
          <w:rFonts w:hint="eastAsia" w:ascii="宋体" w:hAnsi="宋体" w:eastAsia="宋体" w:cs="宋体"/>
          <w:b/>
          <w:bCs/>
          <w:snapToGrid w:val="0"/>
          <w:color w:val="auto"/>
          <w:sz w:val="52"/>
          <w:szCs w:val="32"/>
        </w:rPr>
      </w:pPr>
    </w:p>
    <w:p>
      <w:pPr>
        <w:spacing w:line="360" w:lineRule="auto"/>
        <w:jc w:val="center"/>
        <w:rPr>
          <w:rFonts w:ascii="宋体" w:hAnsi="宋体" w:eastAsia="宋体" w:cs="宋体"/>
          <w:b/>
          <w:bCs/>
          <w:snapToGrid w:val="0"/>
          <w:color w:val="auto"/>
          <w:sz w:val="52"/>
          <w:szCs w:val="32"/>
        </w:rPr>
      </w:pPr>
      <w:r>
        <w:rPr>
          <w:rFonts w:hint="eastAsia" w:ascii="宋体" w:hAnsi="宋体" w:eastAsia="宋体" w:cs="宋体"/>
          <w:b/>
          <w:bCs/>
          <w:snapToGrid w:val="0"/>
          <w:color w:val="auto"/>
          <w:sz w:val="52"/>
          <w:szCs w:val="32"/>
        </w:rPr>
        <w:t>第 三 方 检 测 合 同</w:t>
      </w:r>
    </w:p>
    <w:p>
      <w:pPr>
        <w:spacing w:line="360" w:lineRule="auto"/>
        <w:ind w:left="420" w:leftChars="200"/>
        <w:rPr>
          <w:rFonts w:ascii="宋体" w:hAnsi="宋体" w:eastAsia="宋体" w:cs="宋体"/>
          <w:b/>
          <w:bCs/>
          <w:snapToGrid w:val="0"/>
          <w:color w:val="auto"/>
        </w:rPr>
      </w:pPr>
    </w:p>
    <w:p>
      <w:pPr>
        <w:spacing w:line="360" w:lineRule="auto"/>
        <w:ind w:left="420" w:leftChars="200"/>
        <w:rPr>
          <w:rFonts w:ascii="宋体" w:hAnsi="宋体" w:eastAsia="宋体" w:cs="宋体"/>
          <w:b/>
          <w:bCs/>
          <w:snapToGrid w:val="0"/>
          <w:color w:val="auto"/>
        </w:rPr>
      </w:pPr>
    </w:p>
    <w:p>
      <w:pPr>
        <w:spacing w:line="360" w:lineRule="auto"/>
        <w:ind w:left="420" w:leftChars="200"/>
        <w:rPr>
          <w:rFonts w:ascii="宋体" w:hAnsi="宋体" w:eastAsia="宋体" w:cs="宋体"/>
          <w:color w:val="auto"/>
          <w:u w:val="single"/>
        </w:rPr>
      </w:pPr>
    </w:p>
    <w:p>
      <w:pPr>
        <w:spacing w:line="360" w:lineRule="auto"/>
        <w:ind w:left="420" w:leftChars="200"/>
        <w:rPr>
          <w:rFonts w:ascii="宋体" w:hAnsi="宋体" w:eastAsia="宋体" w:cs="宋体"/>
          <w:color w:val="auto"/>
          <w:u w:val="single"/>
        </w:rPr>
      </w:pPr>
    </w:p>
    <w:p>
      <w:pPr>
        <w:spacing w:line="360" w:lineRule="auto"/>
        <w:ind w:left="420" w:leftChars="200"/>
        <w:rPr>
          <w:rFonts w:ascii="宋体" w:hAnsi="宋体" w:eastAsia="宋体" w:cs="宋体"/>
          <w:color w:val="auto"/>
          <w:u w:val="single"/>
        </w:rPr>
      </w:pPr>
    </w:p>
    <w:p>
      <w:pPr>
        <w:spacing w:line="360" w:lineRule="auto"/>
        <w:ind w:left="420" w:leftChars="200"/>
        <w:rPr>
          <w:rFonts w:ascii="宋体" w:hAnsi="宋体" w:eastAsia="宋体" w:cs="宋体"/>
          <w:color w:val="auto"/>
          <w:u w:val="single"/>
        </w:rPr>
      </w:pPr>
    </w:p>
    <w:p>
      <w:pPr>
        <w:spacing w:line="360" w:lineRule="auto"/>
        <w:ind w:left="420" w:leftChars="200"/>
        <w:rPr>
          <w:rFonts w:ascii="宋体" w:hAnsi="宋体" w:eastAsia="宋体" w:cs="宋体"/>
          <w:color w:val="auto"/>
          <w:u w:val="single"/>
        </w:rPr>
      </w:pPr>
    </w:p>
    <w:p>
      <w:pPr>
        <w:spacing w:line="360" w:lineRule="auto"/>
        <w:rPr>
          <w:rFonts w:ascii="宋体" w:hAnsi="宋体" w:eastAsia="宋体" w:cs="宋体"/>
          <w:b/>
          <w:color w:val="auto"/>
          <w:sz w:val="30"/>
          <w:szCs w:val="30"/>
          <w:u w:val="single"/>
        </w:rPr>
      </w:pPr>
    </w:p>
    <w:p>
      <w:pPr>
        <w:spacing w:line="360" w:lineRule="auto"/>
        <w:jc w:val="left"/>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u w:val="single"/>
          <w:lang w:eastAsia="zh-CN"/>
        </w:rPr>
        <w:t>东莞市茶山镇污水处理厂改扩建项目第三方检测服务（不含桩基完整性检测）采购项目</w:t>
      </w:r>
    </w:p>
    <w:p>
      <w:pPr>
        <w:spacing w:line="360" w:lineRule="auto"/>
        <w:rPr>
          <w:rFonts w:ascii="宋体" w:hAnsi="宋体" w:eastAsia="宋体" w:cs="宋体"/>
          <w:b/>
          <w:color w:val="auto"/>
          <w:sz w:val="28"/>
          <w:szCs w:val="28"/>
          <w:u w:val="single"/>
        </w:rPr>
      </w:pPr>
      <w:r>
        <w:rPr>
          <w:rFonts w:hint="eastAsia" w:ascii="宋体" w:hAnsi="宋体" w:eastAsia="宋体" w:cs="宋体"/>
          <w:b/>
          <w:color w:val="auto"/>
          <w:sz w:val="28"/>
          <w:szCs w:val="28"/>
        </w:rPr>
        <w:t>委 托 人：</w:t>
      </w:r>
      <w:r>
        <w:rPr>
          <w:rFonts w:hint="eastAsia" w:ascii="宋体" w:hAnsi="宋体" w:eastAsia="宋体" w:cs="宋体"/>
          <w:b/>
          <w:color w:val="auto"/>
          <w:sz w:val="28"/>
          <w:szCs w:val="28"/>
          <w:u w:val="single"/>
        </w:rPr>
        <w:t>东莞市水务集团建设管理有限公司</w:t>
      </w:r>
    </w:p>
    <w:p>
      <w:pPr>
        <w:spacing w:line="360" w:lineRule="auto"/>
        <w:rPr>
          <w:rFonts w:ascii="宋体" w:hAnsi="宋体" w:eastAsia="宋体" w:cs="宋体"/>
          <w:b/>
          <w:color w:val="auto"/>
          <w:sz w:val="28"/>
          <w:szCs w:val="28"/>
        </w:rPr>
      </w:pPr>
      <w:r>
        <w:rPr>
          <w:rFonts w:hint="eastAsia" w:ascii="宋体" w:hAnsi="宋体" w:eastAsia="宋体" w:cs="宋体"/>
          <w:b/>
          <w:color w:val="auto"/>
          <w:sz w:val="28"/>
          <w:szCs w:val="28"/>
        </w:rPr>
        <w:t>检 测 人：</w:t>
      </w:r>
      <w:r>
        <w:rPr>
          <w:rFonts w:hint="eastAsia" w:ascii="宋体" w:hAnsi="宋体" w:eastAsia="宋体" w:cs="宋体"/>
          <w:b/>
          <w:color w:val="auto"/>
          <w:sz w:val="28"/>
          <w:szCs w:val="28"/>
          <w:u w:val="single"/>
        </w:rPr>
        <w:t xml:space="preserve">                              </w:t>
      </w:r>
    </w:p>
    <w:p>
      <w:pPr>
        <w:spacing w:line="360" w:lineRule="auto"/>
        <w:rPr>
          <w:rFonts w:ascii="宋体" w:hAnsi="宋体" w:eastAsia="宋体" w:cs="宋体"/>
          <w:color w:val="auto"/>
        </w:rPr>
      </w:pPr>
      <w:r>
        <w:rPr>
          <w:rFonts w:hint="eastAsia" w:ascii="宋体" w:hAnsi="宋体" w:eastAsia="宋体" w:cs="宋体"/>
          <w:b/>
          <w:color w:val="auto"/>
          <w:sz w:val="28"/>
          <w:szCs w:val="28"/>
        </w:rPr>
        <w:t>项目业主：</w:t>
      </w:r>
      <w:r>
        <w:rPr>
          <w:rFonts w:hint="eastAsia" w:ascii="宋体" w:hAnsi="宋体" w:eastAsia="宋体" w:cs="宋体"/>
          <w:b/>
          <w:color w:val="auto"/>
          <w:sz w:val="28"/>
          <w:szCs w:val="28"/>
          <w:u w:val="single"/>
          <w:lang w:eastAsia="zh-CN"/>
        </w:rPr>
        <w:t>东莞市石鼓净水有限公司</w:t>
      </w:r>
      <w:r>
        <w:rPr>
          <w:rFonts w:hint="eastAsia" w:ascii="宋体" w:hAnsi="宋体" w:eastAsia="宋体" w:cs="宋体"/>
          <w:b/>
          <w:color w:val="auto"/>
          <w:sz w:val="28"/>
          <w:szCs w:val="28"/>
          <w:u w:val="single"/>
        </w:rPr>
        <w:t xml:space="preserve">    </w:t>
      </w:r>
    </w:p>
    <w:p>
      <w:pPr>
        <w:pStyle w:val="21"/>
        <w:rPr>
          <w:rFonts w:hAnsi="宋体" w:cs="宋体"/>
          <w:color w:val="auto"/>
        </w:rPr>
      </w:pPr>
    </w:p>
    <w:p>
      <w:pPr>
        <w:spacing w:line="360" w:lineRule="auto"/>
        <w:ind w:left="420" w:leftChars="200" w:firstLine="585"/>
        <w:jc w:val="center"/>
        <w:rPr>
          <w:rFonts w:ascii="宋体" w:hAnsi="宋体" w:eastAsia="宋体" w:cs="宋体"/>
          <w:b/>
          <w:color w:val="auto"/>
          <w:sz w:val="28"/>
          <w:szCs w:val="28"/>
        </w:rPr>
      </w:pPr>
      <w:r>
        <w:rPr>
          <w:rFonts w:hint="eastAsia" w:ascii="宋体" w:hAnsi="宋体" w:eastAsia="宋体" w:cs="宋体"/>
          <w:b/>
          <w:color w:val="auto"/>
          <w:sz w:val="28"/>
          <w:szCs w:val="28"/>
        </w:rPr>
        <w:t>年    月    日</w:t>
      </w:r>
    </w:p>
    <w:p>
      <w:pPr>
        <w:autoSpaceDE w:val="0"/>
        <w:autoSpaceDN w:val="0"/>
        <w:adjustRightInd w:val="0"/>
        <w:jc w:val="left"/>
        <w:rPr>
          <w:rFonts w:ascii="宋体" w:hAnsi="宋体" w:eastAsia="宋体" w:cs="宋体"/>
          <w:b/>
          <w:bCs/>
          <w:color w:val="auto"/>
          <w:kern w:val="0"/>
          <w:sz w:val="28"/>
          <w:szCs w:val="28"/>
          <w:highlight w:val="none"/>
        </w:rPr>
      </w:pPr>
    </w:p>
    <w:p>
      <w:pPr>
        <w:autoSpaceDE w:val="0"/>
        <w:autoSpaceDN w:val="0"/>
        <w:adjustRightInd w:val="0"/>
        <w:jc w:val="left"/>
        <w:rPr>
          <w:rFonts w:ascii="宋体" w:hAnsi="宋体" w:eastAsia="宋体" w:cs="宋体"/>
          <w:b/>
          <w:bCs/>
          <w:color w:val="auto"/>
          <w:kern w:val="0"/>
          <w:sz w:val="28"/>
          <w:szCs w:val="28"/>
          <w:highlight w:val="none"/>
        </w:rPr>
      </w:pPr>
    </w:p>
    <w:p>
      <w:pPr>
        <w:autoSpaceDE w:val="0"/>
        <w:autoSpaceDN w:val="0"/>
        <w:adjustRightInd w:val="0"/>
        <w:jc w:val="left"/>
        <w:rPr>
          <w:rFonts w:ascii="宋体" w:hAnsi="宋体" w:eastAsia="宋体" w:cs="宋体"/>
          <w:b/>
          <w:bCs/>
          <w:color w:val="auto"/>
          <w:kern w:val="0"/>
          <w:sz w:val="28"/>
          <w:szCs w:val="28"/>
          <w:highlight w:val="none"/>
        </w:rPr>
      </w:pPr>
    </w:p>
    <w:p>
      <w:pPr>
        <w:adjustRightInd w:val="0"/>
        <w:snapToGrid w:val="0"/>
        <w:spacing w:line="360" w:lineRule="auto"/>
        <w:rPr>
          <w:rFonts w:hint="eastAsia" w:ascii="宋体" w:hAnsi="宋体" w:eastAsia="宋体" w:cs="宋体"/>
          <w:b/>
          <w:color w:val="auto"/>
          <w:sz w:val="21"/>
          <w:szCs w:val="21"/>
          <w:u w:val="single"/>
        </w:rPr>
      </w:pPr>
      <w:r>
        <w:rPr>
          <w:rFonts w:hint="eastAsia" w:ascii="宋体" w:hAnsi="宋体" w:eastAsia="宋体" w:cs="宋体"/>
          <w:b/>
          <w:color w:val="auto"/>
          <w:sz w:val="21"/>
          <w:szCs w:val="21"/>
        </w:rPr>
        <w:t>委托人（甲方）：</w:t>
      </w:r>
      <w:r>
        <w:rPr>
          <w:rFonts w:hint="eastAsia" w:ascii="宋体" w:hAnsi="宋体" w:eastAsia="宋体" w:cs="宋体"/>
          <w:b/>
          <w:color w:val="auto"/>
          <w:sz w:val="21"/>
          <w:szCs w:val="21"/>
          <w:u w:val="single"/>
        </w:rPr>
        <w:t>东莞市水务集团建设管理有限公司</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检测人（乙方）：</w:t>
      </w:r>
      <w:r>
        <w:rPr>
          <w:rFonts w:hint="eastAsia" w:ascii="宋体" w:hAnsi="宋体" w:eastAsia="宋体" w:cs="宋体"/>
          <w:b/>
          <w:color w:val="auto"/>
          <w:sz w:val="21"/>
          <w:szCs w:val="21"/>
          <w:u w:val="single"/>
        </w:rPr>
        <w:t xml:space="preserve">                      </w:t>
      </w:r>
    </w:p>
    <w:p>
      <w:p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项目业主（丙方）：</w:t>
      </w:r>
      <w:r>
        <w:rPr>
          <w:rFonts w:hint="eastAsia" w:ascii="宋体" w:hAnsi="宋体" w:eastAsia="宋体" w:cs="宋体"/>
          <w:b/>
          <w:color w:val="auto"/>
          <w:sz w:val="21"/>
          <w:szCs w:val="21"/>
          <w:u w:val="single"/>
          <w:lang w:eastAsia="zh-CN"/>
        </w:rPr>
        <w:t>东莞市石鼓净水有限公司</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鉴于：</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1.乙方已明确知悉：</w:t>
      </w:r>
      <w:r>
        <w:rPr>
          <w:rFonts w:hint="eastAsia" w:ascii="宋体" w:hAnsi="宋体" w:eastAsia="宋体" w:cs="宋体"/>
          <w:bCs/>
          <w:color w:val="auto"/>
          <w:sz w:val="21"/>
          <w:szCs w:val="21"/>
          <w:u w:val="single"/>
          <w:lang w:eastAsia="zh-CN"/>
        </w:rPr>
        <w:t>东莞市石鼓净水有限公司</w:t>
      </w:r>
      <w:r>
        <w:rPr>
          <w:rFonts w:hint="eastAsia" w:ascii="宋体" w:hAnsi="宋体" w:eastAsia="宋体" w:cs="宋体"/>
          <w:color w:val="auto"/>
          <w:sz w:val="21"/>
          <w:szCs w:val="21"/>
        </w:rPr>
        <w:t>（以下简称“丙方”）为</w:t>
      </w:r>
      <w:r>
        <w:rPr>
          <w:rFonts w:hint="eastAsia" w:ascii="宋体" w:hAnsi="宋体" w:eastAsia="宋体" w:cs="宋体"/>
          <w:color w:val="auto"/>
          <w:sz w:val="21"/>
          <w:szCs w:val="21"/>
          <w:u w:val="single"/>
          <w:lang w:eastAsia="zh-CN"/>
        </w:rPr>
        <w:t>东莞市茶山镇污水处理厂改扩建项目</w:t>
      </w:r>
      <w:r>
        <w:rPr>
          <w:rFonts w:hint="eastAsia" w:ascii="宋体" w:hAnsi="宋体" w:eastAsia="宋体" w:cs="宋体"/>
          <w:color w:val="auto"/>
          <w:sz w:val="21"/>
          <w:szCs w:val="21"/>
        </w:rPr>
        <w:t>的项目业主，</w:t>
      </w:r>
      <w:r>
        <w:rPr>
          <w:rFonts w:hint="eastAsia" w:ascii="宋体" w:hAnsi="宋体" w:eastAsia="宋体" w:cs="宋体"/>
          <w:color w:val="auto"/>
          <w:sz w:val="21"/>
          <w:szCs w:val="21"/>
          <w:u w:val="single"/>
        </w:rPr>
        <w:t>东莞市水务集团建设管理有限公司</w:t>
      </w:r>
      <w:r>
        <w:rPr>
          <w:rFonts w:hint="eastAsia" w:ascii="宋体" w:hAnsi="宋体" w:eastAsia="宋体" w:cs="宋体"/>
          <w:color w:val="auto"/>
          <w:sz w:val="21"/>
          <w:szCs w:val="21"/>
        </w:rPr>
        <w:t>（以下简称“甲方”）为上述项目的代建单位。</w:t>
      </w:r>
      <w:r>
        <w:rPr>
          <w:rFonts w:hint="eastAsia" w:ascii="宋体" w:hAnsi="宋体" w:eastAsia="宋体" w:cs="宋体"/>
          <w:color w:val="auto"/>
          <w:sz w:val="21"/>
          <w:szCs w:val="21"/>
          <w:u w:val="single"/>
          <w:lang w:eastAsia="zh-CN"/>
        </w:rPr>
        <w:t>东莞市石鼓净水有限公司</w:t>
      </w:r>
      <w:r>
        <w:rPr>
          <w:rFonts w:hint="eastAsia" w:ascii="宋体" w:hAnsi="宋体" w:eastAsia="宋体" w:cs="宋体"/>
          <w:color w:val="auto"/>
          <w:sz w:val="21"/>
          <w:szCs w:val="21"/>
        </w:rPr>
        <w:t>已将</w:t>
      </w:r>
      <w:r>
        <w:rPr>
          <w:rFonts w:hint="eastAsia" w:ascii="宋体" w:hAnsi="宋体" w:eastAsia="宋体" w:cs="宋体"/>
          <w:color w:val="auto"/>
          <w:sz w:val="21"/>
          <w:szCs w:val="21"/>
          <w:u w:val="single"/>
          <w:lang w:eastAsia="zh-CN"/>
        </w:rPr>
        <w:t>东莞市茶山镇污水处理厂改扩建项目</w:t>
      </w:r>
      <w:r>
        <w:rPr>
          <w:rFonts w:hint="eastAsia" w:ascii="宋体" w:hAnsi="宋体" w:eastAsia="宋体" w:cs="宋体"/>
          <w:color w:val="auto"/>
          <w:sz w:val="21"/>
          <w:szCs w:val="21"/>
        </w:rPr>
        <w:t>委托给</w:t>
      </w:r>
      <w:r>
        <w:rPr>
          <w:rFonts w:hint="eastAsia" w:ascii="宋体" w:hAnsi="宋体" w:eastAsia="宋体" w:cs="宋体"/>
          <w:color w:val="auto"/>
          <w:sz w:val="21"/>
          <w:szCs w:val="21"/>
          <w:u w:val="single"/>
        </w:rPr>
        <w:t>东莞市水务集团建设管理有限公司</w:t>
      </w:r>
      <w:r>
        <w:rPr>
          <w:rFonts w:hint="eastAsia" w:ascii="宋体" w:hAnsi="宋体" w:eastAsia="宋体" w:cs="宋体"/>
          <w:color w:val="auto"/>
          <w:sz w:val="21"/>
          <w:szCs w:val="21"/>
        </w:rPr>
        <w:t>实施代建，并且乙方已认真查阅、理解甲方招标文件的全部内容，并对丙方授予甲方的权利义务无任何异议。</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2.甲方履行本合同约定的除支付合同价款</w:t>
      </w:r>
      <w:r>
        <w:rPr>
          <w:rFonts w:hint="eastAsia" w:ascii="宋体" w:hAnsi="宋体" w:eastAsia="宋体" w:cs="宋体"/>
          <w:b/>
          <w:bCs/>
          <w:color w:val="auto"/>
          <w:sz w:val="21"/>
          <w:szCs w:val="21"/>
          <w:lang w:eastAsia="zh-Hans"/>
        </w:rPr>
        <w:t>及</w:t>
      </w:r>
      <w:r>
        <w:rPr>
          <w:rFonts w:hint="eastAsia" w:ascii="宋体" w:hAnsi="宋体" w:eastAsia="宋体" w:cs="宋体"/>
          <w:b/>
          <w:bCs/>
          <w:color w:val="auto"/>
          <w:sz w:val="21"/>
          <w:szCs w:val="21"/>
        </w:rPr>
        <w:t>应由丙方承担违约责任以外的全部责任义务。丙方按照合同约定的期限和方式支付合同价款且不承担除支付合同价款及承担合同约定应由丙方承担违约责任之外的任何责任义务。乙方因违反本合同约定应承担的违约责任中涉及的各类履约担保、押金、质量保证金及违约金、利息等款项及由此产生的孳息等均归甲方所有，甲方有权自行处置、使用上述款项，丙方对此予以确认并不持异议。</w:t>
      </w:r>
    </w:p>
    <w:p>
      <w:pP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lang w:eastAsia="zh-CN"/>
        </w:rPr>
        <w:t>东莞市茶山镇污水处理厂改扩建项目</w:t>
      </w:r>
      <w:r>
        <w:rPr>
          <w:rFonts w:hint="eastAsia" w:ascii="宋体" w:hAnsi="宋体" w:eastAsia="宋体" w:cs="宋体"/>
          <w:color w:val="auto"/>
          <w:sz w:val="21"/>
          <w:szCs w:val="21"/>
        </w:rPr>
        <w:t>有关事项协商一致，达成本合同。</w:t>
      </w:r>
    </w:p>
    <w:p>
      <w:pPr>
        <w:keepNext/>
        <w:keepLines/>
        <w:adjustRightInd w:val="0"/>
        <w:snapToGrid w:val="0"/>
        <w:spacing w:line="360" w:lineRule="auto"/>
        <w:outlineLvl w:val="9"/>
        <w:rPr>
          <w:rFonts w:hint="eastAsia" w:ascii="宋体" w:hAnsi="宋体" w:eastAsia="宋体" w:cs="宋体"/>
          <w:b/>
          <w:color w:val="auto"/>
          <w:sz w:val="21"/>
          <w:szCs w:val="21"/>
        </w:rPr>
      </w:pPr>
      <w:bookmarkStart w:id="430" w:name="_Toc5890"/>
      <w:bookmarkStart w:id="431" w:name="_Toc15611"/>
      <w:r>
        <w:rPr>
          <w:rFonts w:hint="eastAsia" w:ascii="宋体" w:hAnsi="宋体" w:eastAsia="宋体" w:cs="宋体"/>
          <w:b/>
          <w:color w:val="auto"/>
          <w:sz w:val="21"/>
          <w:szCs w:val="21"/>
        </w:rPr>
        <w:t>一、工程概况</w:t>
      </w:r>
      <w:bookmarkEnd w:id="430"/>
      <w:bookmarkEnd w:id="431"/>
    </w:p>
    <w:p>
      <w:pPr>
        <w:widowControl/>
        <w:adjustRightInd w:val="0"/>
        <w:snapToGrid w:val="0"/>
        <w:spacing w:line="360" w:lineRule="auto"/>
        <w:rPr>
          <w:rFonts w:hint="eastAsia" w:ascii="宋体" w:hAnsi="宋体" w:eastAsia="宋体" w:cs="宋体"/>
          <w:color w:val="auto"/>
          <w:sz w:val="21"/>
          <w:szCs w:val="21"/>
          <w:u w:val="none"/>
        </w:rPr>
      </w:pP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u w:val="none"/>
        </w:rPr>
        <w:t xml:space="preserve"> 1.项目名称：</w:t>
      </w:r>
      <w:r>
        <w:rPr>
          <w:rFonts w:hint="eastAsia" w:ascii="宋体" w:hAnsi="宋体" w:eastAsia="宋体" w:cs="宋体"/>
          <w:color w:val="auto"/>
          <w:sz w:val="21"/>
          <w:szCs w:val="21"/>
          <w:u w:val="none"/>
          <w:lang w:eastAsia="zh-CN"/>
        </w:rPr>
        <w:t>东莞市茶山镇污水处理厂改扩建项目</w:t>
      </w:r>
    </w:p>
    <w:p>
      <w:pPr>
        <w:adjustRightInd w:val="0"/>
        <w:snapToGrid w:val="0"/>
        <w:spacing w:line="360" w:lineRule="auto"/>
        <w:ind w:firstLine="424" w:firstLineChars="201"/>
        <w:rPr>
          <w:rFonts w:hint="eastAsia" w:ascii="宋体" w:hAnsi="宋体" w:eastAsia="宋体" w:cs="宋体"/>
          <w:color w:val="auto"/>
          <w:sz w:val="21"/>
          <w:szCs w:val="21"/>
          <w:u w:val="none"/>
        </w:rPr>
      </w:pPr>
      <w:r>
        <w:rPr>
          <w:rFonts w:hint="eastAsia" w:ascii="宋体" w:hAnsi="宋体" w:eastAsia="宋体" w:cs="宋体"/>
          <w:b/>
          <w:color w:val="auto"/>
          <w:sz w:val="21"/>
          <w:szCs w:val="21"/>
          <w:u w:val="none"/>
        </w:rPr>
        <w:t>2.建设地点：</w:t>
      </w:r>
      <w:r>
        <w:rPr>
          <w:rFonts w:hint="eastAsia" w:ascii="宋体" w:hAnsi="宋体" w:eastAsia="宋体" w:cs="宋体"/>
          <w:color w:val="auto"/>
          <w:sz w:val="21"/>
          <w:szCs w:val="21"/>
          <w:u w:val="none"/>
          <w:lang w:eastAsia="zh-CN"/>
        </w:rPr>
        <w:t>东莞市茶山镇内</w:t>
      </w:r>
      <w:r>
        <w:rPr>
          <w:rFonts w:hint="eastAsia" w:ascii="宋体" w:hAnsi="宋体" w:eastAsia="宋体" w:cs="宋体"/>
          <w:color w:val="auto"/>
          <w:sz w:val="21"/>
          <w:szCs w:val="21"/>
          <w:u w:val="none"/>
        </w:rPr>
        <w:t>。</w:t>
      </w:r>
    </w:p>
    <w:p>
      <w:pPr>
        <w:adjustRightInd w:val="0"/>
        <w:snapToGrid w:val="0"/>
        <w:spacing w:line="360" w:lineRule="auto"/>
        <w:ind w:firstLine="424" w:firstLineChars="201"/>
        <w:rPr>
          <w:rFonts w:hint="eastAsia" w:ascii="宋体" w:hAnsi="宋体" w:eastAsia="宋体" w:cs="宋体"/>
          <w:bCs/>
          <w:color w:val="auto"/>
          <w:sz w:val="21"/>
          <w:szCs w:val="21"/>
          <w:u w:val="none"/>
        </w:rPr>
      </w:pPr>
      <w:r>
        <w:rPr>
          <w:rFonts w:hint="eastAsia" w:ascii="宋体" w:hAnsi="宋体" w:eastAsia="宋体" w:cs="宋体"/>
          <w:b/>
          <w:color w:val="auto"/>
          <w:sz w:val="21"/>
          <w:szCs w:val="21"/>
          <w:u w:val="none"/>
        </w:rPr>
        <w:t>3.项目基本情况：</w:t>
      </w:r>
      <w:r>
        <w:rPr>
          <w:rFonts w:hint="eastAsia" w:ascii="宋体" w:hAnsi="宋体" w:eastAsia="宋体" w:cs="宋体"/>
          <w:bCs/>
          <w:color w:val="auto"/>
          <w:sz w:val="21"/>
          <w:szCs w:val="21"/>
          <w:u w:val="none"/>
        </w:rPr>
        <w:t>东莞市茶山镇污水处理厂改扩建项目位于东莞市茶山镇内,本工程扩容规模为4.5万m3/d，采用地上式建设形式，扩容后总规模达到9.5万m3/d，变化系数采用1.3，采用工艺为“五段式Bardenpho+MBR”工艺。</w:t>
      </w:r>
    </w:p>
    <w:p>
      <w:pPr>
        <w:adjustRightInd w:val="0"/>
        <w:snapToGrid w:val="0"/>
        <w:spacing w:line="360" w:lineRule="auto"/>
        <w:ind w:firstLine="422" w:firstLineChars="201"/>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建设内容包括厂区主要构（建）筑物：粗格栅及进水泵房（改造）、细格栅及旋流沉砂池（新建）、精细格栅（新建）、五段式Bardenpho生物池（新建厌氧池+改造）、MBR膜池及设备间（新建）、紫外消毒渠（改造）、出水流量计井（新建）、鼓风机房及变配电间（改造）、脱水车间（改造）、生物除臭滤池（新建）以及厂区道路、绿化、电气及自控等辅助工程。</w:t>
      </w:r>
    </w:p>
    <w:p>
      <w:pPr>
        <w:adjustRightInd w:val="0"/>
        <w:snapToGrid w:val="0"/>
        <w:spacing w:line="360" w:lineRule="auto"/>
        <w:ind w:left="17" w:leftChars="8" w:firstLine="405" w:firstLineChars="192"/>
        <w:rPr>
          <w:rFonts w:hint="eastAsia" w:ascii="宋体" w:hAnsi="宋体" w:eastAsia="宋体" w:cs="宋体"/>
          <w:color w:val="auto"/>
          <w:sz w:val="21"/>
          <w:szCs w:val="21"/>
          <w:u w:val="none"/>
        </w:rPr>
      </w:pPr>
      <w:r>
        <w:rPr>
          <w:rFonts w:hint="eastAsia" w:ascii="宋体" w:hAnsi="宋体" w:eastAsia="宋体" w:cs="宋体"/>
          <w:b/>
          <w:color w:val="auto"/>
          <w:sz w:val="21"/>
          <w:szCs w:val="21"/>
          <w:u w:val="none"/>
        </w:rPr>
        <w:t>4.检测任务（内容）和技术要求：</w:t>
      </w:r>
      <w:r>
        <w:rPr>
          <w:rFonts w:hint="eastAsia" w:ascii="宋体" w:hAnsi="宋体" w:eastAsia="宋体" w:cs="宋体"/>
          <w:color w:val="auto"/>
          <w:sz w:val="21"/>
          <w:szCs w:val="21"/>
          <w:u w:val="none"/>
        </w:rPr>
        <w:t xml:space="preserve">在服务期间执行国家、广东省以及东莞市有关市政工程检测、试验的标准规范的要求，确保检测（试验）成果客观有效，并满足竣工验收所需检测数量与频率要求。 </w:t>
      </w:r>
    </w:p>
    <w:p>
      <w:pPr>
        <w:adjustRightInd w:val="0"/>
        <w:snapToGrid w:val="0"/>
        <w:spacing w:line="360" w:lineRule="auto"/>
        <w:ind w:left="17" w:leftChars="8" w:firstLine="405" w:firstLineChars="192"/>
        <w:rPr>
          <w:rFonts w:hint="eastAsia" w:ascii="宋体" w:hAnsi="宋体" w:eastAsia="宋体" w:cs="宋体"/>
          <w:color w:val="auto"/>
          <w:sz w:val="21"/>
          <w:szCs w:val="21"/>
          <w:u w:val="none"/>
        </w:rPr>
      </w:pPr>
      <w:r>
        <w:rPr>
          <w:rFonts w:hint="eastAsia" w:ascii="宋体" w:hAnsi="宋体" w:eastAsia="宋体" w:cs="宋体"/>
          <w:b/>
          <w:color w:val="auto"/>
          <w:sz w:val="21"/>
          <w:szCs w:val="21"/>
          <w:u w:val="none"/>
        </w:rPr>
        <w:t>5.承包方式：</w:t>
      </w:r>
      <w:r>
        <w:rPr>
          <w:rFonts w:hint="eastAsia" w:ascii="宋体" w:hAnsi="宋体" w:eastAsia="宋体" w:cs="宋体"/>
          <w:color w:val="auto"/>
          <w:sz w:val="21"/>
          <w:szCs w:val="21"/>
          <w:u w:val="none"/>
        </w:rPr>
        <w:t>最终实际支付的检测服务费根据经甲方（含其委托的第三方审核机构）、监理人审核确认的检测（试验）方案及甲方（含其委托的第三方审核机构）、监理人确认的实际检测（试验）工作量按实结算。</w:t>
      </w:r>
    </w:p>
    <w:p>
      <w:pPr>
        <w:adjustRightInd w:val="0"/>
        <w:snapToGrid w:val="0"/>
        <w:spacing w:line="360" w:lineRule="auto"/>
        <w:ind w:left="17" w:leftChars="8" w:firstLine="405" w:firstLineChars="192"/>
        <w:rPr>
          <w:rFonts w:hint="eastAsia" w:ascii="宋体" w:hAnsi="宋体" w:eastAsia="宋体" w:cs="宋体"/>
          <w:color w:val="auto"/>
          <w:sz w:val="21"/>
          <w:szCs w:val="21"/>
          <w:u w:val="none"/>
          <w:lang w:eastAsia="zh-CN"/>
        </w:rPr>
      </w:pPr>
      <w:r>
        <w:rPr>
          <w:rFonts w:hint="eastAsia" w:ascii="宋体" w:hAnsi="宋体" w:eastAsia="宋体" w:cs="宋体"/>
          <w:b/>
          <w:color w:val="auto"/>
          <w:sz w:val="21"/>
          <w:szCs w:val="21"/>
          <w:u w:val="none"/>
        </w:rPr>
        <w:t>6.合同服务期：</w:t>
      </w:r>
      <w:r>
        <w:rPr>
          <w:rFonts w:hint="eastAsia" w:ascii="宋体" w:hAnsi="宋体" w:eastAsia="宋体" w:cs="宋体"/>
          <w:bCs/>
          <w:color w:val="auto"/>
          <w:sz w:val="21"/>
          <w:szCs w:val="21"/>
          <w:u w:val="none"/>
          <w:lang w:eastAsia="zh-CN"/>
        </w:rPr>
        <w:t>自东莞市茶山镇污水处理厂改扩建项目开工至完成约定的各项检测及相关技术工作为止。</w:t>
      </w:r>
    </w:p>
    <w:p>
      <w:pPr>
        <w:adjustRightInd w:val="0"/>
        <w:snapToGrid w:val="0"/>
        <w:spacing w:line="360" w:lineRule="auto"/>
        <w:ind w:firstLine="424" w:firstLineChars="201"/>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7.质量要求：</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（1）工程检测质量要求</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①乙方提供检定合格、手续完备的检测（试验）仪器，及时出具具有法律效力的检测（试验）报告。乙方须保证检测（试验）成果质量</w:t>
      </w:r>
      <w:r>
        <w:rPr>
          <w:rFonts w:hint="eastAsia" w:ascii="宋体" w:hAnsi="宋体" w:eastAsia="宋体" w:cs="宋体"/>
          <w:color w:val="auto"/>
          <w:sz w:val="21"/>
          <w:szCs w:val="21"/>
          <w:highlight w:val="none"/>
          <w:u w:val="none"/>
          <w:lang w:val="hr-HR"/>
        </w:rPr>
        <w:t>，对技术成果负全</w:t>
      </w:r>
      <w:r>
        <w:rPr>
          <w:rFonts w:hint="eastAsia" w:ascii="宋体" w:hAnsi="宋体" w:eastAsia="宋体" w:cs="宋体"/>
          <w:color w:val="auto"/>
          <w:sz w:val="21"/>
          <w:szCs w:val="21"/>
          <w:highlight w:val="none"/>
          <w:u w:val="none"/>
          <w:lang w:val="en-US" w:eastAsia="zh-CN"/>
        </w:rPr>
        <w:t>部</w:t>
      </w:r>
      <w:r>
        <w:rPr>
          <w:rFonts w:hint="eastAsia" w:ascii="宋体" w:hAnsi="宋体" w:eastAsia="宋体" w:cs="宋体"/>
          <w:color w:val="auto"/>
          <w:sz w:val="21"/>
          <w:szCs w:val="21"/>
          <w:highlight w:val="none"/>
          <w:u w:val="none"/>
          <w:lang w:val="hr-HR"/>
        </w:rPr>
        <w:t>责任</w:t>
      </w:r>
      <w:r>
        <w:rPr>
          <w:rFonts w:hint="eastAsia" w:ascii="宋体" w:hAnsi="宋体" w:eastAsia="宋体" w:cs="宋体"/>
          <w:color w:val="auto"/>
          <w:sz w:val="21"/>
          <w:szCs w:val="21"/>
          <w:u w:val="none"/>
        </w:rPr>
        <w:t>，如因检测（试验）不实，造成甲方经济损失费用全部由乙方承担，并应负责重检。</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②执行国家、广东省以及东莞市有关工程检测（试验）的标准规范的规定。</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（2）其他质量要求</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①乙方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②乙方应负责按东莞市建设工程质量安全监督站要求，根据本工程质量安全监督计划及相关规范编制并完善本工程的检测方案，并完成检测方案的审查备案、检测工作根据备案确认后的方案执行。</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③乙方应当建立健全并落实各项管理制度，保证检测项目工作正常进行，并接受甲方及有关主管部门对项目服务质量的监督检查。</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④乙方应建立并实施符合本项目各项要求的质量管理体系。</w:t>
      </w:r>
    </w:p>
    <w:p>
      <w:pPr>
        <w:adjustRightInd w:val="0"/>
        <w:snapToGrid w:val="0"/>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⑤甲方代表有权在工作时间内进入乙方的工作地点检查其质量手册、质量计划及其它与质量相关的文件的实施情况。</w:t>
      </w:r>
    </w:p>
    <w:p>
      <w:pPr>
        <w:adjustRightInd w:val="0"/>
        <w:snapToGrid w:val="0"/>
        <w:spacing w:line="360" w:lineRule="auto"/>
        <w:ind w:firstLine="424" w:firstLineChars="201"/>
        <w:rPr>
          <w:rFonts w:hint="eastAsia" w:ascii="宋体" w:hAnsi="宋体" w:eastAsia="宋体" w:cs="宋体"/>
          <w:b/>
          <w:color w:val="auto"/>
          <w:sz w:val="21"/>
          <w:szCs w:val="21"/>
          <w:u w:val="none"/>
          <w:lang w:val="en-US" w:eastAsia="zh-CN"/>
        </w:rPr>
      </w:pPr>
      <w:r>
        <w:rPr>
          <w:rFonts w:hint="eastAsia" w:ascii="宋体" w:hAnsi="宋体" w:eastAsia="宋体" w:cs="宋体"/>
          <w:b/>
          <w:color w:val="auto"/>
          <w:sz w:val="21"/>
          <w:szCs w:val="21"/>
          <w:u w:val="none"/>
          <w:lang w:val="en-US" w:eastAsia="zh-CN"/>
        </w:rPr>
        <w:t>8.安全要求：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应做好服务的安全防护措施，服务过程中出现的安全事故由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自行承担。</w:t>
      </w:r>
    </w:p>
    <w:p>
      <w:pPr>
        <w:adjustRightInd w:val="0"/>
        <w:snapToGrid w:val="0"/>
        <w:spacing w:line="360" w:lineRule="auto"/>
        <w:ind w:firstLine="422" w:firstLineChars="201"/>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必须做好安全防护工作，由于</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自身的原因发生的任何伤害（包括人身伤害），均由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自行承担。</w:t>
      </w:r>
    </w:p>
    <w:p>
      <w:pPr>
        <w:adjustRightInd w:val="0"/>
        <w:snapToGrid w:val="0"/>
        <w:spacing w:line="360" w:lineRule="auto"/>
        <w:ind w:firstLine="424" w:firstLineChars="201"/>
        <w:rPr>
          <w:rFonts w:hint="eastAsia" w:ascii="宋体" w:hAnsi="宋体" w:eastAsia="宋体" w:cs="宋体"/>
          <w:b/>
          <w:color w:val="auto"/>
          <w:sz w:val="21"/>
          <w:szCs w:val="21"/>
          <w:u w:val="none"/>
          <w:lang w:val="en-US" w:eastAsia="zh-CN"/>
        </w:rPr>
      </w:pPr>
      <w:r>
        <w:rPr>
          <w:rFonts w:hint="eastAsia" w:ascii="宋体" w:hAnsi="宋体" w:eastAsia="宋体" w:cs="宋体"/>
          <w:b/>
          <w:color w:val="auto"/>
          <w:sz w:val="21"/>
          <w:szCs w:val="21"/>
          <w:u w:val="none"/>
          <w:lang w:val="en-US" w:eastAsia="zh-CN"/>
        </w:rPr>
        <w:t>9.其他要求：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lang w:val="hr-HR"/>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hr-HR"/>
        </w:rPr>
        <w:t>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u w:val="none"/>
        </w:rPr>
        <w:t>、上级行政主管部门</w:t>
      </w:r>
      <w:r>
        <w:rPr>
          <w:rFonts w:hint="eastAsia" w:ascii="宋体" w:hAnsi="宋体" w:eastAsia="宋体" w:cs="宋体"/>
          <w:color w:val="auto"/>
          <w:sz w:val="21"/>
          <w:szCs w:val="21"/>
          <w:highlight w:val="none"/>
          <w:u w:val="none"/>
          <w:lang w:val="hr-HR"/>
        </w:rPr>
        <w:t>要求（</w:t>
      </w:r>
      <w:r>
        <w:rPr>
          <w:rFonts w:hint="eastAsia" w:ascii="宋体" w:hAnsi="宋体" w:eastAsia="宋体" w:cs="宋体"/>
          <w:color w:val="auto"/>
          <w:sz w:val="21"/>
          <w:szCs w:val="21"/>
          <w:highlight w:val="none"/>
          <w:u w:val="none"/>
        </w:rPr>
        <w:t>含政策变动</w:t>
      </w:r>
      <w:r>
        <w:rPr>
          <w:rFonts w:hint="eastAsia" w:ascii="宋体" w:hAnsi="宋体" w:eastAsia="宋体" w:cs="宋体"/>
          <w:color w:val="auto"/>
          <w:sz w:val="21"/>
          <w:szCs w:val="21"/>
          <w:highlight w:val="none"/>
          <w:u w:val="none"/>
          <w:lang w:val="hr-HR"/>
        </w:rPr>
        <w:t>）</w:t>
      </w:r>
      <w:r>
        <w:rPr>
          <w:rFonts w:hint="eastAsia" w:ascii="宋体" w:hAnsi="宋体" w:eastAsia="宋体" w:cs="宋体"/>
          <w:color w:val="auto"/>
          <w:sz w:val="21"/>
          <w:szCs w:val="21"/>
          <w:highlight w:val="none"/>
          <w:u w:val="none"/>
        </w:rPr>
        <w:t>检测</w:t>
      </w:r>
      <w:r>
        <w:rPr>
          <w:rFonts w:hint="eastAsia" w:ascii="宋体" w:hAnsi="宋体" w:eastAsia="宋体" w:cs="宋体"/>
          <w:color w:val="auto"/>
          <w:sz w:val="21"/>
          <w:szCs w:val="21"/>
          <w:highlight w:val="none"/>
          <w:u w:val="none"/>
          <w:lang w:val="hr-HR"/>
        </w:rPr>
        <w:t>内容和频次增加或减少，</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必须无条件</w:t>
      </w:r>
      <w:r>
        <w:rPr>
          <w:rFonts w:hint="eastAsia" w:ascii="宋体" w:hAnsi="宋体" w:eastAsia="宋体" w:cs="宋体"/>
          <w:color w:val="auto"/>
          <w:sz w:val="21"/>
          <w:szCs w:val="21"/>
          <w:highlight w:val="none"/>
          <w:u w:val="none"/>
          <w:lang w:val="hr-HR"/>
        </w:rPr>
        <w:t>遵守执行</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hr-HR"/>
        </w:rPr>
        <w:t>实际检测量以</w:t>
      </w:r>
      <w:r>
        <w:rPr>
          <w:rFonts w:hint="eastAsia" w:ascii="宋体" w:hAnsi="宋体" w:eastAsia="宋体" w:cs="宋体"/>
          <w:color w:val="auto"/>
          <w:sz w:val="21"/>
          <w:szCs w:val="21"/>
          <w:highlight w:val="none"/>
          <w:u w:val="none"/>
          <w:lang w:val="hr-HR" w:eastAsia="zh-CN"/>
        </w:rPr>
        <w:t>甲方</w:t>
      </w:r>
      <w:r>
        <w:rPr>
          <w:rFonts w:hint="eastAsia" w:ascii="宋体" w:hAnsi="宋体" w:eastAsia="宋体" w:cs="宋体"/>
          <w:color w:val="auto"/>
          <w:sz w:val="21"/>
          <w:szCs w:val="21"/>
          <w:highlight w:val="none"/>
          <w:u w:val="none"/>
          <w:lang w:val="hr-HR"/>
        </w:rPr>
        <w:t>审核为准。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lang w:val="hr-HR"/>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hr-HR"/>
        </w:rPr>
        <w:t>若特殊项目</w:t>
      </w:r>
      <w:r>
        <w:rPr>
          <w:rFonts w:hint="eastAsia" w:ascii="宋体" w:hAnsi="宋体" w:eastAsia="宋体" w:cs="宋体"/>
          <w:color w:val="auto"/>
          <w:sz w:val="21"/>
          <w:szCs w:val="21"/>
          <w:highlight w:val="none"/>
          <w:u w:val="none"/>
          <w:lang w:val="hr-HR" w:eastAsia="zh-CN"/>
        </w:rPr>
        <w:t>乙方</w:t>
      </w:r>
      <w:r>
        <w:rPr>
          <w:rFonts w:hint="eastAsia" w:ascii="宋体" w:hAnsi="宋体" w:eastAsia="宋体" w:cs="宋体"/>
          <w:color w:val="auto"/>
          <w:sz w:val="21"/>
          <w:szCs w:val="21"/>
          <w:highlight w:val="none"/>
          <w:u w:val="none"/>
          <w:lang w:val="hr-HR"/>
        </w:rPr>
        <w:t>无相应资质的，必须经</w:t>
      </w:r>
      <w:r>
        <w:rPr>
          <w:rFonts w:hint="eastAsia" w:ascii="宋体" w:hAnsi="宋体" w:eastAsia="宋体" w:cs="宋体"/>
          <w:color w:val="auto"/>
          <w:sz w:val="21"/>
          <w:szCs w:val="21"/>
          <w:highlight w:val="none"/>
          <w:u w:val="none"/>
          <w:lang w:val="hr-HR" w:eastAsia="zh-CN"/>
        </w:rPr>
        <w:t>甲方</w:t>
      </w:r>
      <w:r>
        <w:rPr>
          <w:rFonts w:hint="eastAsia" w:ascii="宋体" w:hAnsi="宋体" w:eastAsia="宋体" w:cs="宋体"/>
          <w:color w:val="auto"/>
          <w:sz w:val="21"/>
          <w:szCs w:val="21"/>
          <w:highlight w:val="none"/>
          <w:u w:val="none"/>
          <w:lang w:val="hr-HR"/>
        </w:rPr>
        <w:t>批准后送符合条件（具备相应资质）的分包单位进行检测，并出具相应的检测报告，否则将视为</w:t>
      </w:r>
      <w:r>
        <w:rPr>
          <w:rFonts w:hint="eastAsia" w:ascii="宋体" w:hAnsi="宋体" w:eastAsia="宋体" w:cs="宋体"/>
          <w:color w:val="auto"/>
          <w:sz w:val="21"/>
          <w:szCs w:val="21"/>
          <w:highlight w:val="none"/>
          <w:u w:val="none"/>
          <w:lang w:val="hr-HR" w:eastAsia="zh-CN"/>
        </w:rPr>
        <w:t>乙方</w:t>
      </w:r>
      <w:r>
        <w:rPr>
          <w:rFonts w:hint="eastAsia" w:ascii="宋体" w:hAnsi="宋体" w:eastAsia="宋体" w:cs="宋体"/>
          <w:color w:val="auto"/>
          <w:sz w:val="21"/>
          <w:szCs w:val="21"/>
          <w:highlight w:val="none"/>
          <w:u w:val="none"/>
          <w:lang w:val="hr-HR"/>
        </w:rPr>
        <w:t>违约，出具的报告不予承认。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lang w:val="hr-HR"/>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hr-HR"/>
        </w:rPr>
        <w:t>在合同服务期内</w:t>
      </w:r>
      <w:r>
        <w:rPr>
          <w:rFonts w:hint="eastAsia" w:ascii="宋体" w:hAnsi="宋体" w:eastAsia="宋体" w:cs="宋体"/>
          <w:color w:val="auto"/>
          <w:sz w:val="21"/>
          <w:szCs w:val="21"/>
          <w:highlight w:val="none"/>
          <w:u w:val="none"/>
          <w:lang w:val="hr-HR" w:eastAsia="zh-CN"/>
        </w:rPr>
        <w:t>乙方</w:t>
      </w:r>
      <w:r>
        <w:rPr>
          <w:rFonts w:hint="eastAsia" w:ascii="宋体" w:hAnsi="宋体" w:eastAsia="宋体" w:cs="宋体"/>
          <w:color w:val="auto"/>
          <w:sz w:val="21"/>
          <w:szCs w:val="21"/>
          <w:highlight w:val="none"/>
          <w:u w:val="none"/>
          <w:lang w:val="hr-HR"/>
        </w:rPr>
        <w:t>不得因实际检测点过少或其他理由，而要求</w:t>
      </w:r>
      <w:r>
        <w:rPr>
          <w:rFonts w:hint="eastAsia" w:ascii="宋体" w:hAnsi="宋体" w:eastAsia="宋体" w:cs="宋体"/>
          <w:color w:val="auto"/>
          <w:sz w:val="21"/>
          <w:szCs w:val="21"/>
          <w:highlight w:val="none"/>
          <w:u w:val="none"/>
          <w:lang w:val="hr-HR" w:eastAsia="zh-CN"/>
        </w:rPr>
        <w:t>甲方</w:t>
      </w:r>
      <w:r>
        <w:rPr>
          <w:rFonts w:hint="eastAsia" w:ascii="宋体" w:hAnsi="宋体" w:eastAsia="宋体" w:cs="宋体"/>
          <w:color w:val="auto"/>
          <w:sz w:val="21"/>
          <w:szCs w:val="21"/>
          <w:highlight w:val="none"/>
          <w:u w:val="none"/>
          <w:lang w:val="hr-HR"/>
        </w:rPr>
        <w:t>提供任何形式的补偿或赔偿，或要求</w:t>
      </w:r>
      <w:r>
        <w:rPr>
          <w:rFonts w:hint="eastAsia" w:ascii="宋体" w:hAnsi="宋体" w:eastAsia="宋体" w:cs="宋体"/>
          <w:color w:val="auto"/>
          <w:sz w:val="21"/>
          <w:szCs w:val="21"/>
          <w:highlight w:val="none"/>
          <w:u w:val="none"/>
          <w:lang w:val="hr-HR" w:eastAsia="zh-CN"/>
        </w:rPr>
        <w:t>甲方</w:t>
      </w:r>
      <w:r>
        <w:rPr>
          <w:rFonts w:hint="eastAsia" w:ascii="宋体" w:hAnsi="宋体" w:eastAsia="宋体" w:cs="宋体"/>
          <w:color w:val="auto"/>
          <w:sz w:val="21"/>
          <w:szCs w:val="21"/>
          <w:highlight w:val="none"/>
          <w:u w:val="none"/>
          <w:lang w:val="hr-HR"/>
        </w:rPr>
        <w:t>所有的项目必须开展检测服务。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lang w:val="hr-HR"/>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lang w:val="hr-HR"/>
        </w:rPr>
        <w:t>自行解决现场检测（试验）所需辅助劳务及相关费用。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服务过程中涉及的设备、工具，由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服务过程中涉及的用水、用电由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自行接入，</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需做好用水、用电安全防护措施并无条件接受</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监督。</w:t>
      </w:r>
    </w:p>
    <w:p>
      <w:pPr>
        <w:adjustRightInd w:val="0"/>
        <w:snapToGrid w:val="0"/>
        <w:spacing w:line="360" w:lineRule="auto"/>
        <w:ind w:firstLine="424" w:firstLineChars="201"/>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10</w:t>
      </w:r>
      <w:r>
        <w:rPr>
          <w:rFonts w:hint="eastAsia" w:ascii="宋体" w:hAnsi="宋体" w:eastAsia="宋体" w:cs="宋体"/>
          <w:b/>
          <w:color w:val="auto"/>
          <w:sz w:val="21"/>
          <w:szCs w:val="21"/>
        </w:rPr>
        <w:t xml:space="preserve">.合同价款： </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暂定总合同价款（即销售额，不含乙方销项税额）（大写）：人民币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）。检测服务系数为</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%，对应暂定总合同价款的销项税额为人民币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）。增值税税率根据《中华人民共和国增值税暂行条例》（国务院令第691号修订版）及当前税务部门的相关规定,支付和结算时按实进行调整。</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暂定总合同价款价税合计（以下简称“暂定总合同价款（含税）”，大写）：人民币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rPr>
        <w:t>，再结合本项目最终经甲方（含其委托的第三方审核机构）、监理人审核确认的检测（试验）方案及甲方（含其委托的第三方审核机构）、监理人确认的实际检测（试验）工作量按实结算。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也不承担任何额外费用。检测时，如需土建施工单位配合或向其租借设备时，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自行与施工单位协调，配合及租借费用已包括在</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综合单价内。</w:t>
      </w:r>
    </w:p>
    <w:p>
      <w:pPr>
        <w:adjustRightInd w:val="0"/>
        <w:snapToGrid w:val="0"/>
        <w:spacing w:line="360" w:lineRule="auto"/>
        <w:ind w:left="420" w:left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11</w:t>
      </w:r>
      <w:r>
        <w:rPr>
          <w:rFonts w:hint="eastAsia" w:ascii="宋体" w:hAnsi="宋体" w:eastAsia="宋体" w:cs="宋体"/>
          <w:b/>
          <w:color w:val="auto"/>
          <w:sz w:val="21"/>
          <w:szCs w:val="21"/>
        </w:rPr>
        <w:t>.第三方检测合同计费依据</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（1）本项目的计费标准按照合同附件一《工程量清单计价表》（详见附件）中的不含税</w:t>
      </w:r>
      <w:r>
        <w:rPr>
          <w:rFonts w:hint="eastAsia" w:ascii="宋体" w:hAnsi="宋体" w:eastAsia="宋体" w:cs="宋体"/>
          <w:color w:val="auto"/>
          <w:sz w:val="21"/>
          <w:szCs w:val="21"/>
        </w:rPr>
        <w:t>综合单价×实际检测工作量进行结算。</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（3）对于《工程量清单计价表》外新增的检测项目，不含税综合单价按以下方法计算：</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①《东莞市建设工程检测行业参考收费标准（2023版）》（东检协字（2023）3号）对应项参考单价÷1.06×</w:t>
      </w:r>
      <w:r>
        <w:rPr>
          <w:rFonts w:hint="eastAsia" w:ascii="宋体" w:hAnsi="宋体" w:eastAsia="宋体" w:cs="宋体"/>
          <w:bCs/>
          <w:color w:val="auto"/>
          <w:sz w:val="21"/>
          <w:szCs w:val="21"/>
          <w:lang w:val="en-US" w:eastAsia="zh-CN"/>
        </w:rPr>
        <w:t>中标</w:t>
      </w:r>
      <w:r>
        <w:rPr>
          <w:rFonts w:hint="eastAsia" w:ascii="宋体" w:hAnsi="宋体" w:eastAsia="宋体" w:cs="宋体"/>
          <w:bCs/>
          <w:color w:val="auto"/>
          <w:sz w:val="21"/>
          <w:szCs w:val="21"/>
        </w:rPr>
        <w:t>检测服务系数；</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lang w:val="en-US" w:eastAsia="zh-CN"/>
        </w:rPr>
        <w:t>中标</w:t>
      </w:r>
      <w:r>
        <w:rPr>
          <w:rFonts w:hint="eastAsia" w:ascii="宋体" w:hAnsi="宋体" w:eastAsia="宋体" w:cs="宋体"/>
          <w:bCs/>
          <w:color w:val="auto"/>
          <w:sz w:val="21"/>
          <w:szCs w:val="21"/>
        </w:rPr>
        <w:t>检测服务系数；</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rPr>
        <w:t>的不含税综合单价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中标检测服务系数</w:t>
      </w:r>
      <w:r>
        <w:rPr>
          <w:rFonts w:hint="eastAsia" w:ascii="宋体" w:hAnsi="宋体" w:eastAsia="宋体" w:cs="宋体"/>
          <w:bCs/>
          <w:color w:val="auto"/>
          <w:sz w:val="21"/>
          <w:szCs w:val="21"/>
        </w:rPr>
        <w:t>。</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以上不含税综合单价均保留两位小数。</w:t>
      </w:r>
    </w:p>
    <w:p>
      <w:pPr>
        <w:adjustRightInd w:val="0"/>
        <w:snapToGrid w:val="0"/>
        <w:spacing w:line="360" w:lineRule="auto"/>
        <w:ind w:left="420" w:leftChars="200"/>
        <w:rPr>
          <w:rFonts w:hint="eastAsia" w:ascii="宋体" w:hAnsi="宋体" w:eastAsia="宋体" w:cs="宋体"/>
          <w:b/>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.结算调整规则、范围及方式</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pPr>
        <w:adjustRightInd w:val="0"/>
        <w:snapToGrid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（2）工程变更项目检测的计价：</w:t>
      </w:r>
      <w:r>
        <w:rPr>
          <w:rFonts w:hint="eastAsia" w:ascii="宋体" w:hAnsi="宋体" w:eastAsia="宋体" w:cs="宋体"/>
          <w:b/>
          <w:bCs/>
          <w:color w:val="auto"/>
          <w:sz w:val="21"/>
          <w:szCs w:val="21"/>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计算。所有变更的检测项目均须书面向甲方申报，经甲方（含其委托的第三方审核机构）审核批准同意后方可实施。</w:t>
      </w:r>
    </w:p>
    <w:p>
      <w:pPr>
        <w:adjustRightInd w:val="0"/>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p>
      <w:pPr>
        <w:keepNext/>
        <w:keepLines/>
        <w:adjustRightInd w:val="0"/>
        <w:snapToGrid w:val="0"/>
        <w:spacing w:line="360" w:lineRule="auto"/>
        <w:outlineLvl w:val="9"/>
        <w:rPr>
          <w:rFonts w:hint="eastAsia" w:ascii="宋体" w:hAnsi="宋体" w:eastAsia="宋体" w:cs="宋体"/>
          <w:b/>
          <w:color w:val="auto"/>
          <w:sz w:val="21"/>
          <w:szCs w:val="21"/>
        </w:rPr>
      </w:pPr>
      <w:bookmarkStart w:id="432" w:name="_Toc29878"/>
      <w:bookmarkStart w:id="433" w:name="_Toc28743"/>
    </w:p>
    <w:p>
      <w:pPr>
        <w:keepNext/>
        <w:keepLines/>
        <w:adjustRightInd w:val="0"/>
        <w:snapToGrid w:val="0"/>
        <w:spacing w:line="360" w:lineRule="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二、检测内容</w:t>
      </w:r>
      <w:bookmarkEnd w:id="432"/>
      <w:bookmarkEnd w:id="433"/>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检测内容包括但不限于：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地基基础工程质量检测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开展地基承载力、桩基的承载力、压实度检测。根据《关于加强东莞市建设工程质量检测机构监督管理的通知》（东建质安〔2018〕33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声波透射、低应变、钻芯法等桩基完整性检测不在本次招标范围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钢结构焊缝检测及涂层厚度检测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开展焊缝的质量情况,以及防腐厚度</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检测。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原材料、道路等实体检测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开展混凝土原材料、道路工程、钻芯法检测混凝土强度、室内环境、防雷、</w:t>
      </w:r>
      <w:r>
        <w:rPr>
          <w:rFonts w:hint="eastAsia" w:ascii="宋体" w:hAnsi="宋体" w:eastAsia="宋体" w:cs="宋体"/>
          <w:color w:val="auto"/>
          <w:sz w:val="21"/>
          <w:szCs w:val="21"/>
          <w:highlight w:val="none"/>
          <w:lang w:val="en-US" w:eastAsia="zh-CN"/>
        </w:rPr>
        <w:t>消防、</w:t>
      </w:r>
      <w:r>
        <w:rPr>
          <w:rFonts w:hint="eastAsia" w:ascii="宋体" w:hAnsi="宋体" w:eastAsia="宋体" w:cs="宋体"/>
          <w:color w:val="auto"/>
          <w:sz w:val="21"/>
          <w:szCs w:val="21"/>
          <w:highlight w:val="none"/>
        </w:rPr>
        <w:t>外墙节能厚度钻芯、隔声噪声、后锚固件抗拔、饰面砖粘结强度等检测。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其它根据工程实际需要委托的检测项目。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根据相关法律、法规及主管部门的规定，必须另行独立采购的项目不包含在本次采购范围之内。</w:t>
      </w:r>
    </w:p>
    <w:p>
      <w:pPr>
        <w:keepNext/>
        <w:keepLines/>
        <w:adjustRightInd w:val="0"/>
        <w:snapToGrid w:val="0"/>
        <w:spacing w:line="360" w:lineRule="auto"/>
        <w:outlineLvl w:val="9"/>
        <w:rPr>
          <w:rFonts w:hint="eastAsia" w:ascii="宋体" w:hAnsi="宋体" w:eastAsia="宋体" w:cs="宋体"/>
          <w:b/>
          <w:color w:val="auto"/>
          <w:sz w:val="21"/>
          <w:szCs w:val="21"/>
        </w:rPr>
      </w:pPr>
      <w:bookmarkStart w:id="434" w:name="_Toc5003"/>
      <w:bookmarkStart w:id="435" w:name="_Toc21598"/>
    </w:p>
    <w:p>
      <w:pPr>
        <w:keepNext/>
        <w:keepLines/>
        <w:adjustRightInd w:val="0"/>
        <w:snapToGrid w:val="0"/>
        <w:spacing w:line="360" w:lineRule="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三、检测数量</w:t>
      </w:r>
      <w:bookmarkEnd w:id="434"/>
      <w:bookmarkEnd w:id="435"/>
    </w:p>
    <w:p>
      <w:pPr>
        <w:adjustRightInd w:val="0"/>
        <w:snapToGrid w:val="0"/>
        <w:spacing w:line="360" w:lineRule="auto"/>
        <w:ind w:left="18" w:hanging="18"/>
        <w:rPr>
          <w:rFonts w:hint="eastAsia" w:ascii="宋体" w:hAnsi="宋体" w:eastAsia="宋体" w:cs="宋体"/>
          <w:color w:val="auto"/>
          <w:sz w:val="21"/>
          <w:szCs w:val="21"/>
        </w:rPr>
      </w:pPr>
      <w:r>
        <w:rPr>
          <w:rFonts w:hint="eastAsia" w:ascii="宋体" w:hAnsi="宋体" w:eastAsia="宋体" w:cs="宋体"/>
          <w:color w:val="auto"/>
          <w:sz w:val="21"/>
          <w:szCs w:val="21"/>
        </w:rPr>
        <w:t xml:space="preserve">    具体参照《工程量清单计价表》，并以甲方最终审核为准。《工程量清单计价表》不作为乙方最终服务范围及业务承接数量的保证，甲方有权根据实际需求对检测工程量进行优化调整，最终按实际发生工程量统计。</w:t>
      </w:r>
    </w:p>
    <w:p>
      <w:pPr>
        <w:keepNext/>
        <w:keepLines/>
        <w:adjustRightInd w:val="0"/>
        <w:snapToGrid w:val="0"/>
        <w:spacing w:line="360" w:lineRule="auto"/>
        <w:outlineLvl w:val="9"/>
        <w:rPr>
          <w:rFonts w:hint="eastAsia" w:ascii="宋体" w:hAnsi="宋体" w:eastAsia="宋体" w:cs="宋体"/>
          <w:b/>
          <w:color w:val="auto"/>
          <w:sz w:val="21"/>
          <w:szCs w:val="21"/>
        </w:rPr>
      </w:pPr>
      <w:bookmarkStart w:id="436" w:name="_Toc28787"/>
      <w:bookmarkStart w:id="437" w:name="_Toc29325"/>
      <w:r>
        <w:rPr>
          <w:rFonts w:hint="eastAsia" w:ascii="宋体" w:hAnsi="宋体" w:eastAsia="宋体" w:cs="宋体"/>
          <w:b/>
          <w:color w:val="auto"/>
          <w:sz w:val="21"/>
          <w:szCs w:val="21"/>
        </w:rPr>
        <w:t>四、检测依据（如有新规范，以新的为准）</w:t>
      </w:r>
      <w:bookmarkEnd w:id="436"/>
      <w:bookmarkEnd w:id="43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《建筑地基基础检测规范》（DBJ/T 15-60-2019）；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《岩土工程勘察规范》(2009年版)（GB 50021-2001）；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《建筑地基基础设计规范》（DBJ 15-31-2016）；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《建筑地基检测技术规范》（JGJ 340-2015）；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《钢结构工程施工质量验收标准》（GB 50205-2020）；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《钢结构现场检测技术标准》（GB/T 50621-2010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《焊缝无损检测 超声检测 技术、检测等级和评定》（GB/T 11345-2013）；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《城镇道路路面设计规范》（GJJ 169-2012）；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《城镇道路工程施工与质量验收规范》（GJJ 1-2008）；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《给水排水管道工程施工及验收规范 》（GB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50268-2008）；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《城市道路交通标志和标线设置规范》（GB 51038-2015）；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《广东省建筑节能与绿色建筑工程施工质量验收规范》(DBJ 15-65-2021)；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《建筑工程饰面砖粘结强度检验标准》(JGJ/T 110-2017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《建筑工程施工质量验收统一标准》（GB 50300-2013)；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《民用建筑工程室内环境污染控制标准》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 50325-2020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《公共建筑节能检测标准》（JGJ/T177-2009）；</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《声学建筑和建筑构件隔声测量》（GB/T 19889.3-2005）；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《关于加强东莞市建设工程质量检测机构监督管理的通知》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东建质安〔2018〕33号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《关于开展建设工程混凝土结构实体质量监督抽测工作的通知》（东建质安〔2016〕262号）</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东莞市建设工程质量检测服务手册（第一版）；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《东莞市建设工程检测行业参考收费标准（2023版）》；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《广东省房屋建筑和市政工程工程质量安全检测收费指导价》（粤建检协[2015]8号）；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国家及省市建设主管部门的相关标准和规范；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设计资料等。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pPr>
        <w:adjustRightInd w:val="0"/>
        <w:snapToGrid w:val="0"/>
        <w:spacing w:line="360" w:lineRule="auto"/>
        <w:ind w:left="21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38" w:name="_Toc19219"/>
      <w:bookmarkStart w:id="439" w:name="_Toc10812"/>
      <w:r>
        <w:rPr>
          <w:rFonts w:hint="eastAsia" w:ascii="宋体" w:hAnsi="宋体" w:eastAsia="宋体" w:cs="宋体"/>
          <w:b/>
          <w:color w:val="auto"/>
          <w:sz w:val="21"/>
          <w:szCs w:val="21"/>
        </w:rPr>
        <w:t>五、检测费用支付方式</w:t>
      </w:r>
      <w:bookmarkEnd w:id="438"/>
      <w:bookmarkEnd w:id="43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支付进度款。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累计支付的进度款不超过暂定总合同价款</w:t>
      </w:r>
      <w:r>
        <w:rPr>
          <w:rFonts w:hint="eastAsia" w:ascii="宋体" w:hAnsi="宋体" w:eastAsia="宋体" w:cs="宋体"/>
          <w:color w:val="auto"/>
          <w:sz w:val="21"/>
          <w:szCs w:val="21"/>
        </w:rPr>
        <w:t>（含税）</w:t>
      </w:r>
      <w:r>
        <w:rPr>
          <w:rFonts w:hint="eastAsia" w:ascii="宋体" w:hAnsi="宋体" w:eastAsia="宋体" w:cs="宋体"/>
          <w:color w:val="auto"/>
          <w:sz w:val="21"/>
          <w:szCs w:val="21"/>
          <w:highlight w:val="none"/>
        </w:rPr>
        <w:t>的80%，待工程竣工验收合格，项目结算完毕，并提交请款报告后30天内，</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按结算价一次性支付余款。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收取每笔款项前，在提交请款报告的同时一并提供等额有效的增值税专用发票，</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在收到相关请款材料审核后支付；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逾期提交请款材料或提供的发票不合格的，</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提供的发票不符合税法规定，给</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造成的损失由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承担赔偿责任。</w:t>
      </w:r>
    </w:p>
    <w:p>
      <w:pPr>
        <w:adjustRightInd w:val="0"/>
        <w:snapToGrid w:val="0"/>
        <w:spacing w:line="360" w:lineRule="auto"/>
        <w:ind w:firstLine="420" w:firstLineChars="20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40" w:name="_Toc12139"/>
      <w:bookmarkStart w:id="441" w:name="_Toc22236"/>
      <w:r>
        <w:rPr>
          <w:rFonts w:hint="eastAsia" w:ascii="宋体" w:hAnsi="宋体" w:eastAsia="宋体" w:cs="宋体"/>
          <w:b/>
          <w:color w:val="auto"/>
          <w:sz w:val="21"/>
          <w:szCs w:val="21"/>
        </w:rPr>
        <w:t>六、双方权利及义务</w:t>
      </w:r>
      <w:bookmarkEnd w:id="440"/>
      <w:bookmarkEnd w:id="441"/>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1.甲方权利及义务：</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（1）在合同履行期间，有权对乙方进行监督和检查，并要求其提供相关信息和资料。对乙方违反本合同约定、招投标文件规定的行为有权要求改正。</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（2）甲方有权对乙方服务人员、设备投入等进行监督、检查。如发现不符合招投标文件、合同约定的，有权要求补充、更换及追究乙方其他违约责任。</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（3）对发现乙方违反本合同、招投标文件或服务合同的有关规定或承诺，甲方有权追究乙方的违约责任，扣除或没收本合同履约担保。</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（4）协助乙方仪器及运输设备顺利进场。</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（5）监督受监施工单位定时向乙方提供进度计划，协调作业时间，保证乙方有足够时间展开检测工作。</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（6）有权对乙方的检测工作进行监督，对其违约行为发出整改通知。</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（7）合同履约期间，甲方有权对检测范围、要求、规模及特征等根据项目实际情况作出相应调整，调整后双方根据实际工作量进行结算。</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（8）甲方按照既定的审批程序，及时办理服务费的审批手续。</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（9）施工现场用水、用电在有条件的情况下由甲方负责提供水、电接入点，乙方自行接入。</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（10）合同文件及附件内容约定的甲方其余权利义务。</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2.乙方权利及义务：</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（2）对甲方委派的检测工作，乙方应当根据本合同约定、招投标文件及甲方要求进行开展，不得借故拒绝接受委托。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（3）按照国家颁发的有关检测技术标准或规范，采用科学先进的方法进行检测评估和试验过程的全程监控、记录，保证数据真实可靠，对检测结果真实性、准确性、合法性、完整性负责。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（7）严格遵守国家法律、法规，协助甲方做好社会治安综合管理工作和计划生育等工作。乙方员工有违法乱纪或犯罪的行为，乙方应承担一切经济责任和法律责任。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（11）如施工现场甲方无法提供水、电接入点，乙方自行解决施工用水、用电并承担相关费用。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（12）乙方应按本合同及招、投标文件的要求按时提供检测报告和其他甲方认为有必要提供的中间过程资料、图表、照片（包括电子资料）等，以及向甲方提供咨询服务和建议。</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（13）检测过程中，乙方自行对本单位的仪器、设备安全负责，自行承担保管职责，对检测所产生的水、电等费用由乙方负责。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（14）与检测工程的施工单位、设计单位、监理单位等单位相互配合，数据共享。</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（15）本合同约定范围内必要的修改，补充，应由乙方负责，甲方不再另付检测费用或其他费用。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（17）乙方提交给甲方的检测成果知识产权归属甲方，乙方须确保甲方在使用过程中免受第三方关于知识产权或其他合法权益的起诉，否则，乙方应承担由此给甲方造成的一切损失。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（20）本合同所述的乙方应承担的甲方损失，包括但不限于甲方支出的赔偿金、诉讼费、保全费、律师费、鉴定费等。</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（21）本项目禁止转包，</w:t>
      </w:r>
      <w:r>
        <w:rPr>
          <w:rFonts w:hint="eastAsia" w:ascii="宋体" w:hAnsi="宋体" w:eastAsia="宋体" w:cs="宋体"/>
          <w:color w:val="auto"/>
          <w:sz w:val="21"/>
          <w:szCs w:val="21"/>
          <w:lang w:val="hr-HR"/>
        </w:rPr>
        <w:t>若特殊项目</w:t>
      </w:r>
      <w:r>
        <w:rPr>
          <w:rFonts w:hint="eastAsia" w:ascii="宋体" w:hAnsi="宋体" w:eastAsia="宋体" w:cs="宋体"/>
          <w:color w:val="auto"/>
          <w:sz w:val="21"/>
          <w:szCs w:val="21"/>
        </w:rPr>
        <w:t>乙方</w:t>
      </w:r>
      <w:r>
        <w:rPr>
          <w:rFonts w:hint="eastAsia" w:ascii="宋体" w:hAnsi="宋体" w:eastAsia="宋体" w:cs="宋体"/>
          <w:color w:val="auto"/>
          <w:sz w:val="21"/>
          <w:szCs w:val="21"/>
          <w:lang w:val="hr-HR"/>
        </w:rPr>
        <w:t>无相应资质的，必须经</w:t>
      </w:r>
      <w:r>
        <w:rPr>
          <w:rFonts w:hint="eastAsia" w:ascii="宋体" w:hAnsi="宋体" w:eastAsia="宋体" w:cs="宋体"/>
          <w:color w:val="auto"/>
          <w:sz w:val="21"/>
          <w:szCs w:val="21"/>
        </w:rPr>
        <w:t>甲方</w:t>
      </w:r>
      <w:r>
        <w:rPr>
          <w:rFonts w:hint="eastAsia" w:ascii="宋体" w:hAnsi="宋体" w:eastAsia="宋体" w:cs="宋体"/>
          <w:color w:val="auto"/>
          <w:sz w:val="21"/>
          <w:szCs w:val="21"/>
          <w:lang w:val="hr-HR"/>
        </w:rPr>
        <w:t>批准后送符合条件（具备相应资质）的分包单位进行检测，并出具相应的检测报告，否则将视为</w:t>
      </w:r>
      <w:r>
        <w:rPr>
          <w:rFonts w:hint="eastAsia" w:ascii="宋体" w:hAnsi="宋体" w:eastAsia="宋体" w:cs="宋体"/>
          <w:color w:val="auto"/>
          <w:sz w:val="21"/>
          <w:szCs w:val="21"/>
        </w:rPr>
        <w:t>乙方</w:t>
      </w:r>
      <w:r>
        <w:rPr>
          <w:rFonts w:hint="eastAsia" w:ascii="宋体" w:hAnsi="宋体" w:eastAsia="宋体" w:cs="宋体"/>
          <w:color w:val="auto"/>
          <w:sz w:val="21"/>
          <w:szCs w:val="21"/>
          <w:lang w:val="hr-HR"/>
        </w:rPr>
        <w:t>违约，出具的报告不予承认</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（22）合同文件及附件内容约定的乙方其他权利义务。</w:t>
      </w:r>
    </w:p>
    <w:p>
      <w:pPr>
        <w:adjustRightInd w:val="0"/>
        <w:snapToGrid w:val="0"/>
        <w:spacing w:line="360" w:lineRule="auto"/>
        <w:ind w:firstLine="420" w:firstLineChars="20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42" w:name="_Toc20858"/>
      <w:bookmarkStart w:id="443" w:name="_Toc12889"/>
      <w:r>
        <w:rPr>
          <w:rFonts w:hint="eastAsia" w:ascii="宋体" w:hAnsi="宋体" w:eastAsia="宋体" w:cs="宋体"/>
          <w:b/>
          <w:color w:val="auto"/>
          <w:sz w:val="21"/>
          <w:szCs w:val="21"/>
        </w:rPr>
        <w:t>七、成果要求</w:t>
      </w:r>
      <w:bookmarkEnd w:id="442"/>
      <w:bookmarkEnd w:id="443"/>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1.合同签订后15天内，乙方应根据批准的工程施工组织设计、工程设计文件、市政工程建设标准、国家及行业规范等制定并向甲方提交详细的可实施的检测方案1份。乙方</w:t>
      </w:r>
      <w:r>
        <w:rPr>
          <w:rFonts w:hint="eastAsia" w:ascii="宋体" w:hAnsi="宋体" w:eastAsia="宋体" w:cs="宋体"/>
          <w:color w:val="auto"/>
          <w:sz w:val="21"/>
          <w:szCs w:val="21"/>
          <w:lang w:val="hr-HR"/>
        </w:rPr>
        <w:t>应积极配合甲方调整优化检测方案，并提交甲方确认。</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2.乙方在各项检测工作完成后应提交检测报告一式三份（含纸质版及电子档），检测报告包含但不限于：项目概况、检测位置、检测结果与结论、各类原始记录等内容，具体以相关规范为准。</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3.乙方应向甲方提交正式、合法的检测报告书，并同时加盖资质认定标志（即CMA印章）和乙方检验检测报告专用章。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4.乙方所提供给甲方的成果资料所有权由甲方享有，未经甲方许可，乙方不得将成果泄露给第三方。</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5.乙方须保证检测成果质量</w:t>
      </w:r>
      <w:r>
        <w:rPr>
          <w:rFonts w:hint="eastAsia" w:ascii="宋体" w:hAnsi="宋体" w:eastAsia="宋体" w:cs="宋体"/>
          <w:color w:val="auto"/>
          <w:kern w:val="2"/>
          <w:sz w:val="21"/>
          <w:szCs w:val="21"/>
          <w:highlight w:val="none"/>
        </w:rPr>
        <w:t>，对技术成果负全</w:t>
      </w:r>
      <w:r>
        <w:rPr>
          <w:rFonts w:hint="eastAsia" w:ascii="宋体" w:hAnsi="宋体" w:eastAsia="宋体" w:cs="宋体"/>
          <w:color w:val="auto"/>
          <w:kern w:val="2"/>
          <w:sz w:val="21"/>
          <w:szCs w:val="21"/>
          <w:highlight w:val="none"/>
          <w:lang w:val="en-US" w:eastAsia="zh-CN"/>
        </w:rPr>
        <w:t>部</w:t>
      </w:r>
      <w:r>
        <w:rPr>
          <w:rFonts w:hint="eastAsia" w:ascii="宋体" w:hAnsi="宋体" w:eastAsia="宋体" w:cs="宋体"/>
          <w:color w:val="auto"/>
          <w:kern w:val="2"/>
          <w:sz w:val="21"/>
          <w:szCs w:val="21"/>
          <w:highlight w:val="none"/>
        </w:rPr>
        <w:t>责任，</w:t>
      </w:r>
      <w:r>
        <w:rPr>
          <w:rFonts w:hint="eastAsia" w:ascii="宋体" w:hAnsi="宋体" w:eastAsia="宋体" w:cs="宋体"/>
          <w:color w:val="auto"/>
          <w:sz w:val="21"/>
          <w:szCs w:val="21"/>
        </w:rPr>
        <w:t>如因检测不实，造成甲方经济损失费用全部由乙方承担，并应负责重检。</w:t>
      </w:r>
    </w:p>
    <w:p>
      <w:pPr>
        <w:adjustRightInd w:val="0"/>
        <w:snapToGrid w:val="0"/>
        <w:spacing w:line="360" w:lineRule="auto"/>
        <w:ind w:firstLine="420" w:firstLineChars="200"/>
        <w:rPr>
          <w:rFonts w:hint="eastAsia" w:ascii="宋体" w:hAnsi="宋体" w:eastAsia="宋体" w:cs="宋体"/>
          <w:bCs/>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44" w:name="_Toc27788"/>
      <w:bookmarkStart w:id="445" w:name="_Toc29923"/>
      <w:r>
        <w:rPr>
          <w:rFonts w:hint="eastAsia" w:ascii="宋体" w:hAnsi="宋体" w:eastAsia="宋体" w:cs="宋体"/>
          <w:b/>
          <w:color w:val="auto"/>
          <w:sz w:val="21"/>
          <w:szCs w:val="21"/>
        </w:rPr>
        <w:t>八、质量控制标准</w:t>
      </w:r>
      <w:bookmarkEnd w:id="444"/>
      <w:bookmarkEnd w:id="445"/>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1.乙方应当建立健全并落实各项管理制度，保证检测项目工作正常进行，并接受甲方及有关主管部门对项目服务质量的监督检查。</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2.乙方应建立并实施符合本项目各项要求的质量管理体系。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3.甲方代表有权在工作时间内进入乙方的工作地点检查其质保手册、质量计划及其它与质量相关的文件的实施情况。</w:t>
      </w:r>
    </w:p>
    <w:p>
      <w:pPr>
        <w:widowControl/>
        <w:adjustRightInd w:val="0"/>
        <w:snapToGrid w:val="0"/>
        <w:spacing w:line="360" w:lineRule="auto"/>
        <w:ind w:firstLine="420" w:firstLineChars="20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46" w:name="_Toc17838"/>
      <w:bookmarkStart w:id="447" w:name="_Toc18764"/>
      <w:r>
        <w:rPr>
          <w:rFonts w:hint="eastAsia" w:ascii="宋体" w:hAnsi="宋体" w:eastAsia="宋体" w:cs="宋体"/>
          <w:b/>
          <w:color w:val="auto"/>
          <w:sz w:val="21"/>
          <w:szCs w:val="21"/>
        </w:rPr>
        <w:t>九、人员及设备要求</w:t>
      </w:r>
      <w:bookmarkEnd w:id="446"/>
      <w:bookmarkEnd w:id="447"/>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1.乙方派出的</w:t>
      </w:r>
      <w:r>
        <w:rPr>
          <w:rFonts w:hint="eastAsia" w:ascii="宋体" w:hAnsi="宋体" w:eastAsia="宋体" w:cs="宋体"/>
          <w:color w:val="auto"/>
          <w:sz w:val="21"/>
          <w:szCs w:val="21"/>
          <w:highlight w:val="none"/>
        </w:rPr>
        <w:t>检测人员</w:t>
      </w:r>
      <w:r>
        <w:rPr>
          <w:rFonts w:hint="eastAsia" w:ascii="宋体" w:hAnsi="宋体" w:eastAsia="宋体" w:cs="宋体"/>
          <w:color w:val="auto"/>
          <w:sz w:val="21"/>
          <w:szCs w:val="21"/>
        </w:rPr>
        <w:t>应具备相应的专业知识及技术水平，有足够能力完成本项目检测服务工作。</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需配备1名项目负责人、1名技术负责人及数量充足的检测工作人员，保证检测工作有序、顺利完成。</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3.乙方应配备完成本项目所必须的检测设备，其性能良好并符合国家规定。同时配备数量充足的交通警示标志和施工</w:t>
      </w:r>
      <w:r>
        <w:rPr>
          <w:rFonts w:hint="eastAsia" w:ascii="宋体" w:hAnsi="宋体" w:eastAsia="宋体" w:cs="宋体"/>
          <w:color w:val="auto"/>
          <w:sz w:val="21"/>
          <w:szCs w:val="21"/>
          <w:lang w:eastAsia="zh-CN"/>
        </w:rPr>
        <w:t>围挡</w:t>
      </w:r>
      <w:r>
        <w:rPr>
          <w:rFonts w:hint="eastAsia" w:ascii="宋体" w:hAnsi="宋体" w:eastAsia="宋体" w:cs="宋体"/>
          <w:color w:val="auto"/>
          <w:sz w:val="21"/>
          <w:szCs w:val="21"/>
        </w:rPr>
        <w:t>，以及检测仪器、无线通讯设备、劳动防护用品等其它必须使用的工具。</w:t>
      </w:r>
    </w:p>
    <w:p>
      <w:pPr>
        <w:widowControl/>
        <w:adjustRightInd w:val="0"/>
        <w:snapToGrid w:val="0"/>
        <w:spacing w:line="360" w:lineRule="auto"/>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48" w:name="_Toc26320"/>
      <w:bookmarkStart w:id="449" w:name="_Toc28935"/>
      <w:r>
        <w:rPr>
          <w:rFonts w:hint="eastAsia" w:ascii="宋体" w:hAnsi="宋体" w:eastAsia="宋体" w:cs="宋体"/>
          <w:b/>
          <w:color w:val="auto"/>
          <w:sz w:val="21"/>
          <w:szCs w:val="21"/>
        </w:rPr>
        <w:t>十、违约责任</w:t>
      </w:r>
      <w:bookmarkEnd w:id="448"/>
      <w:bookmarkEnd w:id="449"/>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乙方未按本合同约定配备必要的办公场所、设备或者服务人员的，甲方有权就违约事宜提出改正，如乙方仍拒不改正的，甲方有权选择解除本合同或服务合同，并没收全部履约担保。</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rPr>
        <w:t>在本合同履行过程中，无论何种原因，乙方均不得消极怠工或拒不履行合同义务（包括但不限于技术支持、专家会审、解答释疑、事故处理，修正检测报告及数据成果等），或履行的合同义务不符合要求的。如有违反，将视为乙方违约，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r>
        <w:rPr>
          <w:rFonts w:hint="eastAsia" w:ascii="宋体" w:hAnsi="宋体" w:eastAsia="宋体" w:cs="宋体"/>
          <w:bCs/>
          <w:color w:val="auto"/>
          <w:sz w:val="21"/>
          <w:szCs w:val="21"/>
        </w:rPr>
        <w:t>。</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color w:val="auto"/>
          <w:sz w:val="21"/>
          <w:szCs w:val="21"/>
        </w:rPr>
        <w:t>由于乙方原因造成检测报告、成果数据、文件等质量不合格，不能满足技术要求时，乙方除按合同约定承担责任外，其返工重新检测等产生的费用由乙方承担</w:t>
      </w:r>
      <w:r>
        <w:rPr>
          <w:rFonts w:hint="eastAsia" w:ascii="宋体" w:hAnsi="宋体" w:eastAsia="宋体" w:cs="宋体"/>
          <w:bCs/>
          <w:color w:val="auto"/>
          <w:sz w:val="21"/>
          <w:szCs w:val="21"/>
        </w:rPr>
        <w:t>。</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4.合同履行期间，由于工程停建而终止合同或甲方要求解除合同时，双方互不承担赔偿责任。乙方未进行检测工作的，应退还甲方已预付的费用；已进行检测工作的，根据其中标报价按甲方审核确认实际完成的工作量进行结算。</w:t>
      </w:r>
    </w:p>
    <w:p>
      <w:pPr>
        <w:adjustRightInd w:val="0"/>
        <w:snapToGrid w:val="0"/>
        <w:spacing w:line="360" w:lineRule="auto"/>
        <w:ind w:firstLine="420" w:firstLineChars="200"/>
        <w:contextualSpacing/>
        <w:rPr>
          <w:rFonts w:hint="eastAsia" w:ascii="宋体" w:hAnsi="宋体" w:eastAsia="宋体" w:cs="宋体"/>
          <w:bCs/>
          <w:color w:val="auto"/>
          <w:sz w:val="21"/>
          <w:szCs w:val="21"/>
        </w:rPr>
      </w:pPr>
      <w:r>
        <w:rPr>
          <w:rFonts w:hint="eastAsia" w:ascii="宋体" w:hAnsi="宋体" w:eastAsia="宋体" w:cs="宋体"/>
          <w:color w:val="auto"/>
          <w:sz w:val="21"/>
          <w:szCs w:val="21"/>
        </w:rPr>
        <w:t>5.若非甲方原因，由于乙方原因未按甲方要求时间（日期）提交检测报告、成果数据、文件资料、检测方案的，或未按期履行其他义务的，每逾期一日，乙方按贰仟元/天承担违约金。逾期超过</w:t>
      </w:r>
      <w:r>
        <w:rPr>
          <w:rFonts w:hint="eastAsia" w:ascii="宋体" w:hAnsi="宋体" w:eastAsia="宋体" w:cs="宋体"/>
          <w:color w:val="auto"/>
          <w:sz w:val="21"/>
          <w:szCs w:val="21"/>
          <w:u w:val="single"/>
        </w:rPr>
        <w:t>15</w:t>
      </w:r>
      <w:r>
        <w:rPr>
          <w:rFonts w:hint="eastAsia" w:ascii="宋体" w:hAnsi="宋体" w:eastAsia="宋体" w:cs="宋体"/>
          <w:color w:val="auto"/>
          <w:sz w:val="21"/>
          <w:szCs w:val="21"/>
        </w:rPr>
        <w:t>日的，甲方有权单方解除合同，且乙方须承担履约担保等额的违约金，同时有权没收履约担保。同时，造成甲方的经济损失（包括但不限于重新采购、委托第三方的费用），由乙方承担全部赔偿。</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6.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乙方存在如下情形之一的，甲方有权书面通知乙方单方解除本合同，并由乙方承担履约担保等额的违约金，同时有权没收履约担保，给甲方造成损失的，乙方还足额应赔偿甲方：</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（1）提供虚假信息、误导或欺骗甲方及丙方，以谋取非法利益的；</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（2）违反诚信信用原则，没有严格执行相关质量、服务，损害甲方、丙方或相关用户单位的利益的；</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（3）违反有关法律法规以及本合同的约定，损害甲方利益的；</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（4）拒绝接受甲方、丙方及相关部门监督、检查的；</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（5）出现信用危机、财务危机、生产经营危机甚至破产、倒闭，无法继续履行本合同的；</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（6）采用非法手段进行不正当竞争的，构成恶劣影响；</w:t>
      </w:r>
    </w:p>
    <w:p>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（7）违反本合同约定，泄露服务项目内容的。</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8.</w:t>
      </w:r>
      <w:r>
        <w:rPr>
          <w:rFonts w:hint="eastAsia" w:ascii="宋体" w:hAnsi="宋体" w:eastAsia="宋体" w:cs="宋体"/>
          <w:color w:val="auto"/>
          <w:sz w:val="21"/>
          <w:szCs w:val="21"/>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9.</w:t>
      </w:r>
      <w:r>
        <w:rPr>
          <w:rFonts w:hint="eastAsia" w:ascii="宋体" w:hAnsi="宋体" w:eastAsia="宋体" w:cs="宋体"/>
          <w:color w:val="auto"/>
          <w:sz w:val="21"/>
          <w:szCs w:val="21"/>
        </w:rPr>
        <w:t>乙方必须积极响应并接受相关部门的监督检查，若受到相关部门的批评，经调查认定情况属实的，视情节轻重要求其承担违约责任；造成恶劣影响的，甲方有权解除合同。</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w:t>
      </w:r>
      <w:r>
        <w:rPr>
          <w:rFonts w:hint="eastAsia" w:ascii="宋体" w:hAnsi="宋体" w:eastAsia="宋体" w:cs="宋体"/>
          <w:color w:val="auto"/>
          <w:sz w:val="21"/>
          <w:szCs w:val="21"/>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处理。</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11.</w:t>
      </w:r>
      <w:r>
        <w:rPr>
          <w:rFonts w:hint="eastAsia" w:ascii="宋体" w:hAnsi="宋体" w:eastAsia="宋体" w:cs="宋体"/>
          <w:color w:val="auto"/>
          <w:sz w:val="21"/>
          <w:szCs w:val="21"/>
        </w:rPr>
        <w:t>未经甲方书面同意，乙方变更项目负责人或技术负责人的，甲方有权要求乙方按伍万元/人/次承担违约金。</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12.甲方每季度根据合同附件五《检测单位履约考核评分表》对乙方评价一次，出具考核评价结果。甲方将严格按照考核评分标准对乙方进行季度检查和考核。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开户名称：东莞市水务集团建设管理有限公司</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银行账号：2010021309200628330</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开户银行：中国工商银行股份有限公司东莞分行</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14.因乙方违约，甲方通过司法途径维护自身权益的，乙方应承担甲方由此支出的律师费、诉讼费、执行费、鉴定费、公证费、财产保全费及保险费等全部费用。</w:t>
      </w:r>
    </w:p>
    <w:p>
      <w:pPr>
        <w:adjustRightInd w:val="0"/>
        <w:snapToGrid w:val="0"/>
        <w:spacing w:line="360" w:lineRule="auto"/>
        <w:ind w:firstLine="420" w:firstLineChars="200"/>
        <w:rPr>
          <w:rFonts w:hint="eastAsia" w:ascii="宋体" w:hAnsi="宋体" w:eastAsia="宋体" w:cs="宋体"/>
          <w:bCs/>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50" w:name="_Toc8428"/>
      <w:bookmarkStart w:id="451" w:name="_Toc31226"/>
      <w:r>
        <w:rPr>
          <w:rFonts w:hint="eastAsia" w:ascii="宋体" w:hAnsi="宋体" w:eastAsia="宋体" w:cs="宋体"/>
          <w:b/>
          <w:color w:val="auto"/>
          <w:sz w:val="21"/>
          <w:szCs w:val="21"/>
        </w:rPr>
        <w:t>十一、履约担保</w:t>
      </w:r>
      <w:bookmarkEnd w:id="450"/>
      <w:bookmarkEnd w:id="451"/>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1.乙方应当根据招标文件的规定在签订本合同前向甲方提供履约担保，履约担保形式及金额由乙方从以下方式中任选一种：</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pPr>
        <w:widowControl/>
        <w:autoSpaceDE/>
        <w:autoSpaceDN/>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pPr>
        <w:widowControl/>
        <w:autoSpaceDE/>
        <w:autoSpaceDN/>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pPr>
        <w:widowControl/>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合同履行过程中，</w:t>
      </w:r>
      <w:r>
        <w:rPr>
          <w:rFonts w:hint="eastAsia" w:ascii="宋体" w:hAnsi="宋体" w:eastAsia="宋体" w:cs="宋体"/>
          <w:bCs/>
          <w:color w:val="auto"/>
          <w:kern w:val="0"/>
          <w:sz w:val="21"/>
          <w:szCs w:val="21"/>
          <w:highlight w:val="none"/>
          <w:lang w:eastAsia="zh-CN"/>
        </w:rPr>
        <w:t>乙方</w:t>
      </w:r>
      <w:r>
        <w:rPr>
          <w:rFonts w:hint="eastAsia" w:ascii="宋体" w:hAnsi="宋体" w:eastAsia="宋体" w:cs="宋体"/>
          <w:color w:val="auto"/>
          <w:kern w:val="0"/>
          <w:sz w:val="21"/>
          <w:szCs w:val="21"/>
          <w:highlight w:val="none"/>
        </w:rPr>
        <w:t>给</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造成的损失超过履约担保数额的，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还应当对超过部分予以赔偿，</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并依法追究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的相应责任。</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2.履约担保用于补偿甲方因乙方不能完全履行其合同义务而蒙受的损失或其他合同约定的事项，如发生下列任一情况时，</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有权依合同追究违约责任外，同时有权提取履约担保并进行相应处理：</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将合同项下</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的权利义务全部转让给第三方，或未经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书面同意将部分权利义务转让给第三方的，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有权没收其履约担保。</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在合同履行期间，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怠于履行合同义务，经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通知或要求承担违约金后仍拒不改正的，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可依法没收或适当扣除其履约担保。</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在合同履行期间，因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lang w:val="en-US" w:eastAsia="zh-CN"/>
        </w:rPr>
        <w:t>服</w:t>
      </w:r>
      <w:r>
        <w:rPr>
          <w:rFonts w:hint="eastAsia" w:ascii="宋体" w:hAnsi="宋体" w:eastAsia="宋体" w:cs="宋体"/>
          <w:color w:val="auto"/>
          <w:sz w:val="21"/>
          <w:szCs w:val="21"/>
        </w:rPr>
        <w:t>务质量问题造成损害、侵权损失（包括但不限于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经济损失、第三人人身财产损失等）、与其所雇用员工发生劳资纠纷、上访、闹事或其他影响</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生产经营等情况而其未及时妥善处理的，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有权使用履约担保予以支付或作出相应处理，由此产生的一切法律后果由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在合同履行期间，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违约产生的违约金、赔偿、罚款或其他应付费用等款项，</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有权直接从未付款项中直接扣除或启用履约担保予以支付。</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合同期内，</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不能及时完成合同某项义务的，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有权提取履约担保用于处理该项工作。</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其他根据本合同约定或法律规定，</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可启用履约担保的情形。</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以履约保证金（银行转账形式）提供履约担保的在依法完成本项目的所有合同义务，且结算完毕之后二十八（28）个日历天后，经</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确认，</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可向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提交退回履约担保的申请。</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审核无异议后，办理履约担保退还手续，退回时一律以银行转账的形式无息退回到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账户</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4.如乙方提供不可撤销银行履约保函（或履约保证保险或担保公司履约担保书）作为履约担保的，不可撤销银行履约保函（或履约保证保险或担保公司履约担保书）应从</w:t>
      </w:r>
      <w:r>
        <w:rPr>
          <w:rFonts w:hint="eastAsia" w:ascii="宋体" w:hAnsi="宋体" w:eastAsia="宋体" w:cs="宋体"/>
          <w:color w:val="auto"/>
          <w:sz w:val="21"/>
          <w:szCs w:val="21"/>
          <w:lang w:eastAsia="zh-CN"/>
        </w:rPr>
        <w:t>合同签订之日起至合同期限届满并履行完毕相关服务义务且结算完毕之后二十八（28）个日历天内保持有效</w:t>
      </w:r>
      <w:r>
        <w:rPr>
          <w:rFonts w:hint="eastAsia" w:ascii="宋体" w:hAnsi="宋体" w:eastAsia="宋体" w:cs="宋体"/>
          <w:color w:val="auto"/>
          <w:sz w:val="21"/>
          <w:szCs w:val="21"/>
        </w:rPr>
        <w:t>。</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提交的履约担保的有效期届满时间先于招标文件、合同文件要求的，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应在原提交的履约担保有效期届满前15日内，无条件办理符合</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要求的履约担保延期手续，否则视为</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违约，</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担保公司履约担保书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到期后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要求重新提供的，</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以履约担保金额为限承担违约金，</w:t>
      </w:r>
      <w:r>
        <w:rPr>
          <w:rFonts w:hint="eastAsia" w:ascii="宋体" w:hAnsi="宋体" w:eastAsia="宋体" w:cs="宋体"/>
          <w:color w:val="auto"/>
          <w:sz w:val="21"/>
          <w:szCs w:val="21"/>
        </w:rPr>
        <w:t>违约金可直接由丙方从未付款项中扣除并支付给甲方。</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5.在合同履行过程中，不论何种原因导致履约担保数额不符合招标文件要求的，乙方应当在5</w:t>
      </w:r>
      <w:r>
        <w:rPr>
          <w:rFonts w:hint="eastAsia" w:ascii="宋体" w:hAnsi="宋体" w:eastAsia="宋体" w:cs="宋体"/>
          <w:color w:val="auto"/>
          <w:kern w:val="0"/>
          <w:sz w:val="21"/>
          <w:szCs w:val="21"/>
          <w:highlight w:val="none"/>
        </w:rPr>
        <w:t>日内予以补足</w:t>
      </w:r>
      <w:r>
        <w:rPr>
          <w:rFonts w:hint="eastAsia" w:ascii="宋体" w:hAnsi="宋体" w:eastAsia="宋体" w:cs="宋体"/>
          <w:color w:val="auto"/>
          <w:sz w:val="21"/>
          <w:szCs w:val="21"/>
        </w:rPr>
        <w:t>。逾期不予补足的，甲方有权按需补足的金额要求乙方承担违约金，并要求限期补足。如乙方仍不补足的，甲方有权单方解除合同</w:t>
      </w:r>
      <w:r>
        <w:rPr>
          <w:rFonts w:hint="eastAsia" w:ascii="宋体" w:hAnsi="宋体" w:eastAsia="宋体" w:cs="宋体"/>
          <w:color w:val="auto"/>
          <w:kern w:val="0"/>
          <w:sz w:val="21"/>
          <w:szCs w:val="21"/>
          <w:highlight w:val="none"/>
        </w:rPr>
        <w:t>，违约金可直接从未付合同款或履约担保中扣除</w:t>
      </w:r>
      <w:r>
        <w:rPr>
          <w:rFonts w:hint="eastAsia" w:ascii="宋体" w:hAnsi="宋体" w:eastAsia="宋体" w:cs="宋体"/>
          <w:color w:val="auto"/>
          <w:sz w:val="21"/>
          <w:szCs w:val="21"/>
        </w:rPr>
        <w:t>。</w:t>
      </w:r>
    </w:p>
    <w:p>
      <w:pPr>
        <w:widowControl/>
        <w:adjustRightInd w:val="0"/>
        <w:snapToGrid w:val="0"/>
        <w:spacing w:line="360" w:lineRule="auto"/>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52" w:name="_Toc14555"/>
      <w:bookmarkStart w:id="453" w:name="_Toc2445"/>
      <w:r>
        <w:rPr>
          <w:rFonts w:hint="eastAsia" w:ascii="宋体" w:hAnsi="宋体" w:eastAsia="宋体" w:cs="宋体"/>
          <w:b/>
          <w:color w:val="auto"/>
          <w:sz w:val="21"/>
          <w:szCs w:val="21"/>
        </w:rPr>
        <w:t>十二、其他约定</w:t>
      </w:r>
      <w:bookmarkEnd w:id="452"/>
      <w:bookmarkEnd w:id="453"/>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本合同专用条款第十二条“其他约定”若与本合同其他条款内容不相一致的，以第十二条优先解释、处理。</w:t>
      </w:r>
    </w:p>
    <w:p>
      <w:pPr>
        <w:widowControl/>
        <w:adjustRightInd w:val="0"/>
        <w:snapToGrid w:val="0"/>
        <w:spacing w:line="360" w:lineRule="auto"/>
        <w:ind w:firstLine="420" w:firstLineChars="200"/>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1.支付、结算条款一览表</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087"/>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序号</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类别</w:t>
            </w:r>
          </w:p>
        </w:tc>
        <w:tc>
          <w:tcPr>
            <w:tcW w:w="4011"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定金或预付款</w:t>
            </w:r>
          </w:p>
        </w:tc>
        <w:tc>
          <w:tcPr>
            <w:tcW w:w="4011" w:type="pct"/>
            <w:vAlign w:val="center"/>
          </w:tcPr>
          <w:p>
            <w:pPr>
              <w:wordWrap w:val="0"/>
              <w:spacing w:line="360" w:lineRule="auto"/>
              <w:ind w:firstLine="422" w:firstLineChars="201"/>
              <w:rPr>
                <w:rFonts w:hint="eastAsia" w:ascii="宋体" w:hAnsi="宋体" w:eastAsia="宋体" w:cs="宋体"/>
                <w:color w:val="auto"/>
                <w:sz w:val="21"/>
                <w:szCs w:val="21"/>
              </w:rPr>
            </w:pPr>
            <w:r>
              <w:rPr>
                <w:rFonts w:hint="eastAsia" w:ascii="宋体" w:hAnsi="宋体" w:eastAsia="宋体" w:cs="宋体"/>
                <w:color w:val="auto"/>
                <w:sz w:val="21"/>
                <w:szCs w:val="21"/>
              </w:rPr>
              <w:t>项目业主向乙方支付定金金额:</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或预付款的金额：</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w:t>
            </w:r>
          </w:p>
          <w:p>
            <w:pPr>
              <w:wordWrap w:val="0"/>
              <w:adjustRightInd w:val="0"/>
              <w:snapToGrid w:val="0"/>
              <w:spacing w:line="360" w:lineRule="auto"/>
              <w:ind w:firstLine="422" w:firstLineChars="201"/>
              <w:rPr>
                <w:rFonts w:hint="eastAsia" w:ascii="宋体" w:hAnsi="宋体" w:eastAsia="宋体" w:cs="宋体"/>
                <w:bCs/>
                <w:color w:val="auto"/>
                <w:sz w:val="21"/>
                <w:szCs w:val="21"/>
              </w:rPr>
            </w:pPr>
            <w:r>
              <w:rPr>
                <w:rFonts w:hint="eastAsia" w:ascii="宋体" w:hAnsi="宋体" w:eastAsia="宋体" w:cs="宋体"/>
                <w:color w:val="auto"/>
                <w:sz w:val="21"/>
                <w:szCs w:val="21"/>
              </w:rPr>
              <w:t>定金或预付款在进度款中的抵扣办法：</w:t>
            </w:r>
            <w:r>
              <w:rPr>
                <w:rFonts w:hint="eastAsia" w:ascii="宋体" w:hAnsi="宋体" w:eastAsia="宋体" w:cs="宋体"/>
                <w:color w:val="auto"/>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2</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付款方式</w:t>
            </w:r>
          </w:p>
        </w:tc>
        <w:tc>
          <w:tcPr>
            <w:tcW w:w="4011"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支付进度款。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累计支付的进度款不超过暂定总合同价款</w:t>
            </w:r>
            <w:r>
              <w:rPr>
                <w:rFonts w:hint="eastAsia" w:ascii="宋体" w:hAnsi="宋体" w:eastAsia="宋体" w:cs="宋体"/>
                <w:color w:val="auto"/>
                <w:sz w:val="21"/>
                <w:szCs w:val="21"/>
              </w:rPr>
              <w:t>（含税）</w:t>
            </w:r>
            <w:r>
              <w:rPr>
                <w:rFonts w:hint="eastAsia" w:ascii="宋体" w:hAnsi="宋体" w:eastAsia="宋体" w:cs="宋体"/>
                <w:color w:val="auto"/>
                <w:sz w:val="21"/>
                <w:szCs w:val="21"/>
                <w:highlight w:val="none"/>
              </w:rPr>
              <w:t>的80%，待工程竣工验收合格，项目结算完毕，并提交请款报告后30天内，</w:t>
            </w:r>
            <w:r>
              <w:rPr>
                <w:rFonts w:hint="eastAsia" w:ascii="宋体" w:hAnsi="宋体" w:eastAsia="宋体" w:cs="宋体"/>
                <w:color w:val="auto"/>
                <w:sz w:val="21"/>
                <w:szCs w:val="21"/>
                <w:highlight w:val="none"/>
                <w:lang w:eastAsia="zh-CN"/>
              </w:rPr>
              <w:t>丙方</w:t>
            </w:r>
            <w:r>
              <w:rPr>
                <w:rFonts w:hint="eastAsia" w:ascii="宋体" w:hAnsi="宋体" w:eastAsia="宋体" w:cs="宋体"/>
                <w:color w:val="auto"/>
                <w:sz w:val="21"/>
                <w:szCs w:val="21"/>
                <w:highlight w:val="none"/>
              </w:rPr>
              <w:t>按结算价一次性支付余款。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收取每笔款项前，在提交请款报告的同时一并提供等额有效的增值税专用发票，</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在收到相关请款材料审核后支付；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逾期提交请款材料或提供的发票不合格的，</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提供的发票不符合税法规定，给</w:t>
            </w:r>
            <w:r>
              <w:rPr>
                <w:rFonts w:hint="eastAsia" w:ascii="宋体" w:hAnsi="宋体" w:eastAsia="宋体" w:cs="宋体"/>
                <w:bCs/>
                <w:color w:val="auto"/>
                <w:sz w:val="21"/>
                <w:szCs w:val="21"/>
                <w:highlight w:val="none"/>
                <w:lang w:eastAsia="zh-CN"/>
              </w:rPr>
              <w:t>丙方</w:t>
            </w:r>
            <w:r>
              <w:rPr>
                <w:rFonts w:hint="eastAsia" w:ascii="宋体" w:hAnsi="宋体" w:eastAsia="宋体" w:cs="宋体"/>
                <w:bCs/>
                <w:color w:val="auto"/>
                <w:sz w:val="21"/>
                <w:szCs w:val="21"/>
                <w:highlight w:val="none"/>
              </w:rPr>
              <w:t>造成的损失由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3</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合同价款结算</w:t>
            </w:r>
          </w:p>
        </w:tc>
        <w:tc>
          <w:tcPr>
            <w:tcW w:w="4011" w:type="pct"/>
            <w:vAlign w:val="center"/>
          </w:tcPr>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暂定总合同价款（即销售额，不含乙方销项税额）（大写）：人民币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）。检测服务系数为</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%，对应暂定总合同价款的销项税额为人民币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）。增值税税率根据《中华人民共和国增值税暂行条例》（国务院令第691号修订版）及当前税务部门的相关规定,支付和结算时按实进行调整。</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暂定总合同价款价税合计（以下简称“暂定总合同价款（含税）”，大写）：人民币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rPr>
              <w:t>，再结合本项目最终经甲方（含其委托的第三方审核机构）、监理人审核确认的检测（试验）方案及甲方（含其委托的第三方审核机构）、监理人确认的实际检测（试验）工作量按实结算。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也不承担任何额外费用。检测时，如需土建施工单位配合或向其租借设备时，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自行与施工单位协调，配合及租借费用已包括在</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4</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kern w:val="2"/>
                <w:sz w:val="21"/>
                <w:szCs w:val="21"/>
              </w:rPr>
              <w:t>第三方检测合同计费依据</w:t>
            </w:r>
          </w:p>
        </w:tc>
        <w:tc>
          <w:tcPr>
            <w:tcW w:w="4011" w:type="pct"/>
            <w:vAlign w:val="center"/>
          </w:tcPr>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（1）本项目的计费标准按照合同附件一《工程量清单计价表》（详见附件）中的不含税</w:t>
            </w:r>
            <w:r>
              <w:rPr>
                <w:rFonts w:hint="eastAsia" w:ascii="宋体" w:hAnsi="宋体" w:eastAsia="宋体" w:cs="宋体"/>
                <w:color w:val="auto"/>
                <w:sz w:val="21"/>
                <w:szCs w:val="21"/>
              </w:rPr>
              <w:t>综合单价×实际检测工作量进行结算。</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（3）对于《工程量清单计价表》外新增的检测项目，不含税综合单价按以下方法计算：</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①《东莞市建设工程检测行业参考收费标准（2023版）》（东检协字（2023）3号）对应项参考单价÷1.06×</w:t>
            </w:r>
            <w:r>
              <w:rPr>
                <w:rFonts w:hint="eastAsia" w:ascii="宋体" w:hAnsi="宋体" w:eastAsia="宋体" w:cs="宋体"/>
                <w:bCs/>
                <w:color w:val="auto"/>
                <w:sz w:val="21"/>
                <w:szCs w:val="21"/>
                <w:lang w:eastAsia="zh-CN"/>
              </w:rPr>
              <w:t>中标检测服务系数</w:t>
            </w:r>
            <w:r>
              <w:rPr>
                <w:rFonts w:hint="eastAsia" w:ascii="宋体" w:hAnsi="宋体" w:eastAsia="宋体" w:cs="宋体"/>
                <w:bCs/>
                <w:color w:val="auto"/>
                <w:sz w:val="21"/>
                <w:szCs w:val="21"/>
              </w:rPr>
              <w:t>；</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lang w:eastAsia="zh-CN"/>
              </w:rPr>
              <w:t>中标检测服务系数</w:t>
            </w:r>
            <w:r>
              <w:rPr>
                <w:rFonts w:hint="eastAsia" w:ascii="宋体" w:hAnsi="宋体" w:eastAsia="宋体" w:cs="宋体"/>
                <w:bCs/>
                <w:color w:val="auto"/>
                <w:sz w:val="21"/>
                <w:szCs w:val="21"/>
              </w:rPr>
              <w:t>；</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rPr>
              <w:t>的不含税综合单价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中标检测服务系数</w:t>
            </w:r>
            <w:r>
              <w:rPr>
                <w:rFonts w:hint="eastAsia" w:ascii="宋体" w:hAnsi="宋体" w:eastAsia="宋体" w:cs="宋体"/>
                <w:bCs/>
                <w:color w:val="auto"/>
                <w:sz w:val="21"/>
                <w:szCs w:val="21"/>
              </w:rPr>
              <w:t>。</w:t>
            </w:r>
          </w:p>
          <w:p>
            <w:pPr>
              <w:adjustRightInd w:val="0"/>
              <w:snapToGrid w:val="0"/>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以上不含税综合单价均保留两位小数。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5</w:t>
            </w:r>
          </w:p>
        </w:tc>
        <w:tc>
          <w:tcPr>
            <w:tcW w:w="524" w:type="pct"/>
            <w:vAlign w:val="center"/>
          </w:tcPr>
          <w:p>
            <w:pPr>
              <w:pStyle w:val="5"/>
              <w:keepNext w:val="0"/>
              <w:keepLines w:val="0"/>
              <w:wordWrap w:val="0"/>
              <w:autoSpaceDE/>
              <w:autoSpaceDN/>
              <w:snapToGrid w:val="0"/>
              <w:spacing w:before="0" w:after="0" w:line="360"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结算调整规则、范围及方式</w:t>
            </w:r>
          </w:p>
        </w:tc>
        <w:tc>
          <w:tcPr>
            <w:tcW w:w="4011" w:type="pct"/>
            <w:vAlign w:val="center"/>
          </w:tcPr>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pPr>
              <w:adjustRightInd w:val="0"/>
              <w:snapToGrid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（2）工程变更项目检测的计价：</w:t>
            </w:r>
            <w:r>
              <w:rPr>
                <w:rFonts w:hint="eastAsia" w:ascii="宋体" w:hAnsi="宋体" w:eastAsia="宋体" w:cs="宋体"/>
                <w:b/>
                <w:bCs/>
                <w:color w:val="auto"/>
                <w:sz w:val="21"/>
                <w:szCs w:val="21"/>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color w:val="auto"/>
                <w:sz w:val="21"/>
                <w:szCs w:val="21"/>
                <w:lang w:eastAsia="zh-CN"/>
              </w:rPr>
              <w:t>中标检测服务系数</w:t>
            </w:r>
            <w:r>
              <w:rPr>
                <w:rFonts w:hint="eastAsia" w:ascii="宋体" w:hAnsi="宋体" w:eastAsia="宋体" w:cs="宋体"/>
                <w:b/>
                <w:bCs/>
                <w:color w:val="auto"/>
                <w:sz w:val="21"/>
                <w:szCs w:val="21"/>
              </w:rPr>
              <w:t>计算。所有变更的检测项目均须书面向甲方申报，经甲方（含其委托的第三方审核机构）审核批准同意后方可实施。</w:t>
            </w:r>
          </w:p>
          <w:p>
            <w:pPr>
              <w:adjustRightInd w:val="0"/>
              <w:snapToGrid w:val="0"/>
              <w:spacing w:line="360" w:lineRule="auto"/>
              <w:ind w:firstLine="422" w:firstLineChars="200"/>
              <w:rPr>
                <w:rFonts w:hint="eastAsia" w:ascii="宋体" w:hAnsi="宋体" w:eastAsia="宋体" w:cs="宋体"/>
                <w:bCs/>
                <w:color w:val="auto"/>
                <w:sz w:val="21"/>
                <w:szCs w:val="21"/>
              </w:rPr>
            </w:pPr>
            <w:r>
              <w:rPr>
                <w:rFonts w:hint="eastAsia" w:ascii="宋体" w:hAnsi="宋体" w:eastAsia="宋体" w:cs="宋体"/>
                <w:b/>
                <w:bCs/>
                <w:color w:val="auto"/>
                <w:sz w:val="21"/>
                <w:szCs w:val="21"/>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pP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br w:type="page"/>
      </w:r>
    </w:p>
    <w:p>
      <w:pPr>
        <w:widowControl/>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2.权利和</w:t>
      </w:r>
      <w:r>
        <w:rPr>
          <w:rFonts w:hint="eastAsia" w:ascii="宋体" w:hAnsi="宋体" w:eastAsia="宋体" w:cs="宋体"/>
          <w:color w:val="auto"/>
          <w:sz w:val="21"/>
          <w:szCs w:val="21"/>
        </w:rPr>
        <w:t>义务</w:t>
      </w:r>
      <w:r>
        <w:rPr>
          <w:rFonts w:hint="eastAsia" w:ascii="宋体" w:hAnsi="宋体" w:eastAsia="宋体" w:cs="宋体"/>
          <w:bCs/>
          <w:color w:val="auto"/>
          <w:sz w:val="21"/>
          <w:szCs w:val="21"/>
          <w:lang w:bidi="ar"/>
        </w:rPr>
        <w:t>一览表</w:t>
      </w:r>
    </w:p>
    <w:tbl>
      <w:tblPr>
        <w:tblStyle w:val="36"/>
        <w:tblW w:w="4999" w:type="pct"/>
        <w:tblInd w:w="0" w:type="dxa"/>
        <w:tblLayout w:type="autofit"/>
        <w:tblCellMar>
          <w:top w:w="0" w:type="dxa"/>
          <w:left w:w="108" w:type="dxa"/>
          <w:bottom w:w="0" w:type="dxa"/>
          <w:right w:w="108" w:type="dxa"/>
        </w:tblCellMar>
      </w:tblPr>
      <w:tblGrid>
        <w:gridCol w:w="964"/>
        <w:gridCol w:w="1095"/>
        <w:gridCol w:w="8309"/>
      </w:tblGrid>
      <w:tr>
        <w:tblPrEx>
          <w:tblCellMar>
            <w:top w:w="0" w:type="dxa"/>
            <w:left w:w="108" w:type="dxa"/>
            <w:bottom w:w="0" w:type="dxa"/>
            <w:right w:w="108" w:type="dxa"/>
          </w:tblCellMar>
        </w:tblPrEx>
        <w:trPr>
          <w:trHeight w:val="680" w:hRule="atLeast"/>
        </w:trPr>
        <w:tc>
          <w:tcPr>
            <w:tcW w:w="4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52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类别</w:t>
            </w:r>
          </w:p>
        </w:tc>
        <w:tc>
          <w:tcPr>
            <w:tcW w:w="4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具体条款</w:t>
            </w:r>
          </w:p>
        </w:tc>
      </w:tr>
      <w:tr>
        <w:tblPrEx>
          <w:tblCellMar>
            <w:top w:w="0" w:type="dxa"/>
            <w:left w:w="108" w:type="dxa"/>
            <w:bottom w:w="0" w:type="dxa"/>
            <w:right w:w="108" w:type="dxa"/>
          </w:tblCellMar>
        </w:tblPrEx>
        <w:trPr>
          <w:trHeight w:val="1077" w:hRule="atLeast"/>
        </w:trPr>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1</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甲方权利和义务</w:t>
            </w:r>
          </w:p>
        </w:tc>
        <w:tc>
          <w:tcPr>
            <w:tcW w:w="40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（1）在合同履行期间，有权对乙方进行监督和检查，并要求其提供相关信息和资料。对乙方违反本合同约定、招投标文件规定的行为有权要求改正。</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（2）甲方有权对乙方服务人员、设备投入等进行监督、检查。如发现不符合招投标文件、合同约定的，有权要求补充、更换及追究乙方其他违约责任。</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（3）对发现乙方违反本合同、招投标文件或服务合同的有关规定或承诺，甲方有权追究乙方的违约责任，扣除或没收本合同履约担保。</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（4）协助乙方仪器及运输设备顺利进场。</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（5）监督受监施工单位定时向乙方提供进度计划，协调作业时间，保证乙方有足够时间展开检测工作。</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（6）有权对乙方的检测工作进行监督，对其违约行为发出整改通知。</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（7）合同履约期间，甲方有权对检测范围、要求、规模及特征等根据项目实际情况作出相应调整，调整后双方根据实际工作量进行结算。</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（8）甲方按照既定的审批程序，及时办理服务费的审批手续。</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（9）施工现场用水、用电在有条件的情况下由甲方负责提供水、电接入点，乙方自行接入。</w:t>
            </w:r>
          </w:p>
          <w:p>
            <w:pPr>
              <w:widowControl/>
              <w:adjustRightInd w:val="0"/>
              <w:snapToGrid w:val="0"/>
              <w:spacing w:line="360" w:lineRule="auto"/>
              <w:ind w:firstLine="420" w:firstLineChars="200"/>
              <w:rPr>
                <w:rFonts w:hint="eastAsia" w:ascii="宋体" w:hAnsi="宋体" w:eastAsia="宋体" w:cs="宋体"/>
                <w:bCs/>
                <w:color w:val="auto"/>
                <w:sz w:val="21"/>
                <w:szCs w:val="21"/>
                <w:lang w:bidi="ar"/>
              </w:rPr>
            </w:pPr>
            <w:r>
              <w:rPr>
                <w:rFonts w:hint="eastAsia" w:ascii="宋体" w:hAnsi="宋体" w:eastAsia="宋体" w:cs="宋体"/>
                <w:color w:val="auto"/>
                <w:sz w:val="21"/>
                <w:szCs w:val="21"/>
              </w:rPr>
              <w:t>（10）合同文件及附件内容约定的甲方其余权利义务。</w:t>
            </w:r>
          </w:p>
        </w:tc>
      </w:tr>
      <w:tr>
        <w:tblPrEx>
          <w:tblCellMar>
            <w:top w:w="0" w:type="dxa"/>
            <w:left w:w="108" w:type="dxa"/>
            <w:bottom w:w="0" w:type="dxa"/>
            <w:right w:w="108" w:type="dxa"/>
          </w:tblCellMar>
        </w:tblPrEx>
        <w:trPr>
          <w:trHeight w:val="784" w:hRule="atLeast"/>
        </w:trPr>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乙方权利和义务</w:t>
            </w:r>
          </w:p>
        </w:tc>
        <w:tc>
          <w:tcPr>
            <w:tcW w:w="400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（2）对甲方委派的检测工作，乙方应当根据本合同约定、招投标文件及甲方要求进行开展，不得借故拒绝接受委托。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（3）按照国家颁发的有关检测技术标准或规范，采用科学先进的方法进行检测评估和试验过程的全程监控、记录，保证数据真实可靠，对检测结果真实性、准确性、合法性、完整性负责。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（7）严格遵守国家法律、法规，协助甲方做好社会治安综合管理工作和计划生育等工作。乙方员工有违法乱纪或犯罪的行为，乙方应承担一切经济责任和法律责任。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（11）如施工现场甲方无法提供水、电接入点，乙方自行解决施工用水、用电并承担相关费用。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（12）乙方应按本合同及招、投标文件的要求按时提供检测报告和其他甲方认为有必要提供的中间过程资料、图表、照片（包括电子资料）等，以及向甲方提供咨询服务和建议。</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（13）检测过程中，乙方自行对本单位的仪器、设备安全负责，自行承担保管职责，对检测所产生的水、电等费用由乙方负责。</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（14）与检测工程的施工单位、设计单位、监理单位等单位相互配合，数据共享。</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（15）本合同约定范围内必要的修改，补充，应由乙方负责，甲方不再另付检测费用或其他费用。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（17）乙方提交给甲方的检测成果知识产权归属甲方，乙方须确保甲方在使用过程中免受第三方关于知识产权或其他合法权益的起诉，否则，乙方应承担由此给甲方造成的一切损失。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（20）本合同所述的乙方应承担的甲方损失，包括但不限于甲方支出的赔偿金、诉讼费、保全费、律师费、鉴定费等。</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（21）本项目禁止转包，</w:t>
            </w:r>
            <w:r>
              <w:rPr>
                <w:rFonts w:hint="eastAsia" w:ascii="宋体" w:hAnsi="宋体" w:eastAsia="宋体" w:cs="宋体"/>
                <w:color w:val="auto"/>
                <w:sz w:val="21"/>
                <w:szCs w:val="21"/>
                <w:lang w:val="hr-HR"/>
              </w:rPr>
              <w:t>若特殊项目</w:t>
            </w:r>
            <w:r>
              <w:rPr>
                <w:rFonts w:hint="eastAsia" w:ascii="宋体" w:hAnsi="宋体" w:eastAsia="宋体" w:cs="宋体"/>
                <w:color w:val="auto"/>
                <w:sz w:val="21"/>
                <w:szCs w:val="21"/>
              </w:rPr>
              <w:t>乙方</w:t>
            </w:r>
            <w:r>
              <w:rPr>
                <w:rFonts w:hint="eastAsia" w:ascii="宋体" w:hAnsi="宋体" w:eastAsia="宋体" w:cs="宋体"/>
                <w:color w:val="auto"/>
                <w:sz w:val="21"/>
                <w:szCs w:val="21"/>
                <w:lang w:val="hr-HR"/>
              </w:rPr>
              <w:t>无相应资质的，必须经</w:t>
            </w:r>
            <w:r>
              <w:rPr>
                <w:rFonts w:hint="eastAsia" w:ascii="宋体" w:hAnsi="宋体" w:eastAsia="宋体" w:cs="宋体"/>
                <w:color w:val="auto"/>
                <w:sz w:val="21"/>
                <w:szCs w:val="21"/>
              </w:rPr>
              <w:t>甲方</w:t>
            </w:r>
            <w:r>
              <w:rPr>
                <w:rFonts w:hint="eastAsia" w:ascii="宋体" w:hAnsi="宋体" w:eastAsia="宋体" w:cs="宋体"/>
                <w:color w:val="auto"/>
                <w:sz w:val="21"/>
                <w:szCs w:val="21"/>
                <w:lang w:val="hr-HR"/>
              </w:rPr>
              <w:t>批准后送符合条件（具备相应资质）的分包单位进行检测，并出具相应的检测报告，否则将视为</w:t>
            </w:r>
            <w:r>
              <w:rPr>
                <w:rFonts w:hint="eastAsia" w:ascii="宋体" w:hAnsi="宋体" w:eastAsia="宋体" w:cs="宋体"/>
                <w:color w:val="auto"/>
                <w:sz w:val="21"/>
                <w:szCs w:val="21"/>
              </w:rPr>
              <w:t>乙方</w:t>
            </w:r>
            <w:r>
              <w:rPr>
                <w:rFonts w:hint="eastAsia" w:ascii="宋体" w:hAnsi="宋体" w:eastAsia="宋体" w:cs="宋体"/>
                <w:color w:val="auto"/>
                <w:sz w:val="21"/>
                <w:szCs w:val="21"/>
                <w:lang w:val="hr-HR"/>
              </w:rPr>
              <w:t>违约，出具的报告不予承认</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bCs/>
                <w:color w:val="auto"/>
                <w:sz w:val="21"/>
                <w:szCs w:val="21"/>
                <w:lang w:bidi="ar"/>
              </w:rPr>
            </w:pPr>
            <w:r>
              <w:rPr>
                <w:rFonts w:hint="eastAsia" w:ascii="宋体" w:hAnsi="宋体" w:eastAsia="宋体" w:cs="宋体"/>
                <w:color w:val="auto"/>
                <w:sz w:val="21"/>
                <w:szCs w:val="21"/>
              </w:rPr>
              <w:t>（22）合同文件及附件内容约定的乙方其他权利义务。</w:t>
            </w:r>
          </w:p>
        </w:tc>
      </w:tr>
    </w:tbl>
    <w:p>
      <w:pPr>
        <w:adjustRightInd w:val="0"/>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br w:type="page"/>
      </w:r>
    </w:p>
    <w:p>
      <w:pPr>
        <w:widowControl/>
        <w:adjustRightInd w:val="0"/>
        <w:snapToGrid w:val="0"/>
        <w:spacing w:line="360" w:lineRule="auto"/>
        <w:ind w:firstLine="420" w:firstLineChars="200"/>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3.乙方违约处理一览表</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682"/>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序号</w:t>
            </w:r>
          </w:p>
        </w:tc>
        <w:tc>
          <w:tcPr>
            <w:tcW w:w="2257"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违约行为</w:t>
            </w:r>
          </w:p>
        </w:tc>
        <w:tc>
          <w:tcPr>
            <w:tcW w:w="2259"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1</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因乙方资质条件丧失，导致无法开展检测工作。</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甲方有权另行委托其他第三方，并且乙方需向甲方支付暂定总合同价款</w:t>
            </w:r>
            <w:r>
              <w:rPr>
                <w:rFonts w:hint="eastAsia" w:ascii="宋体" w:hAnsi="宋体" w:eastAsia="宋体" w:cs="宋体"/>
                <w:color w:val="auto"/>
                <w:sz w:val="21"/>
                <w:szCs w:val="21"/>
              </w:rPr>
              <w:t>（含税）</w:t>
            </w:r>
            <w:r>
              <w:rPr>
                <w:rFonts w:hint="eastAsia" w:ascii="宋体" w:hAnsi="宋体" w:eastAsia="宋体" w:cs="宋体"/>
                <w:bCs/>
                <w:color w:val="auto"/>
                <w:sz w:val="21"/>
                <w:szCs w:val="21"/>
              </w:rPr>
              <w:t>的20%的违约金。同时，造成甲方的经济损失（包括但不限于重新招标、委托第三方的费用），由乙方承担全部赔偿。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bidi="ar"/>
              </w:rPr>
              <w:t>2</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乙方提供的检测报告、数据成果、文件等质量不合格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bCs/>
                <w:color w:val="auto"/>
                <w:sz w:val="21"/>
                <w:szCs w:val="21"/>
              </w:rPr>
              <w:t>。</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乙方负责无偿给予修改、补充完善使其达到甲方要求</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返</w:t>
            </w:r>
            <w:r>
              <w:rPr>
                <w:rFonts w:hint="eastAsia" w:ascii="宋体" w:hAnsi="宋体" w:eastAsia="宋体" w:cs="宋体"/>
                <w:bCs/>
                <w:color w:val="auto"/>
                <w:sz w:val="21"/>
                <w:szCs w:val="21"/>
                <w:lang w:eastAsia="zh-CN"/>
              </w:rPr>
              <w:t>工重新检测等产生的费用由乙方承担</w:t>
            </w:r>
            <w:r>
              <w:rPr>
                <w:rFonts w:hint="eastAsia" w:ascii="宋体" w:hAnsi="宋体" w:eastAsia="宋体" w:cs="宋体"/>
                <w:bCs/>
                <w:color w:val="auto"/>
                <w:sz w:val="21"/>
                <w:szCs w:val="21"/>
              </w:rPr>
              <w:t>；如乙方怠于或无力修改、补充完善,甲方有权另委托其他单位继续进行,乙方应承担由此产生的全部检测费用及其他损失。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3</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因乙方提供的检测报告、数据成果、文件等质量不合格造成甲方经济损失（包括但不限于检测变更费、增加工程费用等）或工程事故。</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乙方应对造成的损失承担赔偿责任（包括但不限于施工单位损失赔偿、第三人侵权赔偿责任等），并根据违约行为向甲方支付违约金壹万元/次。如甲方实际损失高于违约金的，甲方有权另行追偿。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4</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如乙方人员（包括雇员、乙方劳动者等）在维护过程中发生意外事故、工伤、死亡的</w:t>
            </w:r>
            <w:r>
              <w:rPr>
                <w:rFonts w:hint="eastAsia" w:ascii="宋体" w:hAnsi="宋体" w:eastAsia="宋体" w:cs="宋体"/>
                <w:color w:val="auto"/>
                <w:sz w:val="21"/>
                <w:szCs w:val="21"/>
                <w:lang w:eastAsia="zh-CN"/>
              </w:rPr>
              <w:t>。</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color w:val="auto"/>
                <w:sz w:val="21"/>
                <w:szCs w:val="21"/>
              </w:rPr>
              <w:t>乙方承担全部责任并支付全部费用，甲方无须对这些意外事故、工伤、死亡承担任何责任，如甲方因此受到索赔并因此支付赔偿费用或者垫付了费用的，甲方有权向乙方追偿，甲方可启动履约担保支付。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5</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乙方未按本合同约定配备必要的办公场所、设备或者服务人员。</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甲方有权就违约事宜提出改正，如乙方仍拒不改正的，甲方有权选择解除本合同或服务合同，并没收全部履约担保。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6</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乙方消极怠工或拒不履行合同义务（包括但不限于技术支持、专家会审、解答释疑、事故处理，修正检测报告及数据成果等），或履行的合同义务不符合要求的。</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7</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由于乙方原因未按甲方要求时间（日期）提交检测报告、成果数据、文件资料、检测方案的，或未按期履行其他义务的。</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每逾期一日，乙方按贰仟元/天承担违约金。逾期超过</w:t>
            </w:r>
            <w:r>
              <w:rPr>
                <w:rFonts w:hint="eastAsia" w:ascii="宋体" w:hAnsi="宋体" w:eastAsia="宋体" w:cs="宋体"/>
                <w:bCs/>
                <w:color w:val="auto"/>
                <w:sz w:val="21"/>
                <w:szCs w:val="21"/>
                <w:u w:val="single"/>
              </w:rPr>
              <w:t>15</w:t>
            </w:r>
            <w:r>
              <w:rPr>
                <w:rFonts w:hint="eastAsia" w:ascii="宋体" w:hAnsi="宋体" w:eastAsia="宋体" w:cs="宋体"/>
                <w:bCs/>
                <w:color w:val="auto"/>
                <w:sz w:val="21"/>
                <w:szCs w:val="21"/>
              </w:rPr>
              <w:t>日的，甲方有权单方解除合同，且乙方须承担履约担保等额的违约金，同时有权没收履约担保。同时，造成甲方的经济损失（包括但不限于重新采购、委托第三方的费用），由乙方承担全部赔偿。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8</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乙方违反约定非法转包、分包。</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9</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乙方存在如下情形之一的：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（1）提供虚假信息、误导或欺骗甲方及丙方，以谋取非法利益的；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（2）违反诚信信用原则，没有严格执行相关质量、服务，损害甲方、丙方或相关用户单位的利益的；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（3）违反有关法律法规以及本合同的约定，损害甲方利益的；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（4）拒绝接受甲方、丙方及相关部门监督、检查的；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（5）出现信用危机、财务危机、生产经营危机甚至破产、倒闭，无法继续履行本合同的；</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（6）采用非法手段进行不正当竞争的，构成恶劣影响；</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（7）违反本合同约定，泄露服务项目内容的。</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甲方有权书面通知乙方单方解除本合同，并由乙方承担履约担保等额的违约金，同时有权没收履约担保，给甲方造成损失的，乙方还足额应赔偿甲方。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10</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无故拖欠或克扣工人工资待遇以及其他劳动待遇等。</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11</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受到相关部门的批评，经调查认定情况属实。</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视情节轻重予要求乙方承担违约责任；造成恶劣影响的，甲方有权解除合同。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12</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乙方在服务年限内，在履行本合同约定的义务过程中出现违反国家法律法规、主管部门规章制度、擅自提高价格或提供伪劣服务内容、服务质量低劣造成甲方损失等情况。</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甲方有权视不同情况分别给予警告、抵扣履约担保或取消合同等处理。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13</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未经甲方书面同意，乙方变更项目负责人或技术负责人。</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甲方有权要求乙方按伍万元/人/次承担违约金。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14</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甲方每季度根据合同附件五《检测单位履约考核评分表》对乙方评价一次，出具考核评价结果。甲方将严格按照考核评分标准对乙方进行季度检查和考核，考评80分以下的。</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15</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开户名称：东莞市水务集团建设管理有限公司</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银行账号：2010021309200628330</w:t>
            </w:r>
          </w:p>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开户银行：中国工商银行股份有限公司东莞分行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shd w:val="clear" w:color="auto" w:fill="auto"/>
            <w:vAlign w:val="center"/>
          </w:tcPr>
          <w:p>
            <w:pPr>
              <w:widowControl/>
              <w:adjustRightInd w:val="0"/>
              <w:snapToGrid w:val="0"/>
              <w:spacing w:line="360" w:lineRule="auto"/>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16</w:t>
            </w:r>
          </w:p>
        </w:tc>
        <w:tc>
          <w:tcPr>
            <w:tcW w:w="2257"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tc>
        <w:tc>
          <w:tcPr>
            <w:tcW w:w="2259" w:type="pct"/>
            <w:shd w:val="clear" w:color="auto" w:fill="auto"/>
            <w:vAlign w:val="center"/>
          </w:tcPr>
          <w:p>
            <w:pPr>
              <w:widowControl/>
              <w:adjustRightInd w:val="0"/>
              <w:snapToGrid w:val="0"/>
              <w:spacing w:line="360" w:lineRule="auto"/>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因乙方违约，甲方通过司法途径维护自身权益的，乙方应承担甲方由此支出的律师费、诉讼费、执行费、鉴定费、公证费、财产保全费及保险费等全部费用。</w:t>
            </w:r>
          </w:p>
        </w:tc>
      </w:tr>
    </w:tbl>
    <w:p>
      <w:pPr>
        <w:adjustRightInd w:val="0"/>
        <w:snapToGrid w:val="0"/>
        <w:spacing w:line="360" w:lineRule="auto"/>
        <w:rPr>
          <w:rFonts w:hint="eastAsia" w:ascii="宋体" w:hAnsi="宋体" w:eastAsia="宋体" w:cs="宋体"/>
          <w:bCs/>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54" w:name="_Toc484"/>
      <w:bookmarkStart w:id="455" w:name="_Toc6930"/>
      <w:r>
        <w:rPr>
          <w:rFonts w:hint="eastAsia" w:ascii="宋体" w:hAnsi="宋体" w:eastAsia="宋体" w:cs="宋体"/>
          <w:b/>
          <w:color w:val="auto"/>
          <w:sz w:val="21"/>
          <w:szCs w:val="21"/>
        </w:rPr>
        <w:t>十三、附则</w:t>
      </w:r>
      <w:bookmarkEnd w:id="454"/>
      <w:bookmarkEnd w:id="455"/>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1.本合同如遇不可避免的客观原因，而导致无法全部按规定执行，必须修订或中止时，由三方协商解决。</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2.本合同在履行期内甲方发现检测实施缺陷的，</w:t>
      </w:r>
      <w:r>
        <w:rPr>
          <w:rFonts w:hint="eastAsia" w:ascii="宋体" w:hAnsi="宋体" w:eastAsia="宋体" w:cs="宋体"/>
          <w:bCs/>
          <w:color w:val="auto"/>
          <w:sz w:val="21"/>
          <w:szCs w:val="21"/>
        </w:rPr>
        <w:t>乙方</w:t>
      </w:r>
      <w:r>
        <w:rPr>
          <w:rFonts w:hint="eastAsia" w:ascii="宋体" w:hAnsi="宋体" w:eastAsia="宋体" w:cs="宋体"/>
          <w:color w:val="auto"/>
          <w:sz w:val="21"/>
          <w:szCs w:val="21"/>
        </w:rPr>
        <w:t>应无条件负责返工和采取补救措施。</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3.合同内变更检测项目是合同承包范围不可分割的一部分，</w:t>
      </w:r>
      <w:r>
        <w:rPr>
          <w:rFonts w:hint="eastAsia" w:ascii="宋体" w:hAnsi="宋体" w:eastAsia="宋体" w:cs="宋体"/>
          <w:bCs/>
          <w:color w:val="auto"/>
          <w:sz w:val="21"/>
          <w:szCs w:val="21"/>
        </w:rPr>
        <w:t>乙方</w:t>
      </w:r>
      <w:r>
        <w:rPr>
          <w:rFonts w:hint="eastAsia" w:ascii="宋体" w:hAnsi="宋体" w:eastAsia="宋体" w:cs="宋体"/>
          <w:color w:val="auto"/>
          <w:sz w:val="21"/>
          <w:szCs w:val="21"/>
        </w:rPr>
        <w:t>应按甲方提交的变更工程设计图纸完成检测工作。</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4.本项目招标文件、投标文件、中标通知书以及相关规范将成为本合同的组成部分，组成本合同的各个文件是一个整体，彼此相互解释，相互补充，并具有合同同等法律效力。</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5.本合同如有未尽事宜，由甲、乙、丙三方订立补充协议，补充协议与本合同具有同等的法律效力。</w:t>
      </w:r>
    </w:p>
    <w:p>
      <w:pPr>
        <w:adjustRightInd w:val="0"/>
        <w:snapToGrid w:val="0"/>
        <w:spacing w:line="360" w:lineRule="auto"/>
        <w:ind w:firstLine="420" w:firstLineChars="20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56" w:name="_Toc7481"/>
      <w:bookmarkStart w:id="457" w:name="_Toc4982"/>
      <w:r>
        <w:rPr>
          <w:rFonts w:hint="eastAsia" w:ascii="宋体" w:hAnsi="宋体" w:eastAsia="宋体" w:cs="宋体"/>
          <w:b/>
          <w:color w:val="auto"/>
          <w:sz w:val="21"/>
          <w:szCs w:val="21"/>
        </w:rPr>
        <w:t>十四、合同争议</w:t>
      </w:r>
      <w:bookmarkEnd w:id="456"/>
      <w:bookmarkEnd w:id="457"/>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本合同发生争议，甲方、</w:t>
      </w:r>
      <w:r>
        <w:rPr>
          <w:rFonts w:hint="eastAsia" w:ascii="宋体" w:hAnsi="宋体" w:eastAsia="宋体" w:cs="宋体"/>
          <w:bCs/>
          <w:color w:val="auto"/>
          <w:sz w:val="21"/>
          <w:szCs w:val="21"/>
        </w:rPr>
        <w:t>乙方、丙方</w:t>
      </w:r>
      <w:r>
        <w:rPr>
          <w:rFonts w:hint="eastAsia" w:ascii="宋体" w:hAnsi="宋体" w:eastAsia="宋体" w:cs="宋体"/>
          <w:color w:val="auto"/>
          <w:sz w:val="21"/>
          <w:szCs w:val="21"/>
        </w:rPr>
        <w:t>三方应及时协商解决，也可由当地行政主管部门调解，协商或调解不成时，任何一方可向甲方所在地有管辖权的人民法院起诉。</w:t>
      </w:r>
    </w:p>
    <w:p>
      <w:pPr>
        <w:adjustRightInd w:val="0"/>
        <w:snapToGrid w:val="0"/>
        <w:spacing w:line="360" w:lineRule="auto"/>
        <w:ind w:firstLine="420" w:firstLineChars="200"/>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58" w:name="_Toc11548"/>
      <w:bookmarkStart w:id="459" w:name="_Toc6758"/>
      <w:r>
        <w:rPr>
          <w:rFonts w:hint="eastAsia" w:ascii="宋体" w:hAnsi="宋体" w:eastAsia="宋体" w:cs="宋体"/>
          <w:b/>
          <w:color w:val="auto"/>
          <w:sz w:val="21"/>
          <w:szCs w:val="21"/>
        </w:rPr>
        <w:t>十五、合同生效</w:t>
      </w:r>
      <w:bookmarkEnd w:id="458"/>
      <w:bookmarkEnd w:id="459"/>
    </w:p>
    <w:p>
      <w:pPr>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本合同自三方签字盖章后生效，甲方、</w:t>
      </w:r>
      <w:r>
        <w:rPr>
          <w:rFonts w:hint="eastAsia" w:ascii="宋体" w:hAnsi="宋体" w:eastAsia="宋体" w:cs="宋体"/>
          <w:bCs/>
          <w:color w:val="auto"/>
          <w:sz w:val="21"/>
          <w:szCs w:val="21"/>
        </w:rPr>
        <w:t>乙方、丙方</w:t>
      </w:r>
      <w:r>
        <w:rPr>
          <w:rFonts w:hint="eastAsia" w:ascii="宋体" w:hAnsi="宋体" w:eastAsia="宋体" w:cs="宋体"/>
          <w:color w:val="auto"/>
          <w:sz w:val="21"/>
          <w:szCs w:val="21"/>
        </w:rPr>
        <w:t>履行完合同规定的义务后，本合同终止。</w:t>
      </w:r>
    </w:p>
    <w:p>
      <w:pPr>
        <w:adjustRightInd w:val="0"/>
        <w:snapToGrid w:val="0"/>
        <w:spacing w:line="360" w:lineRule="auto"/>
        <w:ind w:firstLine="420" w:firstLineChars="200"/>
        <w:outlineLvl w:val="9"/>
        <w:rPr>
          <w:rFonts w:hint="eastAsia" w:ascii="宋体" w:hAnsi="宋体" w:eastAsia="宋体" w:cs="宋体"/>
          <w:color w:val="auto"/>
          <w:sz w:val="21"/>
          <w:szCs w:val="21"/>
        </w:rPr>
      </w:pPr>
    </w:p>
    <w:p>
      <w:pPr>
        <w:keepNext/>
        <w:keepLines/>
        <w:adjustRightInd w:val="0"/>
        <w:snapToGrid w:val="0"/>
        <w:spacing w:line="360" w:lineRule="auto"/>
        <w:outlineLvl w:val="9"/>
        <w:rPr>
          <w:rFonts w:hint="eastAsia" w:ascii="宋体" w:hAnsi="宋体" w:eastAsia="宋体" w:cs="宋体"/>
          <w:b/>
          <w:color w:val="auto"/>
          <w:sz w:val="21"/>
          <w:szCs w:val="21"/>
        </w:rPr>
      </w:pPr>
      <w:bookmarkStart w:id="460" w:name="_Toc18496"/>
      <w:bookmarkStart w:id="461" w:name="_Toc4207"/>
      <w:r>
        <w:rPr>
          <w:rFonts w:hint="eastAsia" w:ascii="宋体" w:hAnsi="宋体" w:eastAsia="宋体" w:cs="宋体"/>
          <w:b/>
          <w:color w:val="auto"/>
          <w:sz w:val="21"/>
          <w:szCs w:val="21"/>
        </w:rPr>
        <w:t>十六、合同份数</w:t>
      </w:r>
      <w:bookmarkEnd w:id="460"/>
      <w:bookmarkEnd w:id="461"/>
    </w:p>
    <w:p>
      <w:pPr>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r>
        <w:rPr>
          <w:rFonts w:hint="eastAsia" w:ascii="宋体" w:hAnsi="宋体" w:eastAsia="宋体" w:cs="宋体"/>
          <w:bCs/>
          <w:color w:val="auto"/>
          <w:sz w:val="21"/>
          <w:szCs w:val="21"/>
        </w:rPr>
        <w:t>乙方</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份、</w:t>
      </w:r>
      <w:r>
        <w:rPr>
          <w:rFonts w:hint="eastAsia" w:ascii="宋体" w:hAnsi="宋体" w:eastAsia="宋体" w:cs="宋体"/>
          <w:bCs/>
          <w:color w:val="auto"/>
          <w:sz w:val="21"/>
          <w:szCs w:val="21"/>
        </w:rPr>
        <w:t>丙方</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份，招标代理机构</w:t>
      </w:r>
      <w:r>
        <w:rPr>
          <w:rFonts w:hint="eastAsia" w:ascii="宋体" w:hAnsi="宋体" w:eastAsia="宋体" w:cs="宋体"/>
          <w:color w:val="auto"/>
          <w:sz w:val="21"/>
          <w:szCs w:val="21"/>
          <w:u w:val="single"/>
        </w:rPr>
        <w:t xml:space="preserve"> 壹 </w:t>
      </w:r>
      <w:r>
        <w:rPr>
          <w:rFonts w:hint="eastAsia" w:ascii="宋体" w:hAnsi="宋体" w:eastAsia="宋体" w:cs="宋体"/>
          <w:color w:val="auto"/>
          <w:sz w:val="21"/>
          <w:szCs w:val="21"/>
        </w:rPr>
        <w:t>份。</w:t>
      </w:r>
    </w:p>
    <w:p>
      <w:pPr>
        <w:adjustRightInd w:val="0"/>
        <w:snapToGrid w:val="0"/>
        <w:spacing w:line="360" w:lineRule="auto"/>
        <w:ind w:firstLine="420" w:firstLineChars="200"/>
        <w:outlineLvl w:val="9"/>
        <w:rPr>
          <w:rFonts w:hint="eastAsia" w:ascii="宋体" w:hAnsi="宋体" w:eastAsia="宋体" w:cs="宋体"/>
          <w:color w:val="auto"/>
          <w:sz w:val="21"/>
          <w:szCs w:val="21"/>
        </w:rPr>
      </w:pPr>
    </w:p>
    <w:p>
      <w:pPr>
        <w:adjustRightInd w:val="0"/>
        <w:snapToGrid w:val="0"/>
        <w:spacing w:line="360" w:lineRule="auto"/>
        <w:outlineLvl w:val="9"/>
        <w:rPr>
          <w:rFonts w:hint="eastAsia" w:ascii="宋体" w:hAnsi="宋体" w:eastAsia="宋体" w:cs="宋体"/>
          <w:color w:val="auto"/>
          <w:sz w:val="21"/>
          <w:szCs w:val="21"/>
        </w:rPr>
      </w:pPr>
    </w:p>
    <w:tbl>
      <w:tblPr>
        <w:tblStyle w:val="36"/>
        <w:tblW w:w="5000" w:type="pct"/>
        <w:tblInd w:w="0" w:type="dxa"/>
        <w:tblLayout w:type="autofit"/>
        <w:tblCellMar>
          <w:top w:w="0" w:type="dxa"/>
          <w:left w:w="108" w:type="dxa"/>
          <w:bottom w:w="0" w:type="dxa"/>
          <w:right w:w="108" w:type="dxa"/>
        </w:tblCellMar>
      </w:tblPr>
      <w:tblGrid>
        <w:gridCol w:w="5185"/>
        <w:gridCol w:w="5185"/>
      </w:tblGrid>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甲方：</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（盖章）</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乙方：</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（盖章）</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（签字或盖私章）：</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（签字或盖私章）：</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开户名称：</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开户名称：</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丙方：</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（盖章）</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（签字或盖私章）：</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开户名称：</w:t>
            </w:r>
          </w:p>
        </w:tc>
        <w:tc>
          <w:tcPr>
            <w:tcW w:w="2500" w:type="pct"/>
          </w:tcPr>
          <w:p>
            <w:pPr>
              <w:adjustRightInd w:val="0"/>
              <w:snapToGrid w:val="0"/>
              <w:spacing w:line="360" w:lineRule="auto"/>
              <w:rPr>
                <w:rFonts w:hint="eastAsia" w:ascii="宋体" w:hAnsi="宋体" w:eastAsia="宋体" w:cs="宋体"/>
                <w:color w:val="auto"/>
                <w:sz w:val="21"/>
                <w:szCs w:val="21"/>
              </w:rPr>
            </w:pPr>
          </w:p>
        </w:tc>
      </w:tr>
      <w:tr>
        <w:tblPrEx>
          <w:tblCellMar>
            <w:top w:w="0" w:type="dxa"/>
            <w:left w:w="108" w:type="dxa"/>
            <w:bottom w:w="0" w:type="dxa"/>
            <w:right w:w="108" w:type="dxa"/>
          </w:tblCellMar>
        </w:tblPrEx>
        <w:tc>
          <w:tcPr>
            <w:tcW w:w="2500" w:type="pct"/>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2500" w:type="pct"/>
          </w:tcPr>
          <w:p>
            <w:pPr>
              <w:adjustRightInd w:val="0"/>
              <w:snapToGrid w:val="0"/>
              <w:spacing w:line="360" w:lineRule="auto"/>
              <w:rPr>
                <w:rFonts w:hint="eastAsia" w:ascii="宋体" w:hAnsi="宋体" w:eastAsia="宋体" w:cs="宋体"/>
                <w:color w:val="auto"/>
                <w:sz w:val="21"/>
                <w:szCs w:val="21"/>
              </w:rPr>
            </w:pPr>
          </w:p>
        </w:tc>
      </w:tr>
    </w:tbl>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签订日期：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xml:space="preserve"> 东莞市 </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462" w:name="_Toc229305402"/>
      <w:bookmarkStart w:id="463" w:name="_Toc21890"/>
      <w:bookmarkStart w:id="464" w:name="_Toc259524394"/>
      <w:bookmarkStart w:id="465" w:name="_Toc497397588"/>
      <w:bookmarkStart w:id="466" w:name="_Toc17874"/>
    </w:p>
    <w:bookmarkEnd w:id="462"/>
    <w:bookmarkEnd w:id="463"/>
    <w:bookmarkEnd w:id="464"/>
    <w:bookmarkEnd w:id="465"/>
    <w:bookmarkEnd w:id="466"/>
    <w:p>
      <w:pPr>
        <w:adjustRightInd w:val="0"/>
        <w:snapToGrid w:val="0"/>
        <w:spacing w:line="360" w:lineRule="auto"/>
        <w:jc w:val="both"/>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附件一：《工程量清单计价表》</w:t>
      </w:r>
    </w:p>
    <w:p>
      <w:pPr>
        <w:adjustRightInd w:val="0"/>
        <w:snapToGrid w:val="0"/>
        <w:spacing w:line="360" w:lineRule="auto"/>
        <w:rPr>
          <w:rFonts w:hint="eastAsia" w:ascii="宋体" w:hAnsi="宋体" w:eastAsia="宋体" w:cs="宋体"/>
          <w:color w:val="auto"/>
          <w:sz w:val="21"/>
          <w:szCs w:val="21"/>
        </w:rPr>
      </w:pPr>
      <w:bookmarkStart w:id="467" w:name="_Toc351203652"/>
      <w:r>
        <w:rPr>
          <w:rFonts w:hint="eastAsia" w:ascii="宋体" w:hAnsi="宋体" w:eastAsia="宋体" w:cs="宋体"/>
          <w:color w:val="auto"/>
          <w:sz w:val="21"/>
          <w:szCs w:val="21"/>
        </w:rPr>
        <w:t>附件二：</w:t>
      </w:r>
      <w:bookmarkEnd w:id="467"/>
      <w:r>
        <w:rPr>
          <w:rFonts w:hint="eastAsia" w:ascii="宋体" w:hAnsi="宋体" w:eastAsia="宋体" w:cs="宋体"/>
          <w:color w:val="auto"/>
          <w:sz w:val="21"/>
          <w:szCs w:val="21"/>
        </w:rPr>
        <w:t>廉洁协议书</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附件三：安全生产责任书</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附件四：诚信履约承诺书</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附件五：检测单位履约考核评分表</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附件六：中标通知书</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附件七：用户需求书</w:t>
      </w:r>
    </w:p>
    <w:p>
      <w:pPr>
        <w:pStyle w:val="18"/>
        <w:snapToGrid w:val="0"/>
        <w:spacing w:line="360" w:lineRule="auto"/>
        <w:ind w:right="0"/>
        <w:rPr>
          <w:rFonts w:hint="eastAsia" w:ascii="宋体" w:hAnsi="宋体" w:eastAsia="宋体" w:cs="宋体"/>
          <w:color w:val="auto"/>
          <w:sz w:val="21"/>
          <w:szCs w:val="21"/>
        </w:rPr>
      </w:pPr>
    </w:p>
    <w:p>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附件一：《工程量清单计价表》</w:t>
      </w:r>
    </w:p>
    <w:p>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附件二：廉洁协议书</w:t>
      </w:r>
    </w:p>
    <w:p>
      <w:pPr>
        <w:adjustRightInd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廉洁协议书</w:t>
      </w:r>
    </w:p>
    <w:p>
      <w:pPr>
        <w:adjustRightInd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东莞市茶山镇污水处理厂改扩建项目第三方检测服务（不含桩基完整性检测）采购项目</w:t>
      </w:r>
    </w:p>
    <w:p>
      <w:pPr>
        <w:adjustRightInd w:val="0"/>
        <w:snapToGrid w:val="0"/>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lang w:eastAsia="zh-CN"/>
        </w:rPr>
        <w:t>0832-SFCX24DG032C</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委托人（甲方）： </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检测人（乙方）：</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项目业主（丙方）：</w:t>
      </w:r>
    </w:p>
    <w:p>
      <w:pPr>
        <w:adjustRightInd w:val="0"/>
        <w:snapToGrid w:val="0"/>
        <w:spacing w:line="360" w:lineRule="auto"/>
        <w:ind w:firstLine="420" w:firstLineChars="200"/>
        <w:contextualSpacing/>
        <w:rPr>
          <w:rFonts w:hint="eastAsia" w:ascii="宋体" w:hAnsi="宋体" w:eastAsia="宋体" w:cs="宋体"/>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第一条  甲乙丙三方的权利和义务</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（一）严格遵守党和国家有关法律法规等有关廉洁从业规定。</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（二）严格执行本项目的合同文件，自觉按合同办事。</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（三）三方的业务活动坚持公开、公正、诚信、透明的原则（除法律认定的商业秘密和合同文件另有规定之外）不得损害国家和集体利益，违反工程建设管理及其他法律法规规章制度。</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（四）建立健全廉洁制度，开展廉洁教育，设立廉洁监督公示牌，公布举报电话，监督并认真查处违法违纪行为。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（五）发现对方在业务活动中有违反廉洁规定的行为，有及时提醒对方纠正的权利和义务。</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（六）发现对方严重违反本协议义务条款的行为，有向其上级有关部门举报、建议给予处理并要求告知处理结果的权利。</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甲方与丙方的义务</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（一）甲方、丙方及其工作人员不得索要或接受乙方的礼金、有价证券和贵重物品，不得在乙方报销任何应由甲方、丙方或个人支付的费用。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（二）甲方、丙方工作人员不得参加乙方安排的高消费宴请和娱乐活动；不得接受乙方提供的通讯工具、交通工具和高档办公用品。</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（三）甲方、丙方及其工作人员不得要求或者接受乙方为其住房装修、婚丧嫁娶活动、家属或亲友的工作安排以及出国出境、旅游等提供方便。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（四）甲方、丙方工作人员不得向乙方介绍其家属或者亲友（包括家属或亲友开办的公司企业）从事于本项目涉及的经济业务活动。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（五）甲方、丙方及其工作人员不得以任何理由向乙方推荐分包单位，不得要求乙方购买合同规定外的材料和设备。</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（六）甲方、丙方及其工作人员不得进行违反廉洁规定的其他活动。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第三条  乙方义务</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（一）乙方不得以任何理由向甲方、丙方及其工作人员馈赠礼金、有价证券、贵重礼品，或报销应由甲方、丙方单位或个人支付的任何费用。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（二）乙方及其工作人员不得以考察、参观、洽谈业务、签订合同等的借口邀请甲方、丙方及其工作人员参加高消费的宴请、娱乐和健身等活动。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（三）乙方不得为甲方、丙方单位和个人购置或提供通讯工具、交通工具和高档办公用品等。</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（四）乙方及其工作人员不得为甲方、丙方工作人员购买、装修、维修私人住房、汽车等。</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（五）乙方及其工作人员不得为甲方、丙方工作人员的婚丧嫁娶、家属或亲友的工作安排，及出国出境提供方便以及报销任何私人消费的费用。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（六）乙方及其工作人员不得进行影响甲方、丙方及其工作人员公正执行合同和履行职务的其他活动。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违约责任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（一）甲方、丙方违反本协议第一、第二条给乙方单位造成经济损失的，应予以赔偿。</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（二）乙方违反本协议第一、第三条给甲方、丙方单位造成经济损失的，应予以赔偿。</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第五条  监督检查</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甲乙丙三方的廉洁从业行为由三方或三方上级单位的纪检、监察部门负责监督，对本协议履行情况进行检查。</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第六条 举报信访受理</w:t>
      </w:r>
    </w:p>
    <w:p>
      <w:pPr>
        <w:adjustRightInd w:val="0"/>
        <w:snapToGrid w:val="0"/>
        <w:spacing w:line="360" w:lineRule="auto"/>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（一）举报受理部门：东莞市水务集团有限公司纪检监察部。</w:t>
      </w:r>
    </w:p>
    <w:p>
      <w:pPr>
        <w:adjustRightInd w:val="0"/>
        <w:snapToGrid w:val="0"/>
        <w:spacing w:line="360" w:lineRule="auto"/>
        <w:ind w:firstLine="560"/>
        <w:rPr>
          <w:rFonts w:hint="eastAsia" w:ascii="宋体" w:hAnsi="宋体" w:eastAsia="宋体" w:cs="宋体"/>
          <w:color w:val="auto"/>
          <w:sz w:val="21"/>
          <w:szCs w:val="21"/>
        </w:rPr>
      </w:pPr>
      <w:r>
        <w:rPr>
          <w:rFonts w:hint="eastAsia" w:ascii="宋体" w:hAnsi="宋体" w:eastAsia="宋体" w:cs="宋体"/>
          <w:color w:val="auto"/>
          <w:sz w:val="21"/>
          <w:szCs w:val="21"/>
        </w:rPr>
        <w:t>（二）举报电话：（0769）23076092。</w:t>
      </w:r>
    </w:p>
    <w:p>
      <w:pPr>
        <w:adjustRightInd w:val="0"/>
        <w:snapToGrid w:val="0"/>
        <w:spacing w:line="360" w:lineRule="auto"/>
        <w:ind w:firstLine="560"/>
        <w:rPr>
          <w:rFonts w:hint="eastAsia" w:ascii="宋体" w:hAnsi="宋体" w:eastAsia="宋体" w:cs="宋体"/>
          <w:color w:val="auto"/>
          <w:sz w:val="21"/>
          <w:szCs w:val="21"/>
        </w:rPr>
      </w:pPr>
      <w:r>
        <w:rPr>
          <w:rFonts w:hint="eastAsia" w:ascii="宋体" w:hAnsi="宋体" w:eastAsia="宋体" w:cs="宋体"/>
          <w:color w:val="auto"/>
          <w:sz w:val="21"/>
          <w:szCs w:val="21"/>
        </w:rPr>
        <w:t>（三）举报邮箱：</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"mailto:jcsj@dgswjt.cn。" </w:instrText>
      </w:r>
      <w:r>
        <w:rPr>
          <w:rFonts w:hint="eastAsia" w:ascii="宋体" w:hAnsi="宋体" w:eastAsia="宋体" w:cs="宋体"/>
          <w:color w:val="auto"/>
          <w:sz w:val="21"/>
          <w:szCs w:val="21"/>
        </w:rPr>
        <w:fldChar w:fldCharType="separate"/>
      </w:r>
      <w:r>
        <w:rPr>
          <w:rStyle w:val="42"/>
          <w:rFonts w:hint="eastAsia" w:ascii="宋体" w:hAnsi="宋体" w:eastAsia="宋体" w:cs="宋体"/>
          <w:color w:val="auto"/>
          <w:sz w:val="21"/>
          <w:szCs w:val="21"/>
        </w:rPr>
        <w:t>jcsj@dgswjt.cn。</w:t>
      </w:r>
      <w:r>
        <w:rPr>
          <w:rStyle w:val="42"/>
          <w:rFonts w:hint="eastAsia" w:ascii="宋体" w:hAnsi="宋体" w:eastAsia="宋体" w:cs="宋体"/>
          <w:color w:val="auto"/>
          <w:sz w:val="21"/>
          <w:szCs w:val="21"/>
        </w:rPr>
        <w:fldChar w:fldCharType="end"/>
      </w:r>
    </w:p>
    <w:p>
      <w:pPr>
        <w:adjustRightInd w:val="0"/>
        <w:snapToGrid w:val="0"/>
        <w:spacing w:line="360" w:lineRule="auto"/>
        <w:ind w:firstLine="560"/>
        <w:rPr>
          <w:rFonts w:hint="eastAsia" w:ascii="宋体" w:hAnsi="宋体" w:eastAsia="宋体" w:cs="宋体"/>
          <w:color w:val="auto"/>
          <w:sz w:val="21"/>
          <w:szCs w:val="21"/>
        </w:rPr>
      </w:pPr>
      <w:r>
        <w:rPr>
          <w:rFonts w:hint="eastAsia" w:ascii="宋体" w:hAnsi="宋体" w:eastAsia="宋体" w:cs="宋体"/>
          <w:color w:val="auto"/>
          <w:sz w:val="21"/>
          <w:szCs w:val="21"/>
        </w:rPr>
        <w:t>（四）信访地址：广东省东莞市东城街道育华路1号。</w:t>
      </w:r>
    </w:p>
    <w:p>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第七条 其他</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份，甲、乙、丙三方各执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份，甲、乙、丙三方上级主管部门各执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或授权代理人（签名或私章）：             或授权代理人（签名或私章）：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签订日期：    年  月  日                    年  月  日</w:t>
      </w:r>
    </w:p>
    <w:p>
      <w:pPr>
        <w:adjustRightInd w:val="0"/>
        <w:snapToGrid w:val="0"/>
        <w:spacing w:line="360" w:lineRule="auto"/>
        <w:ind w:firstLine="420" w:firstLineChars="200"/>
        <w:rPr>
          <w:rFonts w:hint="eastAsia" w:ascii="宋体" w:hAnsi="宋体" w:eastAsia="宋体" w:cs="宋体"/>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丙方（盖章）：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或授权代理人（签名或私章）：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签订日期：    年  月  日 </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rPr>
        <w:t>附件三：安全生产责任书</w:t>
      </w:r>
    </w:p>
    <w:p>
      <w:pPr>
        <w:adjustRightInd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安全生产责任书</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签订安全生产责任书。</w:t>
      </w:r>
    </w:p>
    <w:p>
      <w:pPr>
        <w:numPr>
          <w:ilvl w:val="0"/>
          <w:numId w:val="2"/>
        </w:num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安全生产目标</w:t>
      </w:r>
    </w:p>
    <w:p>
      <w:pPr>
        <w:numPr>
          <w:ilvl w:val="0"/>
          <w:numId w:val="3"/>
        </w:num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杜绝重伤及以上生产安全事故；</w:t>
      </w:r>
    </w:p>
    <w:p>
      <w:pPr>
        <w:numPr>
          <w:ilvl w:val="0"/>
          <w:numId w:val="3"/>
        </w:num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杜绝火灾、爆炸责任事故；</w:t>
      </w:r>
    </w:p>
    <w:p>
      <w:pPr>
        <w:numPr>
          <w:ilvl w:val="0"/>
          <w:numId w:val="3"/>
        </w:num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杜绝多人严重急性中毒事故；</w:t>
      </w:r>
    </w:p>
    <w:p>
      <w:pPr>
        <w:numPr>
          <w:ilvl w:val="0"/>
          <w:numId w:val="3"/>
        </w:num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工伤事故中轻伤率不超过3‰；</w:t>
      </w:r>
    </w:p>
    <w:p>
      <w:pPr>
        <w:numPr>
          <w:ilvl w:val="0"/>
          <w:numId w:val="3"/>
        </w:num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生产经营范围内无刑事案件发生。</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二、安全生产责任</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shd w:val="clear" w:color="090000" w:fill="FFFFFF"/>
        </w:rPr>
        <w:t xml:space="preserve">              </w:t>
      </w:r>
      <w:r>
        <w:rPr>
          <w:rFonts w:hint="eastAsia" w:ascii="宋体" w:hAnsi="宋体" w:eastAsia="宋体" w:cs="宋体"/>
          <w:color w:val="auto"/>
          <w:sz w:val="21"/>
          <w:szCs w:val="21"/>
          <w:shd w:val="clear" w:color="090000" w:fill="FFFFFF"/>
        </w:rPr>
        <w:t>为</w:t>
      </w:r>
      <w:r>
        <w:rPr>
          <w:rFonts w:hint="eastAsia" w:ascii="宋体" w:hAnsi="宋体" w:eastAsia="宋体" w:cs="宋体"/>
          <w:color w:val="auto"/>
          <w:sz w:val="21"/>
          <w:szCs w:val="21"/>
          <w:lang w:eastAsia="zh-CN"/>
        </w:rPr>
        <w:t>东莞市茶山镇污水处理厂改扩建项目第三方检测服务（不含桩基完整性检测）采购项目</w:t>
      </w:r>
      <w:r>
        <w:rPr>
          <w:rFonts w:hint="eastAsia" w:ascii="宋体" w:hAnsi="宋体" w:eastAsia="宋体" w:cs="宋体"/>
          <w:color w:val="auto"/>
          <w:sz w:val="21"/>
          <w:szCs w:val="21"/>
          <w:shd w:val="clear" w:color="090000" w:fill="FFFFFF"/>
        </w:rPr>
        <w:t>安全生产工作的第一责任人，对</w:t>
      </w:r>
      <w:r>
        <w:rPr>
          <w:rFonts w:hint="eastAsia" w:ascii="宋体" w:hAnsi="宋体" w:eastAsia="宋体" w:cs="宋体"/>
          <w:color w:val="auto"/>
          <w:sz w:val="21"/>
          <w:szCs w:val="21"/>
          <w:lang w:eastAsia="zh-CN"/>
        </w:rPr>
        <w:t>东莞市茶山镇污水处理厂改扩建项目第三方检测服务（不含桩基完整性检测）采购项目</w:t>
      </w:r>
      <w:r>
        <w:rPr>
          <w:rFonts w:hint="eastAsia" w:ascii="宋体" w:hAnsi="宋体" w:eastAsia="宋体" w:cs="宋体"/>
          <w:color w:val="auto"/>
          <w:sz w:val="21"/>
          <w:szCs w:val="21"/>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rPr>
        <w:t>。</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 遵守《安全生产法》、《消防法》、《劳动法》等法律法规，贯彻和执行</w:t>
      </w:r>
      <w:r>
        <w:rPr>
          <w:rFonts w:hint="eastAsia" w:ascii="宋体" w:hAnsi="宋体" w:eastAsia="宋体" w:cs="宋体"/>
          <w:color w:val="auto"/>
          <w:sz w:val="21"/>
          <w:szCs w:val="21"/>
          <w:shd w:val="clear" w:color="090000" w:fill="FFFFFF"/>
        </w:rPr>
        <w:t>建设公司</w:t>
      </w:r>
      <w:r>
        <w:rPr>
          <w:rFonts w:hint="eastAsia" w:ascii="宋体" w:hAnsi="宋体" w:eastAsia="宋体" w:cs="宋体"/>
          <w:color w:val="auto"/>
          <w:sz w:val="21"/>
          <w:szCs w:val="21"/>
        </w:rPr>
        <w:t>有关安全生产的制度、规程和标准，全面推动安全管理工作。</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 积极参与</w:t>
      </w:r>
      <w:r>
        <w:rPr>
          <w:rFonts w:hint="eastAsia" w:ascii="宋体" w:hAnsi="宋体" w:eastAsia="宋体" w:cs="宋体"/>
          <w:color w:val="auto"/>
          <w:sz w:val="21"/>
          <w:szCs w:val="21"/>
          <w:shd w:val="clear" w:color="090000" w:fill="FFFFFF"/>
        </w:rPr>
        <w:t>建设公司及项目业主</w:t>
      </w:r>
      <w:r>
        <w:rPr>
          <w:rFonts w:hint="eastAsia" w:ascii="宋体" w:hAnsi="宋体" w:eastAsia="宋体" w:cs="宋体"/>
          <w:color w:val="auto"/>
          <w:sz w:val="21"/>
          <w:szCs w:val="21"/>
        </w:rPr>
        <w:t>组织的安全培训、“安全生产活动月”、“消防安全月”等活动。</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4. 参加</w:t>
      </w:r>
      <w:r>
        <w:rPr>
          <w:rFonts w:hint="eastAsia" w:ascii="宋体" w:hAnsi="宋体" w:eastAsia="宋体" w:cs="宋体"/>
          <w:color w:val="auto"/>
          <w:sz w:val="21"/>
          <w:szCs w:val="21"/>
          <w:shd w:val="clear" w:color="090000" w:fill="FFFFFF"/>
        </w:rPr>
        <w:t>建设公司及项目业主</w:t>
      </w:r>
      <w:r>
        <w:rPr>
          <w:rFonts w:hint="eastAsia" w:ascii="宋体" w:hAnsi="宋体" w:eastAsia="宋体" w:cs="宋体"/>
          <w:color w:val="auto"/>
          <w:sz w:val="21"/>
          <w:szCs w:val="21"/>
        </w:rPr>
        <w:t>召开安全生产工作会议，落实会议的相关要求。</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5. 参与</w:t>
      </w:r>
      <w:r>
        <w:rPr>
          <w:rFonts w:hint="eastAsia" w:ascii="宋体" w:hAnsi="宋体" w:eastAsia="宋体" w:cs="宋体"/>
          <w:color w:val="auto"/>
          <w:sz w:val="21"/>
          <w:szCs w:val="21"/>
          <w:shd w:val="clear" w:color="090000" w:fill="FFFFFF"/>
        </w:rPr>
        <w:t>建设公司及项目业主</w:t>
      </w:r>
      <w:r>
        <w:rPr>
          <w:rFonts w:hint="eastAsia" w:ascii="宋体" w:hAnsi="宋体" w:eastAsia="宋体" w:cs="宋体"/>
          <w:color w:val="auto"/>
          <w:sz w:val="21"/>
          <w:szCs w:val="21"/>
        </w:rPr>
        <w:t>组织开展生产安全事故应急预案演练，提高应急技能及应急管理水平。</w:t>
      </w:r>
    </w:p>
    <w:p>
      <w:pPr>
        <w:adjustRightInd w:val="0"/>
        <w:snapToGrid w:val="0"/>
        <w:spacing w:line="360" w:lineRule="auto"/>
        <w:ind w:firstLine="424" w:firstLineChars="202"/>
        <w:contextualSpacing/>
        <w:rPr>
          <w:rFonts w:hint="eastAsia" w:ascii="宋体" w:hAnsi="宋体" w:eastAsia="宋体" w:cs="宋体"/>
          <w:color w:val="auto"/>
          <w:sz w:val="21"/>
          <w:szCs w:val="21"/>
        </w:rPr>
      </w:pPr>
      <w:r>
        <w:rPr>
          <w:rFonts w:hint="eastAsia" w:ascii="宋体" w:hAnsi="宋体" w:eastAsia="宋体" w:cs="宋体"/>
          <w:color w:val="auto"/>
          <w:sz w:val="21"/>
          <w:szCs w:val="21"/>
        </w:rPr>
        <w:t>6. 发生安全事故时及时组织救援并上报，协助开展事故调查分析工作。</w:t>
      </w:r>
    </w:p>
    <w:p>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考核与奖惩</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shd w:val="clear" w:color="090000" w:fill="FFFFFF"/>
        </w:rPr>
        <w:t>建设公司及项目业主</w:t>
      </w:r>
      <w:r>
        <w:rPr>
          <w:rFonts w:hint="eastAsia" w:ascii="宋体" w:hAnsi="宋体" w:eastAsia="宋体" w:cs="宋体"/>
          <w:color w:val="auto"/>
          <w:sz w:val="21"/>
          <w:szCs w:val="21"/>
        </w:rPr>
        <w:t>负责对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的安全生产管理工作进行检查和考核。</w:t>
      </w:r>
    </w:p>
    <w:p>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其他</w:t>
      </w:r>
    </w:p>
    <w:p>
      <w:pPr>
        <w:adjustRightInd w:val="0"/>
        <w:snapToGrid w:val="0"/>
        <w:spacing w:line="360" w:lineRule="auto"/>
        <w:ind w:firstLine="420" w:firstLineChars="200"/>
        <w:contextualSpacing/>
        <w:rPr>
          <w:rFonts w:hint="eastAsia" w:ascii="宋体" w:hAnsi="宋体" w:eastAsia="宋体" w:cs="宋体"/>
          <w:b/>
          <w:bCs/>
          <w:color w:val="auto"/>
          <w:sz w:val="21"/>
          <w:szCs w:val="21"/>
          <w:lang w:val="zh-CN"/>
        </w:rPr>
      </w:pPr>
      <w:r>
        <w:rPr>
          <w:rFonts w:hint="eastAsia" w:ascii="宋体" w:hAnsi="宋体" w:eastAsia="宋体" w:cs="宋体"/>
          <w:color w:val="auto"/>
          <w:sz w:val="21"/>
          <w:szCs w:val="21"/>
        </w:rPr>
        <w:t>本安全生产责任书自考核方与责任方盖章签字之日起生效，有效期至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日止。</w:t>
      </w:r>
    </w:p>
    <w:p>
      <w:pPr>
        <w:adjustRightInd w:val="0"/>
        <w:snapToGrid w:val="0"/>
        <w:spacing w:line="360" w:lineRule="auto"/>
        <w:ind w:firstLine="420"/>
        <w:rPr>
          <w:rFonts w:hint="eastAsia" w:ascii="宋体" w:hAnsi="宋体" w:eastAsia="宋体" w:cs="宋体"/>
          <w:b/>
          <w:color w:val="auto"/>
          <w:sz w:val="21"/>
          <w:szCs w:val="21"/>
        </w:rPr>
      </w:pPr>
    </w:p>
    <w:p>
      <w:pPr>
        <w:adjustRightInd w:val="0"/>
        <w:snapToGrid w:val="0"/>
        <w:spacing w:line="360" w:lineRule="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目标考核方1：东莞市水务集团建设管理有限公司   目标考核方2：</w:t>
      </w:r>
      <w:r>
        <w:rPr>
          <w:rFonts w:hint="eastAsia" w:ascii="宋体" w:hAnsi="宋体" w:eastAsia="宋体" w:cs="宋体"/>
          <w:b/>
          <w:color w:val="auto"/>
          <w:sz w:val="21"/>
          <w:szCs w:val="21"/>
          <w:lang w:eastAsia="zh-CN"/>
        </w:rPr>
        <w:t>东莞市石鼓净水有限公司</w:t>
      </w:r>
    </w:p>
    <w:p>
      <w:pPr>
        <w:adjustRightInd w:val="0"/>
        <w:snapToGrid w:val="0"/>
        <w:spacing w:line="360" w:lineRule="auto"/>
        <w:rPr>
          <w:rFonts w:hint="eastAsia" w:ascii="宋体" w:hAnsi="宋体" w:eastAsia="宋体" w:cs="宋体"/>
          <w:b/>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或授权代理人（签名或私章）：                  或授权代理人（签名或私章）：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签订日期：    年  月  日                          年  月  日</w:t>
      </w:r>
    </w:p>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rPr>
          <w:rFonts w:hint="eastAsia" w:ascii="宋体" w:hAnsi="宋体" w:eastAsia="宋体" w:cs="宋体"/>
          <w:b/>
          <w:bCs/>
          <w:color w:val="auto"/>
          <w:sz w:val="21"/>
          <w:szCs w:val="21"/>
          <w:lang w:val="zh-CN"/>
        </w:rPr>
      </w:pP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目标责任方：          </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或授权代理人（签名或私章）：</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签订日期：    年  月  日 </w:t>
      </w:r>
    </w:p>
    <w:p>
      <w:pPr>
        <w:adjustRightInd w:val="0"/>
        <w:snapToGrid w:val="0"/>
        <w:spacing w:line="360" w:lineRule="auto"/>
        <w:rPr>
          <w:rFonts w:hint="eastAsia" w:ascii="宋体" w:hAnsi="宋体" w:eastAsia="宋体" w:cs="宋体"/>
          <w:b/>
          <w:color w:val="auto"/>
          <w:sz w:val="21"/>
          <w:szCs w:val="21"/>
        </w:rPr>
      </w:pPr>
    </w:p>
    <w:p>
      <w:pPr>
        <w:widowControl/>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附件四：诚信履约承诺书</w:t>
      </w:r>
    </w:p>
    <w:p>
      <w:pPr>
        <w:adjustRightInd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诚信履约承诺书</w:t>
      </w:r>
    </w:p>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东莞市水务集团建设管理有限公司、</w:t>
      </w:r>
      <w:r>
        <w:rPr>
          <w:rFonts w:hint="eastAsia" w:ascii="宋体" w:hAnsi="宋体" w:eastAsia="宋体" w:cs="宋体"/>
          <w:color w:val="auto"/>
          <w:sz w:val="21"/>
          <w:szCs w:val="21"/>
          <w:lang w:eastAsia="zh-CN"/>
        </w:rPr>
        <w:t>东莞市石鼓净水有限公司</w:t>
      </w:r>
      <w:r>
        <w:rPr>
          <w:rFonts w:hint="eastAsia" w:ascii="宋体" w:hAnsi="宋体" w:eastAsia="宋体" w:cs="宋体"/>
          <w:color w:val="auto"/>
          <w:sz w:val="21"/>
          <w:szCs w:val="21"/>
        </w:rPr>
        <w:t>：</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我司根据《</w:t>
      </w:r>
      <w:r>
        <w:rPr>
          <w:rFonts w:hint="eastAsia" w:ascii="宋体" w:hAnsi="宋体" w:eastAsia="宋体" w:cs="宋体"/>
          <w:color w:val="auto"/>
          <w:sz w:val="21"/>
          <w:szCs w:val="21"/>
          <w:lang w:eastAsia="zh-CN"/>
        </w:rPr>
        <w:t>东莞市茶山镇污水处理厂改扩建项目第三方检测服务（不含桩基完整性检测）采购项目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第三方检测合同》相关条款全力配合贵公司工作，并自愿做出如下承诺：</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（二）如我司有违反本项目管理及合同约定等行为，我司无条件同意并接受贵公司根据合同及相关约定追究我司的违约责任。</w:t>
      </w:r>
    </w:p>
    <w:p>
      <w:pPr>
        <w:adjustRightInd w:val="0"/>
        <w:snapToGri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b/>
          <w:bCs/>
          <w:color w:val="auto"/>
          <w:sz w:val="21"/>
          <w:szCs w:val="21"/>
        </w:rPr>
        <w:t>如我司在投标过程中或合同履行过程中存在以下等情形的：</w:t>
      </w:r>
      <w:r>
        <w:rPr>
          <w:rFonts w:hint="eastAsia" w:ascii="宋体" w:hAnsi="宋体" w:eastAsia="宋体" w:cs="宋体"/>
          <w:color w:val="auto"/>
          <w:sz w:val="21"/>
          <w:szCs w:val="21"/>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rPr>
        <w:t>我司同意并接受贵公司采取包括但不限于以下措施：</w:t>
      </w:r>
      <w:r>
        <w:rPr>
          <w:rFonts w:hint="eastAsia" w:ascii="宋体" w:hAnsi="宋体" w:eastAsia="宋体" w:cs="宋体"/>
          <w:color w:val="auto"/>
          <w:sz w:val="21"/>
          <w:szCs w:val="21"/>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pPr>
        <w:adjustRightInd w:val="0"/>
        <w:snapToGrid w:val="0"/>
        <w:spacing w:line="360" w:lineRule="auto"/>
        <w:ind w:firstLine="422" w:firstLineChars="200"/>
        <w:contextualSpacing/>
        <w:rPr>
          <w:rFonts w:hint="eastAsia" w:ascii="宋体" w:hAnsi="宋体" w:eastAsia="宋体" w:cs="宋体"/>
          <w:b/>
          <w:bCs/>
          <w:color w:val="auto"/>
          <w:sz w:val="21"/>
          <w:szCs w:val="21"/>
        </w:rPr>
      </w:pPr>
      <w:r>
        <w:rPr>
          <w:rFonts w:hint="eastAsia" w:ascii="宋体" w:hAnsi="宋体" w:eastAsia="宋体" w:cs="宋体"/>
          <w:b/>
          <w:bCs/>
          <w:color w:val="auto"/>
          <w:sz w:val="21"/>
          <w:szCs w:val="21"/>
        </w:rPr>
        <w:t>我司并愿按相关规定接受处理，由此产生的一切法律责任和不利后果全部由我司承担。</w:t>
      </w:r>
    </w:p>
    <w:p>
      <w:pPr>
        <w:pStyle w:val="18"/>
        <w:snapToGrid w:val="0"/>
        <w:spacing w:line="360" w:lineRule="auto"/>
        <w:ind w:right="0"/>
        <w:rPr>
          <w:rFonts w:hint="eastAsia" w:ascii="宋体" w:hAnsi="宋体" w:eastAsia="宋体" w:cs="宋体"/>
          <w:color w:val="auto"/>
          <w:sz w:val="21"/>
          <w:szCs w:val="21"/>
          <w:lang w:val="en-US"/>
        </w:rPr>
      </w:pPr>
    </w:p>
    <w:p>
      <w:pPr>
        <w:adjustRightInd w:val="0"/>
        <w:snapToGrid w:val="0"/>
        <w:spacing w:line="360" w:lineRule="auto"/>
        <w:ind w:firstLine="4200" w:firstLineChars="20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承诺人（盖章）：</w:t>
      </w:r>
    </w:p>
    <w:p>
      <w:pPr>
        <w:adjustRightInd w:val="0"/>
        <w:snapToGrid w:val="0"/>
        <w:spacing w:line="360" w:lineRule="auto"/>
        <w:ind w:firstLine="4200" w:firstLineChars="20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法人代表人（或授权代理人）签名（或盖私章）：</w:t>
      </w:r>
    </w:p>
    <w:p>
      <w:pPr>
        <w:adjustRightInd w:val="0"/>
        <w:snapToGrid w:val="0"/>
        <w:spacing w:line="360" w:lineRule="auto"/>
        <w:ind w:firstLine="4200" w:firstLineChars="20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pPr>
        <w:widowControl/>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附件五 检测单位履约考核评分表</w:t>
      </w:r>
    </w:p>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检测单位履约考核评分表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717"/>
        <w:gridCol w:w="4304"/>
        <w:gridCol w:w="537"/>
        <w:gridCol w:w="1578"/>
        <w:gridCol w:w="107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65" w:type="pct"/>
            <w:gridSpan w:val="2"/>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检测人名称</w:t>
            </w:r>
          </w:p>
        </w:tc>
        <w:tc>
          <w:tcPr>
            <w:tcW w:w="2335" w:type="pct"/>
            <w:gridSpan w:val="2"/>
            <w:vAlign w:val="center"/>
          </w:tcPr>
          <w:p>
            <w:pPr>
              <w:adjustRightInd w:val="0"/>
              <w:snapToGrid w:val="0"/>
              <w:spacing w:line="360" w:lineRule="auto"/>
              <w:jc w:val="center"/>
              <w:rPr>
                <w:rFonts w:hint="eastAsia" w:ascii="宋体" w:hAnsi="宋体" w:eastAsia="宋体" w:cs="宋体"/>
                <w:color w:val="auto"/>
                <w:sz w:val="21"/>
                <w:szCs w:val="21"/>
              </w:rPr>
            </w:pPr>
          </w:p>
        </w:tc>
        <w:tc>
          <w:tcPr>
            <w:tcW w:w="761"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评价时间</w:t>
            </w:r>
          </w:p>
        </w:tc>
        <w:tc>
          <w:tcPr>
            <w:tcW w:w="1038" w:type="pct"/>
            <w:gridSpan w:val="2"/>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评价内容</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各项分值</w:t>
            </w:r>
          </w:p>
        </w:tc>
        <w:tc>
          <w:tcPr>
            <w:tcW w:w="3096" w:type="pct"/>
            <w:gridSpan w:val="3"/>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具体内容</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评分 </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各项</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服务响应</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1、不积极配合协助处理服务履行中发生的争议，不主动提供真实情况，每次扣3分；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2、未能在约定时间内进驻现场的，每次扣5分；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3、因无相应资质，需另行委托分包单位进行检测的，每检测项（细项）扣5分；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4、未派人员参加业主要求的相关会议，每次扣5分。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需求</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设备人员配置</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1、未按我公司要求配齐相应检测人员的，每人每次扣5分；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2、未按我公司要求配齐相应设备的，每次扣5分：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3、检测人员能力无法满足实际需要，且经我公司要求更换而未更换的，每人每次扣5分；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4、检测人员未持有效证件上岗及佩戴工作证，每人每次扣5分；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5、特种作业人员未持有效证件上岗及佩戴工作证，每人每次扣5分；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6、开展检测的设备未在检定有效期内，每台设备每次扣5分。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需求</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工作质量</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1、实际检测协作服务未达用户需求书、合同文件要求，且经我公司要求后未配合整改至符合要求的，每处每次扣5分；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2、检测记录、数据与实际不相符的，每次扣5分；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3、检测资料管理混乱、台账不及时更新、资料不及时签字或盖章不全的，每次扣5分；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4、未按《关于加强东莞市建设工程质量检测机构监督管理的通知》的规定进行拍照或录像的，每次扣5分；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5、检测报告的准确率，如出现报告的工程部位、工程名称、数据等错误的，每份报告扣5分；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6、检测结果不合格未及时反馈或通报的，每次扣10分。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需求</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服务进度</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1、没有在规定时间内完成检测协作服务工作的，每处每次扣5分；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2、没有按照合同规定时间内出具检测报告的，每份报告扣5分。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需求</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安全文明管理</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1、未按要求进行安全防护或安全防护不到位，我公司或上级部门检查中发现的，每处扣5分；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2、涉及有限空间作业未按照相关流程制度审批的，每次扣5分；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3、发生一般安全事故的，每次扣10分；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4、发生较大安全事故的，每次扣20分。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安全管理部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19"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服务态度</w:t>
            </w:r>
          </w:p>
        </w:tc>
        <w:tc>
          <w:tcPr>
            <w:tcW w:w="346"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096" w:type="pct"/>
            <w:gridSpan w:val="3"/>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对检测协作服务单位日常工作的服务态度，以及甲方、上级主管部门、建设单位检查中配合情况、服务投诉情况进行评价。每收到投诉一次扣5分。</w:t>
            </w:r>
          </w:p>
        </w:tc>
        <w:tc>
          <w:tcPr>
            <w:tcW w:w="520" w:type="pct"/>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需求</w:t>
            </w:r>
          </w:p>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部门</w:t>
            </w:r>
          </w:p>
        </w:tc>
        <w:tc>
          <w:tcPr>
            <w:tcW w:w="517" w:type="pct"/>
            <w:vAlign w:val="bottom"/>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61" w:type="pct"/>
            <w:gridSpan w:val="5"/>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038" w:type="pct"/>
            <w:gridSpan w:val="2"/>
            <w:vAlign w:val="center"/>
          </w:tcPr>
          <w:p>
            <w:pPr>
              <w:adjustRightInd w:val="0"/>
              <w:snapToGrid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5000" w:type="pct"/>
            <w:gridSpan w:val="7"/>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考核评分须知：</w:t>
            </w:r>
          </w:p>
          <w:p>
            <w:pPr>
              <w:adjustRightInd w:val="0"/>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1、委托人每季度对检测人评价一次，出具考核评价结果。</w:t>
            </w:r>
          </w:p>
          <w:p>
            <w:pPr>
              <w:adjustRightInd w:val="0"/>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2、委托人将严格按照考核评分标准对检测人进行季度检查和考核。</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 w:val="21"/>
                <w:szCs w:val="21"/>
                <w:lang w:val="en-US" w:eastAsia="zh-CN"/>
              </w:rPr>
              <w:t>费</w:t>
            </w:r>
            <w:r>
              <w:rPr>
                <w:rFonts w:hint="eastAsia" w:ascii="宋体" w:hAnsi="宋体" w:eastAsia="宋体" w:cs="宋体"/>
                <w:b w:val="0"/>
                <w:bCs w:val="0"/>
                <w:color w:val="auto"/>
                <w:sz w:val="21"/>
                <w:szCs w:val="21"/>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65" w:type="pct"/>
            <w:gridSpan w:val="2"/>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评价人员签名</w:t>
            </w:r>
          </w:p>
        </w:tc>
        <w:tc>
          <w:tcPr>
            <w:tcW w:w="2076" w:type="pct"/>
            <w:vAlign w:val="center"/>
          </w:tcPr>
          <w:p>
            <w:pPr>
              <w:adjustRightInd w:val="0"/>
              <w:snapToGrid w:val="0"/>
              <w:spacing w:line="360" w:lineRule="auto"/>
              <w:jc w:val="center"/>
              <w:rPr>
                <w:rFonts w:hint="eastAsia" w:ascii="宋体" w:hAnsi="宋体" w:eastAsia="宋体" w:cs="宋体"/>
                <w:color w:val="auto"/>
                <w:sz w:val="21"/>
                <w:szCs w:val="21"/>
              </w:rPr>
            </w:pPr>
          </w:p>
        </w:tc>
        <w:tc>
          <w:tcPr>
            <w:tcW w:w="1019" w:type="pct"/>
            <w:gridSpan w:val="2"/>
            <w:vAlign w:val="center"/>
          </w:tcPr>
          <w:p>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评价日期</w:t>
            </w:r>
          </w:p>
        </w:tc>
        <w:tc>
          <w:tcPr>
            <w:tcW w:w="1038" w:type="pct"/>
            <w:gridSpan w:val="2"/>
            <w:vAlign w:val="center"/>
          </w:tcPr>
          <w:p>
            <w:pPr>
              <w:adjustRightInd w:val="0"/>
              <w:snapToGrid w:val="0"/>
              <w:spacing w:line="360" w:lineRule="auto"/>
              <w:jc w:val="center"/>
              <w:rPr>
                <w:rFonts w:hint="eastAsia" w:ascii="宋体" w:hAnsi="宋体" w:eastAsia="宋体" w:cs="宋体"/>
                <w:color w:val="auto"/>
                <w:sz w:val="21"/>
                <w:szCs w:val="21"/>
              </w:rPr>
            </w:pPr>
          </w:p>
        </w:tc>
      </w:tr>
    </w:tbl>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68" w:name="_Toc447044479"/>
      <w:bookmarkStart w:id="469" w:name="_Toc24427_WPSOffice_Level1"/>
      <w:bookmarkStart w:id="470" w:name="_Toc447044603"/>
      <w:bookmarkStart w:id="471" w:name="_Toc25564"/>
      <w:bookmarkStart w:id="472" w:name="_Toc13867"/>
      <w:bookmarkStart w:id="473" w:name="_Toc512353083"/>
      <w:bookmarkStart w:id="474" w:name="_Toc447045090"/>
      <w:bookmarkStart w:id="475" w:name="_Toc142508360"/>
      <w:bookmarkStart w:id="476" w:name="_Toc19778"/>
      <w:bookmarkStart w:id="477" w:name="_Toc30025"/>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68"/>
      <w:bookmarkEnd w:id="469"/>
      <w:bookmarkEnd w:id="470"/>
      <w:bookmarkEnd w:id="471"/>
      <w:bookmarkEnd w:id="472"/>
      <w:bookmarkEnd w:id="473"/>
      <w:bookmarkEnd w:id="474"/>
      <w:bookmarkEnd w:id="475"/>
      <w:bookmarkEnd w:id="476"/>
      <w:bookmarkEnd w:id="477"/>
      <w:bookmarkStart w:id="478" w:name="_Toc447045091"/>
      <w:bookmarkStart w:id="479" w:name="_Toc447044480"/>
      <w:bookmarkStart w:id="480" w:name="_Toc447044604"/>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81" w:name="_Toc26521_WPSOffice_Level2"/>
      <w:r>
        <w:rPr>
          <w:rFonts w:hint="eastAsia" w:ascii="宋体" w:hAnsi="宋体" w:eastAsia="宋体" w:cs="Times New Roman"/>
          <w:b/>
          <w:color w:val="auto"/>
          <w:kern w:val="0"/>
          <w:sz w:val="28"/>
          <w:szCs w:val="28"/>
          <w:highlight w:val="none"/>
        </w:rPr>
        <w:t>一、不可撤销银行履约保函格式</w:t>
      </w:r>
      <w:bookmarkEnd w:id="478"/>
      <w:bookmarkEnd w:id="479"/>
      <w:bookmarkEnd w:id="480"/>
      <w:bookmarkEnd w:id="481"/>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pPr>
        <w:numPr>
          <w:ilvl w:val="0"/>
          <w:numId w:val="0"/>
        </w:numPr>
        <w:outlineLvl w:val="9"/>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82" w:name="_Toc450662895"/>
      <w:bookmarkStart w:id="483" w:name="_Toc14958"/>
      <w:bookmarkStart w:id="484" w:name="_Toc142508361"/>
      <w:bookmarkStart w:id="485" w:name="_Toc9840"/>
      <w:bookmarkStart w:id="486" w:name="_Toc32761_WPSOffice_Level1"/>
      <w:bookmarkStart w:id="487" w:name="_Toc486167708"/>
      <w:bookmarkStart w:id="488" w:name="_Toc15817"/>
      <w:bookmarkStart w:id="489" w:name="_Toc32476"/>
      <w:r>
        <w:rPr>
          <w:rFonts w:hint="eastAsia" w:ascii="宋体" w:hAnsi="宋体" w:eastAsia="宋体" w:cs="宋体"/>
          <w:b/>
          <w:bCs/>
          <w:color w:val="auto"/>
          <w:kern w:val="44"/>
          <w:sz w:val="32"/>
          <w:szCs w:val="32"/>
          <w:highlight w:val="none"/>
          <w:lang w:val="zh-CN"/>
        </w:rPr>
        <w:t>第六篇 投标文件格式</w:t>
      </w:r>
      <w:bookmarkEnd w:id="482"/>
      <w:bookmarkEnd w:id="483"/>
      <w:bookmarkEnd w:id="484"/>
      <w:bookmarkEnd w:id="485"/>
      <w:bookmarkEnd w:id="486"/>
      <w:bookmarkEnd w:id="487"/>
      <w:bookmarkEnd w:id="488"/>
      <w:bookmarkEnd w:id="489"/>
    </w:p>
    <w:p>
      <w:pPr>
        <w:rPr>
          <w:rFonts w:hint="eastAsia" w:ascii="宋体" w:hAnsi="宋体" w:eastAsia="宋体" w:cs="宋体"/>
          <w:color w:val="auto"/>
          <w:sz w:val="84"/>
          <w:highlight w:val="none"/>
        </w:rPr>
      </w:pPr>
      <w:bookmarkStart w:id="490" w:name="_Toc142508362"/>
      <w:bookmarkStart w:id="491" w:name="_Toc1977721"/>
      <w:bookmarkStart w:id="492" w:name="_Toc94107202"/>
      <w:bookmarkStart w:id="493" w:name="_Toc104991868"/>
      <w:bookmarkStart w:id="494" w:name="_Toc533708121"/>
      <w:bookmarkStart w:id="495" w:name="_Toc102860067"/>
      <w:bookmarkStart w:id="496" w:name="_Toc140596921"/>
      <w:bookmarkStart w:id="497" w:name="_Toc102860411"/>
      <w:bookmarkStart w:id="498" w:name="_Toc486167709"/>
      <w:bookmarkStart w:id="499" w:name="_Toc21133_WPSOffice_Level2"/>
      <w:r>
        <w:rPr>
          <w:rFonts w:hint="eastAsia" w:ascii="宋体" w:hAnsi="宋体" w:eastAsia="宋体" w:cs="宋体"/>
          <w:b/>
          <w:color w:val="auto"/>
          <w:kern w:val="0"/>
          <w:sz w:val="32"/>
          <w:szCs w:val="32"/>
          <w:highlight w:val="none"/>
        </w:rPr>
        <w:br w:type="page"/>
      </w:r>
    </w:p>
    <w:p>
      <w:pPr>
        <w:pStyle w:val="19"/>
        <w:spacing w:line="360" w:lineRule="auto"/>
        <w:jc w:val="cente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0832-SFCX24DG032C</w:t>
      </w:r>
    </w:p>
    <w:p>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东莞市茶山镇污水处理厂改扩建项目第三方检测服务（不含桩基完整性检测）采购项目</w:t>
      </w:r>
    </w:p>
    <w:p>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0" w:type="pct"/>
            <w:vAlign w:val="center"/>
          </w:tcPr>
          <w:p>
            <w:pP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00" w:name="_Toc23782"/>
      <w:bookmarkStart w:id="501" w:name="_Toc29567"/>
      <w:bookmarkStart w:id="502" w:name="_Toc27679"/>
      <w:bookmarkStart w:id="503" w:name="_Toc13281"/>
      <w:r>
        <w:rPr>
          <w:rFonts w:hint="eastAsia" w:ascii="宋体" w:hAnsi="宋体" w:eastAsia="宋体" w:cs="宋体"/>
          <w:b/>
          <w:color w:val="auto"/>
          <w:kern w:val="0"/>
          <w:sz w:val="32"/>
          <w:szCs w:val="32"/>
          <w:highlight w:val="none"/>
        </w:rPr>
        <w:t>一、投标函格式</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04" w:name="_Toc16695_WPSOffice_Level3"/>
      <w:r>
        <w:rPr>
          <w:rFonts w:hint="eastAsia" w:ascii="宋体" w:hAnsi="宋体" w:eastAsia="宋体" w:cs="宋体"/>
          <w:b/>
          <w:bCs/>
          <w:color w:val="auto"/>
          <w:sz w:val="30"/>
          <w:szCs w:val="30"/>
          <w:highlight w:val="none"/>
          <w:lang w:val="zh-CN"/>
        </w:rPr>
        <w:t>投 标 函</w:t>
      </w:r>
      <w:bookmarkEnd w:id="504"/>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东莞市水务集团建设管理有限公司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东莞市茶山镇污水处理厂改扩建项目第三方检测服务（不含桩基完整性检测）采购项目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0832-SFCX24DG032C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0832-SFCX24DG032C</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05" w:name="_Toc142508363"/>
      <w:bookmarkStart w:id="506" w:name="_Toc104991869"/>
      <w:bookmarkStart w:id="507" w:name="_Toc1977722"/>
      <w:bookmarkStart w:id="508" w:name="_Toc533708122"/>
      <w:bookmarkStart w:id="509" w:name="_Toc3104"/>
      <w:bookmarkStart w:id="510" w:name="_Toc486167710"/>
      <w:bookmarkStart w:id="511" w:name="_Toc30995"/>
      <w:bookmarkStart w:id="512" w:name="_Toc102860412"/>
      <w:bookmarkStart w:id="513" w:name="_Toc94107203"/>
      <w:bookmarkStart w:id="514" w:name="_Toc4014"/>
      <w:bookmarkStart w:id="515" w:name="_Toc12417"/>
      <w:bookmarkStart w:id="516" w:name="_Toc140596922"/>
      <w:bookmarkStart w:id="517" w:name="_Toc28613_WPSOffice_Level2"/>
      <w:bookmarkStart w:id="518" w:name="_Toc102860068"/>
      <w:r>
        <w:rPr>
          <w:rFonts w:hint="eastAsia" w:ascii="宋体" w:hAnsi="宋体" w:eastAsia="宋体" w:cs="宋体"/>
          <w:b/>
          <w:color w:val="auto"/>
          <w:kern w:val="0"/>
          <w:sz w:val="32"/>
          <w:szCs w:val="32"/>
          <w:highlight w:val="none"/>
        </w:rPr>
        <w:t>二、投标承诺书格式</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东莞市茶山镇污水处理厂改扩建项目第三方检测服务（不含桩基完整性检测）采购项目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0832-SFCX24DG032C</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519" w:name="_Toc316896755"/>
      <w:bookmarkStart w:id="520" w:name="_Toc326768876"/>
      <w:bookmarkStart w:id="521" w:name="_Toc311032584"/>
    </w:p>
    <w:p>
      <w:pPr>
        <w:pStyle w:val="4"/>
        <w:pageBreakBefore/>
        <w:spacing w:line="360" w:lineRule="auto"/>
        <w:rPr>
          <w:rFonts w:hint="eastAsia" w:ascii="宋体" w:hAnsi="宋体" w:eastAsia="宋体" w:cs="宋体"/>
          <w:b/>
          <w:bCs/>
          <w:color w:val="auto"/>
          <w:kern w:val="2"/>
          <w:sz w:val="32"/>
          <w:szCs w:val="32"/>
          <w:highlight w:val="none"/>
          <w:lang w:val="zh-CN"/>
        </w:rPr>
      </w:pPr>
      <w:bookmarkStart w:id="522" w:name="_Toc18827"/>
      <w:bookmarkStart w:id="523" w:name="_Toc104991870"/>
      <w:bookmarkStart w:id="524" w:name="_Toc29910"/>
      <w:bookmarkStart w:id="525" w:name="_Toc94107204"/>
      <w:bookmarkStart w:id="526" w:name="_Toc24336"/>
      <w:bookmarkStart w:id="527" w:name="_Toc140596923"/>
      <w:bookmarkStart w:id="528" w:name="_Toc5075"/>
      <w:bookmarkStart w:id="529" w:name="_Toc142508364"/>
      <w:bookmarkStart w:id="530" w:name="_Toc82182546"/>
      <w:bookmarkStart w:id="531" w:name="_Toc86764083"/>
      <w:bookmarkStart w:id="532" w:name="_Toc102860413"/>
      <w:bookmarkStart w:id="533" w:name="_Toc102860069"/>
      <w:bookmarkStart w:id="534" w:name="_Toc7024_WPSOffice_Level2"/>
      <w:bookmarkStart w:id="535" w:name="_Toc533708123"/>
      <w:bookmarkStart w:id="536" w:name="_Toc486167711"/>
      <w:bookmarkStart w:id="537" w:name="_Toc1977723"/>
      <w:r>
        <w:rPr>
          <w:rFonts w:hint="eastAsia" w:ascii="宋体" w:hAnsi="宋体" w:eastAsia="宋体" w:cs="宋体"/>
          <w:b/>
          <w:color w:val="auto"/>
          <w:kern w:val="44"/>
          <w:sz w:val="32"/>
          <w:szCs w:val="32"/>
          <w:highlight w:val="none"/>
        </w:rPr>
        <w:t>三、</w:t>
      </w:r>
      <w:r>
        <w:rPr>
          <w:rFonts w:hint="eastAsia" w:ascii="宋体" w:hAnsi="宋体" w:eastAsia="宋体" w:cs="宋体"/>
          <w:b/>
          <w:bCs/>
          <w:color w:val="auto"/>
          <w:kern w:val="2"/>
          <w:sz w:val="32"/>
          <w:szCs w:val="32"/>
          <w:highlight w:val="none"/>
          <w:lang w:val="zh-CN"/>
        </w:rPr>
        <w:t>现场转换采购方式同意书</w:t>
      </w:r>
      <w:bookmarkEnd w:id="522"/>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致东莞市水务集团建设管理有限公司：</w:t>
      </w:r>
    </w:p>
    <w:p>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我方</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（投标人名称）为</w:t>
      </w:r>
      <w:r>
        <w:rPr>
          <w:rFonts w:hint="eastAsia" w:ascii="宋体" w:hAnsi="宋体" w:eastAsia="宋体" w:cs="宋体"/>
          <w:color w:val="auto"/>
          <w:sz w:val="21"/>
          <w:szCs w:val="21"/>
          <w:highlight w:val="none"/>
          <w:u w:val="single"/>
          <w:lang w:eastAsia="zh-CN"/>
        </w:rPr>
        <w:t>东莞市茶山镇污水处理厂改扩建项目第三方检测服务（不含桩基完整性检测）采购项目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lang w:eastAsia="zh-CN"/>
        </w:rPr>
        <w:t>0832-SFCX24DG032C</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highlight w:val="none"/>
          <w:lang w:val="zh-CN"/>
        </w:rPr>
        <w:t>的投标单位，本次招标采购过程中我方同意按下列方式继续参与采购。</w:t>
      </w:r>
    </w:p>
    <w:p>
      <w:pPr>
        <w:spacing w:line="360" w:lineRule="auto"/>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若</w:t>
      </w:r>
      <w:r>
        <w:rPr>
          <w:rFonts w:hint="eastAsia" w:ascii="宋体" w:hAnsi="宋体" w:eastAsia="宋体" w:cs="宋体"/>
          <w:color w:val="auto"/>
          <w:kern w:val="2"/>
          <w:sz w:val="21"/>
          <w:highlight w:val="none"/>
          <w:lang w:val="zh-CN"/>
        </w:rPr>
        <w:t>有效投标人只有2个时，我方同意本项目现场转为竞争性谈判方式继续实施采购，接受原公开招标文件的要求即为竞争性谈判采购文件的要求，接受原公开招标投标文件即为竞争性谈判响应文件。</w:t>
      </w:r>
    </w:p>
    <w:p>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（2）若有效投标人只有1个时，我方同意本项目现场转</w:t>
      </w:r>
      <w:r>
        <w:rPr>
          <w:rFonts w:hint="eastAsia" w:ascii="宋体" w:hAnsi="宋体" w:eastAsia="宋体" w:cs="宋体"/>
          <w:color w:val="auto"/>
          <w:kern w:val="2"/>
          <w:sz w:val="21"/>
          <w:highlight w:val="none"/>
        </w:rPr>
        <w:t>为</w:t>
      </w:r>
      <w:r>
        <w:rPr>
          <w:rFonts w:hint="eastAsia" w:ascii="宋体" w:hAnsi="宋体" w:eastAsia="宋体" w:cs="宋体"/>
          <w:color w:val="auto"/>
          <w:kern w:val="2"/>
          <w:sz w:val="21"/>
          <w:highlight w:val="none"/>
          <w:lang w:val="zh-CN"/>
        </w:rPr>
        <w:t>单一来源的方式继续实施采购。接受原公开招标文件的要求即为单一来源采购文件的要求，接受原公开招标投标文件即为单一来源响应文件。</w:t>
      </w:r>
    </w:p>
    <w:p>
      <w:pPr>
        <w:spacing w:line="360" w:lineRule="auto"/>
        <w:ind w:firstLine="5040"/>
        <w:jc w:val="both"/>
        <w:rPr>
          <w:rFonts w:hint="eastAsia" w:ascii="宋体" w:hAnsi="宋体" w:eastAsia="宋体" w:cs="宋体"/>
          <w:color w:val="auto"/>
          <w:kern w:val="2"/>
          <w:sz w:val="21"/>
          <w:highlight w:val="none"/>
          <w:lang w:val="zh-CN"/>
        </w:rPr>
      </w:pPr>
    </w:p>
    <w:p>
      <w:pPr>
        <w:spacing w:line="360" w:lineRule="auto"/>
        <w:ind w:firstLine="5040"/>
        <w:jc w:val="both"/>
        <w:rPr>
          <w:rFonts w:hint="eastAsia" w:ascii="宋体" w:hAnsi="宋体" w:eastAsia="宋体" w:cs="宋体"/>
          <w:color w:val="auto"/>
          <w:kern w:val="2"/>
          <w:sz w:val="21"/>
          <w:highlight w:val="none"/>
          <w:lang w:val="zh-CN"/>
        </w:rPr>
      </w:pPr>
    </w:p>
    <w:p>
      <w:pPr>
        <w:spacing w:line="360" w:lineRule="auto"/>
        <w:ind w:firstLine="504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投标人：（加盖投标人法人公章）</w:t>
      </w:r>
    </w:p>
    <w:p>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pPr>
        <w:spacing w:line="360" w:lineRule="auto"/>
        <w:ind w:firstLine="5040"/>
        <w:jc w:val="both"/>
        <w:rPr>
          <w:rFonts w:hint="eastAsia" w:ascii="宋体" w:hAnsi="宋体" w:eastAsia="宋体" w:cs="宋体"/>
          <w:b/>
          <w:color w:val="auto"/>
          <w:kern w:val="44"/>
          <w:sz w:val="32"/>
          <w:szCs w:val="32"/>
          <w:highlight w:val="none"/>
        </w:rPr>
      </w:pPr>
      <w:r>
        <w:rPr>
          <w:rFonts w:hint="eastAsia" w:ascii="宋体" w:hAnsi="宋体" w:eastAsia="宋体" w:cs="宋体"/>
          <w:color w:val="auto"/>
          <w:kern w:val="2"/>
          <w:sz w:val="21"/>
          <w:highlight w:val="none"/>
          <w:lang w:val="zh-CN"/>
        </w:rPr>
        <w:t>日期：   年   月   日</w:t>
      </w:r>
    </w:p>
    <w:p>
      <w:pP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br w:type="page"/>
      </w:r>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38" w:name="_Toc15014"/>
      <w:r>
        <w:rPr>
          <w:rFonts w:hint="eastAsia" w:ascii="宋体" w:hAnsi="宋体" w:eastAsia="宋体" w:cs="宋体"/>
          <w:b/>
          <w:color w:val="auto"/>
          <w:kern w:val="44"/>
          <w:sz w:val="32"/>
          <w:szCs w:val="32"/>
          <w:highlight w:val="none"/>
          <w:lang w:val="en-US" w:eastAsia="zh-CN"/>
        </w:rPr>
        <w:t>四、</w:t>
      </w:r>
      <w:r>
        <w:rPr>
          <w:rFonts w:hint="eastAsia" w:ascii="宋体" w:hAnsi="宋体" w:eastAsia="宋体" w:cs="宋体"/>
          <w:b/>
          <w:color w:val="auto"/>
          <w:kern w:val="44"/>
          <w:sz w:val="32"/>
          <w:szCs w:val="32"/>
          <w:highlight w:val="none"/>
        </w:rPr>
        <w:t>供货及/或提供服务过程承诺函格式</w:t>
      </w:r>
      <w:bookmarkEnd w:id="523"/>
      <w:bookmarkEnd w:id="524"/>
      <w:bookmarkEnd w:id="525"/>
      <w:bookmarkEnd w:id="526"/>
      <w:bookmarkEnd w:id="527"/>
      <w:bookmarkEnd w:id="528"/>
      <w:bookmarkEnd w:id="529"/>
      <w:bookmarkEnd w:id="530"/>
      <w:bookmarkEnd w:id="531"/>
      <w:bookmarkEnd w:id="532"/>
      <w:bookmarkEnd w:id="533"/>
      <w:bookmarkEnd w:id="538"/>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东莞市水务集团建设管理有限公司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东莞市茶山镇污水处理厂改扩建项目第三方检测服务（不含桩基完整性检测）采购项目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0832-SFCX24DG032C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539" w:name="_Toc28015"/>
      <w:bookmarkStart w:id="540" w:name="_Toc102860415"/>
      <w:bookmarkStart w:id="541" w:name="_Toc140596925"/>
      <w:bookmarkStart w:id="542" w:name="_Toc104991872"/>
      <w:bookmarkStart w:id="543" w:name="_Toc13416"/>
      <w:bookmarkStart w:id="544" w:name="_Toc102860071"/>
      <w:bookmarkStart w:id="545" w:name="_Toc142508366"/>
      <w:bookmarkStart w:id="546" w:name="_Toc18346"/>
      <w:bookmarkStart w:id="547" w:name="_Toc1140"/>
      <w:bookmarkStart w:id="548" w:name="_Toc94107206"/>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534"/>
      <w:bookmarkEnd w:id="535"/>
      <w:bookmarkEnd w:id="536"/>
      <w:bookmarkEnd w:id="537"/>
      <w:bookmarkEnd w:id="539"/>
      <w:bookmarkEnd w:id="540"/>
      <w:bookmarkEnd w:id="541"/>
      <w:bookmarkEnd w:id="542"/>
      <w:bookmarkEnd w:id="543"/>
      <w:bookmarkEnd w:id="544"/>
      <w:bookmarkEnd w:id="545"/>
      <w:bookmarkEnd w:id="546"/>
      <w:bookmarkEnd w:id="547"/>
      <w:bookmarkEnd w:id="548"/>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东莞市茶山镇污水处理厂改扩建项目第三方检测服务（不含桩基完整性检测）采购项目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0832-SFCX24DG032C</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rPr>
              <w:t>检测服务系数</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东莞市茶山镇污水处理厂改扩建项目第三方检测服务（不含桩基完整性检测）采购项目</w:t>
            </w:r>
          </w:p>
        </w:tc>
        <w:tc>
          <w:tcPr>
            <w:tcW w:w="1578"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lang w:val="zh-CN" w:eastAsia="zh-CN" w:bidi="ar-SA"/>
        </w:rPr>
        <w:t>（1）</w:t>
      </w:r>
      <w:r>
        <w:rPr>
          <w:rFonts w:hint="eastAsia" w:ascii="宋体" w:hAnsi="宋体" w:eastAsia="宋体" w:cs="宋体"/>
          <w:color w:val="auto"/>
          <w:szCs w:val="21"/>
          <w:lang w:val="zh-CN"/>
        </w:rPr>
        <w:t>本项目的投标报价采用检测服务系数报价，合同履约过程中，工程量清单计价表中检测项目</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不含税综合单价按以下方式计算：</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不含税综合单价=不含税综合单价×</w:t>
      </w:r>
      <w:r>
        <w:rPr>
          <w:rFonts w:hint="eastAsia" w:ascii="宋体" w:hAnsi="宋体" w:eastAsia="宋体" w:cs="宋体"/>
          <w:color w:val="auto"/>
          <w:szCs w:val="21"/>
          <w:lang w:val="en-US" w:eastAsia="zh-CN"/>
        </w:rPr>
        <w:t>中标</w:t>
      </w:r>
      <w:r>
        <w:rPr>
          <w:rFonts w:hint="eastAsia" w:ascii="宋体" w:hAnsi="宋体" w:eastAsia="宋体" w:cs="宋体"/>
          <w:color w:val="auto"/>
          <w:szCs w:val="21"/>
          <w:lang w:val="zh-CN"/>
        </w:rPr>
        <w:t>检测服务系数，以实际工作量进行结算，</w:t>
      </w:r>
      <w:r>
        <w:rPr>
          <w:rFonts w:hint="eastAsia" w:ascii="宋体" w:hAnsi="宋体" w:eastAsia="宋体" w:cs="宋体"/>
          <w:color w:val="auto"/>
          <w:szCs w:val="21"/>
          <w:lang w:val="en-US" w:eastAsia="zh-CN"/>
        </w:rPr>
        <w:t>结算</w:t>
      </w:r>
      <w:r>
        <w:rPr>
          <w:rFonts w:hint="eastAsia" w:ascii="宋体" w:hAnsi="宋体" w:eastAsia="宋体" w:cs="宋体"/>
          <w:color w:val="auto"/>
          <w:szCs w:val="21"/>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rPr>
        <w:t>暂定总合同价</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lang w:val="zh-CN"/>
        </w:rPr>
        <w:t>项目业主</w:t>
      </w:r>
      <w:r>
        <w:rPr>
          <w:rFonts w:hint="eastAsia" w:ascii="宋体" w:hAnsi="宋体" w:eastAsia="宋体" w:cs="Times New Roman"/>
          <w:color w:val="auto"/>
          <w:szCs w:val="21"/>
          <w:highlight w:val="none"/>
          <w:lang w:val="zh-CN"/>
        </w:rPr>
        <w:t>承担，不计入投标报价。</w:t>
      </w:r>
    </w:p>
    <w:p>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b/>
          <w:bCs/>
          <w:color w:val="auto"/>
          <w:kern w:val="0"/>
          <w:szCs w:val="21"/>
        </w:rPr>
      </w:pPr>
      <w:r>
        <w:rPr>
          <w:rFonts w:ascii="宋体" w:hAnsi="宋体" w:eastAsia="宋体" w:cs="Times New Roman"/>
          <w:b/>
          <w:bCs/>
          <w:color w:val="auto"/>
          <w:kern w:val="0"/>
          <w:sz w:val="21"/>
          <w:szCs w:val="21"/>
          <w:lang w:val="en-US" w:eastAsia="zh-CN" w:bidi="ar-SA"/>
        </w:rPr>
        <w:t>（2）</w:t>
      </w:r>
      <w:r>
        <w:rPr>
          <w:rFonts w:hint="eastAsia" w:ascii="宋体" w:hAnsi="宋体" w:eastAsia="宋体" w:cs="Times New Roman"/>
          <w:b/>
          <w:bCs/>
          <w:color w:val="auto"/>
          <w:szCs w:val="21"/>
          <w:u w:val="single"/>
        </w:rPr>
        <w:t>投标人</w:t>
      </w:r>
      <w:r>
        <w:rPr>
          <w:rFonts w:hint="eastAsia" w:ascii="宋体" w:hAnsi="宋体" w:eastAsia="宋体" w:cs="Times New Roman"/>
          <w:b/>
          <w:bCs/>
          <w:color w:val="auto"/>
          <w:szCs w:val="21"/>
          <w:u w:val="single"/>
          <w:lang w:val="en-US" w:eastAsia="zh-CN"/>
        </w:rPr>
        <w:t>检测</w:t>
      </w:r>
      <w:r>
        <w:rPr>
          <w:rFonts w:hint="eastAsia" w:ascii="宋体" w:hAnsi="宋体" w:eastAsia="宋体" w:cs="Times New Roman"/>
          <w:b/>
          <w:bCs/>
          <w:color w:val="auto"/>
          <w:szCs w:val="21"/>
          <w:u w:val="single"/>
        </w:rPr>
        <w:t>服务系数报价</w:t>
      </w:r>
      <w:r>
        <w:rPr>
          <w:rFonts w:hint="eastAsia" w:ascii="宋体" w:hAnsi="宋体" w:eastAsia="宋体" w:cs="Times New Roman"/>
          <w:b/>
          <w:bCs/>
          <w:color w:val="auto"/>
          <w:szCs w:val="21"/>
          <w:u w:val="single"/>
          <w:lang w:val="en-US" w:eastAsia="zh-CN"/>
        </w:rPr>
        <w:t>不得超过0.80</w:t>
      </w:r>
      <w:r>
        <w:rPr>
          <w:rFonts w:hint="eastAsia" w:ascii="宋体" w:hAnsi="宋体" w:eastAsia="宋体" w:cs="Times New Roman"/>
          <w:b/>
          <w:bCs/>
          <w:color w:val="auto"/>
          <w:szCs w:val="21"/>
          <w:u w:val="single"/>
        </w:rPr>
        <w:t>（保留小数点后2位）</w:t>
      </w:r>
      <w:r>
        <w:rPr>
          <w:rFonts w:hint="eastAsia" w:ascii="宋体" w:hAnsi="宋体" w:eastAsia="宋体" w:cs="Times New Roman"/>
          <w:b/>
          <w:bCs/>
          <w:color w:val="auto"/>
          <w:szCs w:val="21"/>
          <w:u w:val="single"/>
          <w:lang w:eastAsia="zh-CN"/>
        </w:rPr>
        <w:t>，</w:t>
      </w:r>
      <w:r>
        <w:rPr>
          <w:rFonts w:hint="eastAsia" w:ascii="宋体" w:hAnsi="宋体" w:eastAsia="宋体" w:cs="Times New Roman"/>
          <w:b/>
          <w:bCs/>
          <w:color w:val="auto"/>
          <w:szCs w:val="21"/>
          <w:u w:val="single"/>
        </w:rPr>
        <w:t>且不能为</w:t>
      </w:r>
      <w:r>
        <w:rPr>
          <w:rFonts w:hint="eastAsia" w:ascii="宋体" w:hAnsi="宋体" w:eastAsia="宋体" w:cs="Times New Roman"/>
          <w:b/>
          <w:bCs/>
          <w:color w:val="auto"/>
          <w:szCs w:val="21"/>
          <w:u w:val="single"/>
          <w:lang w:val="en-US" w:eastAsia="zh-CN"/>
        </w:rPr>
        <w:t>0.00或</w:t>
      </w:r>
      <w:r>
        <w:rPr>
          <w:rFonts w:hint="eastAsia" w:ascii="宋体" w:hAnsi="宋体" w:eastAsia="宋体" w:cs="Times New Roman"/>
          <w:b/>
          <w:bCs/>
          <w:color w:val="auto"/>
          <w:szCs w:val="21"/>
          <w:u w:val="single"/>
        </w:rPr>
        <w:t>负数，投标人未按招标文件要求进行检测服务系数报价的，将被视为无效投标</w:t>
      </w:r>
      <w:r>
        <w:rPr>
          <w:rFonts w:hint="eastAsia" w:ascii="宋体" w:hAnsi="宋体" w:eastAsia="宋体" w:cs="Times New Roman"/>
          <w:b/>
          <w:bCs/>
          <w:color w:val="auto"/>
          <w:kern w:val="0"/>
          <w:szCs w:val="21"/>
        </w:rPr>
        <w:t>。</w:t>
      </w:r>
    </w:p>
    <w:p>
      <w:pPr>
        <w:numPr>
          <w:ilvl w:val="0"/>
          <w:numId w:val="0"/>
        </w:numPr>
        <w:autoSpaceDE w:val="0"/>
        <w:autoSpaceDN w:val="0"/>
        <w:adjustRightInd w:val="0"/>
        <w:spacing w:line="360" w:lineRule="auto"/>
        <w:ind w:left="357" w:leftChars="-100" w:hanging="567" w:firstLineChars="0"/>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autoSpaceDE w:val="0"/>
        <w:autoSpaceDN w:val="0"/>
        <w:adjustRightInd w:val="0"/>
        <w:spacing w:line="360" w:lineRule="auto"/>
        <w:ind w:right="275" w:rightChars="131"/>
        <w:jc w:val="both"/>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549" w:name="_Toc102860418"/>
      <w:bookmarkStart w:id="550" w:name="_Toc140596928"/>
      <w:bookmarkStart w:id="551" w:name="_Toc102860074"/>
      <w:bookmarkStart w:id="552" w:name="_Toc104991875"/>
      <w:bookmarkStart w:id="553" w:name="_Toc6190"/>
      <w:bookmarkStart w:id="554" w:name="_Toc142508369"/>
      <w:bookmarkStart w:id="555" w:name="_Toc23083"/>
      <w:bookmarkStart w:id="556" w:name="_Toc26516"/>
      <w:bookmarkStart w:id="557" w:name="_Toc94107209"/>
      <w:bookmarkStart w:id="558" w:name="_Toc1977725"/>
      <w:bookmarkStart w:id="559" w:name="_Toc533708124"/>
      <w:bookmarkStart w:id="560" w:name="_Toc486167712"/>
      <w:bookmarkStart w:id="561" w:name="_Toc20759_WPSOffice_Level2"/>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、投标人资格证明文件</w:t>
      </w:r>
      <w:bookmarkEnd w:id="549"/>
      <w:bookmarkEnd w:id="550"/>
      <w:bookmarkEnd w:id="551"/>
      <w:bookmarkEnd w:id="552"/>
      <w:bookmarkEnd w:id="553"/>
      <w:bookmarkEnd w:id="554"/>
      <w:bookmarkEnd w:id="555"/>
      <w:bookmarkEnd w:id="556"/>
      <w:bookmarkEnd w:id="557"/>
      <w:bookmarkEnd w:id="558"/>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62" w:name="_Toc17358"/>
      <w:bookmarkStart w:id="563" w:name="_Toc102860419"/>
      <w:bookmarkStart w:id="564" w:name="_Toc23612"/>
      <w:bookmarkStart w:id="565" w:name="_Toc140596929"/>
      <w:bookmarkStart w:id="566" w:name="_Toc104991876"/>
      <w:bookmarkStart w:id="567" w:name="_Toc29874"/>
      <w:bookmarkStart w:id="568" w:name="_Toc94107210"/>
      <w:bookmarkStart w:id="569" w:name="_Toc142508370"/>
      <w:bookmarkStart w:id="570" w:name="_Toc25267"/>
      <w:bookmarkStart w:id="571" w:name="_Toc102860075"/>
      <w:bookmarkStart w:id="572"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562"/>
      <w:bookmarkEnd w:id="563"/>
      <w:bookmarkEnd w:id="564"/>
      <w:bookmarkEnd w:id="565"/>
      <w:bookmarkEnd w:id="566"/>
      <w:bookmarkEnd w:id="567"/>
      <w:bookmarkEnd w:id="568"/>
      <w:bookmarkEnd w:id="569"/>
      <w:bookmarkEnd w:id="570"/>
      <w:bookmarkEnd w:id="571"/>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73" w:name="_Toc27861"/>
      <w:bookmarkStart w:id="574" w:name="_Toc142508371"/>
      <w:bookmarkStart w:id="575" w:name="_Toc102860420"/>
      <w:bookmarkStart w:id="576" w:name="_Toc104991877"/>
      <w:bookmarkStart w:id="577" w:name="_Toc94107211"/>
      <w:bookmarkStart w:id="578" w:name="_Toc102860076"/>
      <w:bookmarkStart w:id="579" w:name="_Toc25013"/>
      <w:bookmarkStart w:id="580" w:name="_Toc140596930"/>
      <w:bookmarkStart w:id="581" w:name="_Toc28170"/>
      <w:bookmarkStart w:id="582" w:name="_Toc775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73"/>
      <w:bookmarkEnd w:id="574"/>
      <w:bookmarkEnd w:id="575"/>
      <w:bookmarkEnd w:id="576"/>
      <w:bookmarkEnd w:id="577"/>
      <w:bookmarkEnd w:id="578"/>
      <w:bookmarkEnd w:id="579"/>
      <w:bookmarkEnd w:id="580"/>
      <w:bookmarkEnd w:id="581"/>
      <w:bookmarkEnd w:id="582"/>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83" w:name="_Toc102860421"/>
      <w:bookmarkStart w:id="584" w:name="_Toc17499"/>
      <w:bookmarkStart w:id="585" w:name="_Toc102860077"/>
      <w:bookmarkStart w:id="586" w:name="_Toc7441"/>
      <w:bookmarkStart w:id="587" w:name="_Toc140596931"/>
      <w:bookmarkStart w:id="588" w:name="_Toc9132"/>
      <w:bookmarkStart w:id="589" w:name="_Toc94107212"/>
      <w:bookmarkStart w:id="590" w:name="_Toc104991878"/>
      <w:bookmarkStart w:id="591" w:name="_Toc142508372"/>
      <w:bookmarkStart w:id="592" w:name="_Toc753"/>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83"/>
      <w:bookmarkEnd w:id="584"/>
      <w:bookmarkEnd w:id="585"/>
      <w:bookmarkEnd w:id="586"/>
      <w:bookmarkEnd w:id="587"/>
      <w:bookmarkEnd w:id="588"/>
      <w:bookmarkEnd w:id="589"/>
      <w:bookmarkEnd w:id="590"/>
      <w:bookmarkEnd w:id="591"/>
      <w:bookmarkEnd w:id="592"/>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59"/>
      <w:bookmarkEnd w:id="560"/>
      <w:bookmarkEnd w:id="561"/>
      <w:bookmarkEnd w:id="572"/>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593" w:name="_Toc11033_WPSOffice_Level3"/>
      <w:r>
        <w:rPr>
          <w:rFonts w:hint="eastAsia" w:ascii="宋体" w:hAnsi="宋体" w:eastAsia="宋体" w:cs="宋体"/>
          <w:b/>
          <w:color w:val="auto"/>
          <w:sz w:val="30"/>
          <w:szCs w:val="30"/>
          <w:highlight w:val="none"/>
        </w:rPr>
        <w:t>法定代</w:t>
      </w:r>
      <w:bookmarkStart w:id="594" w:name="_Toc45995270"/>
      <w:bookmarkStart w:id="595" w:name="_Toc36971359"/>
      <w:r>
        <w:rPr>
          <w:rFonts w:hint="eastAsia" w:ascii="宋体" w:hAnsi="宋体" w:eastAsia="宋体" w:cs="宋体"/>
          <w:b/>
          <w:color w:val="auto"/>
          <w:sz w:val="30"/>
          <w:szCs w:val="30"/>
          <w:highlight w:val="none"/>
        </w:rPr>
        <w:t>表人身份证明书</w:t>
      </w:r>
      <w:bookmarkEnd w:id="593"/>
    </w:p>
    <w:bookmarkEnd w:id="594"/>
    <w:bookmarkEnd w:id="595"/>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19"/>
      <w:bookmarkEnd w:id="520"/>
      <w:bookmarkEnd w:id="521"/>
      <w:bookmarkStart w:id="596" w:name="_Toc533708125"/>
      <w:bookmarkStart w:id="597" w:name="_Toc486167713"/>
      <w:bookmarkStart w:id="598" w:name="_Toc1977727"/>
      <w:bookmarkStart w:id="599" w:name="_Toc6240_WPSOffice_Level2"/>
      <w:r>
        <w:rPr>
          <w:rFonts w:hint="eastAsia" w:ascii="宋体" w:hAnsi="宋体" w:eastAsia="宋体" w:cs="宋体"/>
          <w:b/>
          <w:color w:val="auto"/>
          <w:szCs w:val="24"/>
          <w:highlight w:val="none"/>
        </w:rPr>
        <w:t>（2）法定代表人授权书格式</w:t>
      </w:r>
      <w:bookmarkEnd w:id="596"/>
      <w:bookmarkEnd w:id="597"/>
      <w:bookmarkEnd w:id="598"/>
      <w:bookmarkEnd w:id="599"/>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00" w:name="_Toc29146_WPSOffice_Level3"/>
      <w:r>
        <w:rPr>
          <w:rFonts w:hint="eastAsia" w:ascii="宋体" w:hAnsi="宋体" w:eastAsia="宋体" w:cs="宋体"/>
          <w:b/>
          <w:bCs/>
          <w:color w:val="auto"/>
          <w:sz w:val="30"/>
          <w:szCs w:val="30"/>
          <w:highlight w:val="none"/>
          <w:lang w:val="zh-CN"/>
        </w:rPr>
        <w:t>法定代表人授权书</w:t>
      </w:r>
      <w:bookmarkEnd w:id="600"/>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致：东莞市水务集团建设管理有限公司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东莞市茶山镇污水处理厂改扩建项目第三方检测服务（不含桩基完整性检测）采购项目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0832-SFCX24DG032C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4"/>
        <w:pageBreakBefore/>
        <w:spacing w:line="360" w:lineRule="auto"/>
        <w:rPr>
          <w:rFonts w:hAnsi="宋体"/>
          <w:b/>
          <w:color w:val="auto"/>
          <w:sz w:val="30"/>
          <w:szCs w:val="30"/>
          <w:highlight w:val="none"/>
          <w:lang w:val="zh-CN"/>
        </w:rPr>
      </w:pPr>
      <w:bookmarkStart w:id="601" w:name="_Toc30324"/>
      <w:bookmarkStart w:id="602" w:name="_Toc15716"/>
      <w:bookmarkStart w:id="603" w:name="_Toc32328"/>
      <w:bookmarkStart w:id="604" w:name="_Toc12400"/>
      <w:bookmarkStart w:id="605" w:name="_Toc142508373"/>
      <w:bookmarkStart w:id="606" w:name="_Toc1977730"/>
      <w:bookmarkStart w:id="607" w:name="_Toc104991880"/>
      <w:bookmarkStart w:id="608" w:name="_Toc94107214"/>
      <w:bookmarkStart w:id="609" w:name="_Toc140596933"/>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复印件</w:t>
      </w:r>
      <w:bookmarkEnd w:id="601"/>
    </w:p>
    <w:p>
      <w:pPr>
        <w:rPr>
          <w:rFonts w:hint="eastAsia" w:hAnsi="宋体" w:cs="宋体"/>
          <w:b/>
          <w:color w:val="auto"/>
          <w:kern w:val="0"/>
          <w:sz w:val="30"/>
          <w:szCs w:val="30"/>
          <w:highlight w:val="none"/>
          <w:lang w:val="en-US" w:eastAsia="zh-CN"/>
        </w:rPr>
      </w:pPr>
      <w:r>
        <w:rPr>
          <w:rFonts w:hint="eastAsia" w:hAnsi="宋体" w:cs="宋体"/>
          <w:b/>
          <w:color w:val="auto"/>
          <w:kern w:val="0"/>
          <w:sz w:val="30"/>
          <w:szCs w:val="30"/>
          <w:highlight w:val="none"/>
          <w:lang w:val="en-US" w:eastAsia="zh-CN"/>
        </w:rPr>
        <w:br w:type="page"/>
      </w:r>
    </w:p>
    <w:p>
      <w:pPr>
        <w:pStyle w:val="4"/>
        <w:pageBreakBefore/>
        <w:spacing w:line="360" w:lineRule="auto"/>
        <w:rPr>
          <w:rFonts w:hint="default" w:hAnsi="宋体" w:eastAsia="宋体"/>
          <w:b/>
          <w:color w:val="auto"/>
          <w:sz w:val="30"/>
          <w:szCs w:val="30"/>
          <w:highlight w:val="none"/>
          <w:lang w:val="en-US" w:eastAsia="zh-CN"/>
        </w:rPr>
      </w:pPr>
      <w:bookmarkStart w:id="610" w:name="_Toc4530"/>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02"/>
      <w:bookmarkEnd w:id="603"/>
      <w:bookmarkEnd w:id="604"/>
      <w:r>
        <w:rPr>
          <w:rFonts w:hint="eastAsia" w:ascii="宋体" w:hAnsi="宋体" w:eastAsia="宋体"/>
          <w:b/>
          <w:bCs/>
          <w:color w:val="auto"/>
          <w:sz w:val="32"/>
          <w:szCs w:val="32"/>
          <w:highlight w:val="none"/>
        </w:rPr>
        <w:t>投标人2021年1月1日以来具有一项市政工程检测业绩（合同签订日期为2021年1月1日或以后</w:t>
      </w:r>
      <w:r>
        <w:rPr>
          <w:rFonts w:hint="eastAsia" w:hAnsi="宋体"/>
          <w:b/>
          <w:bCs/>
          <w:color w:val="auto"/>
          <w:sz w:val="32"/>
          <w:szCs w:val="32"/>
          <w:highlight w:val="none"/>
          <w:lang w:val="en-US" w:eastAsia="zh-CN"/>
        </w:rPr>
        <w:t>)】</w:t>
      </w:r>
      <w:bookmarkEnd w:id="610"/>
    </w:p>
    <w:p>
      <w:pPr>
        <w:spacing w:line="360" w:lineRule="auto"/>
        <w:rPr>
          <w:rFonts w:hint="eastAsia" w:ascii="宋体" w:hAnsi="宋体" w:eastAsia="宋体" w:cs="宋体"/>
          <w:b/>
          <w:color w:val="auto"/>
          <w:szCs w:val="21"/>
          <w:highlight w:val="none"/>
          <w:lang w:val="zh-CN"/>
        </w:rPr>
      </w:pP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5"/>
        <w:gridCol w:w="1051"/>
        <w:gridCol w:w="1052"/>
        <w:gridCol w:w="1052"/>
        <w:gridCol w:w="1224"/>
        <w:gridCol w:w="1052"/>
        <w:gridCol w:w="1053"/>
        <w:gridCol w:w="105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67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5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7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670"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top"/>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473"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670"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top"/>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473"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670"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top"/>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473"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75"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670"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top"/>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576" w:type="pct"/>
            <w:noWrap w:val="0"/>
            <w:vAlign w:val="center"/>
          </w:tcPr>
          <w:p>
            <w:pPr>
              <w:jc w:val="center"/>
              <w:rPr>
                <w:rFonts w:hint="eastAsia" w:ascii="宋体" w:hAnsi="宋体" w:eastAsia="宋体" w:cs="宋体"/>
                <w:color w:val="auto"/>
                <w:sz w:val="21"/>
                <w:szCs w:val="21"/>
                <w:highlight w:val="none"/>
              </w:rPr>
            </w:pPr>
          </w:p>
        </w:tc>
        <w:tc>
          <w:tcPr>
            <w:tcW w:w="473" w:type="pct"/>
            <w:noWrap w:val="0"/>
            <w:vAlign w:val="center"/>
          </w:tcPr>
          <w:p>
            <w:pPr>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val="0"/>
          <w:bCs w:val="0"/>
          <w:color w:val="auto"/>
          <w:szCs w:val="21"/>
        </w:rPr>
        <w:t>业绩须附合同复印件加盖投标人公章</w:t>
      </w:r>
      <w:r>
        <w:rPr>
          <w:rFonts w:hint="eastAsia" w:ascii="宋体" w:hAnsi="宋体" w:eastAsia="宋体" w:cs="宋体"/>
          <w:b w:val="0"/>
          <w:bCs w:val="0"/>
          <w:color w:val="auto"/>
          <w:szCs w:val="21"/>
          <w:highlight w:val="none"/>
          <w:lang w:val="zh-CN"/>
        </w:rPr>
        <w:t>。</w:t>
      </w:r>
    </w:p>
    <w:p>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w:t>
      </w:r>
      <w:r>
        <w:rPr>
          <w:rFonts w:hint="eastAsia" w:ascii="宋体" w:hAnsi="宋体" w:eastAsia="宋体" w:cs="宋体"/>
          <w:b w:val="0"/>
          <w:bCs w:val="0"/>
          <w:color w:val="auto"/>
          <w:szCs w:val="21"/>
        </w:rPr>
        <w:t>合同业绩证明材料必须能反映资格业绩条件</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合同签订日期为</w:t>
      </w:r>
      <w:r>
        <w:rPr>
          <w:rFonts w:hint="eastAsia" w:ascii="宋体" w:hAnsi="宋体" w:eastAsia="宋体" w:cs="宋体"/>
          <w:b w:val="0"/>
          <w:bCs w:val="0"/>
          <w:color w:val="auto"/>
          <w:szCs w:val="21"/>
          <w:lang w:val="en-US" w:eastAsia="zh-CN"/>
        </w:rPr>
        <w:t>2021</w:t>
      </w:r>
      <w:r>
        <w:rPr>
          <w:rFonts w:hint="eastAsia" w:ascii="宋体" w:hAnsi="宋体" w:eastAsia="宋体" w:cs="宋体"/>
          <w:b w:val="0"/>
          <w:bCs w:val="0"/>
          <w:color w:val="auto"/>
          <w:szCs w:val="21"/>
        </w:rPr>
        <w:t>年1月1日或以后，业绩类型为市政工程检测</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highlight w:val="none"/>
          <w:lang w:val="zh-CN"/>
        </w:rPr>
        <w:t>。</w:t>
      </w: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1" w:name="_Toc24862"/>
      <w:bookmarkStart w:id="612" w:name="_Toc20010"/>
      <w:bookmarkStart w:id="613" w:name="_Toc12931"/>
      <w:bookmarkStart w:id="614" w:name="_Toc31060"/>
      <w:r>
        <w:rPr>
          <w:rFonts w:hint="eastAsia" w:ascii="宋体" w:hAnsi="宋体" w:eastAsia="宋体" w:cs="宋体"/>
          <w:b/>
          <w:color w:val="auto"/>
          <w:szCs w:val="21"/>
          <w:highlight w:val="none"/>
          <w:lang w:val="zh-CN"/>
        </w:rPr>
        <w:t>（3）</w:t>
      </w:r>
      <w:bookmarkEnd w:id="611"/>
      <w:bookmarkEnd w:id="612"/>
      <w:bookmarkEnd w:id="613"/>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14"/>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15" w:name="_Toc8121"/>
      <w:bookmarkStart w:id="616" w:name="_Toc7508"/>
      <w:bookmarkStart w:id="617" w:name="_Toc1613"/>
      <w:bookmarkStart w:id="618" w:name="_Toc21843"/>
      <w:r>
        <w:rPr>
          <w:rFonts w:hint="eastAsia" w:ascii="宋体" w:hAnsi="宋体" w:eastAsia="宋体" w:cs="宋体"/>
          <w:b/>
          <w:color w:val="auto"/>
          <w:kern w:val="0"/>
          <w:sz w:val="30"/>
          <w:szCs w:val="30"/>
          <w:highlight w:val="none"/>
          <w:lang w:val="en-US" w:eastAsia="zh-CN"/>
        </w:rPr>
        <w:t xml:space="preserve">6.6 </w:t>
      </w:r>
      <w:r>
        <w:rPr>
          <w:rFonts w:hint="eastAsia" w:ascii="宋体" w:hAnsi="宋体" w:eastAsia="宋体" w:cs="宋体"/>
          <w:b/>
          <w:color w:val="auto"/>
          <w:kern w:val="0"/>
          <w:sz w:val="30"/>
          <w:szCs w:val="30"/>
          <w:highlight w:val="none"/>
        </w:rPr>
        <w:t>最近3年投标人牵涉的其他（失信和违法）处罚说明格式</w:t>
      </w:r>
      <w:bookmarkEnd w:id="605"/>
      <w:bookmarkEnd w:id="606"/>
      <w:bookmarkEnd w:id="607"/>
      <w:bookmarkEnd w:id="608"/>
      <w:bookmarkEnd w:id="609"/>
      <w:bookmarkEnd w:id="615"/>
      <w:bookmarkEnd w:id="616"/>
      <w:bookmarkEnd w:id="617"/>
      <w:bookmarkEnd w:id="618"/>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bookmarkStart w:id="619" w:name="_Toc2031_WPSOffice_Level2"/>
      <w:bookmarkStart w:id="620" w:name="_Toc104991881"/>
      <w:bookmarkStart w:id="621" w:name="_Toc102860423"/>
      <w:bookmarkStart w:id="622" w:name="_Toc94107215"/>
      <w:bookmarkStart w:id="623" w:name="_Toc30939"/>
      <w:bookmarkStart w:id="624" w:name="_Toc102860079"/>
      <w:bookmarkStart w:id="625" w:name="_Toc1977731"/>
      <w:bookmarkStart w:id="626" w:name="_Toc486167714"/>
      <w:bookmarkStart w:id="627" w:name="_Toc533708126"/>
      <w:bookmarkStart w:id="628" w:name="_Toc6412"/>
      <w:bookmarkStart w:id="629" w:name="_Toc142508374"/>
      <w:bookmarkStart w:id="630" w:name="_Toc140596934"/>
      <w:r>
        <w:rPr>
          <w:rFonts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31" w:name="_Toc17508"/>
      <w:bookmarkStart w:id="632" w:name="_Toc1016"/>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633" w:name="_Toc2773_WPSOffice_Level3"/>
      <w:r>
        <w:rPr>
          <w:rFonts w:hint="eastAsia" w:ascii="宋体" w:hAnsi="宋体" w:eastAsia="宋体" w:cs="宋体"/>
          <w:b/>
          <w:bCs/>
          <w:color w:val="auto"/>
          <w:sz w:val="30"/>
          <w:szCs w:val="30"/>
          <w:highlight w:val="none"/>
          <w:lang w:val="zh-CN"/>
        </w:rPr>
        <w:t>投标人基本情况一览表</w:t>
      </w:r>
      <w:bookmarkEnd w:id="633"/>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34" w:name="_Toc3238"/>
      <w:bookmarkStart w:id="635" w:name="_Toc94107216"/>
      <w:bookmarkStart w:id="636" w:name="_Toc29014"/>
      <w:bookmarkStart w:id="637" w:name="_Toc104991882"/>
      <w:bookmarkStart w:id="638" w:name="_Toc102860424"/>
      <w:bookmarkStart w:id="639" w:name="_Toc102860080"/>
      <w:bookmarkStart w:id="640" w:name="_Toc4023"/>
      <w:bookmarkStart w:id="641" w:name="_Toc10443"/>
      <w:bookmarkStart w:id="642" w:name="_Toc142508375"/>
      <w:bookmarkStart w:id="643" w:name="_Toc140596935"/>
      <w:bookmarkStart w:id="644" w:name="_Toc486167715"/>
      <w:bookmarkStart w:id="645" w:name="_Toc9051_WPSOffice_Level2"/>
      <w:bookmarkStart w:id="646" w:name="_Toc533708128"/>
      <w:bookmarkStart w:id="647" w:name="_Toc1977733"/>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、投标人财务状况表格式</w:t>
      </w:r>
      <w:bookmarkEnd w:id="634"/>
      <w:bookmarkEnd w:id="635"/>
      <w:bookmarkEnd w:id="636"/>
      <w:bookmarkEnd w:id="637"/>
      <w:bookmarkEnd w:id="638"/>
      <w:bookmarkEnd w:id="639"/>
      <w:bookmarkEnd w:id="640"/>
      <w:bookmarkEnd w:id="641"/>
      <w:bookmarkEnd w:id="642"/>
      <w:bookmarkEnd w:id="643"/>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44"/>
    <w:bookmarkEnd w:id="645"/>
    <w:bookmarkEnd w:id="646"/>
    <w:bookmarkEnd w:id="647"/>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48" w:name="_Toc533708130"/>
      <w:bookmarkStart w:id="649" w:name="_Toc24378"/>
      <w:bookmarkStart w:id="650" w:name="_Toc142508376"/>
      <w:bookmarkStart w:id="651" w:name="_Toc94107217"/>
      <w:bookmarkStart w:id="652" w:name="_Toc102860081"/>
      <w:bookmarkStart w:id="653" w:name="_Toc104991883"/>
      <w:bookmarkStart w:id="654" w:name="_Toc140596936"/>
      <w:bookmarkStart w:id="655" w:name="_Toc333"/>
      <w:bookmarkStart w:id="656" w:name="_Toc26821"/>
      <w:bookmarkStart w:id="657" w:name="_Toc17995"/>
      <w:bookmarkStart w:id="658" w:name="_Toc102860425"/>
      <w:bookmarkStart w:id="659" w:name="_Toc739_WPSOffice_Level2"/>
      <w:bookmarkStart w:id="660" w:name="_Toc486167716"/>
      <w:bookmarkStart w:id="661" w:name="_Toc1977736"/>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62" w:name="_Toc26412_WPSOffice_Level3"/>
      <w:r>
        <w:rPr>
          <w:rFonts w:hint="eastAsia" w:ascii="宋体" w:hAnsi="宋体" w:eastAsia="宋体" w:cs="宋体"/>
          <w:b/>
          <w:bCs/>
          <w:color w:val="auto"/>
          <w:kern w:val="0"/>
          <w:sz w:val="28"/>
          <w:szCs w:val="30"/>
          <w:highlight w:val="none"/>
          <w:lang w:val="zh-CN"/>
        </w:rPr>
        <w:t>东莞市茶山镇污水处理厂改扩建项目第三方检测服务（不含桩基完整性检测）采购项目合同条款偏离表</w:t>
      </w:r>
      <w:bookmarkEnd w:id="66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一</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工程概况</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二</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检测内容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三</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检测数量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四</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检测依据（如有新规范，以新的为准）</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五</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检测费用支付方式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六</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双方权利及义务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七</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成果要求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八</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质量控制标准</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九</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人员及设备要求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十</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十一</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十二</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其他约定</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十三</w:t>
            </w:r>
          </w:p>
        </w:tc>
        <w:tc>
          <w:tcPr>
            <w:tcW w:w="3055" w:type="dxa"/>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rPr>
              <w:t>附则</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十四</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合同争议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十五</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合同生效</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十六</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合同份数</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附件一</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《工程量清单计价表》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附件</w:t>
            </w:r>
            <w:r>
              <w:rPr>
                <w:rFonts w:hint="eastAsia" w:ascii="宋体" w:hAnsi="宋体" w:eastAsia="宋体" w:cs="宋体"/>
                <w:color w:val="auto"/>
                <w:kern w:val="0"/>
                <w:szCs w:val="21"/>
              </w:rPr>
              <w:t>二</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附件三</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安全生产责任书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附件四</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诚信履约承诺书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附件五</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检测单位履约考核评分表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pStyle w:val="61"/>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一</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pPr>
              <w:pStyle w:val="61"/>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二</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pPr>
              <w:pStyle w:val="61"/>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三</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63" w:name="_Toc3222"/>
      <w:bookmarkStart w:id="664" w:name="_Toc102860426"/>
      <w:bookmarkStart w:id="665" w:name="_Toc140596937"/>
      <w:bookmarkStart w:id="666" w:name="_Toc94107218"/>
      <w:bookmarkStart w:id="667" w:name="_Toc29505"/>
      <w:bookmarkStart w:id="668" w:name="_Toc5473"/>
      <w:bookmarkStart w:id="669" w:name="_Toc13179"/>
      <w:bookmarkStart w:id="670" w:name="_Toc102860082"/>
      <w:bookmarkStart w:id="671" w:name="_Toc104991884"/>
      <w:bookmarkStart w:id="672" w:name="_Toc142508377"/>
      <w:bookmarkStart w:id="673" w:name="_Toc486167717"/>
      <w:bookmarkStart w:id="674"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63"/>
      <w:bookmarkEnd w:id="664"/>
      <w:bookmarkEnd w:id="665"/>
      <w:bookmarkEnd w:id="666"/>
      <w:bookmarkEnd w:id="667"/>
      <w:bookmarkEnd w:id="668"/>
      <w:bookmarkEnd w:id="669"/>
      <w:bookmarkEnd w:id="670"/>
      <w:bookmarkEnd w:id="671"/>
      <w:bookmarkEnd w:id="672"/>
    </w:p>
    <w:p>
      <w:pPr>
        <w:tabs>
          <w:tab w:val="left" w:pos="567"/>
        </w:tabs>
        <w:autoSpaceDE w:val="0"/>
        <w:autoSpaceDN w:val="0"/>
        <w:adjustRightInd w:val="0"/>
        <w:spacing w:line="360" w:lineRule="auto"/>
        <w:jc w:val="center"/>
        <w:outlineLvl w:val="2"/>
        <w:rPr>
          <w:rFonts w:hint="eastAsia" w:ascii="宋体" w:hAnsi="宋体" w:eastAsia="宋体" w:cs="宋体"/>
          <w:b/>
          <w:color w:val="auto"/>
          <w:kern w:val="0"/>
          <w:sz w:val="32"/>
          <w:szCs w:val="32"/>
          <w:highlight w:val="none"/>
          <w:lang w:val="zh-CN"/>
        </w:rPr>
      </w:pPr>
      <w:bookmarkStart w:id="675" w:name="_Toc5231"/>
      <w:r>
        <w:rPr>
          <w:rFonts w:hint="eastAsia" w:ascii="宋体" w:hAnsi="宋体" w:eastAsia="宋体" w:cs="宋体"/>
          <w:b/>
          <w:color w:val="auto"/>
          <w:kern w:val="0"/>
          <w:sz w:val="32"/>
          <w:szCs w:val="32"/>
          <w:highlight w:val="none"/>
          <w:lang w:val="zh-CN"/>
        </w:rPr>
        <w:t>投标人2019年1月1日（以合同签订日期为准）至今承接的市政工程检测业绩表</w:t>
      </w:r>
      <w:bookmarkEnd w:id="675"/>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545"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top"/>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385"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545"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top"/>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385"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545"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top"/>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385"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7"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545"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top"/>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468" w:type="pct"/>
            <w:noWrap w:val="0"/>
            <w:vAlign w:val="center"/>
          </w:tcPr>
          <w:p>
            <w:pPr>
              <w:jc w:val="center"/>
              <w:rPr>
                <w:rFonts w:hint="eastAsia" w:ascii="宋体" w:hAnsi="宋体" w:eastAsia="宋体" w:cs="宋体"/>
                <w:color w:val="auto"/>
                <w:sz w:val="21"/>
                <w:szCs w:val="21"/>
                <w:highlight w:val="none"/>
              </w:rPr>
            </w:pPr>
          </w:p>
        </w:tc>
        <w:tc>
          <w:tcPr>
            <w:tcW w:w="385" w:type="pct"/>
            <w:noWrap w:val="0"/>
            <w:vAlign w:val="center"/>
          </w:tcPr>
          <w:p>
            <w:pPr>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lang w:val="zh-CN"/>
        </w:rPr>
        <w:t>业绩须附合同复印件加盖投标人公章，否则不得分。</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3</w:t>
      </w:r>
      <w:r>
        <w:rPr>
          <w:rFonts w:hint="eastAsia" w:ascii="宋体" w:hAnsi="宋体" w:eastAsia="宋体" w:cs="Times New Roman"/>
          <w:color w:val="auto"/>
          <w:szCs w:val="24"/>
          <w:lang w:val="zh-CN"/>
        </w:rPr>
        <w:t>）合同业绩证明材料必须能反映评分条件（合同签订日期为2019年1月1日或以后，业绩类型为市政工程检测，合同金额），若合同内容无法反映合同金额的，需提供可反映合同金额的结算资料复印件，否则需同时提供业主出具的书面补充情况说明文件（须加盖业主单位公章）复印件。</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lang w:val="zh-CN"/>
        </w:rPr>
        <w:t>未按上述要求在此格式下提供证明材料的业绩，或在此格式下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73"/>
    <w:bookmarkEnd w:id="674"/>
    <w:p>
      <w:pPr>
        <w:rPr>
          <w:rFonts w:hint="eastAsia" w:ascii="宋体" w:hAnsi="宋体" w:eastAsia="宋体" w:cs="宋体"/>
          <w:b/>
          <w:bCs/>
          <w:color w:val="auto"/>
          <w:kern w:val="0"/>
          <w:sz w:val="32"/>
          <w:szCs w:val="32"/>
          <w:highlight w:val="none"/>
          <w:lang w:val="zh-CN"/>
        </w:rPr>
      </w:pPr>
      <w:bookmarkStart w:id="676" w:name="_Toc19890"/>
      <w:bookmarkStart w:id="677" w:name="_Toc104991885"/>
      <w:bookmarkStart w:id="678" w:name="_Toc102860427"/>
      <w:bookmarkStart w:id="679" w:name="_Toc1977737"/>
      <w:bookmarkStart w:id="680" w:name="_Toc533708132"/>
      <w:bookmarkStart w:id="681" w:name="_Toc31965"/>
      <w:bookmarkStart w:id="682" w:name="_Toc18175_WPSOffice_Level2"/>
      <w:bookmarkStart w:id="683" w:name="_Toc140596938"/>
      <w:bookmarkStart w:id="684" w:name="_Toc18413"/>
      <w:bookmarkStart w:id="685" w:name="_Toc94107220"/>
      <w:bookmarkStart w:id="686" w:name="_Toc142508378"/>
      <w:bookmarkStart w:id="687" w:name="_Toc102860083"/>
      <w:bookmarkStart w:id="688" w:name="_Toc486167719"/>
      <w:r>
        <w:rPr>
          <w:rFonts w:hint="eastAsia" w:ascii="宋体" w:hAnsi="宋体" w:eastAsia="宋体" w:cs="宋体"/>
          <w:b/>
          <w:bCs/>
          <w:color w:val="auto"/>
          <w:kern w:val="0"/>
          <w:sz w:val="32"/>
          <w:szCs w:val="32"/>
          <w:highlight w:val="none"/>
          <w:lang w:val="zh-CN"/>
        </w:rPr>
        <w:br w:type="page"/>
      </w:r>
    </w:p>
    <w:p>
      <w:pPr>
        <w:numPr>
          <w:ilvl w:val="0"/>
          <w:numId w:val="5"/>
        </w:numP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拟投入人员情况</w:t>
      </w:r>
      <w:r>
        <w:rPr>
          <w:rFonts w:hint="eastAsia" w:ascii="宋体" w:hAnsi="宋体" w:eastAsia="宋体" w:cs="宋体"/>
          <w:b/>
          <w:color w:val="auto"/>
          <w:sz w:val="32"/>
          <w:szCs w:val="32"/>
          <w:highlight w:val="none"/>
        </w:rPr>
        <w:t>格式</w:t>
      </w:r>
    </w:p>
    <w:p>
      <w:pPr>
        <w:spacing w:before="120" w:beforeLines="50"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（1）拟投入人员情况一览表</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544"/>
        <w:gridCol w:w="180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614"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355"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性别</w:t>
            </w:r>
          </w:p>
        </w:tc>
        <w:tc>
          <w:tcPr>
            <w:tcW w:w="355"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年龄</w:t>
            </w:r>
          </w:p>
        </w:tc>
        <w:tc>
          <w:tcPr>
            <w:tcW w:w="355"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学历</w:t>
            </w:r>
          </w:p>
        </w:tc>
        <w:tc>
          <w:tcPr>
            <w:tcW w:w="865"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职称证书/资格证书/注册证书</w:t>
            </w:r>
          </w:p>
        </w:tc>
        <w:tc>
          <w:tcPr>
            <w:tcW w:w="744"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拟任职务</w:t>
            </w:r>
          </w:p>
        </w:tc>
        <w:tc>
          <w:tcPr>
            <w:tcW w:w="870"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从事本行业年限</w:t>
            </w:r>
          </w:p>
        </w:tc>
        <w:tc>
          <w:tcPr>
            <w:tcW w:w="497" w:type="pc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vAlign w:val="center"/>
          </w:tcPr>
          <w:p>
            <w:pPr>
              <w:spacing w:line="360" w:lineRule="auto"/>
              <w:jc w:val="center"/>
              <w:rPr>
                <w:rFonts w:ascii="宋体" w:hAnsi="宋体" w:eastAsia="宋体" w:cs="宋体"/>
                <w:color w:val="auto"/>
                <w:szCs w:val="21"/>
              </w:rPr>
            </w:pPr>
          </w:p>
        </w:tc>
        <w:tc>
          <w:tcPr>
            <w:tcW w:w="614"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355" w:type="pct"/>
            <w:vAlign w:val="center"/>
          </w:tcPr>
          <w:p>
            <w:pPr>
              <w:spacing w:line="360" w:lineRule="auto"/>
              <w:jc w:val="center"/>
              <w:rPr>
                <w:rFonts w:ascii="宋体" w:hAnsi="宋体" w:eastAsia="宋体" w:cs="宋体"/>
                <w:color w:val="auto"/>
                <w:szCs w:val="21"/>
              </w:rPr>
            </w:pPr>
          </w:p>
        </w:tc>
        <w:tc>
          <w:tcPr>
            <w:tcW w:w="865" w:type="pct"/>
            <w:vAlign w:val="center"/>
          </w:tcPr>
          <w:p>
            <w:pPr>
              <w:spacing w:line="360" w:lineRule="auto"/>
              <w:jc w:val="center"/>
              <w:rPr>
                <w:rFonts w:ascii="宋体" w:hAnsi="宋体" w:eastAsia="宋体" w:cs="宋体"/>
                <w:color w:val="auto"/>
                <w:szCs w:val="21"/>
              </w:rPr>
            </w:pPr>
          </w:p>
        </w:tc>
        <w:tc>
          <w:tcPr>
            <w:tcW w:w="744" w:type="pct"/>
            <w:vAlign w:val="center"/>
          </w:tcPr>
          <w:p>
            <w:pPr>
              <w:spacing w:line="360" w:lineRule="auto"/>
              <w:jc w:val="center"/>
              <w:rPr>
                <w:rFonts w:ascii="宋体" w:hAnsi="宋体" w:eastAsia="宋体" w:cs="宋体"/>
                <w:color w:val="auto"/>
                <w:szCs w:val="21"/>
              </w:rPr>
            </w:pPr>
          </w:p>
        </w:tc>
        <w:tc>
          <w:tcPr>
            <w:tcW w:w="870" w:type="pct"/>
            <w:vAlign w:val="center"/>
          </w:tcPr>
          <w:p>
            <w:pPr>
              <w:spacing w:line="360" w:lineRule="auto"/>
              <w:jc w:val="center"/>
              <w:rPr>
                <w:rFonts w:ascii="宋体" w:hAnsi="宋体" w:eastAsia="宋体" w:cs="宋体"/>
                <w:color w:val="auto"/>
                <w:szCs w:val="21"/>
              </w:rPr>
            </w:pPr>
          </w:p>
        </w:tc>
        <w:tc>
          <w:tcPr>
            <w:tcW w:w="497" w:type="pct"/>
            <w:vAlign w:val="center"/>
          </w:tcPr>
          <w:p>
            <w:pPr>
              <w:spacing w:line="360" w:lineRule="auto"/>
              <w:jc w:val="center"/>
              <w:rPr>
                <w:rFonts w:ascii="宋体" w:hAnsi="宋体" w:eastAsia="宋体" w:cs="宋体"/>
                <w:color w:val="auto"/>
                <w:szCs w:val="21"/>
              </w:rPr>
            </w:pPr>
          </w:p>
        </w:tc>
      </w:tr>
    </w:tbl>
    <w:p>
      <w:pPr>
        <w:overflowPunct w:val="0"/>
        <w:spacing w:before="120" w:line="360" w:lineRule="auto"/>
        <w:ind w:left="267" w:leftChars="-73" w:hanging="420" w:hangingChars="200"/>
        <w:rPr>
          <w:rFonts w:ascii="宋体" w:hAnsi="宋体" w:eastAsia="宋体" w:cs="宋体"/>
          <w:color w:val="auto"/>
          <w:szCs w:val="21"/>
        </w:rPr>
      </w:pPr>
      <w:r>
        <w:rPr>
          <w:rFonts w:hint="eastAsia" w:ascii="宋体" w:hAnsi="宋体" w:eastAsia="宋体" w:cs="宋体"/>
          <w:color w:val="auto"/>
          <w:szCs w:val="21"/>
        </w:rPr>
        <w:t>备注：</w:t>
      </w:r>
    </w:p>
    <w:p>
      <w:pPr>
        <w:overflowPunct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（1）此表格式供参照，投标人可以根据本表格式内容自行划表填写</w:t>
      </w:r>
      <w:r>
        <w:rPr>
          <w:rFonts w:hint="eastAsia" w:ascii="宋体" w:hAnsi="宋体" w:eastAsia="宋体" w:cs="宋体"/>
          <w:color w:val="auto"/>
          <w:szCs w:val="21"/>
          <w:lang w:eastAsia="zh-CN"/>
        </w:rPr>
        <w:t>；</w:t>
      </w:r>
    </w:p>
    <w:p>
      <w:pPr>
        <w:spacing w:line="360" w:lineRule="auto"/>
        <w:ind w:right="420"/>
        <w:rPr>
          <w:rFonts w:hint="eastAsia" w:ascii="宋体" w:hAnsi="宋体" w:eastAsia="宋体" w:cs="宋体"/>
          <w:color w:val="auto"/>
          <w:szCs w:val="21"/>
          <w:lang w:eastAsia="zh-CN"/>
        </w:rPr>
      </w:pPr>
      <w:r>
        <w:rPr>
          <w:rFonts w:hint="eastAsia" w:ascii="宋体" w:hAnsi="宋体" w:eastAsia="宋体" w:cs="宋体"/>
          <w:color w:val="auto"/>
          <w:szCs w:val="21"/>
        </w:rPr>
        <w:t>（2）以上人员须提供身份证、职称证书或资格证书或注册证书、社会保障部门出具的最近1年（即2023年</w:t>
      </w:r>
      <w:r>
        <w:rPr>
          <w:rFonts w:hint="eastAsia" w:ascii="宋体" w:hAnsi="宋体" w:eastAsia="宋体" w:cs="宋体"/>
          <w:color w:val="auto"/>
          <w:szCs w:val="21"/>
          <w:lang w:val="en-US" w:eastAsia="zh-CN"/>
        </w:rPr>
        <w:t>4</w:t>
      </w:r>
      <w:r>
        <w:rPr>
          <w:rFonts w:hint="eastAsia" w:ascii="宋体" w:hAnsi="宋体" w:eastAsia="宋体" w:cs="宋体"/>
          <w:color w:val="auto"/>
          <w:szCs w:val="21"/>
        </w:rPr>
        <w:t>月至202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月）在投标人单位缴纳社会养老保险有效凭证等证明材料复印件加盖投标人公章</w:t>
      </w:r>
      <w:r>
        <w:rPr>
          <w:rFonts w:hint="eastAsia" w:ascii="宋体" w:hAnsi="宋体" w:eastAsia="宋体" w:cs="宋体"/>
          <w:color w:val="auto"/>
          <w:szCs w:val="21"/>
          <w:lang w:eastAsia="zh-CN"/>
        </w:rPr>
        <w:t>；</w:t>
      </w:r>
    </w:p>
    <w:p>
      <w:pPr>
        <w:spacing w:line="360" w:lineRule="auto"/>
        <w:ind w:right="420"/>
        <w:rPr>
          <w:rFonts w:hint="eastAsia" w:ascii="宋体" w:hAnsi="宋体" w:eastAsia="宋体" w:cs="宋体"/>
          <w:color w:val="auto"/>
          <w:szCs w:val="21"/>
          <w:lang w:eastAsia="zh-CN"/>
        </w:rPr>
      </w:pPr>
      <w:r>
        <w:rPr>
          <w:rFonts w:hint="eastAsia" w:ascii="宋体" w:hAnsi="宋体" w:eastAsia="宋体" w:cs="宋体"/>
          <w:color w:val="auto"/>
          <w:szCs w:val="21"/>
        </w:rPr>
        <w:t>（3）同一人员具备多个种类证书不重复得分</w:t>
      </w:r>
      <w:r>
        <w:rPr>
          <w:rFonts w:hint="eastAsia" w:ascii="宋体" w:hAnsi="宋体" w:eastAsia="宋体" w:cs="宋体"/>
          <w:color w:val="auto"/>
          <w:szCs w:val="21"/>
          <w:lang w:eastAsia="zh-CN"/>
        </w:rPr>
        <w:t>；</w:t>
      </w:r>
    </w:p>
    <w:p>
      <w:pPr>
        <w:spacing w:line="360" w:lineRule="auto"/>
        <w:ind w:right="420"/>
        <w:rPr>
          <w:rFonts w:ascii="宋体" w:hAnsi="宋体" w:eastAsia="宋体" w:cs="宋体"/>
          <w:color w:val="auto"/>
          <w:szCs w:val="21"/>
        </w:rPr>
      </w:pPr>
      <w:r>
        <w:rPr>
          <w:rFonts w:hint="eastAsia" w:ascii="宋体" w:hAnsi="宋体" w:eastAsia="宋体" w:cs="宋体"/>
          <w:color w:val="auto"/>
          <w:szCs w:val="21"/>
        </w:rPr>
        <w:t>（4）同一人员具备同一种类证书或同一个专业含有多个等级的仅按最高等级证书计算一次得分。</w:t>
      </w:r>
    </w:p>
    <w:p>
      <w:pPr>
        <w:spacing w:line="360" w:lineRule="auto"/>
        <w:ind w:right="420"/>
        <w:rPr>
          <w:rFonts w:ascii="宋体" w:hAnsi="宋体" w:eastAsia="宋体" w:cs="宋体"/>
          <w:color w:val="auto"/>
          <w:szCs w:val="21"/>
          <w:lang w:val="zh-CN"/>
        </w:rPr>
      </w:pPr>
    </w:p>
    <w:p>
      <w:pPr>
        <w:spacing w:line="360" w:lineRule="auto"/>
        <w:ind w:left="685" w:leftChars="176" w:hanging="315" w:hangingChars="150"/>
        <w:jc w:val="right"/>
        <w:rPr>
          <w:rFonts w:hint="eastAsia" w:ascii="宋体" w:hAnsi="宋体" w:eastAsia="宋体" w:cs="宋体"/>
          <w:color w:val="auto"/>
          <w:szCs w:val="21"/>
          <w:lang w:val="zh-CN"/>
        </w:rPr>
      </w:pPr>
      <w:r>
        <w:rPr>
          <w:rFonts w:hint="eastAsia" w:ascii="宋体" w:hAnsi="宋体" w:eastAsia="宋体" w:cs="宋体"/>
          <w:color w:val="auto"/>
          <w:szCs w:val="21"/>
          <w:lang w:val="zh-CN"/>
        </w:rPr>
        <w:t>投标人：（加盖投标人法人公章）</w:t>
      </w:r>
    </w:p>
    <w:p>
      <w:pPr>
        <w:spacing w:line="360" w:lineRule="auto"/>
        <w:ind w:left="685" w:leftChars="176" w:hanging="315" w:hangingChars="150"/>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日期：   年    月     日</w:t>
      </w:r>
    </w:p>
    <w:p>
      <w:pPr>
        <w:spacing w:line="360" w:lineRule="auto"/>
        <w:ind w:firstLine="5040" w:firstLineChars="2400"/>
        <w:rPr>
          <w:rFonts w:ascii="宋体" w:hAnsi="宋体" w:eastAsia="宋体" w:cs="宋体"/>
          <w:color w:val="auto"/>
          <w:szCs w:val="21"/>
          <w:lang w:val="zh-CN"/>
        </w:rPr>
      </w:pPr>
    </w:p>
    <w:p>
      <w:pPr>
        <w:spacing w:line="360" w:lineRule="auto"/>
        <w:ind w:firstLine="5040" w:firstLineChars="2400"/>
        <w:rPr>
          <w:rFonts w:ascii="宋体" w:hAnsi="宋体" w:eastAsia="宋体" w:cs="宋体"/>
          <w:color w:val="auto"/>
          <w:szCs w:val="21"/>
          <w:lang w:val="zh-CN"/>
        </w:rPr>
      </w:pPr>
    </w:p>
    <w:p>
      <w:pPr>
        <w:pageBreakBefore/>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（2）拟投入项目负责人简历表</w:t>
      </w:r>
    </w:p>
    <w:tbl>
      <w:tblPr>
        <w:tblStyle w:val="36"/>
        <w:tblW w:w="5000" w:type="pct"/>
        <w:jc w:val="center"/>
        <w:tblLayout w:type="autofit"/>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tblPrEx>
          <w:tblCellMar>
            <w:top w:w="0" w:type="dxa"/>
            <w:left w:w="108" w:type="dxa"/>
            <w:bottom w:w="0" w:type="dxa"/>
            <w:right w:w="108" w:type="dxa"/>
          </w:tblCellMar>
        </w:tblPrEx>
        <w:trPr>
          <w:trHeight w:val="915" w:hRule="atLeast"/>
          <w:jc w:val="center"/>
        </w:trPr>
        <w:tc>
          <w:tcPr>
            <w:tcW w:w="1111"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姓名</w:t>
            </w:r>
          </w:p>
        </w:tc>
        <w:tc>
          <w:tcPr>
            <w:tcW w:w="1200" w:type="pct"/>
            <w:gridSpan w:val="4"/>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00" w:type="pct"/>
            <w:tcBorders>
              <w:top w:val="single" w:color="auto" w:sz="8" w:space="0"/>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00"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年龄</w:t>
            </w:r>
          </w:p>
        </w:tc>
        <w:tc>
          <w:tcPr>
            <w:tcW w:w="708" w:type="pct"/>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111" w:type="pct"/>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职务</w:t>
            </w:r>
          </w:p>
        </w:tc>
        <w:tc>
          <w:tcPr>
            <w:tcW w:w="1200" w:type="pct"/>
            <w:gridSpan w:val="4"/>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00"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00"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学历</w:t>
            </w:r>
          </w:p>
        </w:tc>
        <w:tc>
          <w:tcPr>
            <w:tcW w:w="708" w:type="pct"/>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585" w:type="pct"/>
            <w:gridSpan w:val="3"/>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44"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担任</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 xml:space="preserve">    （职位名称）</w:t>
            </w:r>
            <w:r>
              <w:rPr>
                <w:rFonts w:hint="eastAsia" w:ascii="宋体" w:hAnsi="宋体" w:eastAsia="宋体" w:cs="宋体"/>
                <w:color w:val="auto"/>
                <w:szCs w:val="21"/>
              </w:rPr>
              <w:t>年限</w:t>
            </w:r>
          </w:p>
        </w:tc>
        <w:tc>
          <w:tcPr>
            <w:tcW w:w="708"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585" w:type="pct"/>
            <w:gridSpan w:val="3"/>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44"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联系电话</w:t>
            </w:r>
          </w:p>
        </w:tc>
        <w:tc>
          <w:tcPr>
            <w:tcW w:w="708"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主要类似项目业绩</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发包单位</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起止时间</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bl>
    <w:p>
      <w:pPr>
        <w:spacing w:line="360" w:lineRule="auto"/>
        <w:rPr>
          <w:rFonts w:ascii="宋体" w:hAnsi="宋体" w:eastAsia="宋体" w:cs="宋体"/>
          <w:color w:val="auto"/>
          <w:szCs w:val="21"/>
        </w:rPr>
      </w:pPr>
      <w:r>
        <w:rPr>
          <w:rFonts w:hint="eastAsia" w:ascii="宋体" w:hAnsi="宋体" w:eastAsia="宋体" w:cs="宋体"/>
          <w:color w:val="auto"/>
          <w:szCs w:val="21"/>
        </w:rPr>
        <w:t>备注：</w:t>
      </w:r>
    </w:p>
    <w:p>
      <w:pPr>
        <w:overflowPunct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（1）拟投入本项目的项目负责人需提供本简历表</w:t>
      </w:r>
      <w:r>
        <w:rPr>
          <w:rFonts w:hint="eastAsia" w:ascii="宋体" w:hAnsi="宋体" w:eastAsia="宋体" w:cs="宋体"/>
          <w:color w:val="auto"/>
          <w:szCs w:val="21"/>
          <w:lang w:eastAsia="zh-CN"/>
        </w:rPr>
        <w:t>；</w:t>
      </w:r>
    </w:p>
    <w:p>
      <w:pPr>
        <w:overflowPunct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rPr>
        <w:t>、社会保障部门出具的最近1年（即2023年</w:t>
      </w:r>
      <w:r>
        <w:rPr>
          <w:rFonts w:hint="eastAsia" w:ascii="宋体" w:hAnsi="宋体" w:eastAsia="宋体" w:cs="宋体"/>
          <w:color w:val="auto"/>
          <w:szCs w:val="21"/>
          <w:lang w:val="en-US" w:eastAsia="zh-CN"/>
        </w:rPr>
        <w:t>4</w:t>
      </w:r>
      <w:r>
        <w:rPr>
          <w:rFonts w:hint="eastAsia" w:ascii="宋体" w:hAnsi="宋体" w:eastAsia="宋体" w:cs="宋体"/>
          <w:color w:val="auto"/>
          <w:szCs w:val="21"/>
        </w:rPr>
        <w:t>月至202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月）在投标人单位缴纳社会养老保险有效凭证等证明材料复印件加盖投标人公章</w:t>
      </w:r>
      <w:r>
        <w:rPr>
          <w:rFonts w:hint="eastAsia" w:ascii="宋体" w:hAnsi="宋体" w:eastAsia="宋体" w:cs="宋体"/>
          <w:color w:val="auto"/>
          <w:szCs w:val="21"/>
          <w:lang w:eastAsia="zh-CN"/>
        </w:rPr>
        <w:t>；</w:t>
      </w:r>
    </w:p>
    <w:p>
      <w:pPr>
        <w:overflowPunct w:val="0"/>
        <w:spacing w:line="360" w:lineRule="auto"/>
        <w:rPr>
          <w:rFonts w:ascii="宋体" w:hAnsi="宋体" w:eastAsia="宋体" w:cs="宋体"/>
          <w:color w:val="auto"/>
          <w:szCs w:val="21"/>
        </w:rPr>
      </w:pPr>
      <w:r>
        <w:rPr>
          <w:rFonts w:hint="eastAsia" w:ascii="宋体" w:hAnsi="宋体" w:eastAsia="宋体" w:cs="宋体"/>
          <w:color w:val="auto"/>
          <w:szCs w:val="21"/>
        </w:rPr>
        <w:t>（3）项目负责人业绩须附合同复印件加盖投标人公章，合同业绩证明材料必须能反映评审条件</w:t>
      </w:r>
      <w:r>
        <w:rPr>
          <w:rFonts w:hint="eastAsia" w:ascii="宋体" w:hAnsi="宋体" w:eastAsia="宋体" w:cs="宋体"/>
          <w:color w:val="auto"/>
          <w:szCs w:val="21"/>
          <w:lang w:eastAsia="zh-CN"/>
        </w:rPr>
        <w:t>（</w:t>
      </w:r>
      <w:r>
        <w:rPr>
          <w:rFonts w:hint="eastAsia" w:ascii="宋体" w:hAnsi="宋体" w:eastAsia="宋体" w:cs="宋体"/>
          <w:color w:val="auto"/>
          <w:szCs w:val="21"/>
        </w:rPr>
        <w:t>合同签订日期为2019年1月1日或以后，业绩类型为市政工程检测，项目负责人信息</w:t>
      </w:r>
      <w:r>
        <w:rPr>
          <w:rFonts w:hint="eastAsia" w:ascii="宋体" w:hAnsi="宋体" w:eastAsia="宋体" w:cs="宋体"/>
          <w:color w:val="auto"/>
          <w:szCs w:val="21"/>
          <w:lang w:eastAsia="zh-CN"/>
        </w:rPr>
        <w:t>）</w:t>
      </w:r>
      <w:r>
        <w:rPr>
          <w:rFonts w:hint="eastAsia" w:ascii="宋体" w:hAnsi="宋体" w:eastAsia="宋体" w:cs="宋体"/>
          <w:color w:val="auto"/>
          <w:szCs w:val="21"/>
        </w:rPr>
        <w:t>，否则需同时提供业主出具的书面补充情况说明文件（须加盖业主单位公章）复印件。</w:t>
      </w:r>
    </w:p>
    <w:p>
      <w:pPr>
        <w:spacing w:line="360" w:lineRule="auto"/>
        <w:ind w:left="685" w:leftChars="176" w:hanging="315" w:hangingChars="150"/>
        <w:jc w:val="right"/>
        <w:rPr>
          <w:rFonts w:hint="eastAsia" w:ascii="宋体" w:hAnsi="宋体" w:eastAsia="宋体" w:cs="宋体"/>
          <w:color w:val="auto"/>
          <w:szCs w:val="21"/>
          <w:lang w:val="zh-CN"/>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投标人：（加盖投标人法人公章）</w:t>
      </w:r>
    </w:p>
    <w:p>
      <w:pPr>
        <w:spacing w:line="360" w:lineRule="auto"/>
        <w:ind w:left="685" w:leftChars="176" w:hanging="315" w:hangingChars="150"/>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日期：   年    月     日</w:t>
      </w:r>
    </w:p>
    <w:p>
      <w:pPr>
        <w:spacing w:before="120" w:after="120" w:line="360" w:lineRule="auto"/>
        <w:ind w:left="629" w:firstLine="5040"/>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br w:type="page"/>
      </w:r>
    </w:p>
    <w:p>
      <w:pPr>
        <w:pageBreakBefore/>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（3）拟投入技术负责人简历表</w:t>
      </w:r>
    </w:p>
    <w:tbl>
      <w:tblPr>
        <w:tblStyle w:val="36"/>
        <w:tblW w:w="5000" w:type="pct"/>
        <w:jc w:val="center"/>
        <w:tblLayout w:type="autofit"/>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tblPrEx>
          <w:tblCellMar>
            <w:top w:w="0" w:type="dxa"/>
            <w:left w:w="108" w:type="dxa"/>
            <w:bottom w:w="0" w:type="dxa"/>
            <w:right w:w="108" w:type="dxa"/>
          </w:tblCellMar>
        </w:tblPrEx>
        <w:trPr>
          <w:trHeight w:val="915" w:hRule="atLeast"/>
          <w:jc w:val="center"/>
        </w:trPr>
        <w:tc>
          <w:tcPr>
            <w:tcW w:w="1111" w:type="pct"/>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姓名</w:t>
            </w:r>
          </w:p>
        </w:tc>
        <w:tc>
          <w:tcPr>
            <w:tcW w:w="1200" w:type="pct"/>
            <w:gridSpan w:val="4"/>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00" w:type="pct"/>
            <w:tcBorders>
              <w:top w:val="single" w:color="auto" w:sz="8" w:space="0"/>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00"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年龄</w:t>
            </w:r>
          </w:p>
        </w:tc>
        <w:tc>
          <w:tcPr>
            <w:tcW w:w="708" w:type="pct"/>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111" w:type="pct"/>
            <w:tcBorders>
              <w:top w:val="nil"/>
              <w:left w:val="single" w:color="auto" w:sz="8" w:space="0"/>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职务</w:t>
            </w:r>
          </w:p>
        </w:tc>
        <w:tc>
          <w:tcPr>
            <w:tcW w:w="1200" w:type="pct"/>
            <w:gridSpan w:val="4"/>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500"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00"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学历</w:t>
            </w:r>
          </w:p>
        </w:tc>
        <w:tc>
          <w:tcPr>
            <w:tcW w:w="708" w:type="pct"/>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585" w:type="pct"/>
            <w:gridSpan w:val="3"/>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44"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担任</w:t>
            </w:r>
            <w:r>
              <w:rPr>
                <w:rFonts w:hint="eastAsia" w:ascii="宋体" w:hAnsi="宋体" w:eastAsia="宋体" w:cs="宋体"/>
                <w:b/>
                <w:bCs/>
                <w:color w:val="auto"/>
                <w:szCs w:val="21"/>
                <w:u w:val="single"/>
              </w:rPr>
              <w:t xml:space="preserve"> </w:t>
            </w:r>
            <w:r>
              <w:rPr>
                <w:rFonts w:hint="eastAsia" w:ascii="宋体" w:hAnsi="宋体" w:eastAsia="宋体" w:cs="宋体"/>
                <w:color w:val="auto"/>
                <w:szCs w:val="21"/>
                <w:u w:val="single"/>
              </w:rPr>
              <w:t xml:space="preserve">    （职位名称）</w:t>
            </w:r>
            <w:r>
              <w:rPr>
                <w:rFonts w:hint="eastAsia" w:ascii="宋体" w:hAnsi="宋体" w:eastAsia="宋体" w:cs="宋体"/>
                <w:color w:val="auto"/>
                <w:szCs w:val="21"/>
              </w:rPr>
              <w:t>年限</w:t>
            </w:r>
          </w:p>
        </w:tc>
        <w:tc>
          <w:tcPr>
            <w:tcW w:w="708"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585" w:type="pct"/>
            <w:gridSpan w:val="3"/>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44"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联系电话</w:t>
            </w:r>
          </w:p>
        </w:tc>
        <w:tc>
          <w:tcPr>
            <w:tcW w:w="708" w:type="pct"/>
            <w:tcBorders>
              <w:top w:val="nil"/>
              <w:left w:val="nil"/>
              <w:bottom w:val="single" w:color="auto" w:sz="8" w:space="0"/>
              <w:right w:val="single" w:color="auto"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主要类似项目业绩</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发包单位</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服务内容</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起止时间</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7" w:type="pct"/>
            <w:gridSpan w:val="2"/>
            <w:tcBorders>
              <w:top w:val="single" w:color="auto" w:sz="8" w:space="0"/>
              <w:left w:val="single" w:color="auto" w:sz="8" w:space="0"/>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c>
          <w:tcPr>
            <w:tcW w:w="953" w:type="pct"/>
            <w:gridSpan w:val="2"/>
            <w:tcBorders>
              <w:top w:val="single" w:color="auto" w:sz="8" w:space="0"/>
              <w:left w:val="nil"/>
              <w:bottom w:val="single" w:color="auto" w:sz="8" w:space="0"/>
              <w:right w:val="single" w:color="000000" w:sz="8" w:space="0"/>
            </w:tcBorders>
            <w:vAlign w:val="center"/>
          </w:tcPr>
          <w:p>
            <w:pPr>
              <w:widowControl/>
              <w:snapToGrid w:val="0"/>
              <w:jc w:val="center"/>
              <w:rPr>
                <w:rFonts w:ascii="宋体" w:hAnsi="宋体" w:eastAsia="宋体" w:cs="宋体"/>
                <w:color w:val="auto"/>
                <w:szCs w:val="21"/>
              </w:rPr>
            </w:pPr>
            <w:r>
              <w:rPr>
                <w:rFonts w:hint="eastAsia" w:ascii="宋体" w:hAnsi="宋体" w:eastAsia="宋体" w:cs="宋体"/>
                <w:color w:val="auto"/>
                <w:szCs w:val="21"/>
              </w:rPr>
              <w:t>　</w:t>
            </w:r>
          </w:p>
        </w:tc>
      </w:tr>
    </w:tbl>
    <w:p>
      <w:pPr>
        <w:spacing w:line="360" w:lineRule="auto"/>
        <w:rPr>
          <w:rFonts w:ascii="宋体" w:hAnsi="宋体" w:eastAsia="宋体" w:cs="宋体"/>
          <w:color w:val="auto"/>
          <w:szCs w:val="21"/>
        </w:rPr>
      </w:pPr>
      <w:r>
        <w:rPr>
          <w:rFonts w:hint="eastAsia" w:ascii="宋体" w:hAnsi="宋体" w:eastAsia="宋体" w:cs="宋体"/>
          <w:color w:val="auto"/>
          <w:szCs w:val="21"/>
        </w:rPr>
        <w:t>备注：</w:t>
      </w:r>
    </w:p>
    <w:p>
      <w:pPr>
        <w:numPr>
          <w:ilvl w:val="255"/>
          <w:numId w:val="0"/>
        </w:numPr>
        <w:overflowPunct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（1）拟投入本项目的技术负责人需提供本简历表</w:t>
      </w:r>
      <w:r>
        <w:rPr>
          <w:rFonts w:hint="eastAsia" w:ascii="宋体" w:hAnsi="宋体" w:eastAsia="宋体" w:cs="宋体"/>
          <w:color w:val="auto"/>
          <w:szCs w:val="21"/>
          <w:lang w:eastAsia="zh-CN"/>
        </w:rPr>
        <w:t>；</w:t>
      </w:r>
    </w:p>
    <w:p>
      <w:pPr>
        <w:numPr>
          <w:ilvl w:val="255"/>
          <w:numId w:val="0"/>
        </w:numPr>
        <w:overflowPunct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rPr>
        <w:t>、社会保障部门出具的最近1年（即2023年</w:t>
      </w:r>
      <w:r>
        <w:rPr>
          <w:rFonts w:hint="eastAsia" w:ascii="宋体" w:hAnsi="宋体" w:eastAsia="宋体" w:cs="宋体"/>
          <w:color w:val="auto"/>
          <w:szCs w:val="21"/>
          <w:lang w:val="en-US" w:eastAsia="zh-CN"/>
        </w:rPr>
        <w:t>4</w:t>
      </w:r>
      <w:r>
        <w:rPr>
          <w:rFonts w:hint="eastAsia" w:ascii="宋体" w:hAnsi="宋体" w:eastAsia="宋体" w:cs="宋体"/>
          <w:color w:val="auto"/>
          <w:szCs w:val="21"/>
        </w:rPr>
        <w:t>月至202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月）在投标人单位缴纳社会养老保险有效凭证等证明材料复印件加盖投标人公章</w:t>
      </w:r>
      <w:r>
        <w:rPr>
          <w:rFonts w:hint="eastAsia" w:ascii="宋体" w:hAnsi="宋体" w:eastAsia="宋体" w:cs="宋体"/>
          <w:color w:val="auto"/>
          <w:szCs w:val="21"/>
          <w:lang w:eastAsia="zh-CN"/>
        </w:rPr>
        <w:t>；</w:t>
      </w:r>
    </w:p>
    <w:p>
      <w:pPr>
        <w:numPr>
          <w:ilvl w:val="255"/>
          <w:numId w:val="0"/>
        </w:numPr>
        <w:overflowPunct w:val="0"/>
        <w:spacing w:line="360" w:lineRule="auto"/>
        <w:rPr>
          <w:rFonts w:ascii="宋体" w:hAnsi="宋体" w:eastAsia="宋体" w:cs="宋体"/>
          <w:color w:val="auto"/>
          <w:szCs w:val="21"/>
        </w:rPr>
      </w:pPr>
      <w:r>
        <w:rPr>
          <w:rFonts w:hint="eastAsia" w:ascii="宋体" w:hAnsi="宋体" w:eastAsia="宋体" w:cs="宋体"/>
          <w:color w:val="auto"/>
          <w:szCs w:val="21"/>
        </w:rPr>
        <w:t>（3）技术负责人业绩须附合同复印件加盖投标人公章，合同业绩证明材料必须能反映评审条件</w:t>
      </w:r>
      <w:r>
        <w:rPr>
          <w:rFonts w:hint="eastAsia" w:ascii="宋体" w:hAnsi="宋体" w:eastAsia="宋体" w:cs="宋体"/>
          <w:color w:val="auto"/>
          <w:szCs w:val="21"/>
          <w:lang w:eastAsia="zh-CN"/>
        </w:rPr>
        <w:t>（</w:t>
      </w:r>
      <w:r>
        <w:rPr>
          <w:rFonts w:hint="eastAsia" w:ascii="宋体" w:hAnsi="宋体" w:eastAsia="宋体" w:cs="宋体"/>
          <w:color w:val="auto"/>
          <w:szCs w:val="21"/>
        </w:rPr>
        <w:t>合同签订日期为2019年1月1日或以后，业绩类型为市政工程检测，技术负责人信息</w:t>
      </w:r>
      <w:r>
        <w:rPr>
          <w:rFonts w:hint="eastAsia" w:ascii="宋体" w:hAnsi="宋体" w:eastAsia="宋体" w:cs="宋体"/>
          <w:color w:val="auto"/>
          <w:szCs w:val="21"/>
          <w:lang w:eastAsia="zh-CN"/>
        </w:rPr>
        <w:t>）</w:t>
      </w:r>
      <w:r>
        <w:rPr>
          <w:rFonts w:hint="eastAsia" w:ascii="宋体" w:hAnsi="宋体" w:eastAsia="宋体" w:cs="宋体"/>
          <w:color w:val="auto"/>
          <w:szCs w:val="21"/>
        </w:rPr>
        <w:t>，否则需同时提供业主出具的书面补充情况说明文件（须加盖业主单位公章）复印件。</w:t>
      </w:r>
    </w:p>
    <w:p>
      <w:pPr>
        <w:spacing w:line="360" w:lineRule="auto"/>
        <w:ind w:left="685" w:leftChars="176" w:hanging="315" w:hangingChars="150"/>
        <w:jc w:val="right"/>
        <w:rPr>
          <w:rFonts w:hint="eastAsia" w:ascii="宋体" w:hAnsi="宋体" w:eastAsia="宋体" w:cs="宋体"/>
          <w:color w:val="auto"/>
          <w:szCs w:val="21"/>
          <w:lang w:val="zh-CN"/>
        </w:rPr>
      </w:pPr>
      <w:r>
        <w:rPr>
          <w:rFonts w:hint="eastAsia" w:ascii="宋体" w:hAnsi="宋体" w:eastAsia="宋体" w:cs="宋体"/>
          <w:color w:val="auto"/>
          <w:szCs w:val="21"/>
          <w:lang w:val="zh-CN"/>
        </w:rPr>
        <w:t>投标人：（加盖投标人法人公章）</w:t>
      </w:r>
    </w:p>
    <w:p>
      <w:pPr>
        <w:spacing w:line="360" w:lineRule="auto"/>
        <w:ind w:left="685" w:leftChars="176" w:hanging="315" w:hangingChars="150"/>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日期：   年    月     日</w:t>
      </w:r>
    </w:p>
    <w:p>
      <w:pPr>
        <w:numPr>
          <w:ilvl w:val="0"/>
          <w:numId w:val="5"/>
        </w:num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89" w:name="_Toc397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、投标保证金汇入情况说明</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90" w:name="_Toc31832_WPSOffice_Level3"/>
      <w:r>
        <w:rPr>
          <w:rFonts w:hint="eastAsia" w:ascii="宋体" w:hAnsi="宋体" w:eastAsia="宋体" w:cs="宋体"/>
          <w:b/>
          <w:bCs/>
          <w:color w:val="auto"/>
          <w:kern w:val="0"/>
          <w:sz w:val="24"/>
          <w:szCs w:val="24"/>
          <w:highlight w:val="none"/>
        </w:rPr>
        <w:t>投标保证金汇入情况说明</w:t>
      </w:r>
      <w:bookmarkEnd w:id="690"/>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东莞市茶山镇污水处理厂改扩建项目第三方检测服务（不含桩基完整性检测）采购项目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0832-SFCX24DG032C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691" w:name="_Toc26208_WPSOffice_Level3"/>
      <w:r>
        <w:rPr>
          <w:rFonts w:hint="eastAsia" w:ascii="宋体" w:hAnsi="宋体" w:eastAsia="宋体" w:cs="宋体"/>
          <w:b/>
          <w:bCs/>
          <w:color w:val="auto"/>
          <w:szCs w:val="21"/>
          <w:highlight w:val="none"/>
        </w:rPr>
        <w:t>附：1、我方投标保证金汇款凭证（复印件）</w:t>
      </w:r>
      <w:bookmarkEnd w:id="691"/>
    </w:p>
    <w:p>
      <w:pPr>
        <w:spacing w:line="360" w:lineRule="auto"/>
        <w:ind w:left="340" w:leftChars="162" w:firstLine="839" w:firstLineChars="398"/>
        <w:rPr>
          <w:rFonts w:ascii="宋体" w:hAnsi="宋体" w:eastAsia="宋体" w:cs="宋体"/>
          <w:b/>
          <w:bCs/>
          <w:color w:val="auto"/>
          <w:szCs w:val="21"/>
          <w:highlight w:val="none"/>
        </w:rPr>
      </w:pPr>
      <w:bookmarkStart w:id="692" w:name="_Toc12992_WPSOffice_Level3"/>
      <w:r>
        <w:rPr>
          <w:rFonts w:hint="eastAsia" w:ascii="宋体" w:hAnsi="宋体" w:eastAsia="宋体" w:cs="宋体"/>
          <w:b/>
          <w:bCs/>
          <w:color w:val="auto"/>
          <w:szCs w:val="21"/>
          <w:highlight w:val="none"/>
        </w:rPr>
        <w:t>2、我方基本账户开户许可证（复印件）</w:t>
      </w:r>
      <w:bookmarkEnd w:id="692"/>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rPr>
          <w:rFonts w:ascii="宋体" w:hAnsi="宋体" w:eastAsia="宋体" w:cs="宋体"/>
          <w:b/>
          <w:color w:val="auto"/>
          <w:kern w:val="0"/>
          <w:szCs w:val="21"/>
          <w:highlight w:val="none"/>
        </w:rPr>
      </w:pPr>
      <w:bookmarkStart w:id="693" w:name="_Toc533708134"/>
      <w:bookmarkStart w:id="694" w:name="_Toc4861677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95" w:name="_Toc94107221"/>
      <w:bookmarkStart w:id="696" w:name="_Toc102860084"/>
      <w:bookmarkStart w:id="697" w:name="_Toc140596939"/>
      <w:bookmarkStart w:id="698" w:name="_Toc24616"/>
      <w:bookmarkStart w:id="699" w:name="_Toc1977738"/>
      <w:bookmarkStart w:id="700" w:name="_Toc104991886"/>
      <w:bookmarkStart w:id="701" w:name="_Toc102860428"/>
      <w:bookmarkStart w:id="702" w:name="_Toc142508379"/>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03" w:name="_Toc2007"/>
      <w:bookmarkStart w:id="704" w:name="_Toc29652"/>
      <w:bookmarkStart w:id="705" w:name="_Toc2431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95"/>
      <w:bookmarkEnd w:id="696"/>
      <w:bookmarkEnd w:id="697"/>
      <w:bookmarkEnd w:id="698"/>
      <w:bookmarkEnd w:id="699"/>
      <w:bookmarkEnd w:id="700"/>
      <w:bookmarkEnd w:id="701"/>
      <w:bookmarkEnd w:id="702"/>
      <w:bookmarkEnd w:id="703"/>
      <w:bookmarkEnd w:id="704"/>
      <w:bookmarkEnd w:id="705"/>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06" w:name="_Toc1977739"/>
      <w:bookmarkStart w:id="707" w:name="_Toc94107222"/>
      <w:bookmarkStart w:id="708" w:name="_Toc140596940"/>
      <w:bookmarkStart w:id="709" w:name="_Toc104991887"/>
      <w:bookmarkStart w:id="710" w:name="_Toc18038"/>
      <w:bookmarkStart w:id="711" w:name="_Toc102860429"/>
      <w:bookmarkStart w:id="712" w:name="_Toc31916"/>
      <w:bookmarkStart w:id="713" w:name="_Toc27482"/>
      <w:bookmarkStart w:id="714" w:name="_Toc142508380"/>
      <w:bookmarkStart w:id="715" w:name="_Toc102860085"/>
      <w:bookmarkStart w:id="716" w:name="_Toc112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693"/>
      <w:bookmarkEnd w:id="706"/>
      <w:bookmarkEnd w:id="707"/>
      <w:bookmarkEnd w:id="708"/>
      <w:bookmarkEnd w:id="709"/>
      <w:bookmarkEnd w:id="710"/>
      <w:bookmarkEnd w:id="711"/>
      <w:bookmarkEnd w:id="712"/>
      <w:bookmarkEnd w:id="713"/>
      <w:bookmarkEnd w:id="714"/>
      <w:bookmarkEnd w:id="715"/>
      <w:bookmarkEnd w:id="716"/>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rPr>
        <w:t>检测方案（投标人自行编写</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rPr>
        <w:t>检测成果准确性承诺书（</w:t>
      </w:r>
      <w:r>
        <w:rPr>
          <w:rFonts w:hint="default" w:ascii="宋体" w:hAnsi="宋体" w:eastAsia="宋体" w:cs="Times New Roman"/>
          <w:color w:val="auto"/>
          <w:szCs w:val="21"/>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4.3</w:t>
      </w:r>
      <w:r>
        <w:rPr>
          <w:rFonts w:hint="eastAsia" w:ascii="宋体" w:hAnsi="宋体" w:eastAsia="宋体" w:cs="宋体"/>
          <w:color w:val="auto"/>
          <w:kern w:val="0"/>
          <w:szCs w:val="21"/>
        </w:rPr>
        <w:t>检测成果准确性承诺书格式）</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rPr>
        <w:t>服务响应时间承诺书（</w:t>
      </w:r>
      <w:r>
        <w:rPr>
          <w:rFonts w:hint="default" w:ascii="宋体" w:hAnsi="宋体" w:eastAsia="宋体" w:cs="Times New Roman"/>
          <w:color w:val="auto"/>
          <w:szCs w:val="21"/>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4.4</w:t>
      </w:r>
      <w:r>
        <w:rPr>
          <w:rFonts w:hint="eastAsia" w:ascii="宋体" w:hAnsi="宋体" w:eastAsia="宋体" w:cs="宋体"/>
          <w:color w:val="auto"/>
          <w:kern w:val="0"/>
          <w:szCs w:val="21"/>
        </w:rPr>
        <w:t>服务响应时间承诺书格式）</w:t>
      </w:r>
      <w:r>
        <w:rPr>
          <w:rFonts w:hint="eastAsia" w:ascii="宋体" w:hAnsi="宋体" w:eastAsia="宋体" w:cs="宋体"/>
          <w:color w:val="auto"/>
          <w:kern w:val="0"/>
          <w:szCs w:val="21"/>
          <w:highlight w:val="none"/>
        </w:rPr>
        <w:t>；</w:t>
      </w:r>
    </w:p>
    <w:p>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、投标人认为有必要提供的其它材料（不做强制要求）。</w:t>
      </w:r>
    </w:p>
    <w:p>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94"/>
      <w:bookmarkStart w:id="717" w:name="_Toc94107223"/>
      <w:bookmarkStart w:id="718" w:name="_Toc102860430"/>
      <w:bookmarkStart w:id="719" w:name="_Toc142508381"/>
      <w:bookmarkStart w:id="720" w:name="_Toc104991888"/>
      <w:bookmarkStart w:id="721" w:name="_Toc533708135"/>
      <w:bookmarkStart w:id="722" w:name="_Toc140596941"/>
      <w:bookmarkStart w:id="723" w:name="_Toc1977740"/>
      <w:bookmarkStart w:id="724" w:name="_Toc102860086"/>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0832-SFCX24DG032C</w:t>
      </w:r>
    </w:p>
    <w:p>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东莞市茶山镇污水处理厂改扩建项目第三方检测服务（不含桩基完整性检测）采购项目</w:t>
      </w:r>
    </w:p>
    <w:p>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7" w:type="pct"/>
            <w:vAlign w:val="center"/>
          </w:tcPr>
          <w:p>
            <w:pP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25" w:name="_Toc18999"/>
      <w:bookmarkStart w:id="726" w:name="_Toc5936"/>
      <w:bookmarkStart w:id="727" w:name="_Toc30448"/>
      <w:bookmarkStart w:id="728" w:name="_Toc2793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717"/>
      <w:bookmarkEnd w:id="718"/>
      <w:bookmarkEnd w:id="719"/>
      <w:bookmarkEnd w:id="720"/>
      <w:bookmarkEnd w:id="721"/>
      <w:bookmarkEnd w:id="722"/>
      <w:bookmarkEnd w:id="723"/>
      <w:bookmarkEnd w:id="724"/>
      <w:bookmarkEnd w:id="725"/>
      <w:bookmarkEnd w:id="726"/>
      <w:bookmarkEnd w:id="727"/>
      <w:bookmarkEnd w:id="728"/>
    </w:p>
    <w:p>
      <w:pPr>
        <w:spacing w:before="120" w:after="120" w:line="360" w:lineRule="auto"/>
        <w:jc w:val="center"/>
        <w:rPr>
          <w:rFonts w:ascii="宋体" w:hAnsi="宋体" w:eastAsia="宋体" w:cs="Times New Roman"/>
          <w:color w:val="auto"/>
          <w:kern w:val="0"/>
          <w:szCs w:val="21"/>
          <w:highlight w:val="none"/>
        </w:rPr>
      </w:pPr>
      <w:bookmarkStart w:id="729" w:name="_Toc17449_WPSOffice_Level3"/>
      <w:r>
        <w:rPr>
          <w:rFonts w:hint="eastAsia" w:ascii="宋体" w:hAnsi="宋体" w:eastAsia="宋体" w:cs="宋体"/>
          <w:b/>
          <w:color w:val="auto"/>
          <w:kern w:val="0"/>
          <w:sz w:val="30"/>
          <w:szCs w:val="30"/>
          <w:highlight w:val="none"/>
          <w:lang w:val="zh-CN"/>
        </w:rPr>
        <w:t>用户需求偏离表</w:t>
      </w:r>
      <w:bookmarkEnd w:id="729"/>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pPr>
              <w:keepNext/>
              <w:keepLines/>
              <w:spacing w:line="400" w:lineRule="exact"/>
              <w:jc w:val="center"/>
              <w:outlineLvl w:val="0"/>
              <w:rPr>
                <w:rFonts w:ascii="宋体" w:hAnsi="宋体" w:eastAsia="宋体" w:cs="宋体"/>
                <w:color w:val="auto"/>
                <w:kern w:val="0"/>
                <w:sz w:val="21"/>
                <w:szCs w:val="21"/>
                <w:highlight w:val="none"/>
              </w:rPr>
            </w:pPr>
          </w:p>
        </w:tc>
        <w:tc>
          <w:tcPr>
            <w:tcW w:w="459"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2"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pPr>
              <w:spacing w:line="400" w:lineRule="exact"/>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459"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3092" w:type="pct"/>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34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3092"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34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四</w:t>
            </w:r>
          </w:p>
        </w:tc>
        <w:tc>
          <w:tcPr>
            <w:tcW w:w="3092" w:type="pct"/>
            <w:vAlign w:val="center"/>
          </w:tcPr>
          <w:p>
            <w:pPr>
              <w:keepNext w:val="0"/>
              <w:keepLines w:val="0"/>
              <w:pageBreakBefore w:val="0"/>
              <w:widowControl w:val="0"/>
              <w:kinsoku/>
              <w:wordWrap/>
              <w:overflowPunct/>
              <w:topLinePunct w:val="0"/>
              <w:bidi w:val="0"/>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费用支付</w:t>
            </w:r>
          </w:p>
        </w:tc>
        <w:tc>
          <w:tcPr>
            <w:tcW w:w="34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ascii="宋体" w:hAnsi="宋体" w:eastAsia="宋体"/>
                <w:b w:val="0"/>
                <w:bCs/>
                <w:color w:val="auto"/>
                <w:sz w:val="21"/>
                <w:szCs w:val="21"/>
                <w:highlight w:val="none"/>
                <w:lang w:val="zh-CN"/>
              </w:rPr>
            </w:pPr>
            <w:r>
              <w:rPr>
                <w:rFonts w:hint="eastAsia" w:ascii="宋体" w:hAnsi="宋体" w:eastAsia="宋体"/>
                <w:b w:val="0"/>
                <w:bCs/>
                <w:color w:val="auto"/>
                <w:sz w:val="21"/>
                <w:szCs w:val="21"/>
                <w:highlight w:val="none"/>
                <w:lang w:val="zh-CN"/>
              </w:rPr>
              <w:t>五</w:t>
            </w:r>
          </w:p>
        </w:tc>
        <w:tc>
          <w:tcPr>
            <w:tcW w:w="3092" w:type="pct"/>
            <w:vAlign w:val="center"/>
          </w:tcPr>
          <w:p>
            <w:pPr>
              <w:keepNext w:val="0"/>
              <w:keepLines w:val="0"/>
              <w:pageBreakBefore w:val="0"/>
              <w:widowControl w:val="0"/>
              <w:kinsoku/>
              <w:wordWrap/>
              <w:overflowPunct/>
              <w:topLinePunct w:val="0"/>
              <w:bidi w:val="0"/>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考核制度</w:t>
            </w:r>
          </w:p>
        </w:tc>
        <w:tc>
          <w:tcPr>
            <w:tcW w:w="34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3092" w:type="pct"/>
            <w:vAlign w:val="center"/>
          </w:tcPr>
          <w:p>
            <w:pPr>
              <w:keepNext w:val="0"/>
              <w:keepLines w:val="0"/>
              <w:pageBreakBefore w:val="0"/>
              <w:widowControl w:val="0"/>
              <w:kinsoku/>
              <w:wordWrap/>
              <w:overflowPunct/>
              <w:topLinePunct w:val="0"/>
              <w:bidi w:val="0"/>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《工程量清单计价表》</w:t>
            </w:r>
          </w:p>
        </w:tc>
        <w:tc>
          <w:tcPr>
            <w:tcW w:w="34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418"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21"/>
                <w:szCs w:val="21"/>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u w:val="single"/>
        </w:rPr>
        <w:t>其中“一、项目概况”除外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30" w:name="_Toc94107224"/>
      <w:bookmarkStart w:id="731" w:name="_Toc102860431"/>
      <w:bookmarkStart w:id="732" w:name="_Toc102860087"/>
      <w:bookmarkStart w:id="733" w:name="_Toc140596942"/>
      <w:bookmarkStart w:id="734" w:name="_Toc104991889"/>
      <w:bookmarkStart w:id="735" w:name="_Toc142508382"/>
      <w:bookmarkStart w:id="736" w:name="_Toc5046"/>
      <w:bookmarkStart w:id="737" w:name="_Toc23150"/>
      <w:bookmarkStart w:id="738" w:name="_Toc3593"/>
      <w:bookmarkStart w:id="739" w:name="_Toc2333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30"/>
      <w:bookmarkEnd w:id="731"/>
      <w:bookmarkEnd w:id="732"/>
      <w:bookmarkEnd w:id="733"/>
      <w:bookmarkEnd w:id="734"/>
      <w:bookmarkEnd w:id="735"/>
      <w:bookmarkEnd w:id="736"/>
      <w:bookmarkEnd w:id="737"/>
      <w:bookmarkEnd w:id="738"/>
      <w:r>
        <w:rPr>
          <w:rFonts w:hint="eastAsia" w:ascii="宋体" w:hAnsi="宋体" w:eastAsia="宋体" w:cs="宋体"/>
          <w:b/>
          <w:color w:val="auto"/>
          <w:kern w:val="0"/>
          <w:sz w:val="30"/>
          <w:szCs w:val="30"/>
        </w:rPr>
        <w:t>检测方案（投标人自行编写）</w:t>
      </w:r>
      <w:bookmarkEnd w:id="739"/>
    </w:p>
    <w:p>
      <w:pPr>
        <w:widowControl/>
        <w:jc w:val="left"/>
        <w:rPr>
          <w:rFonts w:ascii="宋体" w:hAnsi="宋体" w:eastAsia="宋体" w:cs="Times New Roman"/>
          <w:color w:val="auto"/>
          <w:kern w:val="0"/>
          <w:szCs w:val="21"/>
          <w:highlight w:val="none"/>
        </w:rPr>
      </w:pPr>
      <w:bookmarkStart w:id="740" w:name="_Toc94107225"/>
      <w:r>
        <w:rPr>
          <w:rFonts w:ascii="宋体" w:hAnsi="宋体" w:eastAsia="宋体" w:cs="Times New Roman"/>
          <w:color w:val="auto"/>
          <w:kern w:val="0"/>
          <w:szCs w:val="21"/>
          <w:highlight w:val="none"/>
        </w:rPr>
        <w:br w:type="page"/>
      </w:r>
    </w:p>
    <w:bookmarkEnd w:id="740"/>
    <w:p>
      <w:pPr>
        <w:rPr>
          <w:rFonts w:ascii="宋体" w:hAnsi="宋体" w:eastAsia="宋体" w:cs="宋体"/>
          <w:b/>
          <w:color w:val="auto"/>
          <w:kern w:val="0"/>
          <w:sz w:val="30"/>
          <w:szCs w:val="30"/>
        </w:rPr>
      </w:pPr>
      <w:bookmarkStart w:id="741" w:name="_Toc102860094"/>
      <w:bookmarkStart w:id="742" w:name="_Toc140596949"/>
      <w:bookmarkStart w:id="743" w:name="_Toc142508389"/>
      <w:bookmarkStart w:id="744" w:name="_Toc102860438"/>
      <w:bookmarkStart w:id="745" w:name="_Toc104991896"/>
      <w:bookmarkStart w:id="746" w:name="_Toc533708139"/>
      <w:r>
        <w:rPr>
          <w:rFonts w:hint="eastAsia" w:ascii="宋体" w:hAnsi="宋体" w:eastAsia="宋体" w:cs="宋体"/>
          <w:b/>
          <w:color w:val="auto"/>
          <w:kern w:val="0"/>
          <w:sz w:val="30"/>
          <w:szCs w:val="30"/>
          <w:highlight w:val="none"/>
          <w:lang w:val="en-US" w:eastAsia="zh-CN"/>
        </w:rPr>
        <w:t xml:space="preserve">14.3 </w:t>
      </w:r>
      <w:r>
        <w:rPr>
          <w:rFonts w:hint="eastAsia" w:ascii="宋体" w:hAnsi="宋体" w:eastAsia="宋体" w:cs="宋体"/>
          <w:b/>
          <w:color w:val="auto"/>
          <w:kern w:val="0"/>
          <w:sz w:val="30"/>
          <w:szCs w:val="30"/>
        </w:rPr>
        <w:t>检测成果准确性承诺书格式</w:t>
      </w:r>
    </w:p>
    <w:p>
      <w:pPr>
        <w:rPr>
          <w:rFonts w:ascii="宋体" w:hAnsi="宋体" w:eastAsia="宋体" w:cs="宋体"/>
          <w:b/>
          <w:color w:val="auto"/>
          <w:kern w:val="0"/>
          <w:sz w:val="30"/>
          <w:szCs w:val="30"/>
        </w:rPr>
      </w:pPr>
    </w:p>
    <w:p>
      <w:pPr>
        <w:widowControl/>
        <w:spacing w:line="360" w:lineRule="auto"/>
        <w:jc w:val="center"/>
        <w:outlineLvl w:val="3"/>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检测成果准确性承诺书</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5"/>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3"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承诺事项</w:t>
            </w:r>
          </w:p>
        </w:tc>
        <w:tc>
          <w:tcPr>
            <w:tcW w:w="1766"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错误点数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233"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rPr>
              <w:t>所有检测成果按实检测</w:t>
            </w:r>
          </w:p>
        </w:tc>
        <w:tc>
          <w:tcPr>
            <w:tcW w:w="1766"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个</w:t>
            </w:r>
            <w:r>
              <w:rPr>
                <w:rFonts w:hint="eastAsia" w:ascii="宋体" w:hAnsi="宋体" w:eastAsia="宋体" w:cs="宋体"/>
                <w:color w:val="auto"/>
                <w:szCs w:val="21"/>
              </w:rPr>
              <w:t>（含）</w:t>
            </w:r>
            <w:r>
              <w:rPr>
                <w:rFonts w:hint="eastAsia" w:ascii="宋体" w:hAnsi="宋体" w:eastAsia="宋体" w:cs="宋体"/>
                <w:color w:val="auto"/>
                <w:szCs w:val="21"/>
                <w:shd w:val="clear" w:color="auto" w:fill="FFFFFF"/>
              </w:rPr>
              <w:t>以内</w:t>
            </w:r>
          </w:p>
        </w:tc>
      </w:tr>
    </w:tbl>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ind w:firstLine="5040"/>
        <w:rPr>
          <w:rFonts w:ascii="宋体" w:hAnsi="宋体" w:eastAsia="宋体" w:cs="宋体"/>
          <w:color w:val="auto"/>
          <w:lang w:val="zh-CN"/>
        </w:rPr>
      </w:pPr>
      <w:r>
        <w:rPr>
          <w:rFonts w:hint="eastAsia" w:ascii="宋体" w:hAnsi="宋体" w:eastAsia="宋体" w:cs="宋体"/>
          <w:color w:val="auto"/>
          <w:lang w:val="zh-CN"/>
        </w:rPr>
        <w:t>投标人：（加盖投标人法人公章）</w:t>
      </w:r>
    </w:p>
    <w:p>
      <w:pPr>
        <w:spacing w:line="360" w:lineRule="auto"/>
        <w:ind w:firstLine="5040"/>
        <w:rPr>
          <w:rFonts w:ascii="宋体" w:hAnsi="宋体" w:eastAsia="宋体" w:cs="宋体"/>
          <w:color w:val="auto"/>
        </w:rPr>
      </w:pPr>
      <w:r>
        <w:rPr>
          <w:rFonts w:hint="eastAsia" w:ascii="宋体" w:hAnsi="宋体" w:eastAsia="宋体" w:cs="宋体"/>
          <w:color w:val="auto"/>
          <w:lang w:val="zh-CN"/>
        </w:rPr>
        <w:t>日期：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rPr>
          <w:rFonts w:ascii="宋体" w:hAnsi="宋体" w:eastAsia="宋体" w:cs="宋体"/>
          <w:b/>
          <w:color w:val="auto"/>
          <w:kern w:val="0"/>
          <w:sz w:val="30"/>
          <w:szCs w:val="30"/>
        </w:rPr>
      </w:pPr>
      <w:r>
        <w:rPr>
          <w:rFonts w:hint="eastAsia" w:ascii="宋体" w:hAnsi="宋体" w:eastAsia="宋体" w:cs="宋体"/>
          <w:b/>
          <w:color w:val="auto"/>
          <w:kern w:val="0"/>
          <w:sz w:val="30"/>
          <w:szCs w:val="30"/>
          <w:highlight w:val="none"/>
          <w:lang w:val="en-US" w:eastAsia="zh-CN"/>
        </w:rPr>
        <w:t xml:space="preserve">14.4 </w:t>
      </w:r>
      <w:r>
        <w:rPr>
          <w:rFonts w:hint="eastAsia" w:ascii="宋体" w:hAnsi="宋体" w:eastAsia="宋体" w:cs="宋体"/>
          <w:b/>
          <w:color w:val="auto"/>
          <w:kern w:val="0"/>
          <w:sz w:val="30"/>
          <w:szCs w:val="30"/>
        </w:rPr>
        <w:t>服务响应时间承诺书格式</w:t>
      </w:r>
    </w:p>
    <w:p>
      <w:pPr>
        <w:spacing w:line="360" w:lineRule="auto"/>
        <w:rPr>
          <w:color w:val="auto"/>
        </w:rPr>
      </w:pPr>
    </w:p>
    <w:p>
      <w:pPr>
        <w:widowControl/>
        <w:spacing w:line="360" w:lineRule="auto"/>
        <w:jc w:val="center"/>
        <w:rPr>
          <w:rFonts w:ascii="宋体" w:hAnsi="宋体" w:eastAsia="宋体" w:cs="宋体"/>
          <w:b/>
          <w:bCs/>
          <w:color w:val="auto"/>
          <w:sz w:val="30"/>
          <w:szCs w:val="30"/>
          <w:lang w:val="zh-CN"/>
        </w:rPr>
      </w:pPr>
      <w:r>
        <w:rPr>
          <w:rFonts w:hint="eastAsia" w:ascii="宋体" w:hAnsi="宋体" w:eastAsia="宋体" w:cs="宋体"/>
          <w:b/>
          <w:color w:val="auto"/>
          <w:sz w:val="32"/>
          <w:szCs w:val="32"/>
        </w:rPr>
        <w:t>服务响应时间承诺书</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3"/>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09"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承诺事项</w:t>
            </w:r>
          </w:p>
        </w:tc>
        <w:tc>
          <w:tcPr>
            <w:tcW w:w="1690"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09" w:type="pct"/>
            <w:vAlign w:val="center"/>
          </w:tcPr>
          <w:p>
            <w:pPr>
              <w:jc w:val="center"/>
              <w:rPr>
                <w:rFonts w:ascii="宋体" w:hAnsi="宋体" w:eastAsia="宋体" w:cs="宋体"/>
                <w:color w:val="auto"/>
                <w:szCs w:val="21"/>
                <w:shd w:val="clear" w:color="auto" w:fill="FFFFFF"/>
              </w:rPr>
            </w:pPr>
            <w:r>
              <w:rPr>
                <w:rFonts w:hint="eastAsia" w:ascii="宋体" w:hAnsi="宋体" w:eastAsia="宋体" w:cs="宋体"/>
                <w:color w:val="auto"/>
                <w:szCs w:val="21"/>
              </w:rPr>
              <w:t>接到招标人电话通知后机械设备、人员进场服务</w:t>
            </w:r>
          </w:p>
        </w:tc>
        <w:tc>
          <w:tcPr>
            <w:tcW w:w="1690" w:type="pct"/>
            <w:vAlign w:val="center"/>
          </w:tcPr>
          <w:p>
            <w:pPr>
              <w:jc w:val="center"/>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小时（含）内</w:t>
            </w:r>
          </w:p>
        </w:tc>
      </w:tr>
    </w:tbl>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ind w:firstLine="5040"/>
        <w:rPr>
          <w:rFonts w:ascii="宋体" w:hAnsi="宋体" w:eastAsia="宋体" w:cs="宋体"/>
          <w:color w:val="auto"/>
          <w:lang w:val="zh-CN"/>
        </w:rPr>
      </w:pPr>
      <w:r>
        <w:rPr>
          <w:rFonts w:hint="eastAsia" w:ascii="宋体" w:hAnsi="宋体" w:eastAsia="宋体" w:cs="宋体"/>
          <w:color w:val="auto"/>
          <w:lang w:val="zh-CN"/>
        </w:rPr>
        <w:t>投标人：（加盖投标人法人公章）</w:t>
      </w:r>
    </w:p>
    <w:p>
      <w:pPr>
        <w:spacing w:line="360" w:lineRule="auto"/>
        <w:ind w:firstLine="5040"/>
        <w:rPr>
          <w:rFonts w:ascii="宋体" w:hAnsi="宋体" w:eastAsia="宋体" w:cs="宋体"/>
          <w:color w:val="auto"/>
        </w:rPr>
      </w:pPr>
      <w:r>
        <w:rPr>
          <w:rFonts w:hint="eastAsia" w:ascii="宋体" w:hAnsi="宋体" w:eastAsia="宋体" w:cs="宋体"/>
          <w:color w:val="auto"/>
          <w:lang w:val="zh-CN"/>
        </w:rPr>
        <w:t>日期：   年   月   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47" w:name="_Toc30545"/>
      <w:bookmarkStart w:id="748" w:name="_Toc18180"/>
      <w:bookmarkStart w:id="749" w:name="_Toc18870"/>
      <w:bookmarkStart w:id="750" w:name="_Toc3750"/>
      <w:r>
        <w:rPr>
          <w:rFonts w:hint="eastAsia" w:ascii="宋体" w:hAnsi="宋体" w:eastAsia="宋体" w:cs="宋体"/>
          <w:b/>
          <w:color w:val="auto"/>
          <w:kern w:val="0"/>
          <w:sz w:val="30"/>
          <w:szCs w:val="30"/>
          <w:highlight w:val="none"/>
          <w:lang w:val="en-US" w:eastAsia="zh-CN"/>
        </w:rPr>
        <w:t xml:space="preserve">14.5 </w:t>
      </w:r>
      <w:r>
        <w:rPr>
          <w:rFonts w:hint="eastAsia" w:ascii="宋体" w:hAnsi="宋体" w:eastAsia="宋体" w:cs="宋体"/>
          <w:b/>
          <w:color w:val="auto"/>
          <w:kern w:val="0"/>
          <w:sz w:val="30"/>
          <w:szCs w:val="30"/>
          <w:highlight w:val="none"/>
        </w:rPr>
        <w:t>投标人认为有必要提供的其它材料（不做强制要求）</w:t>
      </w:r>
      <w:bookmarkEnd w:id="741"/>
      <w:bookmarkEnd w:id="742"/>
      <w:bookmarkEnd w:id="743"/>
      <w:bookmarkEnd w:id="744"/>
      <w:bookmarkEnd w:id="745"/>
      <w:bookmarkEnd w:id="747"/>
      <w:bookmarkEnd w:id="748"/>
      <w:bookmarkEnd w:id="749"/>
      <w:bookmarkEnd w:id="750"/>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51" w:name="_Toc21059"/>
      <w:bookmarkStart w:id="752" w:name="_Toc14977"/>
      <w:bookmarkStart w:id="753" w:name="_Toc30548"/>
      <w:bookmarkStart w:id="754" w:name="_Toc32664"/>
      <w:bookmarkStart w:id="755" w:name="_Toc142508390"/>
      <w:bookmarkStart w:id="756" w:name="_Toc522047402"/>
      <w:bookmarkStart w:id="757" w:name="_Toc22601_WPSOffice_Level1"/>
      <w:bookmarkStart w:id="758" w:name="_Toc521918141"/>
      <w:r>
        <w:rPr>
          <w:rFonts w:hint="eastAsia" w:ascii="宋体" w:hAnsi="宋体" w:eastAsia="宋体" w:cs="宋体"/>
          <w:b/>
          <w:bCs/>
          <w:color w:val="auto"/>
          <w:kern w:val="44"/>
          <w:sz w:val="32"/>
          <w:szCs w:val="32"/>
          <w:highlight w:val="none"/>
          <w:lang w:val="zh-CN"/>
        </w:rPr>
        <w:t>附件一：评标工作大纲</w:t>
      </w:r>
      <w:bookmarkEnd w:id="751"/>
      <w:bookmarkEnd w:id="752"/>
      <w:bookmarkEnd w:id="753"/>
      <w:bookmarkEnd w:id="754"/>
      <w:bookmarkEnd w:id="755"/>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东莞市茶山镇污水处理厂改扩建项目第三方检测服务（不含桩基完整性检测）采购项目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759" w:name="_Toc14752_WPSOffice_Level1"/>
      <w:r>
        <w:rPr>
          <w:rFonts w:hint="eastAsia" w:ascii="宋体" w:hAnsi="宋体" w:eastAsia="宋体" w:cs="宋体"/>
          <w:b/>
          <w:bCs/>
          <w:color w:val="auto"/>
          <w:sz w:val="36"/>
          <w:szCs w:val="36"/>
          <w:highlight w:val="none"/>
          <w:lang w:val="zh-CN"/>
        </w:rPr>
        <w:t>（招标编号：0832-SFCX24DG032C）</w:t>
      </w:r>
      <w:bookmarkEnd w:id="75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60" w:name="_Toc18947_WPSOffice_Level2"/>
      <w:r>
        <w:rPr>
          <w:rFonts w:hint="eastAsia" w:ascii="宋体" w:hAnsi="宋体" w:eastAsia="宋体" w:cs="宋体"/>
          <w:b/>
          <w:bCs/>
          <w:color w:val="auto"/>
          <w:sz w:val="72"/>
          <w:szCs w:val="72"/>
          <w:highlight w:val="none"/>
          <w:lang w:val="zh-CN"/>
        </w:rPr>
        <w:t>评标工作大纲</w:t>
      </w:r>
      <w:bookmarkEnd w:id="760"/>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61" w:name="_Toc32395_WPSOffice_Level1"/>
      <w:r>
        <w:rPr>
          <w:rFonts w:hint="eastAsia" w:ascii="宋体" w:hAnsi="宋体" w:eastAsia="宋体" w:cs="宋体"/>
          <w:b/>
          <w:bCs/>
          <w:color w:val="auto"/>
          <w:sz w:val="36"/>
          <w:szCs w:val="36"/>
          <w:highlight w:val="none"/>
          <w:lang w:val="zh-CN"/>
        </w:rPr>
        <w:t>目录</w:t>
      </w:r>
      <w:bookmarkEnd w:id="761"/>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76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62"/>
    </w:p>
    <w:p>
      <w:pPr>
        <w:autoSpaceDE w:val="0"/>
        <w:autoSpaceDN w:val="0"/>
        <w:adjustRightInd w:val="0"/>
        <w:spacing w:line="360" w:lineRule="auto"/>
        <w:ind w:left="567" w:hanging="567"/>
        <w:rPr>
          <w:rFonts w:ascii="宋体" w:hAnsi="宋体" w:eastAsia="宋体" w:cs="宋体"/>
          <w:color w:val="auto"/>
          <w:szCs w:val="30"/>
          <w:highlight w:val="none"/>
        </w:rPr>
      </w:pPr>
      <w:bookmarkStart w:id="76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63"/>
    </w:p>
    <w:p>
      <w:pPr>
        <w:autoSpaceDE w:val="0"/>
        <w:autoSpaceDN w:val="0"/>
        <w:adjustRightInd w:val="0"/>
        <w:spacing w:line="360" w:lineRule="auto"/>
        <w:ind w:left="567" w:hanging="567"/>
        <w:rPr>
          <w:rFonts w:ascii="宋体" w:hAnsi="宋体" w:eastAsia="宋体" w:cs="宋体"/>
          <w:color w:val="auto"/>
          <w:szCs w:val="30"/>
          <w:highlight w:val="none"/>
        </w:rPr>
      </w:pPr>
      <w:bookmarkStart w:id="76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64"/>
    </w:p>
    <w:p>
      <w:pPr>
        <w:autoSpaceDE w:val="0"/>
        <w:autoSpaceDN w:val="0"/>
        <w:adjustRightInd w:val="0"/>
        <w:spacing w:line="360" w:lineRule="auto"/>
        <w:ind w:left="567" w:hanging="567"/>
        <w:rPr>
          <w:rFonts w:ascii="宋体" w:hAnsi="宋体" w:eastAsia="宋体" w:cs="宋体"/>
          <w:color w:val="auto"/>
          <w:szCs w:val="30"/>
          <w:highlight w:val="none"/>
        </w:rPr>
      </w:pPr>
      <w:bookmarkStart w:id="765" w:name="_Toc1206_WPSOffice_Level1"/>
      <w:r>
        <w:rPr>
          <w:rFonts w:hint="eastAsia" w:ascii="宋体" w:hAnsi="宋体" w:eastAsia="宋体" w:cs="宋体"/>
          <w:color w:val="auto"/>
          <w:szCs w:val="30"/>
          <w:highlight w:val="none"/>
        </w:rPr>
        <w:t>四、 比较和评价</w:t>
      </w:r>
      <w:bookmarkEnd w:id="765"/>
    </w:p>
    <w:p>
      <w:pPr>
        <w:autoSpaceDE w:val="0"/>
        <w:autoSpaceDN w:val="0"/>
        <w:adjustRightInd w:val="0"/>
        <w:spacing w:line="360" w:lineRule="auto"/>
        <w:ind w:left="567" w:hanging="567"/>
        <w:rPr>
          <w:rFonts w:ascii="宋体" w:hAnsi="宋体" w:eastAsia="宋体" w:cs="宋体"/>
          <w:color w:val="auto"/>
          <w:szCs w:val="30"/>
          <w:highlight w:val="none"/>
        </w:rPr>
      </w:pPr>
      <w:bookmarkStart w:id="76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66"/>
    </w:p>
    <w:p>
      <w:pPr>
        <w:autoSpaceDE w:val="0"/>
        <w:autoSpaceDN w:val="0"/>
        <w:adjustRightInd w:val="0"/>
        <w:spacing w:line="360" w:lineRule="auto"/>
        <w:ind w:left="567" w:hanging="567"/>
        <w:rPr>
          <w:rFonts w:ascii="宋体" w:hAnsi="宋体" w:eastAsia="宋体" w:cs="宋体"/>
          <w:color w:val="auto"/>
          <w:szCs w:val="30"/>
          <w:highlight w:val="none"/>
        </w:rPr>
      </w:pPr>
      <w:bookmarkStart w:id="76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67"/>
    </w:p>
    <w:p>
      <w:pPr>
        <w:autoSpaceDE w:val="0"/>
        <w:autoSpaceDN w:val="0"/>
        <w:adjustRightInd w:val="0"/>
        <w:spacing w:line="360" w:lineRule="auto"/>
        <w:ind w:left="567" w:hanging="567"/>
        <w:rPr>
          <w:rFonts w:ascii="宋体" w:hAnsi="宋体" w:eastAsia="宋体" w:cs="宋体"/>
          <w:color w:val="auto"/>
          <w:szCs w:val="30"/>
          <w:highlight w:val="none"/>
        </w:rPr>
      </w:pPr>
      <w:bookmarkStart w:id="76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68"/>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6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69"/>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东莞市茶山镇污水处理厂改扩建项目第三方检测服务（不含桩基完整性检测）采购项目</w:t>
      </w:r>
      <w:r>
        <w:rPr>
          <w:rFonts w:hint="eastAsia" w:ascii="宋体" w:hAnsi="宋体" w:eastAsia="宋体" w:cs="宋体"/>
          <w:color w:val="auto"/>
          <w:szCs w:val="21"/>
          <w:highlight w:val="none"/>
          <w:lang w:val="zh-CN"/>
        </w:rPr>
        <w:t>(招标编号：0832-SFCX24DG032C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en-US" w:eastAsia="zh-CN"/>
        </w:rPr>
        <w:t>A.</w:t>
      </w: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67" w:hanging="567"/>
        <w:rPr>
          <w:rFonts w:ascii="宋体" w:hAnsi="宋体" w:eastAsia="宋体" w:cs="Times New Roman"/>
          <w:b/>
          <w:color w:val="auto"/>
          <w:szCs w:val="24"/>
          <w:lang w:val="zh-CN"/>
        </w:rPr>
      </w:pPr>
    </w:p>
    <w:p>
      <w:pPr>
        <w:autoSpaceDE w:val="0"/>
        <w:autoSpaceDN w:val="0"/>
        <w:adjustRightInd w:val="0"/>
        <w:spacing w:line="360" w:lineRule="auto"/>
        <w:ind w:left="567" w:hanging="567"/>
        <w:rPr>
          <w:rFonts w:ascii="宋体" w:hAnsi="宋体" w:eastAsia="宋体" w:cs="Times New Roman"/>
          <w:b/>
          <w:color w:val="auto"/>
          <w:szCs w:val="24"/>
          <w:lang w:val="zh-CN"/>
        </w:rPr>
      </w:pPr>
      <w:r>
        <w:rPr>
          <w:rFonts w:ascii="宋体" w:hAnsi="宋体" w:eastAsia="宋体" w:cs="Times New Roman"/>
          <w:b/>
          <w:color w:val="auto"/>
          <w:szCs w:val="24"/>
          <w:lang w:val="zh-CN"/>
        </w:rPr>
        <w:t>B</w:t>
      </w:r>
      <w:r>
        <w:rPr>
          <w:rFonts w:hint="eastAsia" w:ascii="宋体" w:hAnsi="宋体" w:eastAsia="宋体" w:cs="Times New Roman"/>
          <w:b/>
          <w:color w:val="auto"/>
          <w:szCs w:val="24"/>
          <w:lang w:val="zh-CN"/>
        </w:rPr>
        <w:t>．竞争性谈判：</w:t>
      </w:r>
    </w:p>
    <w:p>
      <w:pPr>
        <w:autoSpaceDE w:val="0"/>
        <w:autoSpaceDN w:val="0"/>
        <w:adjustRightInd w:val="0"/>
        <w:spacing w:line="360" w:lineRule="auto"/>
        <w:ind w:left="518" w:hanging="518"/>
        <w:rPr>
          <w:rFonts w:ascii="宋体" w:hAnsi="宋体" w:eastAsia="宋体" w:cs="Times New Roman"/>
          <w:color w:val="auto"/>
          <w:szCs w:val="21"/>
        </w:rPr>
      </w:pPr>
      <w:r>
        <w:rPr>
          <w:rFonts w:hint="eastAsia" w:ascii="宋体" w:hAnsi="宋体" w:eastAsia="宋体" w:cs="Times New Roman"/>
          <w:bCs/>
          <w:color w:val="auto"/>
          <w:szCs w:val="24"/>
          <w:lang w:val="zh-CN"/>
        </w:rPr>
        <w:t>5.8</w:t>
      </w:r>
      <w:r>
        <w:rPr>
          <w:rFonts w:ascii="宋体" w:hAnsi="宋体" w:eastAsia="宋体" w:cs="Times New Roman"/>
          <w:bCs/>
          <w:color w:val="auto"/>
          <w:szCs w:val="24"/>
        </w:rPr>
        <w:t xml:space="preserve">  </w:t>
      </w:r>
      <w:r>
        <w:rPr>
          <w:rFonts w:hint="eastAsia" w:ascii="宋体" w:hAnsi="宋体" w:eastAsia="宋体" w:cs="Times New Roman"/>
          <w:color w:val="auto"/>
          <w:szCs w:val="21"/>
        </w:rPr>
        <w:t>当有效</w:t>
      </w:r>
      <w:r>
        <w:rPr>
          <w:rFonts w:hint="eastAsia" w:ascii="宋体" w:hAnsi="宋体" w:eastAsia="宋体" w:cs="Times New Roman"/>
          <w:color w:val="auto"/>
          <w:szCs w:val="21"/>
          <w:lang w:val="zh-CN"/>
        </w:rPr>
        <w:t>投标人只有2个时，终止公开招标采购，经评标委员会论证，采购文件没有不合理条款、采购程序符合规定，现场经招标人代表和作出实质性响应的投标人代表同意后，现场更改为竞争性谈判的方式继续采购。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Times New Roman"/>
          <w:bCs/>
          <w:color w:val="auto"/>
          <w:szCs w:val="24"/>
          <w:lang w:val="zh-CN"/>
        </w:rPr>
        <w:t>评审首先由评标委员会对投标人的投标文件做</w:t>
      </w:r>
      <w:r>
        <w:rPr>
          <w:rFonts w:hint="eastAsia" w:ascii="宋体" w:hAnsi="宋体" w:eastAsia="宋体" w:cs="Times New Roman"/>
          <w:color w:val="auto"/>
          <w:szCs w:val="21"/>
          <w:lang w:val="zh-CN"/>
        </w:rPr>
        <w:t>初审</w:t>
      </w:r>
      <w:r>
        <w:rPr>
          <w:rFonts w:hint="eastAsia" w:ascii="宋体" w:hAnsi="宋体" w:eastAsia="宋体" w:cs="Times New Roman"/>
          <w:bCs/>
          <w:color w:val="auto"/>
          <w:szCs w:val="24"/>
          <w:lang w:val="zh-CN"/>
        </w:rPr>
        <w:t>，对未能通过初审的投标文件不再进入下一阶段评审。</w:t>
      </w:r>
    </w:p>
    <w:p>
      <w:pPr>
        <w:autoSpaceDE w:val="0"/>
        <w:autoSpaceDN w:val="0"/>
        <w:adjustRightInd w:val="0"/>
        <w:spacing w:line="360" w:lineRule="auto"/>
        <w:ind w:left="518" w:hanging="518"/>
        <w:rPr>
          <w:rFonts w:ascii="宋体" w:hAnsi="宋体" w:eastAsia="宋体" w:cs="Times New Roman"/>
          <w:color w:val="auto"/>
          <w:kern w:val="0"/>
          <w:szCs w:val="21"/>
        </w:rPr>
      </w:pPr>
      <w:r>
        <w:rPr>
          <w:rFonts w:ascii="宋体" w:hAnsi="宋体" w:eastAsia="宋体" w:cs="Times New Roman"/>
          <w:color w:val="auto"/>
          <w:szCs w:val="24"/>
          <w:lang w:val="zh-CN"/>
        </w:rPr>
        <w:t>5.9</w:t>
      </w:r>
      <w:r>
        <w:rPr>
          <w:rFonts w:ascii="宋体" w:hAnsi="宋体" w:eastAsia="宋体" w:cs="Times New Roman"/>
          <w:color w:val="auto"/>
          <w:szCs w:val="24"/>
        </w:rPr>
        <w:t xml:space="preserve">  </w:t>
      </w:r>
      <w:r>
        <w:rPr>
          <w:rFonts w:hint="eastAsia" w:ascii="宋体" w:hAnsi="宋体" w:eastAsia="宋体" w:cs="Times New Roman"/>
          <w:color w:val="auto"/>
          <w:szCs w:val="21"/>
          <w:lang w:val="zh-CN"/>
        </w:rPr>
        <w:t>评标委员会将集中按递交投标文件的先后顺序逐一与合格的投标人</w:t>
      </w:r>
      <w:r>
        <w:rPr>
          <w:rFonts w:hint="eastAsia" w:ascii="宋体" w:hAnsi="宋体" w:eastAsia="宋体" w:cs="Times New Roman"/>
          <w:color w:val="auto"/>
          <w:kern w:val="0"/>
          <w:szCs w:val="21"/>
        </w:rPr>
        <w:t>进行相同轮次（一个或多个回合）谈判</w:t>
      </w:r>
      <w:r>
        <w:rPr>
          <w:rFonts w:hint="eastAsia" w:ascii="宋体" w:hAnsi="宋体" w:eastAsia="宋体" w:cs="Times New Roman"/>
          <w:color w:val="auto"/>
          <w:szCs w:val="21"/>
          <w:lang w:val="zh-CN"/>
        </w:rPr>
        <w:t>，并给予所有参加谈判的响应投标人平等的谈判机会。</w:t>
      </w:r>
      <w:r>
        <w:rPr>
          <w:rFonts w:hint="eastAsia" w:ascii="宋体" w:hAnsi="宋体" w:eastAsia="宋体" w:cs="Times New Roman"/>
          <w:color w:val="auto"/>
          <w:szCs w:val="24"/>
          <w:lang w:val="zh-CN"/>
        </w:rPr>
        <w:t>如需要，进行必要的澄清工作。</w:t>
      </w:r>
      <w:r>
        <w:rPr>
          <w:rFonts w:hint="eastAsia" w:ascii="宋体" w:hAnsi="宋体" w:eastAsia="宋体" w:cs="Times New Roman"/>
          <w:color w:val="auto"/>
          <w:kern w:val="0"/>
          <w:szCs w:val="21"/>
        </w:rPr>
        <w:t>在谈判中，谈判的任何一方不得透露与谈判有关的其他投标人的技术资料、报价和其他信息。</w:t>
      </w:r>
    </w:p>
    <w:p>
      <w:pPr>
        <w:autoSpaceDE w:val="0"/>
        <w:autoSpaceDN w:val="0"/>
        <w:adjustRightInd w:val="0"/>
        <w:spacing w:line="360" w:lineRule="auto"/>
        <w:ind w:left="518" w:hanging="518"/>
        <w:rPr>
          <w:rFonts w:ascii="宋体" w:hAnsi="宋体" w:eastAsia="宋体" w:cs="Times New Roman"/>
          <w:color w:val="auto"/>
          <w:szCs w:val="24"/>
        </w:rPr>
      </w:pPr>
      <w:r>
        <w:rPr>
          <w:rFonts w:hint="eastAsia" w:ascii="宋体" w:hAnsi="宋体" w:eastAsia="宋体" w:cs="Times New Roman"/>
          <w:color w:val="auto"/>
          <w:szCs w:val="24"/>
          <w:lang w:val="zh-CN"/>
        </w:rPr>
        <w:t>5.</w:t>
      </w:r>
      <w:r>
        <w:rPr>
          <w:rFonts w:ascii="宋体" w:hAnsi="宋体" w:eastAsia="宋体" w:cs="Times New Roman"/>
          <w:color w:val="auto"/>
          <w:szCs w:val="24"/>
          <w:lang w:val="zh-CN"/>
        </w:rPr>
        <w:t>10</w:t>
      </w:r>
      <w:r>
        <w:rPr>
          <w:rFonts w:ascii="宋体" w:hAnsi="宋体" w:eastAsia="宋体" w:cs="Times New Roman"/>
          <w:color w:val="auto"/>
          <w:szCs w:val="24"/>
        </w:rPr>
        <w:t xml:space="preserve"> </w:t>
      </w:r>
      <w:r>
        <w:rPr>
          <w:rFonts w:hint="eastAsia" w:ascii="宋体" w:hAnsi="宋体" w:eastAsia="宋体" w:cs="Times New Roman"/>
          <w:color w:val="auto"/>
          <w:szCs w:val="24"/>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pPr>
        <w:autoSpaceDE w:val="0"/>
        <w:autoSpaceDN w:val="0"/>
        <w:adjustRightInd w:val="0"/>
        <w:spacing w:line="360" w:lineRule="auto"/>
        <w:ind w:left="518" w:hanging="518"/>
        <w:rPr>
          <w:rFonts w:ascii="宋体" w:hAnsi="宋体" w:eastAsia="宋体" w:cs="Times New Roman"/>
          <w:color w:val="auto"/>
          <w:szCs w:val="24"/>
        </w:rPr>
      </w:pPr>
      <w:r>
        <w:rPr>
          <w:rFonts w:hint="eastAsia" w:ascii="宋体" w:hAnsi="宋体" w:eastAsia="宋体" w:cs="Times New Roman"/>
          <w:color w:val="auto"/>
          <w:szCs w:val="24"/>
        </w:rPr>
        <w:t>5.</w:t>
      </w:r>
      <w:r>
        <w:rPr>
          <w:rFonts w:ascii="宋体" w:hAnsi="宋体" w:eastAsia="宋体" w:cs="Times New Roman"/>
          <w:color w:val="auto"/>
          <w:szCs w:val="24"/>
        </w:rPr>
        <w:t xml:space="preserve">11 </w:t>
      </w:r>
      <w:r>
        <w:rPr>
          <w:rFonts w:hint="eastAsia" w:ascii="宋体" w:hAnsi="宋体" w:eastAsia="宋体" w:cs="Times New Roman"/>
          <w:color w:val="auto"/>
          <w:szCs w:val="24"/>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rPr>
          <w:rFonts w:ascii="宋体" w:hAnsi="宋体" w:eastAsia="宋体" w:cs="Times New Roman"/>
          <w:b/>
          <w:color w:val="auto"/>
          <w:szCs w:val="21"/>
          <w:lang w:val="zh-CN"/>
        </w:rPr>
      </w:pPr>
      <w:r>
        <w:rPr>
          <w:rFonts w:hint="eastAsia" w:ascii="宋体" w:hAnsi="宋体" w:eastAsia="宋体" w:cs="Times New Roman"/>
          <w:color w:val="auto"/>
          <w:szCs w:val="24"/>
        </w:rPr>
        <w:t>5.</w:t>
      </w:r>
      <w:r>
        <w:rPr>
          <w:rFonts w:ascii="宋体" w:hAnsi="宋体" w:eastAsia="宋体" w:cs="Times New Roman"/>
          <w:color w:val="auto"/>
          <w:szCs w:val="24"/>
        </w:rPr>
        <w:t xml:space="preserve">12 </w:t>
      </w:r>
      <w:r>
        <w:rPr>
          <w:rFonts w:hint="eastAsia" w:ascii="宋体" w:hAnsi="宋体" w:eastAsia="宋体" w:cs="Times New Roman"/>
          <w:color w:val="auto"/>
          <w:szCs w:val="24"/>
        </w:rPr>
        <w:t>招标文件能够详细列明采购标的的技术、服务要求的，</w:t>
      </w:r>
      <w:r>
        <w:rPr>
          <w:rFonts w:hint="eastAsia" w:ascii="宋体" w:hAnsi="宋体" w:eastAsia="宋体" w:cs="Times New Roman"/>
          <w:color w:val="auto"/>
          <w:szCs w:val="21"/>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Times New Roman"/>
          <w:b/>
          <w:color w:val="auto"/>
          <w:szCs w:val="21"/>
          <w:lang w:val="zh-CN"/>
        </w:rPr>
        <w:t>如在谈判中评标委员会没有对本招标文件作实质性变动增加新的需求，后一轮报价不得高于前一轮报价。</w:t>
      </w:r>
    </w:p>
    <w:p>
      <w:pPr>
        <w:tabs>
          <w:tab w:val="left" w:pos="567"/>
        </w:tabs>
        <w:autoSpaceDE w:val="0"/>
        <w:autoSpaceDN w:val="0"/>
        <w:adjustRightInd w:val="0"/>
        <w:spacing w:line="360" w:lineRule="auto"/>
        <w:ind w:left="525" w:hanging="525" w:hangingChars="250"/>
        <w:rPr>
          <w:rFonts w:ascii="宋体" w:hAnsi="宋体" w:eastAsia="宋体" w:cs="Times New Roman"/>
          <w:color w:val="auto"/>
          <w:szCs w:val="21"/>
          <w:lang w:val="zh-CN"/>
        </w:rPr>
      </w:pPr>
      <w:r>
        <w:rPr>
          <w:rFonts w:ascii="宋体" w:hAnsi="宋体" w:eastAsia="宋体" w:cs="Times New Roman"/>
          <w:color w:val="auto"/>
          <w:szCs w:val="21"/>
          <w:lang w:val="zh-CN"/>
        </w:rPr>
        <w:t>5.13</w:t>
      </w:r>
      <w:r>
        <w:rPr>
          <w:rFonts w:ascii="宋体" w:hAnsi="宋体" w:eastAsia="宋体" w:cs="Times New Roman"/>
          <w:color w:val="auto"/>
          <w:szCs w:val="21"/>
        </w:rPr>
        <w:t xml:space="preserve"> </w:t>
      </w:r>
      <w:r>
        <w:rPr>
          <w:rFonts w:hint="eastAsia" w:ascii="宋体" w:hAnsi="宋体" w:eastAsia="宋体" w:cs="Times New Roman"/>
          <w:b/>
          <w:color w:val="auto"/>
          <w:szCs w:val="24"/>
        </w:rPr>
        <w:t>投标</w:t>
      </w:r>
      <w:r>
        <w:rPr>
          <w:rFonts w:ascii="宋体" w:hAnsi="宋体" w:eastAsia="宋体" w:cs="Times New Roman"/>
          <w:b/>
          <w:color w:val="auto"/>
          <w:szCs w:val="21"/>
          <w:lang w:val="zh-CN"/>
        </w:rPr>
        <w:t>人不得违反标准规范规定，通过降低</w:t>
      </w:r>
      <w:r>
        <w:rPr>
          <w:rFonts w:hint="eastAsia" w:ascii="宋体" w:hAnsi="宋体" w:eastAsia="宋体" w:cs="Times New Roman"/>
          <w:b/>
          <w:color w:val="auto"/>
          <w:szCs w:val="21"/>
          <w:lang w:val="zh-CN"/>
        </w:rPr>
        <w:t>货物或</w:t>
      </w:r>
      <w:r>
        <w:rPr>
          <w:rFonts w:ascii="宋体" w:hAnsi="宋体" w:eastAsia="宋体" w:cs="Times New Roman"/>
          <w:b/>
          <w:color w:val="auto"/>
          <w:szCs w:val="21"/>
          <w:lang w:val="zh-CN"/>
        </w:rPr>
        <w:t>服务质量、减少服务内容等手段进行恶性竞争，扰乱正常市场秩序。</w:t>
      </w:r>
      <w:r>
        <w:rPr>
          <w:rFonts w:hint="eastAsia" w:ascii="宋体" w:hAnsi="宋体" w:eastAsia="宋体" w:cs="Times New Roman"/>
          <w:b/>
          <w:color w:val="auto"/>
          <w:szCs w:val="24"/>
        </w:rPr>
        <w:t>投标</w:t>
      </w:r>
      <w:r>
        <w:rPr>
          <w:rFonts w:hint="eastAsia" w:ascii="宋体" w:hAnsi="宋体" w:eastAsia="宋体" w:cs="Times New Roman"/>
          <w:b/>
          <w:color w:val="auto"/>
          <w:szCs w:val="21"/>
          <w:lang w:val="zh-CN"/>
        </w:rPr>
        <w:t>人不得以低于成本的报价竞标。如果评标委员会发现</w:t>
      </w:r>
      <w:r>
        <w:rPr>
          <w:rFonts w:hint="eastAsia" w:ascii="宋体" w:hAnsi="宋体" w:eastAsia="宋体" w:cs="Times New Roman"/>
          <w:b/>
          <w:color w:val="auto"/>
          <w:szCs w:val="24"/>
        </w:rPr>
        <w:t>投标</w:t>
      </w:r>
      <w:r>
        <w:rPr>
          <w:rFonts w:hint="eastAsia" w:ascii="宋体" w:hAnsi="宋体" w:eastAsia="宋体" w:cs="Times New Roman"/>
          <w:b/>
          <w:color w:val="auto"/>
          <w:szCs w:val="21"/>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pPr>
        <w:tabs>
          <w:tab w:val="left" w:pos="567"/>
        </w:tabs>
        <w:autoSpaceDE w:val="0"/>
        <w:autoSpaceDN w:val="0"/>
        <w:adjustRightInd w:val="0"/>
        <w:spacing w:line="360" w:lineRule="auto"/>
        <w:ind w:left="525" w:hanging="525" w:hangingChars="250"/>
        <w:rPr>
          <w:rFonts w:ascii="宋体" w:hAnsi="宋体" w:eastAsia="宋体" w:cs="Times New Roman"/>
          <w:color w:val="auto"/>
          <w:kern w:val="0"/>
          <w:szCs w:val="21"/>
        </w:rPr>
      </w:pPr>
      <w:r>
        <w:rPr>
          <w:rFonts w:ascii="宋体" w:hAnsi="宋体" w:eastAsia="宋体" w:cs="Times New Roman"/>
          <w:color w:val="auto"/>
          <w:szCs w:val="21"/>
          <w:lang w:val="zh-CN"/>
        </w:rPr>
        <w:t xml:space="preserve">5.14 </w:t>
      </w:r>
      <w:r>
        <w:rPr>
          <w:rFonts w:hint="eastAsia" w:ascii="宋体" w:hAnsi="宋体" w:eastAsia="宋体" w:cs="Times New Roman"/>
          <w:color w:val="auto"/>
          <w:kern w:val="0"/>
          <w:szCs w:val="21"/>
        </w:rPr>
        <w:t>参与竞争性谈判的投标人，在提交最</w:t>
      </w:r>
      <w:r>
        <w:rPr>
          <w:rFonts w:hint="eastAsia" w:ascii="宋体" w:hAnsi="宋体" w:eastAsia="宋体" w:cs="Times New Roman"/>
          <w:color w:val="auto"/>
          <w:szCs w:val="21"/>
          <w:lang w:val="zh-CN"/>
        </w:rPr>
        <w:t>后</w:t>
      </w:r>
      <w:r>
        <w:rPr>
          <w:rFonts w:hint="eastAsia" w:ascii="宋体" w:hAnsi="宋体" w:eastAsia="宋体" w:cs="Times New Roman"/>
          <w:color w:val="auto"/>
          <w:kern w:val="0"/>
          <w:szCs w:val="21"/>
        </w:rPr>
        <w:t>报价之前，可以根据谈判情况退出谈判，招标人将退还其投标保证金。</w:t>
      </w:r>
    </w:p>
    <w:p>
      <w:pPr>
        <w:autoSpaceDE w:val="0"/>
        <w:autoSpaceDN w:val="0"/>
        <w:adjustRightInd w:val="0"/>
        <w:spacing w:line="360" w:lineRule="auto"/>
        <w:ind w:left="518" w:hanging="518"/>
        <w:rPr>
          <w:rFonts w:ascii="宋体" w:hAnsi="宋体" w:eastAsia="宋体" w:cs="Times New Roman"/>
          <w:color w:val="auto"/>
          <w:kern w:val="0"/>
          <w:szCs w:val="21"/>
          <w:u w:val="single"/>
        </w:rPr>
      </w:pPr>
      <w:r>
        <w:rPr>
          <w:rFonts w:hint="eastAsia" w:ascii="宋体" w:hAnsi="宋体" w:eastAsia="宋体" w:cs="Arial"/>
          <w:color w:val="auto"/>
          <w:szCs w:val="24"/>
          <w:lang w:val="zh-CN"/>
        </w:rPr>
        <w:t>5.</w:t>
      </w:r>
      <w:r>
        <w:rPr>
          <w:rFonts w:ascii="宋体" w:hAnsi="宋体" w:eastAsia="宋体" w:cs="Arial"/>
          <w:color w:val="auto"/>
          <w:szCs w:val="24"/>
          <w:lang w:val="zh-CN"/>
        </w:rPr>
        <w:t>15</w:t>
      </w:r>
      <w:r>
        <w:rPr>
          <w:rFonts w:ascii="宋体" w:hAnsi="宋体" w:eastAsia="宋体" w:cs="Arial"/>
          <w:color w:val="auto"/>
          <w:szCs w:val="24"/>
        </w:rPr>
        <w:t xml:space="preserve"> </w:t>
      </w:r>
      <w:r>
        <w:rPr>
          <w:rFonts w:hint="eastAsia" w:ascii="宋体" w:hAnsi="宋体" w:eastAsia="宋体" w:cs="Arial"/>
          <w:color w:val="auto"/>
          <w:szCs w:val="24"/>
          <w:lang w:val="zh-CN"/>
        </w:rPr>
        <w:t>评标</w:t>
      </w:r>
      <w:r>
        <w:rPr>
          <w:rFonts w:hint="eastAsia" w:ascii="宋体" w:hAnsi="宋体" w:eastAsia="宋体" w:cs="Times New Roman"/>
          <w:color w:val="auto"/>
          <w:szCs w:val="24"/>
        </w:rPr>
        <w:t>委员会</w:t>
      </w:r>
      <w:r>
        <w:rPr>
          <w:rFonts w:hint="eastAsia" w:ascii="宋体" w:hAnsi="宋体" w:eastAsia="宋体" w:cs="Times New Roman"/>
          <w:color w:val="auto"/>
          <w:szCs w:val="21"/>
          <w:lang w:val="zh-CN"/>
        </w:rPr>
        <w:t>将</w:t>
      </w:r>
      <w:r>
        <w:rPr>
          <w:rFonts w:hint="eastAsia" w:ascii="宋体" w:hAnsi="宋体" w:eastAsia="宋体" w:cs="Times New Roman"/>
          <w:color w:val="auto"/>
          <w:kern w:val="0"/>
          <w:szCs w:val="21"/>
        </w:rPr>
        <w:t>从质量和服务均能满足招标文件实质性响应要求的供应商中，按照最后报价由低到高的顺序向招标人推荐最后报价最低的投标人为第一成交候选人，推荐最后报价次低的投标人为第二成交候选人。如出现两个相同报价,则由评标委员会</w:t>
      </w:r>
      <w:r>
        <w:rPr>
          <w:rFonts w:hint="eastAsia" w:ascii="宋体" w:hAnsi="宋体" w:eastAsia="宋体" w:cs="Times New Roman"/>
          <w:color w:val="auto"/>
          <w:kern w:val="0"/>
          <w:szCs w:val="21"/>
          <w:lang w:val="zh-CN"/>
        </w:rPr>
        <w:t>主持，采取由最低报价的投标人抽签的方式确定</w:t>
      </w:r>
      <w:r>
        <w:rPr>
          <w:rFonts w:hint="eastAsia" w:ascii="宋体" w:hAnsi="宋体" w:eastAsia="宋体" w:cs="Times New Roman"/>
          <w:color w:val="auto"/>
          <w:kern w:val="0"/>
          <w:szCs w:val="21"/>
        </w:rPr>
        <w:t>第一成交候选人和第二成交候选人(抽签按投标人递交投标文件的先后顺序进行)。</w:t>
      </w:r>
    </w:p>
    <w:p>
      <w:pPr>
        <w:autoSpaceDE w:val="0"/>
        <w:autoSpaceDN w:val="0"/>
        <w:adjustRightInd w:val="0"/>
        <w:spacing w:line="360" w:lineRule="auto"/>
        <w:ind w:left="518" w:hanging="518"/>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6</w:t>
      </w:r>
      <w:r>
        <w:rPr>
          <w:rFonts w:ascii="宋体" w:hAnsi="宋体" w:eastAsia="宋体" w:cs="Times New Roman"/>
          <w:color w:val="auto"/>
          <w:szCs w:val="24"/>
        </w:rPr>
        <w:t xml:space="preserve"> </w:t>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根据评审结果编写评审报告。</w:t>
      </w:r>
    </w:p>
    <w:p>
      <w:pPr>
        <w:autoSpaceDE w:val="0"/>
        <w:autoSpaceDN w:val="0"/>
        <w:adjustRightInd w:val="0"/>
        <w:spacing w:line="360" w:lineRule="auto"/>
        <w:ind w:left="518" w:hanging="518"/>
        <w:rPr>
          <w:rFonts w:ascii="宋体" w:hAnsi="宋体" w:eastAsia="宋体" w:cs="Times New Roman"/>
          <w:color w:val="auto"/>
          <w:szCs w:val="21"/>
        </w:rPr>
      </w:pPr>
    </w:p>
    <w:p>
      <w:pPr>
        <w:autoSpaceDE w:val="0"/>
        <w:autoSpaceDN w:val="0"/>
        <w:adjustRightInd w:val="0"/>
        <w:spacing w:line="360" w:lineRule="auto"/>
        <w:ind w:left="567" w:hanging="567"/>
        <w:rPr>
          <w:rFonts w:ascii="宋体" w:hAnsi="宋体" w:eastAsia="宋体" w:cs="Times New Roman"/>
          <w:b/>
          <w:color w:val="auto"/>
          <w:szCs w:val="24"/>
          <w:lang w:val="zh-CN"/>
        </w:rPr>
      </w:pPr>
      <w:r>
        <w:rPr>
          <w:rFonts w:ascii="宋体" w:hAnsi="宋体" w:eastAsia="宋体" w:cs="Times New Roman"/>
          <w:b/>
          <w:color w:val="auto"/>
          <w:szCs w:val="24"/>
          <w:lang w:val="zh-CN"/>
        </w:rPr>
        <w:t>C</w:t>
      </w:r>
      <w:r>
        <w:rPr>
          <w:rFonts w:hint="eastAsia" w:ascii="宋体" w:hAnsi="宋体" w:eastAsia="宋体" w:cs="Times New Roman"/>
          <w:b/>
          <w:color w:val="auto"/>
          <w:szCs w:val="24"/>
          <w:lang w:val="zh-CN"/>
        </w:rPr>
        <w:t>．单一来源：</w:t>
      </w:r>
    </w:p>
    <w:p>
      <w:pPr>
        <w:autoSpaceDE w:val="0"/>
        <w:autoSpaceDN w:val="0"/>
        <w:adjustRightInd w:val="0"/>
        <w:spacing w:line="360" w:lineRule="auto"/>
        <w:ind w:left="518" w:hanging="518"/>
        <w:rPr>
          <w:rFonts w:hint="eastAsia" w:ascii="宋体" w:hAnsi="宋体" w:eastAsia="宋体" w:cs="Times New Roman"/>
          <w:color w:val="auto"/>
          <w:szCs w:val="21"/>
        </w:rPr>
      </w:pPr>
      <w:r>
        <w:rPr>
          <w:rFonts w:hint="eastAsia" w:ascii="宋体" w:hAnsi="宋体" w:eastAsia="宋体" w:cs="Times New Roman"/>
          <w:color w:val="auto"/>
          <w:szCs w:val="21"/>
        </w:rPr>
        <w:t>5.17 当有效的投标人只有1个时，终止公开招标采购，经评标委员会论证，采购文件没有不合理条款、采购程序符合规定，现场经招标人和作出实质性响应的投标人代表同意后，更改为单一来源的方式继续采购。由评标委员会按照本评标工作大纲总则内的5.18款至5.22款的约定直接与投标人在保证采购质量的前提下商定合理的成交价格。</w:t>
      </w:r>
    </w:p>
    <w:p>
      <w:pPr>
        <w:autoSpaceDE w:val="0"/>
        <w:autoSpaceDN w:val="0"/>
        <w:adjustRightInd w:val="0"/>
        <w:spacing w:line="360" w:lineRule="auto"/>
        <w:ind w:left="518" w:hanging="518"/>
        <w:rPr>
          <w:rFonts w:hint="eastAsia" w:ascii="宋体" w:hAnsi="宋体" w:eastAsia="宋体" w:cs="Times New Roman"/>
          <w:color w:val="auto"/>
          <w:szCs w:val="21"/>
        </w:rPr>
      </w:pPr>
      <w:r>
        <w:rPr>
          <w:rFonts w:hint="eastAsia" w:ascii="宋体" w:hAnsi="宋体" w:eastAsia="宋体" w:cs="Times New Roman"/>
          <w:color w:val="auto"/>
          <w:szCs w:val="21"/>
        </w:rPr>
        <w:t>5.18 评标委员会直接与投标人进行谈判协商，然后对最终报价及投标文件进行审查，得出评审结果，编写评审报告（含协商情况记录）及推荐成交候选人。</w:t>
      </w:r>
    </w:p>
    <w:p>
      <w:pPr>
        <w:autoSpaceDE w:val="0"/>
        <w:autoSpaceDN w:val="0"/>
        <w:adjustRightInd w:val="0"/>
        <w:spacing w:line="360" w:lineRule="auto"/>
        <w:ind w:left="518" w:hanging="518"/>
        <w:rPr>
          <w:rFonts w:hint="eastAsia" w:ascii="宋体" w:hAnsi="宋体" w:eastAsia="宋体" w:cs="Times New Roman"/>
          <w:color w:val="auto"/>
          <w:szCs w:val="21"/>
        </w:rPr>
      </w:pPr>
      <w:r>
        <w:rPr>
          <w:rFonts w:hint="eastAsia" w:ascii="宋体" w:hAnsi="宋体" w:eastAsia="宋体" w:cs="Times New Roman"/>
          <w:color w:val="auto"/>
          <w:szCs w:val="21"/>
        </w:rPr>
        <w:t>5.19 在协商的过程中，评标委员会可以根据招标文件和协商情况实质性变动采购需求中的技术、服务要求以及合同草案条款。实质性变动的内容，须经招标人确认，对招标文件作出的实质性变动是招标文件的有效组成部分。</w:t>
      </w:r>
    </w:p>
    <w:p>
      <w:pPr>
        <w:autoSpaceDE w:val="0"/>
        <w:autoSpaceDN w:val="0"/>
        <w:adjustRightInd w:val="0"/>
        <w:spacing w:line="360" w:lineRule="auto"/>
        <w:ind w:left="518" w:hanging="518"/>
        <w:rPr>
          <w:rFonts w:hint="eastAsia" w:ascii="宋体" w:hAnsi="宋体" w:eastAsia="宋体" w:cs="Times New Roman"/>
          <w:color w:val="auto"/>
          <w:szCs w:val="21"/>
        </w:rPr>
      </w:pPr>
      <w:r>
        <w:rPr>
          <w:rFonts w:hint="eastAsia" w:ascii="宋体" w:hAnsi="宋体" w:eastAsia="宋体" w:cs="Times New Roman"/>
          <w:color w:val="auto"/>
          <w:szCs w:val="21"/>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rPr>
          <w:rFonts w:hint="eastAsia" w:ascii="宋体" w:hAnsi="宋体" w:eastAsia="宋体" w:cs="Times New Roman"/>
          <w:color w:val="auto"/>
          <w:szCs w:val="21"/>
        </w:rPr>
      </w:pPr>
      <w:r>
        <w:rPr>
          <w:rFonts w:hint="eastAsia" w:ascii="宋体" w:hAnsi="宋体" w:eastAsia="宋体" w:cs="Times New Roman"/>
          <w:color w:val="auto"/>
          <w:szCs w:val="21"/>
        </w:rPr>
        <w:t>5.21 招标文件能够详细列明采购标的的技术、服务要求的，协商结束后，投标人应在规定的时间内提交二次报价（即最终报价，最终报价时间视协商进程由评标委员会决定），最终报价是投标人投标文件的有效组成部分。如在协商中评标委员会没有对本招标文件作实质性变动增加新的需求，后一轮报价不得高于前一轮报价。</w:t>
      </w:r>
    </w:p>
    <w:p>
      <w:pPr>
        <w:autoSpaceDE w:val="0"/>
        <w:autoSpaceDN w:val="0"/>
        <w:adjustRightInd w:val="0"/>
        <w:spacing w:line="360" w:lineRule="auto"/>
        <w:ind w:left="518" w:hanging="518"/>
        <w:rPr>
          <w:rFonts w:hint="eastAsia" w:ascii="宋体" w:hAnsi="宋体" w:eastAsia="宋体" w:cs="Times New Roman"/>
          <w:b/>
          <w:bCs/>
          <w:color w:val="auto"/>
          <w:szCs w:val="21"/>
          <w:lang w:val="zh-CN"/>
        </w:rPr>
      </w:pPr>
      <w:r>
        <w:rPr>
          <w:rFonts w:hint="eastAsia" w:ascii="宋体" w:hAnsi="宋体" w:eastAsia="宋体" w:cs="Times New Roman"/>
          <w:b/>
          <w:bCs/>
          <w:color w:val="auto"/>
          <w:szCs w:val="21"/>
          <w:lang w:val="en-US" w:eastAsia="zh-CN"/>
        </w:rPr>
        <w:t>5.22</w:t>
      </w:r>
      <w:r>
        <w:rPr>
          <w:rFonts w:hint="eastAsia" w:ascii="宋体" w:hAnsi="宋体" w:eastAsia="宋体" w:cs="Times New Roman"/>
          <w:b/>
          <w:bCs/>
          <w:color w:val="auto"/>
          <w:szCs w:val="21"/>
          <w:lang w:val="zh-CN"/>
        </w:rPr>
        <w:t>单一来源采购过程中，当出现下列情形之一的，评标委员会应当终止采购活动：</w:t>
      </w:r>
    </w:p>
    <w:p>
      <w:pPr>
        <w:autoSpaceDE w:val="0"/>
        <w:autoSpaceDN w:val="0"/>
        <w:adjustRightInd w:val="0"/>
        <w:spacing w:line="360" w:lineRule="auto"/>
        <w:ind w:left="518" w:hanging="518"/>
        <w:rPr>
          <w:rFonts w:hint="eastAsia" w:ascii="宋体" w:hAnsi="宋体" w:eastAsia="宋体" w:cs="Times New Roman"/>
          <w:b/>
          <w:bCs/>
          <w:color w:val="auto"/>
          <w:szCs w:val="21"/>
          <w:lang w:val="zh-CN"/>
        </w:rPr>
      </w:pPr>
      <w:r>
        <w:rPr>
          <w:rFonts w:hint="eastAsia" w:ascii="宋体" w:hAnsi="宋体" w:eastAsia="宋体" w:cs="Times New Roman"/>
          <w:b/>
          <w:bCs/>
          <w:color w:val="auto"/>
          <w:szCs w:val="21"/>
          <w:lang w:val="zh-CN"/>
        </w:rPr>
        <w:t>5.22.1 投标人（含其不具有独立法人资格的分支机构）被列入“信用中国”网站失信被执行人、重大税收违法失信主体、严重违法失信行为记录名单的；</w:t>
      </w:r>
    </w:p>
    <w:p>
      <w:pPr>
        <w:autoSpaceDE w:val="0"/>
        <w:autoSpaceDN w:val="0"/>
        <w:adjustRightInd w:val="0"/>
        <w:spacing w:line="360" w:lineRule="auto"/>
        <w:ind w:left="518" w:hanging="518"/>
        <w:rPr>
          <w:rFonts w:hint="eastAsia" w:ascii="宋体" w:hAnsi="宋体" w:eastAsia="宋体" w:cs="Times New Roman"/>
          <w:b/>
          <w:bCs/>
          <w:color w:val="auto"/>
          <w:szCs w:val="21"/>
          <w:lang w:val="zh-CN"/>
        </w:rPr>
      </w:pPr>
      <w:r>
        <w:rPr>
          <w:rFonts w:hint="eastAsia" w:ascii="宋体" w:hAnsi="宋体" w:eastAsia="宋体" w:cs="Times New Roman"/>
          <w:b/>
          <w:bCs/>
          <w:color w:val="auto"/>
          <w:szCs w:val="21"/>
          <w:lang w:val="zh-CN"/>
        </w:rPr>
        <w:t xml:space="preserve">5.22.2 </w:t>
      </w:r>
      <w:r>
        <w:rPr>
          <w:rFonts w:hint="eastAsia" w:ascii="宋体" w:hAnsi="宋体" w:eastAsia="宋体" w:cs="Times New Roman"/>
          <w:b/>
          <w:bCs/>
          <w:color w:val="auto"/>
          <w:szCs w:val="21"/>
          <w:lang w:val="en-US" w:eastAsia="zh-CN"/>
        </w:rPr>
        <w:t>检</w:t>
      </w:r>
      <w:r>
        <w:rPr>
          <w:rFonts w:hint="eastAsia" w:ascii="宋体" w:hAnsi="宋体" w:eastAsia="宋体" w:cs="Times New Roman"/>
          <w:b/>
          <w:bCs/>
          <w:color w:val="auto"/>
          <w:szCs w:val="21"/>
          <w:lang w:val="zh-CN"/>
        </w:rPr>
        <w:t>测服务系数报价</w:t>
      </w:r>
      <w:r>
        <w:rPr>
          <w:rFonts w:hint="eastAsia" w:ascii="宋体" w:hAnsi="宋体" w:eastAsia="宋体" w:cs="Times New Roman"/>
          <w:b/>
          <w:bCs/>
          <w:color w:val="auto"/>
          <w:szCs w:val="21"/>
          <w:lang w:val="en-US" w:eastAsia="zh-CN"/>
        </w:rPr>
        <w:t>超过0.80</w:t>
      </w:r>
      <w:r>
        <w:rPr>
          <w:rFonts w:hint="eastAsia" w:ascii="宋体" w:hAnsi="宋体" w:eastAsia="宋体" w:cs="Times New Roman"/>
          <w:b/>
          <w:bCs/>
          <w:color w:val="auto"/>
          <w:szCs w:val="21"/>
          <w:lang w:val="zh-CN"/>
        </w:rPr>
        <w:t>（保留小数点后2位）的；</w:t>
      </w:r>
    </w:p>
    <w:p>
      <w:pPr>
        <w:autoSpaceDE w:val="0"/>
        <w:autoSpaceDN w:val="0"/>
        <w:adjustRightInd w:val="0"/>
        <w:spacing w:line="360" w:lineRule="auto"/>
        <w:ind w:left="518" w:hanging="518"/>
        <w:rPr>
          <w:rFonts w:hint="eastAsia" w:ascii="宋体" w:hAnsi="宋体" w:eastAsia="宋体" w:cs="Times New Roman"/>
          <w:b/>
          <w:bCs/>
          <w:color w:val="auto"/>
          <w:szCs w:val="21"/>
          <w:lang w:val="zh-CN"/>
        </w:rPr>
      </w:pPr>
      <w:r>
        <w:rPr>
          <w:rFonts w:hint="eastAsia" w:ascii="宋体" w:hAnsi="宋体" w:eastAsia="宋体" w:cs="Times New Roman"/>
          <w:b/>
          <w:bCs/>
          <w:color w:val="auto"/>
          <w:szCs w:val="21"/>
          <w:lang w:val="zh-CN"/>
        </w:rPr>
        <w:t>5.22.3 投标人未能与评标委员会商定出合理的价格的；</w:t>
      </w:r>
    </w:p>
    <w:p>
      <w:pPr>
        <w:autoSpaceDE w:val="0"/>
        <w:autoSpaceDN w:val="0"/>
        <w:adjustRightInd w:val="0"/>
        <w:spacing w:line="360" w:lineRule="auto"/>
        <w:ind w:left="518" w:hanging="518"/>
        <w:rPr>
          <w:rFonts w:hint="eastAsia" w:ascii="宋体" w:hAnsi="宋体" w:eastAsia="宋体" w:cs="Times New Roman"/>
          <w:b/>
          <w:bCs/>
          <w:color w:val="auto"/>
          <w:szCs w:val="21"/>
          <w:lang w:val="zh-CN"/>
        </w:rPr>
      </w:pPr>
      <w:r>
        <w:rPr>
          <w:rFonts w:hint="eastAsia" w:ascii="宋体" w:hAnsi="宋体" w:eastAsia="宋体" w:cs="Times New Roman"/>
          <w:b/>
          <w:bCs/>
          <w:color w:val="auto"/>
          <w:szCs w:val="21"/>
          <w:lang w:val="zh-CN"/>
        </w:rPr>
        <w:t>5.22.4 评标委员会认定投标人最终的投标文件存在影响采购项目质量，且投标人不能合理说明或不能提供相关证明材料，导致招标人的利益得不到保障的。</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70" w:name="_Toc19435_WPSOffice_Level1"/>
      <w:r>
        <w:rPr>
          <w:rFonts w:hint="eastAsia" w:ascii="宋体" w:hAnsi="宋体" w:eastAsia="宋体" w:cs="宋体"/>
          <w:b/>
          <w:bCs/>
          <w:color w:val="auto"/>
          <w:sz w:val="28"/>
          <w:szCs w:val="28"/>
          <w:highlight w:val="none"/>
          <w:lang w:val="zh-CN"/>
        </w:rPr>
        <w:t>二、投标文件的初审</w:t>
      </w:r>
      <w:bookmarkEnd w:id="770"/>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Cs w:val="21"/>
        </w:rPr>
        <w:t>投标人报价未按照招标文件要求对检测服务系数进行报价的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tabs>
          <w:tab w:val="left" w:pos="567"/>
        </w:tabs>
        <w:spacing w:line="360" w:lineRule="auto"/>
        <w:ind w:left="632" w:hanging="632" w:hangingChars="300"/>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7.6</w:t>
      </w:r>
      <w:r>
        <w:rPr>
          <w:rFonts w:hint="eastAsia" w:ascii="宋体" w:hAnsi="宋体" w:eastAsia="宋体" w:cs="宋体"/>
          <w:b/>
          <w:color w:val="auto"/>
          <w:kern w:val="0"/>
          <w:szCs w:val="21"/>
          <w:highlight w:val="none"/>
        </w:rPr>
        <w:t>投标人为本工程的勘察设计单位、施工单位、桩基完整性检测、施工监理单位（包括与该单位法定代表人或负责人为同一人的单位，或者与该单位存在控股、管理关系的单位）</w:t>
      </w:r>
      <w:r>
        <w:rPr>
          <w:rFonts w:hint="eastAsia" w:ascii="宋体" w:hAnsi="宋体" w:eastAsia="宋体" w:cs="宋体"/>
          <w:b/>
          <w:color w:val="auto"/>
          <w:kern w:val="0"/>
          <w:szCs w:val="21"/>
          <w:highlight w:val="none"/>
          <w:lang w:eastAsia="zh-CN"/>
        </w:rPr>
        <w:t>；</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11</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71" w:name="_Toc4109_WPSOffice_Level1"/>
      <w:r>
        <w:rPr>
          <w:rFonts w:hint="eastAsia" w:ascii="宋体" w:hAnsi="宋体" w:eastAsia="宋体" w:cs="宋体"/>
          <w:b/>
          <w:bCs/>
          <w:color w:val="auto"/>
          <w:sz w:val="28"/>
          <w:szCs w:val="28"/>
          <w:highlight w:val="none"/>
          <w:lang w:val="zh-CN"/>
        </w:rPr>
        <w:t>三、澄清有关问题</w:t>
      </w:r>
      <w:bookmarkEnd w:id="771"/>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72"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72"/>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773"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773"/>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szCs w:val="21"/>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投标人202</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年-20</w:t>
            </w: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年三个年度，每具有1个年度盈利的得</w:t>
            </w:r>
            <w:r>
              <w:rPr>
                <w:rFonts w:hint="eastAsia" w:ascii="宋体" w:hAnsi="宋体" w:eastAsia="宋体" w:cs="宋体"/>
                <w:color w:val="auto"/>
                <w:szCs w:val="21"/>
              </w:rPr>
              <w:t>0.5</w:t>
            </w:r>
            <w:r>
              <w:rPr>
                <w:rFonts w:hint="eastAsia" w:ascii="宋体" w:hAnsi="宋体" w:eastAsia="宋体" w:cs="宋体"/>
                <w:color w:val="auto"/>
                <w:szCs w:val="21"/>
                <w:lang w:val="zh-CN"/>
              </w:rPr>
              <w:t>分，满分</w:t>
            </w:r>
            <w:r>
              <w:rPr>
                <w:rFonts w:hint="eastAsia" w:ascii="宋体" w:hAnsi="宋体" w:eastAsia="宋体" w:cs="宋体"/>
                <w:color w:val="auto"/>
                <w:szCs w:val="21"/>
              </w:rPr>
              <w:t>1.5</w:t>
            </w:r>
            <w:r>
              <w:rPr>
                <w:rFonts w:hint="eastAsia" w:ascii="宋体" w:hAnsi="宋体" w:eastAsia="宋体" w:cs="宋体"/>
                <w:color w:val="auto"/>
                <w:szCs w:val="21"/>
                <w:lang w:val="zh-CN"/>
              </w:rPr>
              <w:t>分。</w:t>
            </w:r>
          </w:p>
          <w:p>
            <w:pPr>
              <w:spacing w:line="360" w:lineRule="auto"/>
              <w:contextualSpacing/>
              <w:rPr>
                <w:rFonts w:ascii="宋体" w:hAnsi="宋体" w:eastAsia="宋体" w:cs="Times New Roman"/>
                <w:b/>
                <w:color w:val="auto"/>
                <w:kern w:val="0"/>
                <w:szCs w:val="21"/>
                <w:highlight w:val="none"/>
                <w:lang w:val="zh-CN"/>
              </w:rPr>
            </w:pPr>
            <w:r>
              <w:rPr>
                <w:rFonts w:hint="eastAsia" w:ascii="宋体" w:hAnsi="宋体" w:eastAsia="宋体" w:cs="宋体"/>
                <w:b/>
                <w:color w:val="auto"/>
                <w:szCs w:val="21"/>
                <w:lang w:val="zh-CN"/>
              </w:rPr>
              <w:t>备注：</w:t>
            </w:r>
            <w:r>
              <w:rPr>
                <w:rFonts w:hint="eastAsia" w:ascii="宋体" w:hAnsi="宋体" w:eastAsia="宋体" w:cs="宋体"/>
                <w:b/>
                <w:color w:val="auto"/>
                <w:szCs w:val="21"/>
                <w:lang w:val="en-US" w:eastAsia="zh-CN"/>
              </w:rPr>
              <w:t>盈利指净利润为正数（非零、非负数），</w:t>
            </w:r>
            <w:r>
              <w:rPr>
                <w:rFonts w:hint="eastAsia" w:ascii="宋体" w:hAnsi="宋体" w:eastAsia="宋体" w:cs="宋体"/>
                <w:b/>
                <w:color w:val="auto"/>
                <w:szCs w:val="21"/>
                <w:lang w:val="zh-CN"/>
              </w:rPr>
              <w:t>投标人应提供202</w:t>
            </w: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val="zh-CN"/>
              </w:rPr>
              <w:t>年、202</w:t>
            </w: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val="zh-CN"/>
              </w:rPr>
              <w:t>年、202</w:t>
            </w: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val="zh-CN"/>
              </w:rPr>
              <w:t>年三个年度的财务报</w:t>
            </w:r>
            <w:r>
              <w:rPr>
                <w:rFonts w:hint="eastAsia" w:ascii="宋体" w:hAnsi="宋体" w:eastAsia="宋体" w:cs="宋体"/>
                <w:b/>
                <w:color w:val="auto"/>
                <w:szCs w:val="21"/>
                <w:lang w:val="en-US" w:eastAsia="zh-CN"/>
              </w:rPr>
              <w:t>表</w:t>
            </w:r>
            <w:r>
              <w:rPr>
                <w:rFonts w:hint="eastAsia" w:ascii="宋体" w:hAnsi="宋体" w:eastAsia="宋体" w:cs="宋体"/>
                <w:b/>
                <w:color w:val="auto"/>
                <w:szCs w:val="21"/>
                <w:lang w:val="zh-CN"/>
              </w:rPr>
              <w:t>，净利润以</w:t>
            </w:r>
            <w:r>
              <w:rPr>
                <w:rFonts w:hint="eastAsia" w:ascii="宋体" w:hAnsi="宋体" w:eastAsia="宋体" w:cs="宋体"/>
                <w:b/>
                <w:color w:val="auto"/>
                <w:szCs w:val="21"/>
                <w:lang w:val="en-US" w:eastAsia="zh-CN"/>
              </w:rPr>
              <w:t>对应年度</w:t>
            </w:r>
            <w:r>
              <w:rPr>
                <w:rFonts w:hint="eastAsia" w:ascii="宋体" w:hAnsi="宋体" w:eastAsia="宋体" w:cs="宋体"/>
                <w:b/>
                <w:color w:val="auto"/>
                <w:szCs w:val="21"/>
                <w:lang w:val="zh-CN"/>
              </w:rPr>
              <w:t>经审计的财务报表为准，应提供经独立会计师事务所审计过的有效的财务报告</w:t>
            </w:r>
            <w:r>
              <w:rPr>
                <w:rFonts w:hint="eastAsia" w:ascii="宋体" w:hAnsi="宋体" w:eastAsia="宋体" w:cs="宋体"/>
                <w:b/>
                <w:color w:val="auto"/>
                <w:szCs w:val="21"/>
                <w:lang w:val="en-US" w:eastAsia="zh-CN"/>
              </w:rPr>
              <w:t>复印件</w:t>
            </w:r>
            <w:r>
              <w:rPr>
                <w:rFonts w:hint="eastAsia" w:ascii="宋体" w:hAnsi="宋体" w:eastAsia="宋体" w:cs="宋体"/>
                <w:b/>
                <w:color w:val="auto"/>
                <w:szCs w:val="21"/>
                <w:lang w:val="zh-CN"/>
              </w:rPr>
              <w:t>；未提供前述财务报</w:t>
            </w:r>
            <w:r>
              <w:rPr>
                <w:rFonts w:hint="eastAsia" w:ascii="宋体" w:hAnsi="宋体" w:eastAsia="宋体" w:cs="宋体"/>
                <w:b/>
                <w:color w:val="auto"/>
                <w:szCs w:val="21"/>
                <w:lang w:val="en-US" w:eastAsia="zh-CN"/>
              </w:rPr>
              <w:t>表</w:t>
            </w:r>
            <w:r>
              <w:rPr>
                <w:rFonts w:hint="eastAsia" w:ascii="宋体" w:hAnsi="宋体" w:eastAsia="宋体" w:cs="宋体"/>
                <w:b/>
                <w:color w:val="auto"/>
                <w:szCs w:val="21"/>
                <w:lang w:val="zh-CN"/>
              </w:rPr>
              <w:t>或财务报</w:t>
            </w:r>
            <w:r>
              <w:rPr>
                <w:rFonts w:hint="eastAsia" w:ascii="宋体" w:hAnsi="宋体" w:eastAsia="宋体" w:cs="宋体"/>
                <w:b/>
                <w:color w:val="auto"/>
                <w:szCs w:val="21"/>
                <w:lang w:val="en-US" w:eastAsia="zh-CN"/>
              </w:rPr>
              <w:t>表</w:t>
            </w:r>
            <w:r>
              <w:rPr>
                <w:rFonts w:hint="eastAsia" w:ascii="宋体" w:hAnsi="宋体" w:eastAsia="宋体" w:cs="宋体"/>
                <w:b/>
                <w:color w:val="auto"/>
                <w:szCs w:val="21"/>
                <w:lang w:val="zh-CN"/>
              </w:rPr>
              <w:t>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lang w:val="zh-CN"/>
              </w:rPr>
            </w:pPr>
            <w:r>
              <w:rPr>
                <w:rFonts w:hint="eastAsia" w:ascii="宋体" w:hAnsi="宋体" w:eastAsia="宋体" w:cs="宋体"/>
                <w:color w:val="auto"/>
                <w:szCs w:val="21"/>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pPr>
              <w:tabs>
                <w:tab w:val="left" w:pos="134"/>
              </w:tabs>
              <w:spacing w:line="360" w:lineRule="auto"/>
              <w:contextualSpacing/>
              <w:rPr>
                <w:rFonts w:ascii="宋体" w:hAnsi="宋体" w:eastAsia="宋体" w:cs="宋体"/>
                <w:color w:val="auto"/>
                <w:szCs w:val="21"/>
              </w:rPr>
            </w:pPr>
            <w:r>
              <w:rPr>
                <w:rFonts w:hint="eastAsia" w:ascii="宋体" w:hAnsi="宋体" w:eastAsia="宋体" w:cs="宋体"/>
                <w:color w:val="auto"/>
                <w:szCs w:val="21"/>
              </w:rPr>
              <w:t>(1)投标人具有有效期内的ISO9001质量管理体系认证证书得0.5分；</w:t>
            </w:r>
          </w:p>
          <w:p>
            <w:pPr>
              <w:tabs>
                <w:tab w:val="left" w:pos="134"/>
              </w:tabs>
              <w:spacing w:line="360" w:lineRule="auto"/>
              <w:contextualSpacing/>
              <w:rPr>
                <w:rFonts w:ascii="宋体" w:hAnsi="宋体" w:eastAsia="宋体" w:cs="宋体"/>
                <w:color w:val="auto"/>
                <w:szCs w:val="21"/>
              </w:rPr>
            </w:pPr>
            <w:r>
              <w:rPr>
                <w:rFonts w:hint="eastAsia" w:ascii="宋体" w:hAnsi="宋体" w:eastAsia="宋体" w:cs="宋体"/>
                <w:color w:val="auto"/>
                <w:szCs w:val="21"/>
              </w:rPr>
              <w:t>(2)投标人具有有效期内的ISO14001环境管理体系认证证书得0.5分；</w:t>
            </w:r>
          </w:p>
          <w:p>
            <w:pPr>
              <w:tabs>
                <w:tab w:val="left" w:pos="134"/>
              </w:tabs>
              <w:spacing w:line="360" w:lineRule="auto"/>
              <w:contextualSpacing/>
              <w:rPr>
                <w:rFonts w:ascii="宋体" w:hAnsi="宋体" w:eastAsia="宋体" w:cs="宋体"/>
                <w:color w:val="auto"/>
                <w:szCs w:val="21"/>
              </w:rPr>
            </w:pPr>
            <w:r>
              <w:rPr>
                <w:rFonts w:hint="eastAsia" w:ascii="宋体" w:hAnsi="宋体" w:eastAsia="宋体" w:cs="宋体"/>
                <w:color w:val="auto"/>
                <w:szCs w:val="21"/>
              </w:rPr>
              <w:t>(3)投标人具有有效期内的OHSAS18001（或GB/T45001-2020，或IS045001）职业健康安全管理体系认证证书得0.5分。</w:t>
            </w:r>
          </w:p>
          <w:p>
            <w:pPr>
              <w:spacing w:line="360" w:lineRule="auto"/>
              <w:contextualSpacing/>
              <w:rPr>
                <w:rFonts w:ascii="宋体" w:hAnsi="宋体" w:eastAsia="宋体" w:cs="Times New Roman"/>
                <w:b/>
                <w:color w:val="auto"/>
                <w:kern w:val="0"/>
                <w:sz w:val="24"/>
                <w:szCs w:val="24"/>
                <w:highlight w:val="none"/>
              </w:rPr>
            </w:pPr>
            <w:r>
              <w:rPr>
                <w:rFonts w:hint="eastAsia" w:ascii="宋体" w:hAnsi="宋体" w:eastAsia="宋体" w:cs="宋体"/>
                <w:b/>
                <w:color w:val="auto"/>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bookmarkStart w:id="774" w:name="_Hlk104987354"/>
            <w:r>
              <w:rPr>
                <w:rFonts w:hint="eastAsia" w:ascii="宋体" w:hAnsi="宋体" w:eastAsia="宋体" w:cs="宋体"/>
                <w:color w:val="auto"/>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业绩</w:t>
            </w:r>
          </w:p>
        </w:tc>
        <w:tc>
          <w:tcPr>
            <w:tcW w:w="7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投标人2019年1月1日（以合同签订日期为准）至今承接的市政工程检测业绩，按下列情况评分（满分18分）：</w:t>
            </w:r>
          </w:p>
          <w:p>
            <w:pPr>
              <w:spacing w:line="400" w:lineRule="exact"/>
              <w:rPr>
                <w:rFonts w:ascii="宋体" w:hAnsi="宋体" w:eastAsia="宋体" w:cs="宋体"/>
                <w:color w:val="auto"/>
                <w:szCs w:val="21"/>
              </w:rPr>
            </w:pPr>
            <w:r>
              <w:rPr>
                <w:rFonts w:hint="eastAsia" w:ascii="宋体" w:hAnsi="宋体" w:eastAsia="宋体" w:cs="宋体"/>
                <w:color w:val="auto"/>
                <w:szCs w:val="21"/>
              </w:rPr>
              <w:t>①单项合同金额≥</w:t>
            </w:r>
            <w:r>
              <w:rPr>
                <w:rFonts w:hint="eastAsia" w:ascii="宋体" w:hAnsi="宋体" w:eastAsia="宋体" w:cs="宋体"/>
                <w:color w:val="auto"/>
                <w:szCs w:val="21"/>
                <w:lang w:val="en-US" w:eastAsia="zh-CN"/>
              </w:rPr>
              <w:t>140</w:t>
            </w:r>
            <w:r>
              <w:rPr>
                <w:rFonts w:hint="eastAsia" w:ascii="宋体" w:hAnsi="宋体" w:eastAsia="宋体" w:cs="宋体"/>
                <w:color w:val="auto"/>
                <w:szCs w:val="21"/>
              </w:rPr>
              <w:t>万元的前述业绩的，每项得3分；</w:t>
            </w:r>
          </w:p>
          <w:p>
            <w:pPr>
              <w:spacing w:line="400" w:lineRule="exact"/>
              <w:rPr>
                <w:rFonts w:ascii="宋体" w:hAnsi="宋体" w:eastAsia="宋体" w:cs="宋体"/>
                <w:color w:val="auto"/>
                <w:szCs w:val="21"/>
              </w:rPr>
            </w:pPr>
            <w:r>
              <w:rPr>
                <w:rFonts w:hint="eastAsia" w:ascii="宋体" w:hAnsi="宋体" w:eastAsia="宋体" w:cs="宋体"/>
                <w:color w:val="auto"/>
                <w:szCs w:val="21"/>
              </w:rPr>
              <w:t>②</w:t>
            </w:r>
            <w:r>
              <w:rPr>
                <w:rFonts w:hint="eastAsia" w:ascii="宋体" w:hAnsi="宋体" w:eastAsia="宋体" w:cs="宋体"/>
                <w:color w:val="auto"/>
                <w:szCs w:val="21"/>
                <w:lang w:val="en-US" w:eastAsia="zh-CN"/>
              </w:rPr>
              <w:t>90</w:t>
            </w:r>
            <w:r>
              <w:rPr>
                <w:rFonts w:hint="eastAsia" w:ascii="宋体" w:hAnsi="宋体" w:eastAsia="宋体" w:cs="宋体"/>
                <w:color w:val="auto"/>
                <w:szCs w:val="21"/>
              </w:rPr>
              <w:t>万元≤单项合同金额＜</w:t>
            </w:r>
            <w:r>
              <w:rPr>
                <w:rFonts w:hint="eastAsia" w:ascii="宋体" w:hAnsi="宋体" w:eastAsia="宋体" w:cs="宋体"/>
                <w:color w:val="auto"/>
                <w:szCs w:val="21"/>
                <w:lang w:val="en-US" w:eastAsia="zh-CN"/>
              </w:rPr>
              <w:t>140</w:t>
            </w:r>
            <w:r>
              <w:rPr>
                <w:rFonts w:hint="eastAsia" w:ascii="宋体" w:hAnsi="宋体" w:eastAsia="宋体" w:cs="宋体"/>
                <w:color w:val="auto"/>
                <w:szCs w:val="21"/>
              </w:rPr>
              <w:t>万元的前述业绩的，每项得2分；</w:t>
            </w:r>
          </w:p>
          <w:p>
            <w:pPr>
              <w:spacing w:line="400" w:lineRule="exact"/>
              <w:rPr>
                <w:rFonts w:ascii="宋体" w:hAnsi="宋体" w:eastAsia="宋体" w:cs="宋体"/>
                <w:color w:val="auto"/>
                <w:szCs w:val="21"/>
              </w:rPr>
            </w:pPr>
            <w:r>
              <w:rPr>
                <w:rFonts w:hint="eastAsia" w:ascii="宋体" w:hAnsi="宋体" w:eastAsia="宋体" w:cs="宋体"/>
                <w:color w:val="auto"/>
                <w:szCs w:val="21"/>
              </w:rPr>
              <w:t>③</w:t>
            </w:r>
            <w:r>
              <w:rPr>
                <w:rFonts w:hint="eastAsia" w:ascii="宋体" w:hAnsi="宋体" w:eastAsia="宋体" w:cs="宋体"/>
                <w:color w:val="auto"/>
                <w:szCs w:val="21"/>
                <w:lang w:val="en-US" w:eastAsia="zh-CN"/>
              </w:rPr>
              <w:t>40</w:t>
            </w:r>
            <w:r>
              <w:rPr>
                <w:rFonts w:hint="eastAsia" w:ascii="宋体" w:hAnsi="宋体" w:eastAsia="宋体" w:cs="宋体"/>
                <w:color w:val="auto"/>
                <w:szCs w:val="21"/>
              </w:rPr>
              <w:t>万元≤单项合同金额＜</w:t>
            </w:r>
            <w:r>
              <w:rPr>
                <w:rFonts w:hint="eastAsia" w:ascii="宋体" w:hAnsi="宋体" w:eastAsia="宋体" w:cs="宋体"/>
                <w:color w:val="auto"/>
                <w:szCs w:val="21"/>
                <w:lang w:val="en-US" w:eastAsia="zh-CN"/>
              </w:rPr>
              <w:t>90</w:t>
            </w:r>
            <w:r>
              <w:rPr>
                <w:rFonts w:hint="eastAsia" w:ascii="宋体" w:hAnsi="宋体" w:eastAsia="宋体" w:cs="宋体"/>
                <w:color w:val="auto"/>
                <w:szCs w:val="21"/>
              </w:rPr>
              <w:t>万元的前述业绩的，每项得1分，本子项满分6分。</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备注：</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1）业绩须附合同复印件加盖投标人公章，否则不得分；</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2）合同业绩证明材料必须能反映评分条件</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合同签订日期为2019年1月1日或以后，业绩类型为市政工程检测，合同金额</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，若合同内容无法反映合同金额的，需提供可反映合同金额的结算资料复印件，否则需同时提供业主出具的书面补充情况说明文件（须加盖业主单位公章）复印件；</w:t>
            </w:r>
          </w:p>
          <w:p>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bookmarkStart w:id="775" w:name="_Toc11639_WPSOffice_Level2"/>
            <w:r>
              <w:rPr>
                <w:rFonts w:hint="eastAsia" w:ascii="宋体" w:hAnsi="宋体" w:eastAsia="宋体" w:cs="宋体"/>
                <w:color w:val="auto"/>
                <w:szCs w:val="21"/>
                <w:lang w:val="en-US" w:eastAsia="zh-CN"/>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拟投入人员情况</w:t>
            </w:r>
          </w:p>
        </w:tc>
        <w:tc>
          <w:tcPr>
            <w:tcW w:w="7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(1)项目负责人（满分6分）：</w:t>
            </w:r>
          </w:p>
          <w:p>
            <w:pPr>
              <w:spacing w:line="400" w:lineRule="exact"/>
              <w:rPr>
                <w:rFonts w:ascii="宋体" w:hAnsi="宋体" w:eastAsia="宋体" w:cs="宋体"/>
                <w:color w:val="auto"/>
                <w:szCs w:val="21"/>
              </w:rPr>
            </w:pPr>
            <w:r>
              <w:rPr>
                <w:rFonts w:hint="eastAsia" w:ascii="宋体" w:hAnsi="宋体" w:eastAsia="宋体" w:cs="宋体"/>
                <w:color w:val="auto"/>
                <w:szCs w:val="21"/>
              </w:rPr>
              <w:t>①具有工程类专业高级工程师职称的，得3分；</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②2019年1月1日以来（以合同签订日期为准），作为项目负责人，承接过一项市政工程检测项目的，得3分</w:t>
            </w:r>
            <w:r>
              <w:rPr>
                <w:rFonts w:hint="eastAsia" w:ascii="宋体" w:hAnsi="宋体" w:eastAsia="宋体" w:cs="宋体"/>
                <w:color w:val="auto"/>
                <w:szCs w:val="21"/>
                <w:lang w:eastAsia="zh-CN"/>
              </w:rPr>
              <w:t>。</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备注：</w:t>
            </w:r>
          </w:p>
          <w:p>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1）须提供身份证、职称证书（或注册证书）、社会保障部门出具的最近1年（即2023年</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月至202</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年</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月）在投标人单位缴纳社会养老保险有效凭证等证明材料复印件加盖投标人公章</w:t>
            </w:r>
            <w:r>
              <w:rPr>
                <w:rFonts w:hint="eastAsia" w:ascii="宋体" w:hAnsi="宋体" w:eastAsia="宋体" w:cs="宋体"/>
                <w:b/>
                <w:bCs/>
                <w:color w:val="auto"/>
                <w:szCs w:val="21"/>
                <w:lang w:eastAsia="zh-CN"/>
              </w:rPr>
              <w:t>；</w:t>
            </w:r>
          </w:p>
          <w:p>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rPr>
              <w:t>2）项目负责人业绩须附合同复印件加盖投标人公章，合同业绩证明材料必须能反映评审条件</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合同签订日期为2019年1月1日或以后，业绩类型为市政工程检测，项目负责人信息</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，否则需同时提供业主出具的书面补充情况说明文件（须加盖业主单位公章）复印件。</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(2)技术负责人（满分6分）：</w:t>
            </w:r>
          </w:p>
          <w:p>
            <w:pPr>
              <w:spacing w:line="400" w:lineRule="exact"/>
              <w:rPr>
                <w:rFonts w:ascii="宋体" w:hAnsi="宋体" w:eastAsia="宋体" w:cs="宋体"/>
                <w:color w:val="auto"/>
                <w:szCs w:val="21"/>
              </w:rPr>
            </w:pPr>
            <w:r>
              <w:rPr>
                <w:rFonts w:hint="eastAsia" w:ascii="宋体" w:hAnsi="宋体" w:eastAsia="宋体" w:cs="宋体"/>
                <w:color w:val="auto"/>
                <w:szCs w:val="21"/>
              </w:rPr>
              <w:t>①具有工程类专业高级工程师职称的，得3分；</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②2019年1月1日以来（以合同签订日期为准），作为技术负责人，承接过一项市政工程检测项目的，得3分</w:t>
            </w:r>
            <w:r>
              <w:rPr>
                <w:rFonts w:hint="eastAsia" w:ascii="宋体" w:hAnsi="宋体" w:eastAsia="宋体" w:cs="宋体"/>
                <w:color w:val="auto"/>
                <w:szCs w:val="21"/>
                <w:lang w:eastAsia="zh-CN"/>
              </w:rPr>
              <w:t>。</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备注：</w:t>
            </w:r>
          </w:p>
          <w:p>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1）须提供身份证、职称证书（或注册证书）、社会保障部门出具的最近1年（即2023年</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月至202</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年</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月）在投标人单位缴纳社会养老保险有效凭证等证明材料复印件加盖投标人公章</w:t>
            </w:r>
            <w:r>
              <w:rPr>
                <w:rFonts w:hint="eastAsia" w:ascii="宋体" w:hAnsi="宋体" w:eastAsia="宋体" w:cs="宋体"/>
                <w:b/>
                <w:bCs/>
                <w:color w:val="auto"/>
                <w:szCs w:val="21"/>
                <w:lang w:eastAsia="zh-CN"/>
              </w:rPr>
              <w:t>；</w:t>
            </w:r>
          </w:p>
          <w:p>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rPr>
              <w:t>2）技术负责人业绩须附合同复印件加盖投标人公章，合同业绩证明材料必须能反映评审条件</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合同签订日期为2019年1月1日或以后，业绩类型为市政工程检测，技术负责人信息</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，否则需同时提供业主出具的书面补充情况说明文件（须加盖业主单位公章）复印件。</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Cs w:val="21"/>
              </w:rPr>
            </w:pPr>
            <w:r>
              <w:rPr>
                <w:rFonts w:hint="eastAsia" w:ascii="宋体" w:hAnsi="宋体" w:eastAsia="宋体" w:cs="宋体"/>
                <w:color w:val="auto"/>
                <w:szCs w:val="21"/>
              </w:rPr>
              <w:t>(3)拟投入人员（不含项目负责人和技术负责人）：</w:t>
            </w:r>
          </w:p>
          <w:p>
            <w:pPr>
              <w:spacing w:line="400" w:lineRule="exact"/>
              <w:rPr>
                <w:rFonts w:ascii="宋体" w:hAnsi="宋体" w:eastAsia="宋体" w:cs="宋体"/>
                <w:color w:val="auto"/>
                <w:szCs w:val="21"/>
              </w:rPr>
            </w:pPr>
            <w:r>
              <w:rPr>
                <w:rFonts w:hint="eastAsia" w:ascii="宋体" w:hAnsi="宋体" w:eastAsia="宋体" w:cs="宋体"/>
                <w:color w:val="auto"/>
                <w:szCs w:val="21"/>
              </w:rPr>
              <w:t>具有工程类专业中级工程师（或以上）职称的，每人得1分，本子项满分5分。</w:t>
            </w:r>
          </w:p>
          <w:p>
            <w:pPr>
              <w:spacing w:line="400" w:lineRule="exact"/>
              <w:rPr>
                <w:rFonts w:ascii="宋体" w:hAnsi="宋体" w:eastAsia="宋体" w:cs="宋体"/>
                <w:b/>
                <w:bCs/>
                <w:color w:val="auto"/>
                <w:szCs w:val="21"/>
              </w:rPr>
            </w:pPr>
            <w:r>
              <w:rPr>
                <w:rFonts w:hint="eastAsia" w:ascii="宋体" w:hAnsi="宋体" w:eastAsia="宋体" w:cs="宋体"/>
                <w:b/>
                <w:bCs/>
                <w:color w:val="auto"/>
                <w:szCs w:val="21"/>
              </w:rPr>
              <w:t>备注：</w:t>
            </w:r>
          </w:p>
          <w:p>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1）须提供身份证、职称证书或资格证书、社会保障部门出具的最近1年（即2023年</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月至202</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年</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月）在投标人单位缴纳社会养老保险有效凭证等证明材料复印件加盖投标人公章</w:t>
            </w:r>
            <w:r>
              <w:rPr>
                <w:rFonts w:hint="eastAsia" w:ascii="宋体" w:hAnsi="宋体" w:eastAsia="宋体" w:cs="宋体"/>
                <w:b/>
                <w:bCs/>
                <w:color w:val="auto"/>
                <w:szCs w:val="21"/>
                <w:lang w:eastAsia="zh-CN"/>
              </w:rPr>
              <w:t>；</w:t>
            </w:r>
          </w:p>
          <w:p>
            <w:pPr>
              <w:spacing w:line="400" w:lineRule="exact"/>
              <w:rPr>
                <w:rFonts w:hint="eastAsia" w:ascii="宋体" w:hAnsi="宋体" w:eastAsia="宋体" w:cs="宋体"/>
                <w:b/>
                <w:bCs/>
                <w:color w:val="auto"/>
                <w:szCs w:val="21"/>
                <w:lang w:eastAsia="zh-CN"/>
              </w:rPr>
            </w:pPr>
            <w:r>
              <w:rPr>
                <w:rFonts w:hint="eastAsia" w:ascii="宋体" w:hAnsi="宋体" w:eastAsia="宋体" w:cs="宋体"/>
                <w:b/>
                <w:bCs/>
                <w:color w:val="auto"/>
                <w:szCs w:val="21"/>
              </w:rPr>
              <w:t>2）同一人员具备多个种类证书不重复得分</w:t>
            </w:r>
            <w:r>
              <w:rPr>
                <w:rFonts w:hint="eastAsia" w:ascii="宋体" w:hAnsi="宋体" w:eastAsia="宋体" w:cs="宋体"/>
                <w:b/>
                <w:bCs/>
                <w:color w:val="auto"/>
                <w:szCs w:val="21"/>
                <w:lang w:eastAsia="zh-CN"/>
              </w:rPr>
              <w:t>；</w:t>
            </w:r>
          </w:p>
          <w:p>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rPr>
              <w:t>3）同一人员具备同一种类证书或同一个专业含有多个</w:t>
            </w:r>
            <w:r>
              <w:rPr>
                <w:rFonts w:hint="eastAsia" w:ascii="宋体" w:hAnsi="宋体" w:eastAsia="宋体" w:cs="宋体"/>
                <w:b/>
                <w:bCs/>
                <w:color w:val="auto"/>
                <w:szCs w:val="21"/>
                <w:lang w:val="en-US" w:eastAsia="zh-CN"/>
              </w:rPr>
              <w:t>等级</w:t>
            </w:r>
            <w:r>
              <w:rPr>
                <w:rFonts w:hint="eastAsia" w:ascii="宋体" w:hAnsi="宋体" w:eastAsia="宋体" w:cs="宋体"/>
                <w:b/>
                <w:bCs/>
                <w:color w:val="auto"/>
                <w:szCs w:val="21"/>
              </w:rPr>
              <w:t>的仅按最高等级证书计算一次得分。</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获奖情况</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根据投标人2019年1月1日以来获得（满分2分）:</w:t>
            </w:r>
          </w:p>
          <w:p>
            <w:pPr>
              <w:spacing w:line="360" w:lineRule="auto"/>
              <w:contextualSpacing/>
              <w:rPr>
                <w:rFonts w:hint="eastAsia" w:ascii="宋体" w:hAnsi="宋体" w:eastAsia="宋体" w:cs="宋体"/>
                <w:color w:val="auto"/>
                <w:szCs w:val="21"/>
                <w:lang w:eastAsia="zh-CN"/>
              </w:rPr>
            </w:pPr>
            <w:r>
              <w:rPr>
                <w:rFonts w:hint="eastAsia" w:ascii="宋体" w:hAnsi="宋体" w:eastAsia="宋体" w:cs="宋体"/>
                <w:color w:val="auto"/>
                <w:szCs w:val="21"/>
              </w:rPr>
              <w:t>(1)国家级行政部门或</w:t>
            </w:r>
            <w:r>
              <w:rPr>
                <w:rFonts w:hint="eastAsia" w:ascii="宋体" w:hAnsi="宋体" w:eastAsia="宋体" w:cs="宋体"/>
                <w:color w:val="auto"/>
                <w:szCs w:val="21"/>
                <w:lang w:val="en-US" w:eastAsia="zh-CN"/>
              </w:rPr>
              <w:t>国家级</w:t>
            </w:r>
            <w:r>
              <w:rPr>
                <w:rFonts w:hint="eastAsia" w:ascii="宋体" w:hAnsi="宋体" w:eastAsia="宋体" w:cs="宋体"/>
                <w:color w:val="auto"/>
                <w:szCs w:val="21"/>
              </w:rPr>
              <w:t>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rPr>
              <w:t>的，每项得1分</w:t>
            </w:r>
            <w:r>
              <w:rPr>
                <w:rFonts w:hint="eastAsia" w:ascii="宋体" w:hAnsi="宋体" w:eastAsia="宋体" w:cs="宋体"/>
                <w:color w:val="auto"/>
                <w:szCs w:val="21"/>
                <w:lang w:eastAsia="zh-CN"/>
              </w:rPr>
              <w:t>；</w:t>
            </w:r>
          </w:p>
          <w:p>
            <w:pPr>
              <w:spacing w:line="360" w:lineRule="auto"/>
              <w:contextualSpacing/>
              <w:rPr>
                <w:rFonts w:hint="eastAsia" w:ascii="宋体" w:hAnsi="宋体" w:eastAsia="宋体" w:cs="宋体"/>
                <w:color w:val="auto"/>
                <w:szCs w:val="21"/>
                <w:lang w:eastAsia="zh-CN"/>
              </w:rPr>
            </w:pPr>
            <w:r>
              <w:rPr>
                <w:rFonts w:hint="eastAsia" w:ascii="宋体" w:hAnsi="宋体" w:eastAsia="宋体" w:cs="宋体"/>
                <w:color w:val="auto"/>
                <w:szCs w:val="21"/>
              </w:rPr>
              <w:t>(2)省级行政部门或省级行业协会（学会）颁发的工程检测类项目奖项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rPr>
              <w:t>的，每项得0.5分</w:t>
            </w:r>
            <w:r>
              <w:rPr>
                <w:rFonts w:hint="eastAsia" w:ascii="宋体" w:hAnsi="宋体" w:eastAsia="宋体" w:cs="宋体"/>
                <w:color w:val="auto"/>
                <w:szCs w:val="21"/>
                <w:lang w:eastAsia="zh-CN"/>
              </w:rPr>
              <w:t>；</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(3)市级行政部门或市级行业协会（学会）颁发的工程检测类项目奖项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rPr>
              <w:t>的，每项得0.2分，本子项最高得1分。</w:t>
            </w:r>
          </w:p>
          <w:p>
            <w:pPr>
              <w:spacing w:line="360" w:lineRule="auto"/>
              <w:contextualSpacing/>
              <w:rPr>
                <w:rFonts w:ascii="宋体" w:hAnsi="宋体" w:eastAsia="宋体" w:cs="Times New Roman"/>
                <w:b/>
                <w:color w:val="auto"/>
                <w:kern w:val="0"/>
                <w:szCs w:val="21"/>
                <w:highlight w:val="none"/>
              </w:rPr>
            </w:pPr>
            <w:r>
              <w:rPr>
                <w:rFonts w:hint="eastAsia" w:ascii="宋体" w:hAnsi="宋体" w:eastAsia="宋体" w:cs="宋体"/>
                <w:b/>
                <w:bCs/>
                <w:color w:val="auto"/>
                <w:szCs w:val="21"/>
              </w:rPr>
              <w:t>备注：提供相关获奖证明材料复印件加盖投标人公章，获奖时间以奖项落款时间为准，同一项目的奖项只计一次得分，若上述证明材料无法反映评分条件的，不得分。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6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kern w:val="0"/>
                <w:szCs w:val="21"/>
                <w:highlight w:val="none"/>
              </w:rPr>
            </w:pPr>
            <w:r>
              <w:rPr>
                <w:rFonts w:hint="eastAsia" w:ascii="宋体" w:hAnsi="宋体" w:eastAsia="宋体" w:cs="宋体"/>
                <w:b/>
                <w:color w:val="auto"/>
                <w:szCs w:val="21"/>
                <w:lang w:val="zh-CN"/>
              </w:rPr>
              <w:t>商务总分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4"/>
                <w:highlight w:val="none"/>
              </w:rPr>
            </w:pPr>
            <w:r>
              <w:rPr>
                <w:rFonts w:hint="eastAsia" w:ascii="宋体" w:hAnsi="宋体" w:eastAsia="宋体" w:cs="宋体"/>
                <w:b/>
                <w:color w:val="auto"/>
                <w:szCs w:val="21"/>
              </w:rPr>
              <w:t>40分</w:t>
            </w:r>
          </w:p>
        </w:tc>
      </w:tr>
      <w:bookmarkEnd w:id="774"/>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75"/>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776"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用户需求的响应程度</w:t>
            </w:r>
          </w:p>
        </w:tc>
        <w:tc>
          <w:tcPr>
            <w:tcW w:w="369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szCs w:val="21"/>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检测方案</w:t>
            </w:r>
          </w:p>
        </w:tc>
        <w:tc>
          <w:tcPr>
            <w:tcW w:w="369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lang w:val="zh-CN"/>
              </w:rPr>
              <w:t>根据各投标人提供的检测方案，对本地区的认识熟悉程度、对检测项目的认知程度、检测质量的保障措施、配合施工进度的检测实施措施等，检测目标明确，实施方法可行、操作性高、手段科学，按优：[19-14分）、良：[14-9分）、中：[9-4分）、差：[4-0分]进行评审。</w:t>
            </w: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承诺检测成果的准确性</w:t>
            </w:r>
          </w:p>
        </w:tc>
        <w:tc>
          <w:tcPr>
            <w:tcW w:w="369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（1）承诺所有检测成果按实检测，错误点数0个（含）以内，得3分；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（2）承诺所有检测成果按实检测，错误点数1个（含）以内，得2分；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（3）承诺所有检测成果按实检测，错误点数2个（含）以内，得1分；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（4）承诺所有检测成果按实检测，错误点数大于或等于3个的，得0分。</w:t>
            </w:r>
          </w:p>
          <w:p>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lang w:val="zh-CN"/>
              </w:rPr>
              <w:t>备注：根据《检测成果准确性承诺书》对应的内容进行评审。提供承诺函加盖投标人公章。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服务及时性承诺</w:t>
            </w:r>
          </w:p>
        </w:tc>
        <w:tc>
          <w:tcPr>
            <w:tcW w:w="369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（1）承诺接到招标人电话通知后1小时（含）内机械设备、人员进场服务的，得3分；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（2）承诺接到招标人电话通知后2小时（含）内机械设备、人员进场服务的，得2分；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（3）承诺接到招标人电话通知后4小时（含）内机械设备、人员进场服务的，得1分；</w:t>
            </w:r>
          </w:p>
          <w:p>
            <w:pPr>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（4）承诺接到招标人电话通知后超过4小时机械设备、人员进场服务的，得0分。</w:t>
            </w:r>
          </w:p>
          <w:p>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lang w:val="zh-CN"/>
              </w:rPr>
              <w:t>备注：根据《服务响应时间承诺书》对应的内容进行评审。提供承诺函加盖投标人公章。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2" w:type="pct"/>
            <w:gridSpan w:val="3"/>
            <w:tcBorders>
              <w:top w:val="single" w:color="auto" w:sz="4" w:space="0"/>
              <w:left w:val="single" w:color="auto" w:sz="4" w:space="0"/>
              <w:right w:val="single" w:color="auto" w:sz="4" w:space="0"/>
            </w:tcBorders>
            <w:vAlign w:val="center"/>
          </w:tcPr>
          <w:p>
            <w:pPr>
              <w:pStyle w:val="192"/>
              <w:keepNext w:val="0"/>
              <w:tabs>
                <w:tab w:val="left" w:pos="585"/>
                <w:tab w:val="left" w:pos="680"/>
              </w:tabs>
              <w:spacing w:after="0" w:line="360" w:lineRule="auto"/>
              <w:ind w:right="0" w:rightChars="0"/>
              <w:jc w:val="center"/>
              <w:rPr>
                <w:rFonts w:ascii="宋体" w:hAnsi="宋体" w:eastAsia="宋体" w:cs="宋体"/>
                <w:color w:val="auto"/>
                <w:kern w:val="0"/>
                <w:szCs w:val="21"/>
                <w:highlight w:val="none"/>
              </w:rPr>
            </w:pPr>
            <w:r>
              <w:rPr>
                <w:rFonts w:hint="eastAsia" w:ascii="宋体" w:hAnsi="宋体" w:cs="宋体"/>
                <w:b/>
                <w:color w:val="auto"/>
                <w:szCs w:val="21"/>
                <w:lang w:val="zh-CN"/>
              </w:rPr>
              <w:t>技术总分</w:t>
            </w:r>
          </w:p>
        </w:tc>
        <w:tc>
          <w:tcPr>
            <w:tcW w:w="437" w:type="pct"/>
            <w:tcBorders>
              <w:top w:val="single" w:color="auto" w:sz="4" w:space="0"/>
              <w:left w:val="single" w:color="auto" w:sz="4" w:space="0"/>
              <w:right w:val="single" w:color="auto" w:sz="4" w:space="0"/>
            </w:tcBorders>
            <w:vAlign w:val="center"/>
          </w:tcPr>
          <w:p>
            <w:pPr>
              <w:pStyle w:val="192"/>
              <w:keepNext w:val="0"/>
              <w:tabs>
                <w:tab w:val="left" w:pos="585"/>
                <w:tab w:val="left" w:pos="680"/>
              </w:tabs>
              <w:spacing w:after="0" w:line="360" w:lineRule="auto"/>
              <w:ind w:right="0" w:rightChars="0"/>
              <w:jc w:val="center"/>
              <w:rPr>
                <w:rFonts w:ascii="宋体" w:hAnsi="宋体" w:eastAsia="宋体" w:cs="宋体"/>
                <w:color w:val="auto"/>
                <w:kern w:val="0"/>
                <w:szCs w:val="21"/>
                <w:highlight w:val="none"/>
              </w:rPr>
            </w:pPr>
            <w:r>
              <w:rPr>
                <w:rFonts w:hint="eastAsia" w:ascii="宋体" w:hAnsi="宋体" w:cs="宋体"/>
                <w:b/>
                <w:color w:val="auto"/>
                <w:szCs w:val="21"/>
              </w:rPr>
              <w:t>30</w:t>
            </w:r>
            <w:r>
              <w:rPr>
                <w:rFonts w:hint="eastAsia" w:ascii="宋体" w:hAnsi="宋体" w:cs="宋体"/>
                <w:b/>
                <w:color w:val="auto"/>
                <w:szCs w:val="21"/>
                <w:lang w:val="zh-CN"/>
              </w:rPr>
              <w:t>分</w:t>
            </w:r>
          </w:p>
        </w:tc>
      </w:tr>
      <w:bookmarkEnd w:id="776"/>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A、根据有效投标人的</w:t>
      </w:r>
      <w:r>
        <w:rPr>
          <w:rFonts w:hint="eastAsia" w:ascii="宋体" w:hAnsi="宋体" w:eastAsia="宋体" w:cs="宋体"/>
          <w:color w:val="auto"/>
          <w:kern w:val="0"/>
          <w:szCs w:val="21"/>
          <w:lang w:val="en-US" w:eastAsia="zh-CN"/>
        </w:rPr>
        <w:t>检测</w:t>
      </w:r>
      <w:r>
        <w:rPr>
          <w:rFonts w:hint="eastAsia" w:ascii="宋体" w:hAnsi="宋体" w:eastAsia="宋体" w:cs="宋体"/>
          <w:color w:val="auto"/>
          <w:kern w:val="0"/>
          <w:szCs w:val="21"/>
        </w:rPr>
        <w:t>服务系数，最低</w:t>
      </w:r>
      <w:r>
        <w:rPr>
          <w:rFonts w:hint="eastAsia" w:ascii="宋体" w:hAnsi="宋体" w:eastAsia="宋体" w:cs="宋体"/>
          <w:color w:val="auto"/>
          <w:kern w:val="0"/>
          <w:szCs w:val="21"/>
          <w:lang w:val="en-US" w:eastAsia="zh-CN"/>
        </w:rPr>
        <w:t>检测</w:t>
      </w:r>
      <w:r>
        <w:rPr>
          <w:rFonts w:hint="eastAsia" w:ascii="宋体" w:hAnsi="宋体" w:eastAsia="宋体" w:cs="宋体"/>
          <w:color w:val="auto"/>
          <w:kern w:val="0"/>
          <w:szCs w:val="21"/>
        </w:rPr>
        <w:t>服务系数作为基准系数（Y）。投标人</w:t>
      </w:r>
      <w:r>
        <w:rPr>
          <w:rFonts w:hint="eastAsia" w:ascii="宋体" w:hAnsi="宋体" w:eastAsia="宋体" w:cs="宋体"/>
          <w:color w:val="auto"/>
          <w:kern w:val="0"/>
          <w:szCs w:val="21"/>
          <w:lang w:val="en-US" w:eastAsia="zh-CN"/>
        </w:rPr>
        <w:t>检测</w:t>
      </w:r>
      <w:r>
        <w:rPr>
          <w:rFonts w:hint="eastAsia" w:ascii="宋体" w:hAnsi="宋体" w:eastAsia="宋体" w:cs="宋体"/>
          <w:color w:val="auto"/>
          <w:kern w:val="0"/>
          <w:szCs w:val="21"/>
        </w:rPr>
        <w:t>服务系数（X）等于基准系数的得满分</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分，其他投标人的价格得分统一按照下列公式计算：</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 xml:space="preserve">    价格得分=(基准系数／</w:t>
      </w:r>
      <w:r>
        <w:rPr>
          <w:rFonts w:hint="eastAsia" w:ascii="宋体" w:hAnsi="宋体" w:eastAsia="宋体" w:cs="宋体"/>
          <w:color w:val="auto"/>
          <w:kern w:val="0"/>
          <w:szCs w:val="21"/>
          <w:lang w:val="en-US" w:eastAsia="zh-CN"/>
        </w:rPr>
        <w:t>检测</w:t>
      </w:r>
      <w:r>
        <w:rPr>
          <w:rFonts w:hint="eastAsia" w:ascii="宋体" w:hAnsi="宋体" w:eastAsia="宋体" w:cs="宋体"/>
          <w:color w:val="auto"/>
          <w:kern w:val="0"/>
          <w:szCs w:val="21"/>
        </w:rPr>
        <w:t>服务系数)×</w:t>
      </w:r>
      <w:r>
        <w:rPr>
          <w:rFonts w:hint="eastAsia" w:ascii="宋体" w:hAnsi="宋体" w:eastAsia="宋体" w:cs="宋体"/>
          <w:color w:val="auto"/>
          <w:kern w:val="0"/>
          <w:szCs w:val="21"/>
          <w:lang w:val="en-US" w:eastAsia="zh-CN"/>
        </w:rPr>
        <w:t>30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777" w:name="_Toc31624_WPSOffice_Level2"/>
      <w:r>
        <w:rPr>
          <w:rFonts w:hint="eastAsia" w:ascii="宋体" w:hAnsi="宋体" w:eastAsia="宋体" w:cs="宋体"/>
          <w:color w:val="auto"/>
          <w:kern w:val="0"/>
          <w:szCs w:val="28"/>
          <w:highlight w:val="none"/>
          <w:lang w:val="zh-CN"/>
        </w:rPr>
        <w:t>评标总得分=F1＋F2＋……+Fn</w:t>
      </w:r>
      <w:bookmarkEnd w:id="777"/>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78" w:name="_Toc13236_WPSOffice_Level2"/>
      <w:r>
        <w:rPr>
          <w:rFonts w:hint="eastAsia" w:ascii="宋体" w:hAnsi="宋体" w:eastAsia="宋体" w:cs="宋体"/>
          <w:color w:val="auto"/>
          <w:kern w:val="0"/>
          <w:szCs w:val="21"/>
          <w:highlight w:val="none"/>
        </w:rPr>
        <w:t>F1、F2、……Fn分别为各项评分因素的得分</w:t>
      </w:r>
      <w:bookmarkEnd w:id="778"/>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779" w:name="_Toc518_WPSOffice_Level1"/>
      <w:r>
        <w:rPr>
          <w:rFonts w:hint="eastAsia" w:ascii="宋体" w:hAnsi="宋体" w:eastAsia="宋体" w:cs="宋体"/>
          <w:b/>
          <w:bCs/>
          <w:color w:val="auto"/>
          <w:sz w:val="28"/>
          <w:szCs w:val="28"/>
          <w:highlight w:val="none"/>
          <w:lang w:val="zh-CN"/>
        </w:rPr>
        <w:t>五、推荐中标人</w:t>
      </w:r>
      <w:bookmarkEnd w:id="779"/>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80" w:name="_Toc22724_WPSOffice_Level1"/>
      <w:r>
        <w:rPr>
          <w:rFonts w:hint="eastAsia" w:ascii="宋体" w:hAnsi="宋体" w:eastAsia="宋体" w:cs="宋体"/>
          <w:b/>
          <w:bCs/>
          <w:color w:val="auto"/>
          <w:sz w:val="28"/>
          <w:szCs w:val="28"/>
          <w:highlight w:val="none"/>
          <w:lang w:val="zh-CN"/>
        </w:rPr>
        <w:t>六、编写评标报告</w:t>
      </w:r>
      <w:bookmarkEnd w:id="780"/>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81" w:name="_Toc23773_WPSOffice_Level1"/>
      <w:r>
        <w:rPr>
          <w:rFonts w:hint="eastAsia" w:ascii="宋体" w:hAnsi="宋体" w:eastAsia="宋体" w:cs="宋体"/>
          <w:b/>
          <w:bCs/>
          <w:color w:val="auto"/>
          <w:sz w:val="28"/>
          <w:szCs w:val="28"/>
          <w:highlight w:val="none"/>
          <w:lang w:val="zh-CN"/>
        </w:rPr>
        <w:t>七、注意事项</w:t>
      </w:r>
      <w:bookmarkEnd w:id="781"/>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46"/>
    <w:bookmarkEnd w:id="756"/>
    <w:bookmarkEnd w:id="757"/>
    <w:bookmarkEnd w:id="758"/>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BAED"/>
    <w:multiLevelType w:val="singleLevel"/>
    <w:tmpl w:val="91C2BAED"/>
    <w:lvl w:ilvl="0" w:tentative="0">
      <w:start w:val="11"/>
      <w:numFmt w:val="chineseCounting"/>
      <w:suff w:val="nothing"/>
      <w:lvlText w:val="%1、"/>
      <w:lvlJc w:val="left"/>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 w:name="KSO_WPS_MARK_KEY" w:val="f885b62e-38d9-4ea0-bdc3-ebc527872538"/>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58F7720"/>
    <w:rsid w:val="06A75D00"/>
    <w:rsid w:val="0A9A32F9"/>
    <w:rsid w:val="0DCB6F7B"/>
    <w:rsid w:val="0F241091"/>
    <w:rsid w:val="10BC03C7"/>
    <w:rsid w:val="10FE7849"/>
    <w:rsid w:val="128F1748"/>
    <w:rsid w:val="130F4A87"/>
    <w:rsid w:val="14237C67"/>
    <w:rsid w:val="15A13C38"/>
    <w:rsid w:val="16B60189"/>
    <w:rsid w:val="182745FA"/>
    <w:rsid w:val="1A2569C7"/>
    <w:rsid w:val="1B0940FF"/>
    <w:rsid w:val="1B0A6763"/>
    <w:rsid w:val="1B956E0A"/>
    <w:rsid w:val="1DE336BF"/>
    <w:rsid w:val="1DE47C02"/>
    <w:rsid w:val="1EA43346"/>
    <w:rsid w:val="207A1985"/>
    <w:rsid w:val="22C62CF4"/>
    <w:rsid w:val="23A06120"/>
    <w:rsid w:val="26AE4CD1"/>
    <w:rsid w:val="280B7C22"/>
    <w:rsid w:val="286E02B3"/>
    <w:rsid w:val="28AC24C6"/>
    <w:rsid w:val="28CD7B64"/>
    <w:rsid w:val="28DA73F5"/>
    <w:rsid w:val="29AE6B2F"/>
    <w:rsid w:val="2A9E4307"/>
    <w:rsid w:val="2CFC2BFE"/>
    <w:rsid w:val="314D028A"/>
    <w:rsid w:val="355530AA"/>
    <w:rsid w:val="363E3878"/>
    <w:rsid w:val="364631D7"/>
    <w:rsid w:val="368928C2"/>
    <w:rsid w:val="37850378"/>
    <w:rsid w:val="38A25892"/>
    <w:rsid w:val="38F00B77"/>
    <w:rsid w:val="39BC436E"/>
    <w:rsid w:val="3B1F29B6"/>
    <w:rsid w:val="3C9B7C8C"/>
    <w:rsid w:val="3E444F53"/>
    <w:rsid w:val="3F5B255F"/>
    <w:rsid w:val="40DC5A18"/>
    <w:rsid w:val="41B36482"/>
    <w:rsid w:val="42E40008"/>
    <w:rsid w:val="43B50E83"/>
    <w:rsid w:val="44310EC3"/>
    <w:rsid w:val="44F97BD6"/>
    <w:rsid w:val="49684651"/>
    <w:rsid w:val="49A11F60"/>
    <w:rsid w:val="49AA5FD4"/>
    <w:rsid w:val="4BC8467F"/>
    <w:rsid w:val="4CFE53E3"/>
    <w:rsid w:val="4E2E1272"/>
    <w:rsid w:val="4F0A4599"/>
    <w:rsid w:val="4F3A3B8D"/>
    <w:rsid w:val="4F9662AF"/>
    <w:rsid w:val="4FE63648"/>
    <w:rsid w:val="5018666B"/>
    <w:rsid w:val="5161236A"/>
    <w:rsid w:val="54031CF0"/>
    <w:rsid w:val="54977258"/>
    <w:rsid w:val="54F06565"/>
    <w:rsid w:val="56632611"/>
    <w:rsid w:val="56637494"/>
    <w:rsid w:val="56B37004"/>
    <w:rsid w:val="570F757A"/>
    <w:rsid w:val="579E50CE"/>
    <w:rsid w:val="59633BAD"/>
    <w:rsid w:val="59FB128F"/>
    <w:rsid w:val="5BE12FA3"/>
    <w:rsid w:val="5C4D6613"/>
    <w:rsid w:val="5D8866EC"/>
    <w:rsid w:val="5EBF421E"/>
    <w:rsid w:val="62B13874"/>
    <w:rsid w:val="63672753"/>
    <w:rsid w:val="64461314"/>
    <w:rsid w:val="65E62E7A"/>
    <w:rsid w:val="66EC7F6C"/>
    <w:rsid w:val="675E72EA"/>
    <w:rsid w:val="67BB5990"/>
    <w:rsid w:val="67E46BB2"/>
    <w:rsid w:val="69F452BC"/>
    <w:rsid w:val="6AAD178D"/>
    <w:rsid w:val="6AB3020B"/>
    <w:rsid w:val="6AB73874"/>
    <w:rsid w:val="6CC649E7"/>
    <w:rsid w:val="6DDA5CDD"/>
    <w:rsid w:val="6F5F71DE"/>
    <w:rsid w:val="6FC4095F"/>
    <w:rsid w:val="70B51F27"/>
    <w:rsid w:val="715C648F"/>
    <w:rsid w:val="73A66718"/>
    <w:rsid w:val="745646B7"/>
    <w:rsid w:val="746A7B67"/>
    <w:rsid w:val="751D3132"/>
    <w:rsid w:val="77281627"/>
    <w:rsid w:val="790D22C6"/>
    <w:rsid w:val="79CD5792"/>
    <w:rsid w:val="7ADA3322"/>
    <w:rsid w:val="7B5F352B"/>
    <w:rsid w:val="7D630A43"/>
    <w:rsid w:val="7D6457E7"/>
    <w:rsid w:val="7F62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next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basedOn w:val="38"/>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3"/>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5"/>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9"/>
    <w:qFormat/>
    <w:uiPriority w:val="9"/>
    <w:rPr>
      <w:rFonts w:ascii="Times New Roman" w:hAnsi="Calibri" w:eastAsia="黑体" w:cs="Times New Roman"/>
      <w:b/>
      <w:bCs/>
      <w:kern w:val="0"/>
      <w:sz w:val="28"/>
      <w:szCs w:val="24"/>
    </w:rPr>
  </w:style>
  <w:style w:type="character" w:customStyle="1" w:styleId="52">
    <w:name w:val="标题 8 Char"/>
    <w:basedOn w:val="38"/>
    <w:link w:val="10"/>
    <w:qFormat/>
    <w:uiPriority w:val="9"/>
    <w:rPr>
      <w:rFonts w:ascii="Times New Roman" w:hAnsi="Calibri" w:eastAsia="黑体" w:cs="Times New Roman"/>
      <w:b/>
      <w:kern w:val="0"/>
      <w:sz w:val="28"/>
      <w:szCs w:val="24"/>
    </w:rPr>
  </w:style>
  <w:style w:type="character" w:customStyle="1" w:styleId="53">
    <w:name w:val="标题 9 Char"/>
    <w:basedOn w:val="38"/>
    <w:link w:val="11"/>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3"/>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4"/>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19"/>
    <w:qFormat/>
    <w:uiPriority w:val="0"/>
    <w:rPr>
      <w:rFonts w:ascii="Times New Roman" w:hAnsi="Times New Roman" w:eastAsia="宋体" w:cs="Times New Roman"/>
      <w:szCs w:val="20"/>
    </w:rPr>
  </w:style>
  <w:style w:type="character" w:customStyle="1" w:styleId="91">
    <w:name w:val="普通(网站) Char1"/>
    <w:link w:val="32"/>
    <w:qFormat/>
    <w:locked/>
    <w:uiPriority w:val="0"/>
    <w:rPr>
      <w:rFonts w:ascii="宋体" w:hAnsi="宋体"/>
      <w:sz w:val="15"/>
      <w:szCs w:val="15"/>
    </w:rPr>
  </w:style>
  <w:style w:type="character" w:customStyle="1" w:styleId="92">
    <w:name w:val="模板正文 Char"/>
    <w:link w:val="8"/>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1"/>
    <w:qFormat/>
    <w:uiPriority w:val="0"/>
    <w:rPr>
      <w:rFonts w:ascii="宋体" w:hAnsi="Courier New" w:eastAsia="宋体"/>
    </w:rPr>
  </w:style>
  <w:style w:type="character" w:customStyle="1" w:styleId="99">
    <w:name w:val="正文文本缩进 2 Char"/>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6"/>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7"/>
    <w:qFormat/>
    <w:uiPriority w:val="9"/>
    <w:rPr>
      <w:rFonts w:ascii="Times New Roman" w:hAnsi="Calibri" w:eastAsia="黑体" w:cs="Times New Roman"/>
      <w:b/>
      <w:bCs/>
      <w:kern w:val="0"/>
      <w:sz w:val="28"/>
      <w:szCs w:val="24"/>
    </w:rPr>
  </w:style>
  <w:style w:type="character" w:customStyle="1" w:styleId="141">
    <w:name w:val="正文文本 2 Char"/>
    <w:link w:val="30"/>
    <w:qFormat/>
    <w:uiPriority w:val="0"/>
    <w:rPr>
      <w:rFonts w:ascii="Arial" w:hAnsi="Arial" w:eastAsia="宋体" w:cs="Times New Roman"/>
      <w:color w:val="000000"/>
      <w:szCs w:val="24"/>
    </w:rPr>
  </w:style>
  <w:style w:type="character" w:customStyle="1" w:styleId="142">
    <w:name w:val="标题 3 Char"/>
    <w:link w:val="4"/>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2"/>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0"/>
    <w:basedOn w:val="38"/>
    <w:qFormat/>
    <w:uiPriority w:val="0"/>
    <w:rPr>
      <w:rFonts w:hint="default" w:ascii="Times New Roman" w:hAnsi="Times New Roman" w:cs="Times New Roman"/>
    </w:rPr>
  </w:style>
  <w:style w:type="character" w:customStyle="1" w:styleId="202">
    <w:name w:val="15"/>
    <w:basedOn w:val="38"/>
    <w:qFormat/>
    <w:uiPriority w:val="0"/>
    <w:rPr>
      <w:rFonts w:hint="eastAsia" w:ascii="宋体" w:hAnsi="宋体" w:eastAsia="宋体" w:cs="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70724</Words>
  <Characters>74091</Characters>
  <Lines>1</Lines>
  <Paragraphs>1</Paragraphs>
  <TotalTime>4</TotalTime>
  <ScaleCrop>false</ScaleCrop>
  <LinksUpToDate>false</LinksUpToDate>
  <CharactersWithSpaces>77090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dcterms:modified xsi:type="dcterms:W3CDTF">2024-05-17T06:45:52Z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FC86529555864147A6D2C0B502DD08A7_13</vt:lpwstr>
  </property>
</Properties>
</file>