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52"/>
          <w:szCs w:val="52"/>
          <w:highlight w:val="none"/>
          <w:lang w:val="zh-CN"/>
          <w14:textFill>
            <w14:solidFill>
              <w14:schemeClr w14:val="tx1"/>
            </w14:solidFill>
          </w14:textFill>
        </w:rPr>
      </w:pPr>
      <w:bookmarkStart w:id="687" w:name="_GoBack"/>
    </w:p>
    <w:p>
      <w:pPr>
        <w:autoSpaceDE w:val="0"/>
        <w:autoSpaceDN w:val="0"/>
        <w:adjustRightInd w:val="0"/>
        <w:spacing w:line="276" w:lineRule="auto"/>
        <w:ind w:left="247" w:right="-23" w:rightChars="-11"/>
        <w:jc w:val="center"/>
        <w:rPr>
          <w:rFonts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东莞市水务集团有限公司2024年度食堂食材采购项目</w:t>
      </w:r>
    </w:p>
    <w:p>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44"/>
          <w:szCs w:val="44"/>
          <w:highlight w:val="none"/>
          <w:lang w:val="zh-CN"/>
          <w14:textFill>
            <w14:solidFill>
              <w14:schemeClr w14:val="tx1"/>
            </w14:solidFill>
          </w14:textFill>
        </w:rPr>
      </w:pPr>
    </w:p>
    <w:p>
      <w:pPr>
        <w:autoSpaceDE w:val="0"/>
        <w:autoSpaceDN w:val="0"/>
        <w:adjustRightInd w:val="0"/>
        <w:ind w:left="247" w:right="-23" w:rightChars="-11"/>
        <w:jc w:val="left"/>
        <w:rPr>
          <w:rFonts w:ascii="宋体" w:hAnsi="宋体" w:eastAsia="宋体" w:cs="宋体"/>
          <w:b/>
          <w:bCs/>
          <w:color w:val="000000" w:themeColor="text1"/>
          <w:sz w:val="44"/>
          <w:szCs w:val="44"/>
          <w:highlight w:val="none"/>
          <w:lang w:val="zh-CN"/>
          <w14:textFill>
            <w14:solidFill>
              <w14:schemeClr w14:val="tx1"/>
            </w14:solidFill>
          </w14:textFill>
        </w:rPr>
      </w:pPr>
    </w:p>
    <w:p>
      <w:pPr>
        <w:autoSpaceDE w:val="0"/>
        <w:autoSpaceDN w:val="0"/>
        <w:adjustRightInd w:val="0"/>
        <w:ind w:left="247"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p>
    <w:p>
      <w:pPr>
        <w:autoSpaceDE w:val="0"/>
        <w:autoSpaceDN w:val="0"/>
        <w:adjustRightInd w:val="0"/>
        <w:ind w:left="247"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r>
        <w:rPr>
          <w:rFonts w:hint="eastAsia" w:ascii="宋体" w:hAnsi="宋体" w:eastAsia="宋体" w:cs="Times New Roman"/>
          <w:b/>
          <w:bCs/>
          <w:color w:val="000000" w:themeColor="text1"/>
          <w:sz w:val="72"/>
          <w:szCs w:val="72"/>
          <w:highlight w:val="none"/>
          <w:lang w:val="zh-CN"/>
          <w14:textFill>
            <w14:solidFill>
              <w14:schemeClr w14:val="tx1"/>
            </w14:solidFill>
          </w14:textFill>
        </w:rPr>
        <w:t>招</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件</w:t>
      </w:r>
    </w:p>
    <w:p>
      <w:pPr>
        <w:autoSpaceDE w:val="0"/>
        <w:autoSpaceDN w:val="0"/>
        <w:adjustRightInd w:val="0"/>
        <w:ind w:left="247" w:right="-23" w:rightChars="-11"/>
        <w:jc w:val="center"/>
        <w:rPr>
          <w:rFonts w:ascii="宋体" w:hAnsi="宋体" w:eastAsia="宋体" w:cs="宋体"/>
          <w:b/>
          <w:bCs/>
          <w:color w:val="000000" w:themeColor="text1"/>
          <w:sz w:val="32"/>
          <w:szCs w:val="32"/>
          <w:highlight w:val="none"/>
          <w:lang w:val="zh-CN"/>
          <w14:textFill>
            <w14:solidFill>
              <w14:schemeClr w14:val="tx1"/>
            </w14:solidFill>
          </w14:textFill>
        </w:rPr>
      </w:pPr>
    </w:p>
    <w:p>
      <w:pPr>
        <w:autoSpaceDE w:val="0"/>
        <w:autoSpaceDN w:val="0"/>
        <w:adjustRightInd w:val="0"/>
        <w:ind w:left="247" w:right="-23" w:rightChars="-11"/>
        <w:jc w:val="center"/>
        <w:rPr>
          <w:rFonts w:ascii="宋体" w:hAnsi="宋体" w:eastAsia="宋体" w:cs="宋体"/>
          <w:b/>
          <w:bCs/>
          <w:color w:val="000000" w:themeColor="text1"/>
          <w:sz w:val="44"/>
          <w:szCs w:val="44"/>
          <w:highlight w:val="none"/>
          <w:lang w:val="zh-CN"/>
          <w14:textFill>
            <w14:solidFill>
              <w14:schemeClr w14:val="tx1"/>
            </w14:solidFill>
          </w14:textFill>
        </w:rPr>
      </w:pPr>
    </w:p>
    <w:p>
      <w:pPr>
        <w:autoSpaceDE w:val="0"/>
        <w:autoSpaceDN w:val="0"/>
        <w:adjustRightInd w:val="0"/>
        <w:ind w:left="247" w:right="-23" w:rightChars="-11"/>
        <w:jc w:val="left"/>
        <w:rPr>
          <w:rFonts w:ascii="宋体" w:hAnsi="宋体" w:eastAsia="宋体" w:cs="宋体"/>
          <w:b/>
          <w:bCs/>
          <w:color w:val="000000" w:themeColor="text1"/>
          <w:sz w:val="32"/>
          <w:szCs w:val="32"/>
          <w:highlight w:val="none"/>
          <w:u w:val="single"/>
          <w:lang w:val="zh-CN"/>
          <w14:textFill>
            <w14:solidFill>
              <w14:schemeClr w14:val="tx1"/>
            </w14:solidFill>
          </w14:textFill>
        </w:rPr>
      </w:pPr>
    </w:p>
    <w:p>
      <w:pPr>
        <w:tabs>
          <w:tab w:val="left" w:pos="9240"/>
        </w:tabs>
        <w:autoSpaceDE w:val="0"/>
        <w:autoSpaceDN w:val="0"/>
        <w:adjustRightInd w:val="0"/>
        <w:spacing w:line="700" w:lineRule="exact"/>
        <w:ind w:left="247" w:right="-23" w:rightChars="-11"/>
        <w:jc w:val="left"/>
        <w:rPr>
          <w:rFonts w:ascii="宋体" w:hAnsi="宋体" w:eastAsia="宋体" w:cs="宋体"/>
          <w:b/>
          <w:bCs/>
          <w:color w:val="000000" w:themeColor="text1"/>
          <w:sz w:val="32"/>
          <w:szCs w:val="32"/>
          <w:highlight w:val="none"/>
          <w:lang w:val="zh-CN"/>
          <w14:textFill>
            <w14:solidFill>
              <w14:schemeClr w14:val="tx1"/>
            </w14:solidFill>
          </w14:textFill>
        </w:rPr>
      </w:pPr>
    </w:p>
    <w:p>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编</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号：广建咨询（东招）2024-0038号</w:t>
      </w:r>
    </w:p>
    <w:p>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人：东莞市水务集团有限公司</w:t>
      </w:r>
    </w:p>
    <w:p>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招标代理机构：建成工程咨询股份有限公司</w:t>
      </w:r>
    </w:p>
    <w:p>
      <w:pPr>
        <w:autoSpaceDE w:val="0"/>
        <w:autoSpaceDN w:val="0"/>
        <w:adjustRightInd w:val="0"/>
        <w:ind w:left="247" w:right="-23" w:rightChars="-11"/>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p>
    <w:p>
      <w:pPr>
        <w:autoSpaceDE w:val="0"/>
        <w:autoSpaceDN w:val="0"/>
        <w:adjustRightInd w:val="0"/>
        <w:ind w:left="247" w:right="-23" w:rightChars="-11"/>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p>
    <w:p>
      <w:pPr>
        <w:ind w:left="247"/>
        <w:rPr>
          <w:color w:val="000000" w:themeColor="text1"/>
          <w:highlight w:val="none"/>
          <w:lang w:val="zh-CN"/>
          <w14:textFill>
            <w14:solidFill>
              <w14:schemeClr w14:val="tx1"/>
            </w14:solidFill>
          </w14:textFill>
        </w:rPr>
      </w:pPr>
    </w:p>
    <w:p>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000000" w:themeColor="text1"/>
          <w:kern w:val="0"/>
          <w:sz w:val="52"/>
          <w:szCs w:val="5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2024</w:t>
      </w:r>
      <w:r>
        <w:rPr>
          <w:rFonts w:hint="eastAsia" w:ascii="宋体" w:hAnsi="宋体" w:eastAsia="宋体" w:cs="宋体"/>
          <w:b/>
          <w:bCs/>
          <w:color w:val="000000" w:themeColor="text1"/>
          <w:sz w:val="32"/>
          <w:szCs w:val="32"/>
          <w:highlight w:val="none"/>
          <w:lang w:val="zh-CN"/>
          <w14:textFill>
            <w14:solidFill>
              <w14:schemeClr w14:val="tx1"/>
            </w14:solidFill>
          </w14:textFill>
        </w:rPr>
        <w:t>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4</w:t>
      </w:r>
      <w:r>
        <w:rPr>
          <w:rFonts w:hint="eastAsia" w:ascii="宋体" w:hAnsi="宋体" w:eastAsia="宋体" w:cs="宋体"/>
          <w:b/>
          <w:bCs/>
          <w:color w:val="000000" w:themeColor="text1"/>
          <w:sz w:val="32"/>
          <w:szCs w:val="32"/>
          <w:highlight w:val="none"/>
          <w:lang w:val="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30</w:t>
      </w:r>
      <w:r>
        <w:rPr>
          <w:rFonts w:hint="eastAsia" w:ascii="宋体" w:hAnsi="宋体" w:eastAsia="宋体" w:cs="宋体"/>
          <w:b/>
          <w:bCs/>
          <w:color w:val="000000" w:themeColor="text1"/>
          <w:sz w:val="32"/>
          <w:szCs w:val="32"/>
          <w:highlight w:val="none"/>
          <w:lang w:val="zh-CN"/>
          <w14:textFill>
            <w14:solidFill>
              <w14:schemeClr w14:val="tx1"/>
            </w14:solidFill>
          </w14:textFill>
        </w:rPr>
        <w:t>日</w:t>
      </w:r>
    </w:p>
    <w:p>
      <w:pPr>
        <w:tabs>
          <w:tab w:val="left" w:pos="9923"/>
          <w:tab w:val="left" w:pos="10206"/>
        </w:tabs>
        <w:autoSpaceDE w:val="0"/>
        <w:autoSpaceDN w:val="0"/>
        <w:adjustRightInd w:val="0"/>
        <w:spacing w:line="360" w:lineRule="auto"/>
        <w:ind w:left="247"/>
        <w:jc w:val="center"/>
        <w:rPr>
          <w:rFonts w:ascii="宋体" w:hAnsi="宋体" w:eastAsia="宋体" w:cs="Times New Roman"/>
          <w:b/>
          <w:color w:val="000000" w:themeColor="text1"/>
          <w:kern w:val="0"/>
          <w:szCs w:val="21"/>
          <w:highlight w:val="none"/>
          <w14:textFill>
            <w14:solidFill>
              <w14:schemeClr w14:val="tx1"/>
            </w14:solidFill>
          </w14:textFill>
        </w:rPr>
      </w:pPr>
      <w:bookmarkStart w:id="0" w:name="_Toc29891_WPSOffice_Type3"/>
      <w:r>
        <w:rPr>
          <w:rFonts w:ascii="宋体" w:hAnsi="宋体" w:eastAsia="宋体" w:cs="Times New Roman"/>
          <w:b/>
          <w:color w:val="000000" w:themeColor="text1"/>
          <w:kern w:val="0"/>
          <w:szCs w:val="21"/>
          <w:highlight w:val="none"/>
          <w14:textFill>
            <w14:solidFill>
              <w14:schemeClr w14:val="tx1"/>
            </w14:solidFill>
          </w14:textFill>
        </w:rPr>
        <w:br w:type="page"/>
      </w:r>
      <w:r>
        <w:rPr>
          <w:rFonts w:ascii="宋体" w:hAnsi="宋体" w:eastAsia="宋体" w:cs="Times New Roman"/>
          <w:b/>
          <w:color w:val="000000" w:themeColor="text1"/>
          <w:kern w:val="0"/>
          <w:sz w:val="24"/>
          <w:szCs w:val="24"/>
          <w:highlight w:val="none"/>
          <w14:textFill>
            <w14:solidFill>
              <w14:schemeClr w14:val="tx1"/>
            </w14:solidFill>
          </w14:textFill>
        </w:rPr>
        <w:t>目</w:t>
      </w:r>
      <w:r>
        <w:rPr>
          <w:rFonts w:hint="eastAsia" w:ascii="宋体" w:hAnsi="宋体" w:eastAsia="宋体" w:cs="Times New Roman"/>
          <w:b/>
          <w:color w:val="000000" w:themeColor="text1"/>
          <w:kern w:val="0"/>
          <w:sz w:val="24"/>
          <w:szCs w:val="24"/>
          <w:highlight w:val="none"/>
          <w14:textFill>
            <w14:solidFill>
              <w14:schemeClr w14:val="tx1"/>
            </w14:solidFill>
          </w14:textFill>
        </w:rPr>
        <w:t xml:space="preserve">  </w:t>
      </w:r>
      <w:r>
        <w:rPr>
          <w:rFonts w:ascii="宋体" w:hAnsi="宋体" w:eastAsia="宋体" w:cs="Times New Roman"/>
          <w:b/>
          <w:color w:val="000000" w:themeColor="text1"/>
          <w:kern w:val="0"/>
          <w:sz w:val="24"/>
          <w:szCs w:val="24"/>
          <w:highlight w:val="none"/>
          <w14:textFill>
            <w14:solidFill>
              <w14:schemeClr w14:val="tx1"/>
            </w14:solidFill>
          </w14:textFill>
        </w:rPr>
        <w:t>录</w:t>
      </w:r>
    </w:p>
    <w:p>
      <w:pPr>
        <w:pStyle w:val="29"/>
        <w:rPr>
          <w:color w:val="000000" w:themeColor="text1"/>
          <w:sz w:val="20"/>
          <w:highlight w:val="none"/>
          <w14:textFill>
            <w14:solidFill>
              <w14:schemeClr w14:val="tx1"/>
            </w14:solidFill>
          </w14:textFill>
          <w14:ligatures w14:val="standardContextual"/>
        </w:rPr>
      </w:pPr>
      <w:r>
        <w:rPr>
          <w:rFonts w:hint="eastAsia"/>
          <w:b/>
          <w:bCs/>
          <w:color w:val="000000" w:themeColor="text1"/>
          <w:szCs w:val="21"/>
          <w:highlight w:val="none"/>
          <w14:textFill>
            <w14:solidFill>
              <w14:schemeClr w14:val="tx1"/>
            </w14:solidFill>
          </w14:textFill>
        </w:rPr>
        <w:fldChar w:fldCharType="begin"/>
      </w:r>
      <w:r>
        <w:rPr>
          <w:rFonts w:hint="eastAsia"/>
          <w:b/>
          <w:bCs/>
          <w:color w:val="000000" w:themeColor="text1"/>
          <w:szCs w:val="21"/>
          <w:highlight w:val="none"/>
          <w14:textFill>
            <w14:solidFill>
              <w14:schemeClr w14:val="tx1"/>
            </w14:solidFill>
          </w14:textFill>
        </w:rPr>
        <w:instrText xml:space="preserve">TOC \o "1-3" \h \u </w:instrText>
      </w:r>
      <w:r>
        <w:rPr>
          <w:rFonts w:hint="eastAsia"/>
          <w:b/>
          <w:bCs/>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"_Toc161843140"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b/>
          <w:bCs/>
          <w:color w:val="000000" w:themeColor="text1"/>
          <w:kern w:val="44"/>
          <w:highlight w:val="none"/>
          <w:lang w:val="zh-CN"/>
          <w14:textFill>
            <w14:solidFill>
              <w14:schemeClr w14:val="tx1"/>
            </w14:solidFill>
          </w14:textFill>
        </w:rPr>
        <w:t>第一篇 招标公告</w:t>
      </w:r>
      <w:r>
        <w:rPr>
          <w:rFonts w:hint="eastAsia"/>
          <w:color w:val="000000" w:themeColor="text1"/>
          <w:sz w:val="20"/>
          <w:highlight w:val="none"/>
          <w14:textFill>
            <w14:solidFill>
              <w14:schemeClr w14:val="tx1"/>
            </w14:solidFill>
          </w14:textFill>
        </w:rPr>
        <w:tab/>
      </w:r>
      <w:r>
        <w:rPr>
          <w:rFonts w:hint="eastAsia"/>
          <w:color w:val="000000" w:themeColor="text1"/>
          <w:sz w:val="20"/>
          <w:highlight w:val="none"/>
          <w14:textFill>
            <w14:solidFill>
              <w14:schemeClr w14:val="tx1"/>
            </w14:solidFill>
          </w14:textFill>
        </w:rPr>
        <w:fldChar w:fldCharType="begin"/>
      </w:r>
      <w:r>
        <w:rPr>
          <w:rFonts w:hint="eastAsia"/>
          <w:color w:val="000000" w:themeColor="text1"/>
          <w:sz w:val="20"/>
          <w:highlight w:val="none"/>
          <w14:textFill>
            <w14:solidFill>
              <w14:schemeClr w14:val="tx1"/>
            </w14:solidFill>
          </w14:textFill>
        </w:rPr>
        <w:instrText xml:space="preserve"> PAGEREF _Toc161843140 \h </w:instrText>
      </w:r>
      <w:r>
        <w:rPr>
          <w:rFonts w:hint="eastAsia"/>
          <w:color w:val="000000" w:themeColor="text1"/>
          <w:sz w:val="20"/>
          <w:highlight w:val="none"/>
          <w14:textFill>
            <w14:solidFill>
              <w14:schemeClr w14:val="tx1"/>
            </w14:solidFill>
          </w14:textFill>
        </w:rPr>
        <w:fldChar w:fldCharType="separate"/>
      </w:r>
      <w:r>
        <w:rPr>
          <w:color w:val="000000" w:themeColor="text1"/>
          <w:sz w:val="20"/>
          <w:highlight w:val="none"/>
          <w14:textFill>
            <w14:solidFill>
              <w14:schemeClr w14:val="tx1"/>
            </w14:solidFill>
          </w14:textFill>
        </w:rPr>
        <w:t>4</w:t>
      </w:r>
      <w:r>
        <w:rPr>
          <w:rFonts w:hint="eastAsia"/>
          <w:color w:val="000000" w:themeColor="text1"/>
          <w:sz w:val="20"/>
          <w:highlight w:val="none"/>
          <w14:textFill>
            <w14:solidFill>
              <w14:schemeClr w14:val="tx1"/>
            </w14:solidFill>
          </w14:textFill>
        </w:rPr>
        <w:fldChar w:fldCharType="end"/>
      </w:r>
      <w:r>
        <w:rPr>
          <w:rFonts w:hint="eastAsia"/>
          <w:color w:val="000000" w:themeColor="text1"/>
          <w:sz w:val="20"/>
          <w:highlight w:val="none"/>
          <w14:textFill>
            <w14:solidFill>
              <w14:schemeClr w14:val="tx1"/>
            </w14:solidFill>
          </w14:textFill>
        </w:rPr>
        <w:fldChar w:fldCharType="end"/>
      </w:r>
    </w:p>
    <w:p>
      <w:pPr>
        <w:pStyle w:val="29"/>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"_Toc161843141"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b/>
          <w:bCs/>
          <w:color w:val="000000" w:themeColor="text1"/>
          <w:kern w:val="44"/>
          <w:highlight w:val="none"/>
          <w:lang w:val="zh-CN"/>
          <w14:textFill>
            <w14:solidFill>
              <w14:schemeClr w14:val="tx1"/>
            </w14:solidFill>
          </w14:textFill>
        </w:rPr>
        <w:t>第二篇</w:t>
      </w:r>
      <w:r>
        <w:rPr>
          <w:rStyle w:val="43"/>
          <w:rFonts w:hint="eastAsia" w:ascii="宋体" w:hAnsi="宋体" w:eastAsia="宋体" w:cs="宋体"/>
          <w:b/>
          <w:bCs/>
          <w:color w:val="000000" w:themeColor="text1"/>
          <w:kern w:val="44"/>
          <w:highlight w:val="none"/>
          <w14:textFill>
            <w14:solidFill>
              <w14:schemeClr w14:val="tx1"/>
            </w14:solidFill>
          </w14:textFill>
        </w:rPr>
        <w:t xml:space="preserve"> </w:t>
      </w:r>
      <w:r>
        <w:rPr>
          <w:rStyle w:val="43"/>
          <w:rFonts w:hint="eastAsia" w:ascii="宋体" w:hAnsi="宋体" w:eastAsia="宋体" w:cs="宋体"/>
          <w:b/>
          <w:bCs/>
          <w:color w:val="000000" w:themeColor="text1"/>
          <w:kern w:val="44"/>
          <w:highlight w:val="none"/>
          <w:lang w:val="zh-CN"/>
          <w14:textFill>
            <w14:solidFill>
              <w14:schemeClr w14:val="tx1"/>
            </w14:solidFill>
          </w14:textFill>
        </w:rPr>
        <w:t>投标人须知</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_Toc161843141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9"/>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"_Toc161843142"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b/>
          <w:bCs/>
          <w:color w:val="000000" w:themeColor="text1"/>
          <w:kern w:val="44"/>
          <w:highlight w:val="none"/>
          <w:lang w:val="zh-CN"/>
          <w14:textFill>
            <w14:solidFill>
              <w14:schemeClr w14:val="tx1"/>
            </w14:solidFill>
          </w14:textFill>
        </w:rPr>
        <w:t>一、总则</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_Toc161843142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"_Toc161843143"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1 资金来源：企业自筹资金。</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_Toc161843143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"_Toc161843144"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2 合格的投标人</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_Toc161843144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"_Toc161843145"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3 合格的服务</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_Toc161843145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"_Toc161843146"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4 其它说明</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_Toc161843146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9"/>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"_Toc161843147"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b/>
          <w:bCs/>
          <w:color w:val="000000" w:themeColor="text1"/>
          <w:kern w:val="44"/>
          <w:highlight w:val="none"/>
          <w:lang w:val="zh-CN"/>
          <w14:textFill>
            <w14:solidFill>
              <w14:schemeClr w14:val="tx1"/>
            </w14:solidFill>
          </w14:textFill>
        </w:rPr>
        <w:t>二、招标文件</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_Toc161843147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"_Toc161843148"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5 招标文件的构成</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_Toc161843148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"_Toc161843149"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6 招标文件的异议</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_Toc161843149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"_Toc161843150"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7 招标文件的澄清及修改</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_Toc161843150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9"/>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"_Toc161843151"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b/>
          <w:bCs/>
          <w:color w:val="000000" w:themeColor="text1"/>
          <w:kern w:val="44"/>
          <w:highlight w:val="none"/>
          <w:lang w:val="zh-CN"/>
          <w14:textFill>
            <w14:solidFill>
              <w14:schemeClr w14:val="tx1"/>
            </w14:solidFill>
          </w14:textFill>
        </w:rPr>
        <w:t>三、投标文件的编制</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_Toc161843151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"_Toc161843152"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8 投标使用的文字及度量衡单位</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_Toc161843152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"_Toc161843153"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9 投标文件的组成</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_Toc161843153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"_Toc161843154"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10 投标函</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_Toc161843154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"_Toc161843155"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11 投标报价</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_Toc161843155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"_Toc161843156"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12 投标报价货币</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_Toc161843156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"_Toc161843157"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13 证明投标人的合格性和资格的声明文件</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_Toc161843157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"_Toc161843158"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14 证明服务的合格性并符合招标文件规定的声明文件</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_Toc161843158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"_Toc161843159"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15 投标保证金</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_Toc161843159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"_Toc161843160"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16 投标有效期</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_Toc161843160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"_Toc161843161"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17 投标文件的式样和签署</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_Toc161843161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9"/>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"_Toc161843162"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b/>
          <w:bCs/>
          <w:color w:val="000000" w:themeColor="text1"/>
          <w:kern w:val="44"/>
          <w:highlight w:val="none"/>
          <w:lang w:val="zh-CN"/>
          <w14:textFill>
            <w14:solidFill>
              <w14:schemeClr w14:val="tx1"/>
            </w14:solidFill>
          </w14:textFill>
        </w:rPr>
        <w:t>四、投标文件的递交</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_Toc161843162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"_Toc161843163"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18 投标文件的密封和标记</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_Toc161843163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"_Toc161843164"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19 递交投标文件的截止日期</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_Toc161843164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"_Toc161843165"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20 迟交的投标文件</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_Toc161843165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"_Toc161843166"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21 投标文件的修改和撤回</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_Toc161843166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9"/>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"_Toc161843167"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b/>
          <w:bCs/>
          <w:color w:val="000000" w:themeColor="text1"/>
          <w:kern w:val="44"/>
          <w:highlight w:val="none"/>
          <w:lang w:val="zh-CN"/>
          <w14:textFill>
            <w14:solidFill>
              <w14:schemeClr w14:val="tx1"/>
            </w14:solidFill>
          </w14:textFill>
        </w:rPr>
        <w:t>五、开标与评标</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_Toc161843167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"_Toc161843168"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22 开标</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_Toc161843168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"_Toc161843169"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 xml:space="preserve">23 </w:t>
      </w:r>
      <w:r>
        <w:rPr>
          <w:rStyle w:val="43"/>
          <w:rFonts w:hint="eastAsia" w:ascii="宋体" w:hAnsi="宋体" w:eastAsia="宋体" w:cs="宋体"/>
          <w:color w:val="000000" w:themeColor="text1"/>
          <w:kern w:val="0"/>
          <w:highlight w:val="none"/>
          <w14:textFill>
            <w14:solidFill>
              <w14:schemeClr w14:val="tx1"/>
            </w14:solidFill>
          </w14:textFill>
        </w:rPr>
        <w:t>评标过程的保密性</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_Toc161843169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"_Toc161843170"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24 评标委员会</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_Toc161843170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"_Toc161843171"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25 投标文件的初审</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_Toc161843171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"_Toc161843172"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26 投标文件的澄清</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_Toc161843172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"_Toc161843173"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27 对投标文件的比较和评价</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_Toc161843173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"_Toc161843174"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28 评标原则及方法</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_Toc161843174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"_Toc161843175"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2</w:t>
      </w:r>
      <w:r>
        <w:rPr>
          <w:rStyle w:val="43"/>
          <w:rFonts w:hint="eastAsia" w:ascii="宋体" w:hAnsi="宋体" w:eastAsia="宋体" w:cs="宋体"/>
          <w:color w:val="000000" w:themeColor="text1"/>
          <w:highlight w:val="none"/>
          <w14:textFill>
            <w14:solidFill>
              <w14:schemeClr w14:val="tx1"/>
            </w14:solidFill>
          </w14:textFill>
        </w:rPr>
        <w:t xml:space="preserve">9 </w:t>
      </w:r>
      <w:r>
        <w:rPr>
          <w:rStyle w:val="43"/>
          <w:rFonts w:hint="eastAsia" w:ascii="宋体" w:hAnsi="宋体" w:eastAsia="宋体" w:cs="宋体"/>
          <w:color w:val="000000" w:themeColor="text1"/>
          <w:highlight w:val="none"/>
          <w:lang w:val="zh-CN"/>
          <w14:textFill>
            <w14:solidFill>
              <w14:schemeClr w14:val="tx1"/>
            </w14:solidFill>
          </w14:textFill>
        </w:rPr>
        <w:t>评标结果公示及异议、投诉</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_Toc161843175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"_Toc161843176"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30 真实性审查</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_Toc161843176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"_Toc161843177"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14:textFill>
            <w14:solidFill>
              <w14:schemeClr w14:val="tx1"/>
            </w14:solidFill>
          </w14:textFill>
        </w:rPr>
        <w:t>31</w:t>
      </w:r>
      <w:r>
        <w:rPr>
          <w:rStyle w:val="43"/>
          <w:rFonts w:hint="eastAsia" w:ascii="宋体" w:hAnsi="宋体" w:eastAsia="宋体" w:cs="宋体"/>
          <w:color w:val="000000" w:themeColor="text1"/>
          <w:highlight w:val="none"/>
          <w:lang w:val="zh-CN"/>
          <w14:textFill>
            <w14:solidFill>
              <w14:schemeClr w14:val="tx1"/>
            </w14:solidFill>
          </w14:textFill>
        </w:rPr>
        <w:t xml:space="preserve"> 评标委员会和招标人接受或拒绝任何投标或所有投标的权利</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_Toc161843177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9"/>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"_Toc161843178"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b/>
          <w:bCs/>
          <w:color w:val="000000" w:themeColor="text1"/>
          <w:kern w:val="44"/>
          <w:highlight w:val="none"/>
          <w:lang w:val="zh-CN"/>
          <w14:textFill>
            <w14:solidFill>
              <w14:schemeClr w14:val="tx1"/>
            </w14:solidFill>
          </w14:textFill>
        </w:rPr>
        <w:t>六、授予合同</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_Toc161843178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"_Toc161843179"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14:textFill>
            <w14:solidFill>
              <w14:schemeClr w14:val="tx1"/>
            </w14:solidFill>
          </w14:textFill>
        </w:rPr>
        <w:t>32</w:t>
      </w:r>
      <w:r>
        <w:rPr>
          <w:rStyle w:val="43"/>
          <w:rFonts w:hint="eastAsia" w:ascii="宋体" w:hAnsi="宋体" w:eastAsia="宋体" w:cs="宋体"/>
          <w:color w:val="000000" w:themeColor="text1"/>
          <w:highlight w:val="none"/>
          <w:lang w:val="zh-CN"/>
          <w14:textFill>
            <w14:solidFill>
              <w14:schemeClr w14:val="tx1"/>
            </w14:solidFill>
          </w14:textFill>
        </w:rPr>
        <w:t xml:space="preserve"> 授予合同的准则</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_Toc161843179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"_Toc161843180"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lang w:val="zh-CN"/>
          <w14:textFill>
            <w14:solidFill>
              <w14:schemeClr w14:val="tx1"/>
            </w14:solidFill>
          </w14:textFill>
        </w:rPr>
        <w:t>33 中标通知</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_Toc161843180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"_Toc161843181"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14:textFill>
            <w14:solidFill>
              <w14:schemeClr w14:val="tx1"/>
            </w14:solidFill>
          </w14:textFill>
        </w:rPr>
        <w:t>34</w:t>
      </w:r>
      <w:r>
        <w:rPr>
          <w:rStyle w:val="43"/>
          <w:rFonts w:hint="eastAsia" w:ascii="宋体" w:hAnsi="宋体" w:eastAsia="宋体" w:cs="宋体"/>
          <w:color w:val="000000" w:themeColor="text1"/>
          <w:highlight w:val="none"/>
          <w:lang w:val="zh-CN"/>
          <w14:textFill>
            <w14:solidFill>
              <w14:schemeClr w14:val="tx1"/>
            </w14:solidFill>
          </w14:textFill>
        </w:rPr>
        <w:t xml:space="preserve"> 签署合同</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_Toc161843181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"_Toc161843182"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14:textFill>
            <w14:solidFill>
              <w14:schemeClr w14:val="tx1"/>
            </w14:solidFill>
          </w14:textFill>
        </w:rPr>
        <w:t xml:space="preserve">35 </w:t>
      </w:r>
      <w:r>
        <w:rPr>
          <w:rStyle w:val="43"/>
          <w:rFonts w:hint="eastAsia" w:ascii="宋体" w:hAnsi="宋体" w:eastAsia="宋体" w:cs="宋体"/>
          <w:color w:val="000000" w:themeColor="text1"/>
          <w:highlight w:val="none"/>
          <w:lang w:val="zh-CN"/>
          <w14:textFill>
            <w14:solidFill>
              <w14:schemeClr w14:val="tx1"/>
            </w14:solidFill>
          </w14:textFill>
        </w:rPr>
        <w:t>履约担保</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_Toc161843182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"_Toc161843183"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14:textFill>
            <w14:solidFill>
              <w14:schemeClr w14:val="tx1"/>
            </w14:solidFill>
          </w14:textFill>
        </w:rPr>
        <w:t>36</w:t>
      </w:r>
      <w:r>
        <w:rPr>
          <w:rStyle w:val="43"/>
          <w:rFonts w:hint="eastAsia" w:ascii="宋体" w:hAnsi="宋体" w:eastAsia="宋体" w:cs="宋体"/>
          <w:color w:val="000000" w:themeColor="text1"/>
          <w:highlight w:val="none"/>
          <w:lang w:val="zh-CN"/>
          <w14:textFill>
            <w14:solidFill>
              <w14:schemeClr w14:val="tx1"/>
            </w14:solidFill>
          </w14:textFill>
        </w:rPr>
        <w:t xml:space="preserve"> 在合同履行中变更采购范围的权利</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_Toc161843183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"_Toc161843184"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14:textFill>
            <w14:solidFill>
              <w14:schemeClr w14:val="tx1"/>
            </w14:solidFill>
          </w14:textFill>
        </w:rPr>
        <w:t>37</w:t>
      </w:r>
      <w:r>
        <w:rPr>
          <w:rStyle w:val="43"/>
          <w:rFonts w:hint="eastAsia" w:ascii="宋体" w:hAnsi="宋体" w:eastAsia="宋体" w:cs="宋体"/>
          <w:color w:val="000000" w:themeColor="text1"/>
          <w:highlight w:val="none"/>
          <w:lang w:val="zh-CN"/>
          <w14:textFill>
            <w14:solidFill>
              <w14:schemeClr w14:val="tx1"/>
            </w14:solidFill>
          </w14:textFill>
        </w:rPr>
        <w:t xml:space="preserve"> 中标服务费</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_Toc161843184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"_Toc161843185"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14:textFill>
            <w14:solidFill>
              <w14:schemeClr w14:val="tx1"/>
            </w14:solidFill>
          </w14:textFill>
        </w:rPr>
        <w:t>38</w:t>
      </w:r>
      <w:r>
        <w:rPr>
          <w:rStyle w:val="43"/>
          <w:rFonts w:hint="eastAsia" w:ascii="宋体" w:hAnsi="宋体" w:eastAsia="宋体" w:cs="宋体"/>
          <w:color w:val="000000" w:themeColor="text1"/>
          <w:highlight w:val="none"/>
          <w:lang w:val="zh-CN"/>
          <w14:textFill>
            <w14:solidFill>
              <w14:schemeClr w14:val="tx1"/>
            </w14:solidFill>
          </w14:textFill>
        </w:rPr>
        <w:t xml:space="preserve"> 发票</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_Toc161843185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"_Toc161843186"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14:textFill>
            <w14:solidFill>
              <w14:schemeClr w14:val="tx1"/>
            </w14:solidFill>
          </w14:textFill>
        </w:rPr>
        <w:t>39 招标相关补充约定</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_Toc161843186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2"/>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"_Toc161843187"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highlight w:val="none"/>
          <w14:textFill>
            <w14:solidFill>
              <w14:schemeClr w14:val="tx1"/>
            </w14:solidFill>
          </w14:textFill>
        </w:rPr>
        <w:t>40 本次招标活动的最终解释权归招标代理机构及招标人所有。</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_Toc161843187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9"/>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"_Toc161843188"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b/>
          <w:bCs/>
          <w:color w:val="000000" w:themeColor="text1"/>
          <w:kern w:val="44"/>
          <w:highlight w:val="none"/>
          <w:lang w:val="zh-CN"/>
          <w14:textFill>
            <w14:solidFill>
              <w14:schemeClr w14:val="tx1"/>
            </w14:solidFill>
          </w14:textFill>
        </w:rPr>
        <w:t>第三篇 用户需求书</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_Toc161843188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9"/>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"_Toc161843189"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b/>
          <w:bCs/>
          <w:color w:val="000000" w:themeColor="text1"/>
          <w:kern w:val="44"/>
          <w:highlight w:val="none"/>
          <w:lang w:val="zh-CN"/>
          <w14:textFill>
            <w14:solidFill>
              <w14:schemeClr w14:val="tx1"/>
            </w14:solidFill>
          </w14:textFill>
        </w:rPr>
        <w:t>第四篇 合同条款格式</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_Toc161843189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9"/>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"_Toc161843190"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b/>
          <w:bCs/>
          <w:color w:val="000000" w:themeColor="text1"/>
          <w:highlight w:val="none"/>
          <w:lang w:val="zh-CN"/>
          <w14:textFill>
            <w14:solidFill>
              <w14:schemeClr w14:val="tx1"/>
            </w14:solidFill>
          </w14:textFill>
        </w:rPr>
        <w:t>第五篇 相关保函格式</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_Toc161843190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9"/>
        <w:rPr>
          <w:color w:val="000000" w:themeColor="text1"/>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"_Toc161843191"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b/>
          <w:bCs/>
          <w:color w:val="000000" w:themeColor="text1"/>
          <w:kern w:val="44"/>
          <w:highlight w:val="none"/>
          <w:lang w:val="zh-CN"/>
          <w14:textFill>
            <w14:solidFill>
              <w14:schemeClr w14:val="tx1"/>
            </w14:solidFill>
          </w14:textFill>
        </w:rPr>
        <w:t>第六篇 投标文件格式</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_Toc161843191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pStyle w:val="29"/>
        <w:rPr>
          <w:color w:val="000000" w:themeColor="text1"/>
          <w:sz w:val="22"/>
          <w:szCs w:val="24"/>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"_Toc161843208"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b/>
          <w:bCs/>
          <w:color w:val="000000" w:themeColor="text1"/>
          <w:kern w:val="44"/>
          <w:highlight w:val="none"/>
          <w:lang w:val="zh-CN"/>
          <w14:textFill>
            <w14:solidFill>
              <w14:schemeClr w14:val="tx1"/>
            </w14:solidFill>
          </w14:textFill>
        </w:rPr>
        <w:t>附件一：评标工作大纲</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_Toc161843208 \h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pPr>
        <w:tabs>
          <w:tab w:val="left" w:pos="851"/>
          <w:tab w:val="right" w:leader="dot" w:pos="10206"/>
        </w:tabs>
        <w:spacing w:line="360" w:lineRule="auto"/>
        <w:ind w:left="-320" w:firstLine="420"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end"/>
      </w:r>
    </w:p>
    <w:bookmarkEnd w:id="0"/>
    <w:p>
      <w:pPr>
        <w:rPr>
          <w:rFonts w:ascii="宋体" w:hAnsi="宋体" w:eastAsia="宋体" w:cs="Times New Roman"/>
          <w:b/>
          <w:bCs/>
          <w:color w:val="000000" w:themeColor="text1"/>
          <w:kern w:val="44"/>
          <w:sz w:val="32"/>
          <w:szCs w:val="32"/>
          <w:highlight w:val="none"/>
          <w:lang w:val="zh-CN"/>
          <w14:textFill>
            <w14:solidFill>
              <w14:schemeClr w14:val="tx1"/>
            </w14:solidFill>
          </w14:textFill>
        </w:rPr>
      </w:pPr>
      <w:bookmarkStart w:id="1" w:name="_Toc142508310"/>
      <w:bookmarkStart w:id="2" w:name="_Toc486167660"/>
      <w:bookmarkStart w:id="3" w:name="_Toc4869"/>
      <w:bookmarkStart w:id="4" w:name="_Toc161843140"/>
      <w:bookmarkStart w:id="5" w:name="_Toc450662846"/>
      <w:bookmarkStart w:id="6" w:name="_Toc17326"/>
      <w:bookmarkStart w:id="7" w:name="_Toc2723_WPSOffice_Level1"/>
      <w:r>
        <w:rPr>
          <w:rFonts w:ascii="宋体" w:hAnsi="宋体" w:eastAsia="宋体" w:cs="Times New Roman"/>
          <w:b/>
          <w:bCs/>
          <w:color w:val="000000" w:themeColor="text1"/>
          <w:kern w:val="44"/>
          <w:sz w:val="32"/>
          <w:szCs w:val="32"/>
          <w:highlight w:val="none"/>
          <w:lang w:val="zh-CN"/>
          <w14:textFill>
            <w14:solidFill>
              <w14:schemeClr w14:val="tx1"/>
            </w14:solidFill>
          </w14:textFill>
        </w:rPr>
        <w:br w:type="page"/>
      </w:r>
    </w:p>
    <w:p>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000000" w:themeColor="text1"/>
          <w:kern w:val="44"/>
          <w:sz w:val="44"/>
          <w:szCs w:val="44"/>
          <w:highlight w:val="none"/>
          <w:lang w:val="zh-CN"/>
          <w14:textFill>
            <w14:solidFill>
              <w14:schemeClr w14:val="tx1"/>
            </w14:solidFill>
          </w14:textFill>
        </w:rPr>
      </w:pPr>
      <w:r>
        <w:rPr>
          <w:rFonts w:ascii="宋体" w:hAnsi="宋体" w:eastAsia="宋体" w:cs="Times New Roman"/>
          <w:b/>
          <w:bCs/>
          <w:color w:val="000000" w:themeColor="text1"/>
          <w:kern w:val="44"/>
          <w:sz w:val="32"/>
          <w:szCs w:val="32"/>
          <w:highlight w:val="none"/>
          <w:lang w:val="zh-CN"/>
          <w14:textFill>
            <w14:solidFill>
              <w14:schemeClr w14:val="tx1"/>
            </w14:solidFill>
          </w14:textFill>
        </w:rPr>
        <w:t>第一篇 招标公告</w:t>
      </w:r>
      <w:bookmarkEnd w:id="1"/>
      <w:bookmarkEnd w:id="2"/>
      <w:bookmarkEnd w:id="3"/>
      <w:bookmarkEnd w:id="4"/>
      <w:bookmarkEnd w:id="5"/>
      <w:bookmarkEnd w:id="6"/>
      <w:bookmarkEnd w:id="7"/>
    </w:p>
    <w:p>
      <w:pPr>
        <w:autoSpaceDE w:val="0"/>
        <w:autoSpaceDN w:val="0"/>
        <w:adjustRightInd w:val="0"/>
        <w:snapToGrid w:val="0"/>
        <w:spacing w:line="360" w:lineRule="auto"/>
        <w:ind w:left="-320" w:right="-34"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建成工程咨询股份有限公司</w:t>
      </w:r>
      <w:r>
        <w:rPr>
          <w:rFonts w:ascii="宋体" w:hAnsi="宋体" w:eastAsia="宋体" w:cs="Times New Roman"/>
          <w:color w:val="000000" w:themeColor="text1"/>
          <w:szCs w:val="21"/>
          <w:highlight w:val="none"/>
          <w:lang w:val="zh-CN"/>
          <w14:textFill>
            <w14:solidFill>
              <w14:schemeClr w14:val="tx1"/>
            </w14:solidFill>
          </w14:textFill>
        </w:rPr>
        <w:t>（以下简称“招标代理机构”）受</w:t>
      </w:r>
      <w:r>
        <w:rPr>
          <w:rFonts w:hint="eastAsia" w:ascii="宋体" w:hAnsi="宋体" w:eastAsia="宋体" w:cs="Times New Roman"/>
          <w:color w:val="000000" w:themeColor="text1"/>
          <w:kern w:val="0"/>
          <w:szCs w:val="21"/>
          <w:highlight w:val="none"/>
          <w14:textFill>
            <w14:solidFill>
              <w14:schemeClr w14:val="tx1"/>
            </w14:solidFill>
          </w14:textFill>
        </w:rPr>
        <w:t>东莞市水务集团有限公司</w:t>
      </w:r>
      <w:r>
        <w:rPr>
          <w:rFonts w:ascii="宋体" w:hAnsi="宋体" w:eastAsia="宋体" w:cs="Times New Roman"/>
          <w:color w:val="000000" w:themeColor="text1"/>
          <w:szCs w:val="21"/>
          <w:highlight w:val="none"/>
          <w:lang w:val="zh-CN"/>
          <w14:textFill>
            <w14:solidFill>
              <w14:schemeClr w14:val="tx1"/>
            </w14:solidFill>
          </w14:textFill>
        </w:rPr>
        <w:t>（以下简称“招标人”）的委托，对</w:t>
      </w:r>
      <w:bookmarkStart w:id="8" w:name="_Hlk41903390"/>
      <w:r>
        <w:rPr>
          <w:rFonts w:hint="eastAsia" w:ascii="宋体" w:hAnsi="宋体" w:eastAsia="宋体" w:cs="Times New Roman"/>
          <w:color w:val="000000" w:themeColor="text1"/>
          <w:kern w:val="0"/>
          <w:szCs w:val="21"/>
          <w:highlight w:val="none"/>
          <w14:textFill>
            <w14:solidFill>
              <w14:schemeClr w14:val="tx1"/>
            </w14:solidFill>
          </w14:textFill>
        </w:rPr>
        <w:t>东莞市水务集团有限公司2024年度食堂食材采购项目</w:t>
      </w:r>
      <w:r>
        <w:rPr>
          <w:rFonts w:ascii="宋体" w:hAnsi="宋体" w:eastAsia="宋体" w:cs="Times New Roman"/>
          <w:color w:val="000000" w:themeColor="text1"/>
          <w:szCs w:val="21"/>
          <w:highlight w:val="none"/>
          <w:lang w:val="zh-CN"/>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广建咨询（东招）2024-0038号</w:t>
      </w:r>
      <w:r>
        <w:rPr>
          <w:rFonts w:ascii="宋体" w:hAnsi="宋体" w:eastAsia="宋体" w:cs="Times New Roman"/>
          <w:color w:val="000000" w:themeColor="text1"/>
          <w:szCs w:val="21"/>
          <w:highlight w:val="none"/>
          <w:lang w:val="zh-CN"/>
          <w14:textFill>
            <w14:solidFill>
              <w14:schemeClr w14:val="tx1"/>
            </w14:solidFill>
          </w14:textFill>
        </w:rPr>
        <w:t>)</w:t>
      </w:r>
      <w:bookmarkEnd w:id="8"/>
      <w:r>
        <w:rPr>
          <w:rFonts w:ascii="宋体" w:hAnsi="宋体" w:eastAsia="宋体" w:cs="Times New Roman"/>
          <w:color w:val="000000" w:themeColor="text1"/>
          <w:szCs w:val="21"/>
          <w:highlight w:val="none"/>
          <w:lang w:val="zh-CN"/>
          <w14:textFill>
            <w14:solidFill>
              <w14:schemeClr w14:val="tx1"/>
            </w14:solidFill>
          </w14:textFill>
        </w:rPr>
        <w:t>进行国内公开招标，</w:t>
      </w:r>
      <w:r>
        <w:rPr>
          <w:rFonts w:hint="eastAsia" w:ascii="宋体" w:hAnsi="宋体" w:eastAsia="宋体" w:cs="Times New Roman"/>
          <w:bCs/>
          <w:color w:val="000000" w:themeColor="text1"/>
          <w:kern w:val="0"/>
          <w:szCs w:val="21"/>
          <w:highlight w:val="none"/>
          <w14:textFill>
            <w14:solidFill>
              <w14:schemeClr w14:val="tx1"/>
            </w14:solidFill>
          </w14:textFill>
        </w:rPr>
        <w:t>详情请参见本招标文件</w:t>
      </w:r>
      <w:r>
        <w:rPr>
          <w:rFonts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欢迎符合条件的合格投标人参加投标，</w:t>
      </w:r>
      <w:r>
        <w:rPr>
          <w:rFonts w:hint="eastAsia" w:ascii="宋体" w:hAnsi="宋体" w:eastAsia="宋体" w:cs="Times New Roman"/>
          <w:bCs/>
          <w:color w:val="000000" w:themeColor="text1"/>
          <w:kern w:val="0"/>
          <w:szCs w:val="21"/>
          <w:highlight w:val="none"/>
          <w14:textFill>
            <w14:solidFill>
              <w14:schemeClr w14:val="tx1"/>
            </w14:solidFill>
          </w14:textFill>
        </w:rPr>
        <w:t>有关事项如下：</w:t>
      </w:r>
    </w:p>
    <w:p>
      <w:pPr>
        <w:autoSpaceDE w:val="0"/>
        <w:autoSpaceDN w:val="0"/>
        <w:adjustRightInd w:val="0"/>
        <w:spacing w:line="360" w:lineRule="auto"/>
        <w:ind w:left="-320"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pPr>
        <w:autoSpaceDE w:val="0"/>
        <w:autoSpaceDN w:val="0"/>
        <w:adjustRightInd w:val="0"/>
        <w:snapToGrid w:val="0"/>
        <w:spacing w:line="360" w:lineRule="auto"/>
        <w:ind w:left="40" w:right="-34" w:hanging="360"/>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招标范围：（具体内容详见：第三篇用户需求书）。</w:t>
      </w:r>
    </w:p>
    <w:tbl>
      <w:tblPr>
        <w:tblStyle w:val="3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9"/>
        <w:gridCol w:w="2254"/>
        <w:gridCol w:w="1203"/>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659" w:type="dxa"/>
            <w:shd w:val="clear" w:color="auto" w:fill="E0E0E0"/>
            <w:vAlign w:val="center"/>
          </w:tcPr>
          <w:p>
            <w:pPr>
              <w:ind w:left="247"/>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采购内容</w:t>
            </w:r>
          </w:p>
        </w:tc>
        <w:tc>
          <w:tcPr>
            <w:tcW w:w="2254" w:type="dxa"/>
            <w:shd w:val="clear" w:color="auto" w:fill="E0E0E0"/>
            <w:vAlign w:val="center"/>
          </w:tcPr>
          <w:p>
            <w:pPr>
              <w:ind w:left="247"/>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服务期限</w:t>
            </w:r>
          </w:p>
        </w:tc>
        <w:tc>
          <w:tcPr>
            <w:tcW w:w="1203" w:type="dxa"/>
            <w:shd w:val="clear" w:color="auto" w:fill="E0E0E0"/>
            <w:vAlign w:val="center"/>
          </w:tcPr>
          <w:p>
            <w:pPr>
              <w:ind w:left="247"/>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采购数量</w:t>
            </w:r>
          </w:p>
        </w:tc>
        <w:tc>
          <w:tcPr>
            <w:tcW w:w="2254" w:type="dxa"/>
            <w:shd w:val="clear" w:color="auto" w:fill="E0E0E0"/>
            <w:vAlign w:val="center"/>
          </w:tcPr>
          <w:p>
            <w:pPr>
              <w:ind w:left="247"/>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65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东莞市水务集团有限公司2024年度食堂食材采购项目</w:t>
            </w:r>
          </w:p>
        </w:tc>
        <w:tc>
          <w:tcPr>
            <w:tcW w:w="2254" w:type="dxa"/>
            <w:vAlign w:val="center"/>
          </w:tcPr>
          <w:p>
            <w:pPr>
              <w:tabs>
                <w:tab w:val="left" w:pos="360"/>
              </w:tabs>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自合同签订之日起一年</w:t>
            </w:r>
          </w:p>
        </w:tc>
        <w:tc>
          <w:tcPr>
            <w:tcW w:w="1203" w:type="dxa"/>
            <w:vAlign w:val="center"/>
          </w:tcPr>
          <w:p>
            <w:pPr>
              <w:tabs>
                <w:tab w:val="left" w:pos="360"/>
              </w:tabs>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1家</w:t>
            </w:r>
          </w:p>
        </w:tc>
        <w:tc>
          <w:tcPr>
            <w:tcW w:w="2254" w:type="dxa"/>
            <w:vAlign w:val="center"/>
          </w:tcPr>
          <w:p>
            <w:pPr>
              <w:tabs>
                <w:tab w:val="left" w:pos="360"/>
              </w:tabs>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详见第三篇用户需求书</w:t>
            </w:r>
          </w:p>
        </w:tc>
      </w:tr>
    </w:tbl>
    <w:p>
      <w:pPr>
        <w:autoSpaceDE w:val="0"/>
        <w:autoSpaceDN w:val="0"/>
        <w:adjustRightInd w:val="0"/>
        <w:spacing w:line="360" w:lineRule="auto"/>
        <w:ind w:left="247" w:right="-29" w:rightChars="-14"/>
        <w:rPr>
          <w:rFonts w:ascii="宋体" w:hAnsi="宋体" w:eastAsia="宋体" w:cs="Times New Roman"/>
          <w:color w:val="000000" w:themeColor="text1"/>
          <w:szCs w:val="21"/>
          <w:highlight w:val="none"/>
          <w:lang w:val="zh-CN"/>
          <w14:textFill>
            <w14:solidFill>
              <w14:schemeClr w14:val="tx1"/>
            </w14:solidFill>
          </w14:textFill>
        </w:rPr>
      </w:pPr>
    </w:p>
    <w:p>
      <w:pPr>
        <w:autoSpaceDE w:val="0"/>
        <w:autoSpaceDN w:val="0"/>
        <w:adjustRightInd w:val="0"/>
        <w:snapToGrid w:val="0"/>
        <w:spacing w:line="360" w:lineRule="auto"/>
        <w:ind w:left="40" w:right="-34" w:hanging="360"/>
        <w:jc w:val="left"/>
        <w:rPr>
          <w:rFonts w:ascii="宋体" w:hAnsi="宋体" w:eastAsia="宋体" w:cs="Times New Roman"/>
          <w:b/>
          <w:color w:val="000000" w:themeColor="text1"/>
          <w:szCs w:val="21"/>
          <w:highlight w:val="none"/>
          <w:lang w:val="zh-CN"/>
          <w14:textFill>
            <w14:solidFill>
              <w14:schemeClr w14:val="tx1"/>
            </w14:solidFill>
          </w14:textFill>
        </w:rPr>
      </w:pPr>
      <w:r>
        <w:rPr>
          <w:rFonts w:ascii="宋体" w:hAnsi="宋体" w:eastAsia="宋体" w:cs="Times New Roman"/>
          <w:b/>
          <w:color w:val="000000" w:themeColor="text1"/>
          <w:szCs w:val="21"/>
          <w:highlight w:val="none"/>
          <w:lang w:val="zh-CN"/>
          <w14:textFill>
            <w14:solidFill>
              <w14:schemeClr w14:val="tx1"/>
            </w14:solidFill>
          </w14:textFill>
        </w:rPr>
        <w:t>2</w:t>
      </w:r>
      <w:r>
        <w:rPr>
          <w:rFonts w:hint="eastAsia" w:ascii="宋体" w:hAnsi="宋体" w:eastAsia="宋体" w:cs="Times New Roman"/>
          <w:b/>
          <w:color w:val="000000" w:themeColor="text1"/>
          <w:szCs w:val="21"/>
          <w:highlight w:val="none"/>
          <w14:textFill>
            <w14:solidFill>
              <w14:schemeClr w14:val="tx1"/>
            </w14:solidFill>
          </w14:textFill>
        </w:rPr>
        <w:t xml:space="preserve">  </w:t>
      </w:r>
      <w:r>
        <w:rPr>
          <w:rFonts w:ascii="宋体" w:hAnsi="宋体" w:eastAsia="宋体" w:cs="Times New Roman"/>
          <w:b/>
          <w:color w:val="000000" w:themeColor="text1"/>
          <w:szCs w:val="21"/>
          <w:highlight w:val="none"/>
          <w:lang w:val="zh-CN"/>
          <w14:textFill>
            <w14:solidFill>
              <w14:schemeClr w14:val="tx1"/>
            </w14:solidFill>
          </w14:textFill>
        </w:rPr>
        <w:t>合格投标人</w:t>
      </w:r>
      <w:r>
        <w:rPr>
          <w:rFonts w:hint="eastAsia" w:ascii="宋体" w:hAnsi="宋体" w:eastAsia="宋体" w:cs="Times New Roman"/>
          <w:b/>
          <w:color w:val="000000" w:themeColor="text1"/>
          <w:szCs w:val="21"/>
          <w:highlight w:val="none"/>
          <w:lang w:val="zh-CN"/>
          <w14:textFill>
            <w14:solidFill>
              <w14:schemeClr w14:val="tx1"/>
            </w14:solidFill>
          </w14:textFill>
        </w:rPr>
        <w:t>资格要求</w:t>
      </w:r>
      <w:r>
        <w:rPr>
          <w:rFonts w:ascii="宋体" w:hAnsi="宋体" w:eastAsia="宋体" w:cs="Times New Roman"/>
          <w:b/>
          <w:color w:val="000000" w:themeColor="text1"/>
          <w:szCs w:val="21"/>
          <w:highlight w:val="none"/>
          <w:lang w:val="zh-CN"/>
          <w14:textFill>
            <w14:solidFill>
              <w14:schemeClr w14:val="tx1"/>
            </w14:solidFill>
          </w14:textFill>
        </w:rPr>
        <w:t>：</w:t>
      </w:r>
    </w:p>
    <w:p>
      <w:pPr>
        <w:pStyle w:val="159"/>
        <w:spacing w:line="360" w:lineRule="auto"/>
        <w:ind w:left="-320"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Ansi="宋体" w:eastAsia="宋体"/>
          <w:b/>
          <w:color w:val="000000" w:themeColor="text1"/>
          <w:sz w:val="21"/>
          <w:szCs w:val="21"/>
          <w:highlight w:val="none"/>
          <w:lang w:val="zh-CN"/>
          <w14:textFill>
            <w14:solidFill>
              <w14:schemeClr w14:val="tx1"/>
            </w14:solidFill>
          </w14:textFill>
        </w:rPr>
        <w:t xml:space="preserve">.1 </w:t>
      </w:r>
      <w:r>
        <w:rPr>
          <w:rFonts w:hint="eastAsia" w:hAnsi="宋体" w:eastAsia="宋体"/>
          <w:b/>
          <w:color w:val="000000" w:themeColor="text1"/>
          <w:sz w:val="21"/>
          <w:szCs w:val="21"/>
          <w:highlight w:val="none"/>
          <w:lang w:val="zh-CN"/>
          <w14:textFill>
            <w14:solidFill>
              <w14:schemeClr w14:val="tx1"/>
            </w14:solidFill>
          </w14:textFill>
        </w:rPr>
        <w:t>在中华人民共和国境内登记注册、合法存续、正常经营且具有独立承担民事责任能力的法人或其他组织</w:t>
      </w:r>
      <w:r>
        <w:rPr>
          <w:rFonts w:hAnsi="宋体" w:eastAsia="宋体"/>
          <w:b/>
          <w:color w:val="000000" w:themeColor="text1"/>
          <w:sz w:val="21"/>
          <w:szCs w:val="21"/>
          <w:highlight w:val="none"/>
          <w:lang w:val="zh-CN"/>
          <w14:textFill>
            <w14:solidFill>
              <w14:schemeClr w14:val="tx1"/>
            </w14:solidFill>
          </w14:textFill>
        </w:rPr>
        <w:t>；</w:t>
      </w:r>
    </w:p>
    <w:p>
      <w:pPr>
        <w:pStyle w:val="159"/>
        <w:spacing w:line="360" w:lineRule="auto"/>
        <w:ind w:left="-320" w:right="-29" w:rightChars="-14" w:firstLine="0" w:firstLineChars="0"/>
        <w:jc w:val="both"/>
        <w:rPr>
          <w:rFonts w:hAnsi="宋体" w:eastAsia="宋体"/>
          <w:b/>
          <w:color w:val="000000" w:themeColor="text1"/>
          <w:sz w:val="21"/>
          <w:szCs w:val="21"/>
          <w:highlight w:val="none"/>
          <w14:textFill>
            <w14:solidFill>
              <w14:schemeClr w14:val="tx1"/>
            </w14:solidFill>
          </w14:textFill>
        </w:rPr>
      </w:pPr>
      <w:bookmarkStart w:id="9" w:name="_Toc25819"/>
      <w:r>
        <w:rPr>
          <w:rFonts w:hint="eastAsia" w:hAnsi="宋体" w:eastAsia="宋体"/>
          <w:b/>
          <w:color w:val="000000" w:themeColor="text1"/>
          <w:sz w:val="21"/>
          <w:szCs w:val="21"/>
          <w:highlight w:val="none"/>
          <w14:textFill>
            <w14:solidFill>
              <w14:schemeClr w14:val="tx1"/>
            </w14:solidFill>
          </w14:textFill>
        </w:rPr>
        <w:t>2.2 投标人须具有食品药品监督管理部门或市场监督管理部门颁发并在有效期内的食品经营许可证；</w:t>
      </w:r>
    </w:p>
    <w:p>
      <w:pPr>
        <w:pStyle w:val="159"/>
        <w:spacing w:line="360" w:lineRule="auto"/>
        <w:ind w:left="-320"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int="eastAsia" w:hAnsi="宋体" w:eastAsia="宋体"/>
          <w:b/>
          <w:color w:val="000000" w:themeColor="text1"/>
          <w:sz w:val="21"/>
          <w:szCs w:val="21"/>
          <w:highlight w:val="none"/>
          <w14:textFill>
            <w14:solidFill>
              <w14:schemeClr w14:val="tx1"/>
            </w14:solidFill>
          </w14:textFill>
        </w:rPr>
        <w:t>3</w:t>
      </w:r>
      <w:r>
        <w:rPr>
          <w:rFonts w:hint="eastAsia" w:hAnsi="宋体" w:eastAsia="宋体"/>
          <w:b/>
          <w:color w:val="000000" w:themeColor="text1"/>
          <w:sz w:val="21"/>
          <w:szCs w:val="21"/>
          <w:highlight w:val="none"/>
          <w:lang w:val="zh-CN"/>
          <w14:textFill>
            <w14:solidFill>
              <w14:schemeClr w14:val="tx1"/>
            </w14:solidFill>
          </w14:textFill>
        </w:rPr>
        <w:t xml:space="preserve"> 投标人202</w:t>
      </w:r>
      <w:r>
        <w:rPr>
          <w:rFonts w:hint="eastAsia" w:hAnsi="宋体" w:eastAsia="宋体"/>
          <w:b/>
          <w:color w:val="000000" w:themeColor="text1"/>
          <w:sz w:val="21"/>
          <w:szCs w:val="21"/>
          <w:highlight w:val="none"/>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年1月1日以来具有一份已完成或正在服务的饭堂、食堂食品或者食材供应链配送服务项目业绩（合同签订日期为202</w:t>
      </w:r>
      <w:r>
        <w:rPr>
          <w:rFonts w:hint="eastAsia" w:hAnsi="宋体" w:eastAsia="宋体"/>
          <w:b/>
          <w:color w:val="000000" w:themeColor="text1"/>
          <w:sz w:val="21"/>
          <w:szCs w:val="21"/>
          <w:highlight w:val="none"/>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年1月1日或以后）</w:t>
      </w:r>
      <w:r>
        <w:rPr>
          <w:rFonts w:hint="eastAsia" w:hAnsi="宋体" w:eastAsia="宋体"/>
          <w:b/>
          <w:color w:val="000000" w:themeColor="text1"/>
          <w:sz w:val="21"/>
          <w:szCs w:val="21"/>
          <w:highlight w:val="none"/>
          <w14:textFill>
            <w14:solidFill>
              <w14:schemeClr w14:val="tx1"/>
            </w14:solidFill>
          </w14:textFill>
        </w:rPr>
        <w:t>（服务内容必须为食品或者食材配送服务）</w:t>
      </w:r>
      <w:r>
        <w:rPr>
          <w:rFonts w:hint="eastAsia" w:hAnsi="宋体" w:eastAsia="宋体"/>
          <w:b/>
          <w:color w:val="000000" w:themeColor="text1"/>
          <w:sz w:val="21"/>
          <w:szCs w:val="21"/>
          <w:highlight w:val="none"/>
          <w:lang w:val="zh-CN"/>
          <w14:textFill>
            <w14:solidFill>
              <w14:schemeClr w14:val="tx1"/>
            </w14:solidFill>
          </w14:textFill>
        </w:rPr>
        <w:t>；</w:t>
      </w:r>
    </w:p>
    <w:p>
      <w:pPr>
        <w:pStyle w:val="159"/>
        <w:spacing w:line="360" w:lineRule="auto"/>
        <w:ind w:left="-320"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 xml:space="preserve">2.4 </w:t>
      </w:r>
      <w:r>
        <w:rPr>
          <w:rFonts w:hint="eastAsia" w:hAnsi="宋体" w:eastAsia="宋体"/>
          <w:b/>
          <w:color w:val="000000" w:themeColor="text1"/>
          <w:sz w:val="21"/>
          <w:szCs w:val="21"/>
          <w:highlight w:val="none"/>
          <w:lang w:val="zh-CN"/>
          <w14:textFill>
            <w14:solidFill>
              <w14:schemeClr w14:val="tx1"/>
            </w14:solidFill>
          </w14:textFill>
        </w:rPr>
        <w:t>本项目不接受联合体投标。</w:t>
      </w:r>
      <w:bookmarkEnd w:id="9"/>
    </w:p>
    <w:p>
      <w:pPr>
        <w:autoSpaceDE w:val="0"/>
        <w:autoSpaceDN w:val="0"/>
        <w:adjustRightInd w:val="0"/>
        <w:spacing w:line="360" w:lineRule="auto"/>
        <w:ind w:left="-320"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pPr>
        <w:pStyle w:val="177"/>
        <w:spacing w:line="360" w:lineRule="auto"/>
        <w:ind w:left="100" w:right="-34" w:hanging="420" w:firstLineChars="0"/>
        <w:rPr>
          <w:rFonts w:ascii="宋体" w:hAnsi="宋体"/>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  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pPr>
        <w:autoSpaceDE w:val="0"/>
        <w:autoSpaceDN w:val="0"/>
        <w:adjustRightInd w:val="0"/>
        <w:spacing w:line="360" w:lineRule="auto"/>
        <w:ind w:left="630" w:leftChars="100" w:right="-29" w:rightChars="-14" w:hanging="420" w:hangingChars="200"/>
        <w:rPr>
          <w:rFonts w:ascii="宋体" w:hAnsi="宋体" w:eastAsia="宋体" w:cs="Times New Roman"/>
          <w:color w:val="000000" w:themeColor="text1"/>
          <w:szCs w:val="21"/>
          <w:highlight w:val="none"/>
          <w:lang w:val="zh-CN"/>
          <w14:textFill>
            <w14:solidFill>
              <w14:schemeClr w14:val="tx1"/>
            </w14:solidFill>
          </w14:textFill>
        </w:rPr>
      </w:pPr>
    </w:p>
    <w:p>
      <w:pPr>
        <w:autoSpaceDE w:val="0"/>
        <w:autoSpaceDN w:val="0"/>
        <w:adjustRightInd w:val="0"/>
        <w:snapToGrid w:val="0"/>
        <w:spacing w:line="360" w:lineRule="auto"/>
        <w:ind w:left="40" w:right="-34" w:hanging="360"/>
        <w:jc w:val="left"/>
        <w:rPr>
          <w:rFonts w:ascii="宋体" w:hAnsi="宋体" w:eastAsia="宋体" w:cs="Times New Roman"/>
          <w:bCs/>
          <w:color w:val="000000" w:themeColor="text1"/>
          <w:szCs w:val="21"/>
          <w:highlight w:val="none"/>
          <w:lang w:val="zh-CN"/>
          <w14:textFill>
            <w14:solidFill>
              <w14:schemeClr w14:val="tx1"/>
            </w14:solidFill>
          </w14:textFill>
        </w:rPr>
      </w:pPr>
      <w:r>
        <w:rPr>
          <w:rFonts w:ascii="宋体" w:hAnsi="宋体" w:eastAsia="宋体" w:cs="Times New Roman"/>
          <w:bCs/>
          <w:color w:val="000000" w:themeColor="text1"/>
          <w:szCs w:val="21"/>
          <w:highlight w:val="none"/>
          <w:lang w:val="zh-CN"/>
          <w14:textFill>
            <w14:solidFill>
              <w14:schemeClr w14:val="tx1"/>
            </w14:solidFill>
          </w14:textFill>
        </w:rPr>
        <w:t>4  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政府采购严重违法失信行为记录名单的投标人，做好相关记录（处罚期限届满的除外）。</w:t>
      </w:r>
    </w:p>
    <w:p>
      <w:pPr>
        <w:autoSpaceDE w:val="0"/>
        <w:autoSpaceDN w:val="0"/>
        <w:adjustRightInd w:val="0"/>
        <w:spacing w:line="360" w:lineRule="auto"/>
        <w:ind w:left="-320" w:right="-29" w:rightChars="-14" w:firstLine="420"/>
        <w:rPr>
          <w:rFonts w:ascii="宋体" w:hAnsi="宋体" w:eastAsia="宋体" w:cs="Times New Roman"/>
          <w:color w:val="000000" w:themeColor="text1"/>
          <w:szCs w:val="21"/>
          <w:highlight w:val="none"/>
          <w:lang w:val="zh-CN"/>
          <w14:textFill>
            <w14:solidFill>
              <w14:schemeClr w14:val="tx1"/>
            </w14:solidFill>
          </w14:textFill>
        </w:rPr>
      </w:pPr>
    </w:p>
    <w:p>
      <w:pPr>
        <w:autoSpaceDE w:val="0"/>
        <w:autoSpaceDN w:val="0"/>
        <w:adjustRightInd w:val="0"/>
        <w:snapToGrid w:val="0"/>
        <w:spacing w:line="360" w:lineRule="auto"/>
        <w:ind w:left="40" w:right="-34" w:hanging="36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5  </w:t>
      </w:r>
      <w:r>
        <w:rPr>
          <w:rFonts w:ascii="宋体" w:hAnsi="宋体" w:eastAsia="宋体" w:cs="Times New Roman"/>
          <w:color w:val="000000" w:themeColor="text1"/>
          <w:szCs w:val="21"/>
          <w:highlight w:val="none"/>
          <w:lang w:val="zh-CN"/>
          <w14:textFill>
            <w14:solidFill>
              <w14:schemeClr w14:val="tx1"/>
            </w14:solidFill>
          </w14:textFill>
        </w:rPr>
        <w:t>投标、开标时间及地点：</w:t>
      </w:r>
    </w:p>
    <w:p>
      <w:pPr>
        <w:autoSpaceDE w:val="0"/>
        <w:autoSpaceDN w:val="0"/>
        <w:adjustRightInd w:val="0"/>
        <w:spacing w:line="360" w:lineRule="auto"/>
        <w:ind w:left="247"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5.1 </w:t>
      </w:r>
      <w:r>
        <w:rPr>
          <w:rFonts w:ascii="宋体" w:hAnsi="宋体" w:eastAsia="宋体" w:cs="Times New Roman"/>
          <w:color w:val="000000" w:themeColor="text1"/>
          <w:szCs w:val="21"/>
          <w:highlight w:val="none"/>
          <w:lang w:val="zh-CN"/>
          <w14:textFill>
            <w14:solidFill>
              <w14:schemeClr w14:val="tx1"/>
            </w14:solidFill>
          </w14:textFill>
        </w:rPr>
        <w:t>投标文件递交时间：</w:t>
      </w:r>
      <w:r>
        <w:rPr>
          <w:rFonts w:hint="eastAsia" w:ascii="宋体" w:hAnsi="宋体" w:eastAsia="宋体" w:cs="Times New Roman"/>
          <w:color w:val="000000" w:themeColor="text1"/>
          <w:szCs w:val="21"/>
          <w:highlight w:val="none"/>
          <w:u w:val="single"/>
          <w14:textFill>
            <w14:solidFill>
              <w14:schemeClr w14:val="tx1"/>
            </w14:solidFill>
          </w14:textFill>
        </w:rPr>
        <w:t>2024</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5</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22</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09</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00</w:t>
      </w:r>
      <w:r>
        <w:rPr>
          <w:rFonts w:hint="eastAsia"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09</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30</w:t>
      </w:r>
      <w:r>
        <w:rPr>
          <w:rFonts w:hint="eastAsia" w:ascii="宋体" w:hAnsi="宋体" w:eastAsia="宋体" w:cs="Times New Roman"/>
          <w:bCs/>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247"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5.2 </w:t>
      </w:r>
      <w:r>
        <w:rPr>
          <w:rFonts w:ascii="宋体" w:hAnsi="宋体" w:eastAsia="宋体" w:cs="Times New Roman"/>
          <w:color w:val="000000" w:themeColor="text1"/>
          <w:szCs w:val="21"/>
          <w:highlight w:val="none"/>
          <w:lang w:val="zh-CN"/>
          <w14:textFill>
            <w14:solidFill>
              <w14:schemeClr w14:val="tx1"/>
            </w14:solidFill>
          </w14:textFill>
        </w:rPr>
        <w:t>投标截止及开标时间：</w:t>
      </w:r>
      <w:r>
        <w:rPr>
          <w:rFonts w:hint="eastAsia" w:ascii="宋体" w:hAnsi="宋体" w:eastAsia="宋体" w:cs="Times New Roman"/>
          <w:color w:val="000000" w:themeColor="text1"/>
          <w:szCs w:val="21"/>
          <w:highlight w:val="none"/>
          <w:u w:val="single"/>
          <w14:textFill>
            <w14:solidFill>
              <w14:schemeClr w14:val="tx1"/>
            </w14:solidFill>
          </w14:textFill>
        </w:rPr>
        <w:t>2024</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5</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22</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09</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30</w:t>
      </w:r>
      <w:r>
        <w:rPr>
          <w:rFonts w:hint="eastAsia" w:ascii="宋体" w:hAnsi="宋体" w:eastAsia="宋体" w:cs="Times New Roman"/>
          <w:bCs/>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247" w:right="-29" w:rightChars="-14"/>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5.3 投标及开标地点：</w:t>
      </w:r>
      <w:r>
        <w:rPr>
          <w:rFonts w:hint="eastAsia" w:ascii="宋体" w:hAnsi="宋体" w:eastAsia="宋体" w:cs="Times New Roman"/>
          <w:color w:val="000000" w:themeColor="text1"/>
          <w:kern w:val="0"/>
          <w:szCs w:val="21"/>
          <w:highlight w:val="none"/>
          <w:u w:val="single"/>
          <w14:textFill>
            <w14:solidFill>
              <w14:schemeClr w14:val="tx1"/>
            </w14:solidFill>
          </w14:textFill>
        </w:rPr>
        <w:t>东莞市南城街道西平社区宏伟三路45号东莞市公共资源交易中心</w:t>
      </w:r>
      <w:r>
        <w:rPr>
          <w:rFonts w:hint="eastAsia" w:ascii="宋体" w:hAnsi="宋体" w:eastAsia="宋体" w:cs="Times New Roman"/>
          <w:color w:val="000000" w:themeColor="text1"/>
          <w:kern w:val="0"/>
          <w:szCs w:val="21"/>
          <w:highlight w:val="none"/>
          <w:u w:val="single"/>
          <w14:textFill>
            <w14:solidFill>
              <w14:schemeClr w14:val="tx1"/>
            </w14:solidFill>
          </w14:textFill>
        </w:rPr>
        <w:t>开标室（</w:t>
      </w:r>
      <w:r>
        <w:rPr>
          <w:rFonts w:hint="eastAsia" w:ascii="宋体" w:hAnsi="宋体" w:eastAsia="宋体" w:cs="Times New Roman"/>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320" w:right="-29" w:rightChars="-14" w:firstLine="210" w:firstLineChars="100"/>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ind w:left="40" w:right="-34" w:hanging="36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  招标代理机构只接受在递交投标文件截止日当天由投标人法定代表人或其授权代表于递交投标文件截止时间前亲自递交的投标文件</w:t>
      </w:r>
      <w:r>
        <w:rPr>
          <w:rFonts w:hint="eastAsia" w:ascii="宋体" w:hAnsi="宋体" w:eastAsia="宋体" w:cs="Times New Roman"/>
          <w:color w:val="000000" w:themeColor="text1"/>
          <w:szCs w:val="21"/>
          <w:highlight w:val="none"/>
          <w:lang w:val="zh-CN"/>
          <w14:textFill>
            <w14:solidFill>
              <w14:schemeClr w14:val="tx1"/>
            </w14:solidFill>
          </w14:textFill>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000000" w:themeColor="text1"/>
          <w:szCs w:val="21"/>
          <w:highlight w:val="none"/>
          <w:lang w:val="zh-CN"/>
          <w14:textFill>
            <w14:solidFill>
              <w14:schemeClr w14:val="tx1"/>
            </w14:solidFill>
          </w14:textFill>
        </w:rPr>
      </w:pPr>
    </w:p>
    <w:p>
      <w:pPr>
        <w:autoSpaceDE w:val="0"/>
        <w:autoSpaceDN w:val="0"/>
        <w:adjustRightInd w:val="0"/>
        <w:snapToGrid w:val="0"/>
        <w:spacing w:line="360" w:lineRule="auto"/>
        <w:ind w:left="40" w:right="-34" w:hanging="360"/>
        <w:jc w:val="left"/>
        <w:rPr>
          <w:rFonts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7  本项目相关公告在以下媒介发布：广东省公共资源交易平台（ygp.gdzwfw.gov.cn）、中国招标投标公共服务平台（www.cebpubservice.com）、东莞市水务集团有限公司网（www.dgswjt.cn）、招标代理机构网站（www.gzjc.com.cn</w:t>
      </w:r>
      <w:r>
        <w:rPr>
          <w:rFonts w:ascii="宋体" w:hAnsi="宋体" w:eastAsia="宋体" w:cs="Times New Roman"/>
          <w:bCs/>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p>
    <w:p>
      <w:pPr>
        <w:autoSpaceDE w:val="0"/>
        <w:autoSpaceDN w:val="0"/>
        <w:adjustRightInd w:val="0"/>
        <w:snapToGrid w:val="0"/>
        <w:spacing w:line="360" w:lineRule="auto"/>
        <w:ind w:left="247" w:right="-34"/>
        <w:jc w:val="left"/>
        <w:rPr>
          <w:rFonts w:ascii="宋体" w:hAnsi="宋体" w:eastAsia="宋体" w:cs="Times New Roman"/>
          <w:bCs/>
          <w:color w:val="000000" w:themeColor="text1"/>
          <w:szCs w:val="21"/>
          <w:highlight w:val="none"/>
          <w14:textFill>
            <w14:solidFill>
              <w14:schemeClr w14:val="tx1"/>
            </w14:solidFill>
          </w14:textFill>
        </w:rPr>
      </w:pPr>
    </w:p>
    <w:p>
      <w:pPr>
        <w:autoSpaceDE w:val="0"/>
        <w:autoSpaceDN w:val="0"/>
        <w:adjustRightInd w:val="0"/>
        <w:snapToGrid w:val="0"/>
        <w:spacing w:line="360" w:lineRule="auto"/>
        <w:ind w:left="40" w:right="-34" w:hanging="36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8  </w:t>
      </w:r>
      <w:r>
        <w:rPr>
          <w:rFonts w:ascii="宋体" w:hAnsi="宋体" w:eastAsia="宋体" w:cs="Times New Roman"/>
          <w:bCs/>
          <w:color w:val="000000" w:themeColor="text1"/>
          <w:szCs w:val="21"/>
          <w:highlight w:val="none"/>
          <w:lang w:val="zh-CN"/>
          <w14:textFill>
            <w14:solidFill>
              <w14:schemeClr w14:val="tx1"/>
            </w14:solidFill>
          </w14:textFill>
        </w:rPr>
        <w:t>招标人联系方式</w:t>
      </w:r>
    </w:p>
    <w:p>
      <w:pPr>
        <w:widowControl/>
        <w:autoSpaceDE w:val="0"/>
        <w:autoSpaceDN w:val="0"/>
        <w:adjustRightInd w:val="0"/>
        <w:spacing w:line="360" w:lineRule="auto"/>
        <w:ind w:left="-320"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招标人：</w:t>
      </w:r>
      <w:r>
        <w:rPr>
          <w:rFonts w:hint="eastAsia" w:ascii="宋体" w:hAnsi="宋体" w:eastAsia="宋体" w:cs="Times New Roman"/>
          <w:color w:val="000000" w:themeColor="text1"/>
          <w:kern w:val="0"/>
          <w:szCs w:val="21"/>
          <w:highlight w:val="none"/>
          <w14:textFill>
            <w14:solidFill>
              <w14:schemeClr w14:val="tx1"/>
            </w14:solidFill>
          </w14:textFill>
        </w:rPr>
        <w:t>东莞市水务集团有限公司</w:t>
      </w:r>
    </w:p>
    <w:p>
      <w:pPr>
        <w:widowControl/>
        <w:autoSpaceDE w:val="0"/>
        <w:autoSpaceDN w:val="0"/>
        <w:adjustRightInd w:val="0"/>
        <w:spacing w:line="360" w:lineRule="auto"/>
        <w:ind w:left="-320"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w:t>
      </w:r>
      <w:r>
        <w:rPr>
          <w:rFonts w:hint="eastAsia" w:ascii="宋体" w:hAnsi="宋体" w:eastAsia="宋体" w:cs="Times New Roman"/>
          <w:color w:val="000000" w:themeColor="text1"/>
          <w:kern w:val="0"/>
          <w:szCs w:val="21"/>
          <w:highlight w:val="none"/>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 xml:space="preserve"> 址：</w:t>
      </w:r>
      <w:r>
        <w:rPr>
          <w:rFonts w:hint="eastAsia" w:ascii="宋体" w:hAnsi="宋体" w:eastAsia="宋体" w:cs="Times New Roman"/>
          <w:color w:val="000000" w:themeColor="text1"/>
          <w:kern w:val="0"/>
          <w:szCs w:val="21"/>
          <w:highlight w:val="none"/>
          <w14:textFill>
            <w14:solidFill>
              <w14:schemeClr w14:val="tx1"/>
            </w14:solidFill>
          </w14:textFill>
        </w:rPr>
        <w:t>广东省东莞市东城街道育华路1号</w:t>
      </w:r>
    </w:p>
    <w:p>
      <w:pPr>
        <w:widowControl/>
        <w:autoSpaceDE w:val="0"/>
        <w:autoSpaceDN w:val="0"/>
        <w:adjustRightInd w:val="0"/>
        <w:spacing w:line="360" w:lineRule="auto"/>
        <w:ind w:left="-320"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：陈工</w:t>
      </w:r>
    </w:p>
    <w:p>
      <w:pPr>
        <w:widowControl/>
        <w:autoSpaceDE w:val="0"/>
        <w:autoSpaceDN w:val="0"/>
        <w:adjustRightInd w:val="0"/>
        <w:spacing w:line="360" w:lineRule="auto"/>
        <w:ind w:left="-320" w:right="-31" w:rightChars="-15" w:firstLine="424" w:firstLineChars="202"/>
        <w:jc w:val="left"/>
        <w:textAlignment w:val="bottom"/>
        <w:rPr>
          <w:rFonts w:ascii="宋体" w:hAnsi="宋体" w:eastAsia="宋体"/>
          <w:bCs/>
          <w:color w:val="000000" w:themeColor="text1"/>
          <w:szCs w:val="21"/>
          <w:highlight w:val="none"/>
          <w:lang w:val="zh-CN"/>
          <w14:textFill>
            <w14:solidFill>
              <w14:schemeClr w14:val="tx1"/>
            </w14:solidFill>
          </w14:textFill>
        </w:rPr>
      </w:pPr>
      <w:r>
        <w:rPr>
          <w:rFonts w:hint="eastAsia" w:ascii="宋体" w:hAnsi="宋体" w:eastAsia="宋体"/>
          <w:bCs/>
          <w:color w:val="000000" w:themeColor="text1"/>
          <w:szCs w:val="21"/>
          <w:highlight w:val="none"/>
          <w:lang w:val="zh-CN"/>
          <w14:textFill>
            <w14:solidFill>
              <w14:schemeClr w14:val="tx1"/>
            </w14:solidFill>
          </w14:textFill>
        </w:rPr>
        <w:t>电  话：0769-22329626</w:t>
      </w:r>
    </w:p>
    <w:p>
      <w:pPr>
        <w:autoSpaceDE w:val="0"/>
        <w:autoSpaceDN w:val="0"/>
        <w:adjustRightInd w:val="0"/>
        <w:spacing w:line="360" w:lineRule="auto"/>
        <w:ind w:left="-320" w:right="-29" w:rightChars="-14" w:firstLine="420"/>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ind w:left="40" w:right="-34" w:hanging="36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9  </w:t>
      </w:r>
      <w:r>
        <w:rPr>
          <w:rFonts w:ascii="宋体" w:hAnsi="宋体" w:eastAsia="宋体" w:cs="Times New Roman"/>
          <w:color w:val="000000" w:themeColor="text1"/>
          <w:szCs w:val="21"/>
          <w:highlight w:val="none"/>
          <w14:textFill>
            <w14:solidFill>
              <w14:schemeClr w14:val="tx1"/>
            </w14:solidFill>
          </w14:textFill>
        </w:rPr>
        <w:t>招标代理机构联系方式</w:t>
      </w:r>
    </w:p>
    <w:p>
      <w:pPr>
        <w:widowControl/>
        <w:autoSpaceDE w:val="0"/>
        <w:autoSpaceDN w:val="0"/>
        <w:adjustRightInd w:val="0"/>
        <w:spacing w:line="360" w:lineRule="auto"/>
        <w:ind w:left="-320"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bookmarkStart w:id="10" w:name="_Toc31764_WPSOffice_Level1"/>
      <w:bookmarkStart w:id="11" w:name="_Toc450662847"/>
      <w:bookmarkStart w:id="12" w:name="_Toc486167661"/>
      <w:r>
        <w:rPr>
          <w:rFonts w:ascii="宋体" w:hAnsi="宋体" w:eastAsia="宋体" w:cs="Times New Roman"/>
          <w:color w:val="000000" w:themeColor="text1"/>
          <w:kern w:val="0"/>
          <w:szCs w:val="21"/>
          <w:highlight w:val="none"/>
          <w14:textFill>
            <w14:solidFill>
              <w14:schemeClr w14:val="tx1"/>
            </w14:solidFill>
          </w14:textFill>
        </w:rPr>
        <w:t>招标代理机构：</w:t>
      </w:r>
      <w:r>
        <w:rPr>
          <w:rFonts w:hint="eastAsia" w:ascii="宋体" w:hAnsi="宋体" w:eastAsia="宋体" w:cs="Times New Roman"/>
          <w:color w:val="000000" w:themeColor="text1"/>
          <w:kern w:val="0"/>
          <w:szCs w:val="21"/>
          <w:highlight w:val="none"/>
          <w14:textFill>
            <w14:solidFill>
              <w14:schemeClr w14:val="tx1"/>
            </w14:solidFill>
          </w14:textFill>
        </w:rPr>
        <w:t>建成工程咨询股份有限公司</w:t>
      </w:r>
    </w:p>
    <w:p>
      <w:pPr>
        <w:widowControl/>
        <w:autoSpaceDE w:val="0"/>
        <w:autoSpaceDN w:val="0"/>
        <w:adjustRightInd w:val="0"/>
        <w:spacing w:line="360" w:lineRule="auto"/>
        <w:ind w:left="-320"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kern w:val="0"/>
          <w:szCs w:val="21"/>
          <w:highlight w:val="none"/>
          <w14:textFill>
            <w14:solidFill>
              <w14:schemeClr w14:val="tx1"/>
            </w14:solidFill>
          </w14:textFill>
        </w:rPr>
        <w:t>广东省东莞市南城街道西平宏伟三路39号联景商业大厦16层</w:t>
      </w:r>
    </w:p>
    <w:p>
      <w:pPr>
        <w:widowControl/>
        <w:autoSpaceDE w:val="0"/>
        <w:autoSpaceDN w:val="0"/>
        <w:adjustRightInd w:val="0"/>
        <w:spacing w:line="360" w:lineRule="auto"/>
        <w:ind w:left="-320"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张文琪</w:t>
      </w:r>
    </w:p>
    <w:p>
      <w:pPr>
        <w:widowControl/>
        <w:autoSpaceDE w:val="0"/>
        <w:autoSpaceDN w:val="0"/>
        <w:adjustRightInd w:val="0"/>
        <w:spacing w:line="360" w:lineRule="auto"/>
        <w:ind w:left="-320"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电 </w:t>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话</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0769-22801999</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13" w:name="_Toc142508311"/>
      <w:bookmarkStart w:id="14" w:name="_Toc18212"/>
      <w:bookmarkStart w:id="15" w:name="_Toc161843141"/>
      <w:bookmarkStart w:id="16" w:name="_Toc1511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第二篇</w:t>
      </w:r>
      <w:r>
        <w:rPr>
          <w:rFonts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投标人须知</w:t>
      </w:r>
      <w:bookmarkEnd w:id="10"/>
      <w:bookmarkEnd w:id="11"/>
      <w:bookmarkEnd w:id="12"/>
      <w:bookmarkEnd w:id="13"/>
      <w:bookmarkEnd w:id="14"/>
      <w:bookmarkEnd w:id="15"/>
      <w:bookmarkEnd w:id="16"/>
    </w:p>
    <w:p>
      <w:pPr>
        <w:keepNext/>
        <w:keepLines/>
        <w:autoSpaceDE w:val="0"/>
        <w:autoSpaceDN w:val="0"/>
        <w:adjustRightInd w:val="0"/>
        <w:spacing w:line="360" w:lineRule="auto"/>
        <w:ind w:left="247"/>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17" w:name="_Toc142508312"/>
      <w:bookmarkStart w:id="18" w:name="_Toc450662848"/>
      <w:bookmarkStart w:id="19" w:name="_Toc24479"/>
      <w:bookmarkStart w:id="20" w:name="_Toc161843142"/>
      <w:bookmarkStart w:id="21" w:name="_Toc486167662"/>
      <w:bookmarkStart w:id="22" w:name="_Toc15366_WPSOffice_Level2"/>
      <w:bookmarkStart w:id="23" w:name="_Toc140596871"/>
      <w:bookmarkStart w:id="24" w:name="_Toc9555"/>
      <w:r>
        <w:rPr>
          <w:rFonts w:hint="eastAsia" w:ascii="宋体" w:hAnsi="宋体" w:eastAsia="宋体" w:cs="宋体"/>
          <w:b/>
          <w:bCs/>
          <w:color w:val="000000" w:themeColor="text1"/>
          <w:kern w:val="44"/>
          <w:szCs w:val="21"/>
          <w:highlight w:val="none"/>
          <w:lang w:val="zh-CN"/>
          <w14:textFill>
            <w14:solidFill>
              <w14:schemeClr w14:val="tx1"/>
            </w14:solidFill>
          </w14:textFill>
        </w:rPr>
        <w:t>一、总则</w:t>
      </w:r>
      <w:bookmarkEnd w:id="17"/>
      <w:bookmarkEnd w:id="18"/>
      <w:bookmarkEnd w:id="19"/>
      <w:bookmarkEnd w:id="20"/>
      <w:bookmarkEnd w:id="21"/>
      <w:bookmarkEnd w:id="22"/>
      <w:bookmarkEnd w:id="23"/>
      <w:bookmarkEnd w:id="24"/>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5" w:name="_Toc142508313"/>
      <w:bookmarkStart w:id="26" w:name="_Toc450662849"/>
      <w:bookmarkStart w:id="27" w:name="_Toc486167663"/>
      <w:bookmarkStart w:id="28" w:name="_Toc23333"/>
      <w:bookmarkStart w:id="29" w:name="_Toc9608"/>
      <w:bookmarkStart w:id="30" w:name="_Toc21710_WPSOffice_Level3"/>
      <w:bookmarkStart w:id="31" w:name="_Toc161843143"/>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资金来源：企业自筹资金。</w:t>
      </w:r>
      <w:bookmarkEnd w:id="25"/>
      <w:bookmarkEnd w:id="26"/>
      <w:bookmarkEnd w:id="27"/>
      <w:bookmarkEnd w:id="28"/>
      <w:bookmarkEnd w:id="29"/>
      <w:bookmarkEnd w:id="30"/>
      <w:bookmarkEnd w:id="31"/>
    </w:p>
    <w:p>
      <w:pPr>
        <w:autoSpaceDE w:val="0"/>
        <w:autoSpaceDN w:val="0"/>
        <w:adjustRightInd w:val="0"/>
        <w:ind w:left="247"/>
        <w:jc w:val="left"/>
        <w:rPr>
          <w:rFonts w:ascii="宋体" w:hAnsi="宋体" w:eastAsia="宋体" w:cs="宋体"/>
          <w:color w:val="000000" w:themeColor="text1"/>
          <w:kern w:val="0"/>
          <w:sz w:val="24"/>
          <w:szCs w:val="24"/>
          <w:highlight w:val="none"/>
          <w14:textFill>
            <w14:solidFill>
              <w14:schemeClr w14:val="tx1"/>
            </w14:solidFill>
          </w14:textFill>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2" w:name="_Toc18557"/>
      <w:bookmarkStart w:id="33" w:name="_Toc486167664"/>
      <w:bookmarkStart w:id="34" w:name="_Toc80_WPSOffice_Level3"/>
      <w:bookmarkStart w:id="35" w:name="_Toc161843144"/>
      <w:bookmarkStart w:id="36" w:name="_Toc450662850"/>
      <w:bookmarkStart w:id="37" w:name="_Toc142508314"/>
      <w:bookmarkStart w:id="38" w:name="_Toc32244"/>
      <w:r>
        <w:rPr>
          <w:rFonts w:hint="eastAsia" w:ascii="宋体" w:hAnsi="宋体" w:eastAsia="宋体" w:cs="宋体"/>
          <w:color w:val="000000" w:themeColor="text1"/>
          <w:szCs w:val="21"/>
          <w:highlight w:val="none"/>
          <w:lang w:val="zh-CN"/>
          <w14:textFill>
            <w14:solidFill>
              <w14:schemeClr w14:val="tx1"/>
            </w14:solidFill>
          </w14:textFill>
        </w:rPr>
        <w:t>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合格的投标人</w:t>
      </w:r>
      <w:bookmarkEnd w:id="32"/>
      <w:bookmarkEnd w:id="33"/>
      <w:bookmarkEnd w:id="34"/>
      <w:bookmarkEnd w:id="35"/>
      <w:bookmarkEnd w:id="36"/>
      <w:bookmarkEnd w:id="37"/>
      <w:bookmarkEnd w:id="38"/>
    </w:p>
    <w:p>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2.1  合格的投标人条件见第一篇《招标公告》中第</w:t>
      </w:r>
      <w:r>
        <w:rPr>
          <w:rFonts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条的“合格投标人资格要求”及本条以下2.2款至2.</w:t>
      </w:r>
      <w:r>
        <w:rPr>
          <w:rFonts w:hint="eastAsia" w:ascii="宋体" w:hAnsi="宋体" w:eastAsia="宋体" w:cs="宋体"/>
          <w:b/>
          <w:color w:val="000000" w:themeColor="text1"/>
          <w:szCs w:val="21"/>
          <w:highlight w:val="none"/>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款的通用要求。</w:t>
      </w:r>
    </w:p>
    <w:p>
      <w:pPr>
        <w:autoSpaceDE w:val="0"/>
        <w:autoSpaceDN w:val="0"/>
        <w:adjustRightInd w:val="0"/>
        <w:spacing w:line="360" w:lineRule="auto"/>
        <w:ind w:left="359" w:leftChars="-100" w:hanging="569" w:hangingChars="27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14:textFill>
            <w14:solidFill>
              <w14:schemeClr w14:val="tx1"/>
            </w14:solidFill>
          </w14:textFill>
        </w:rPr>
        <w:t>投标人</w:t>
      </w:r>
      <w:r>
        <w:rPr>
          <w:rFonts w:hint="eastAsia" w:ascii="宋体" w:hAnsi="宋体" w:eastAsia="宋体" w:cs="Times New Roman"/>
          <w:b/>
          <w:color w:val="000000" w:themeColor="text1"/>
          <w:kern w:val="0"/>
          <w:szCs w:val="21"/>
          <w:highlight w:val="none"/>
          <w14:textFill>
            <w14:solidFill>
              <w14:schemeClr w14:val="tx1"/>
            </w14:solidFill>
          </w14:textFill>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000000" w:themeColor="text1"/>
          <w:kern w:val="0"/>
          <w:szCs w:val="21"/>
          <w:highlight w:val="none"/>
          <w:lang w:val="zh-CN"/>
          <w14:textFill>
            <w14:solidFill>
              <w14:schemeClr w14:val="tx1"/>
            </w14:solidFill>
          </w14:textFill>
        </w:rPr>
        <w:t>处罚说明</w:t>
      </w:r>
      <w:r>
        <w:rPr>
          <w:rFonts w:hint="eastAsia" w:ascii="宋体" w:hAnsi="宋体" w:eastAsia="宋体" w:cs="Times New Roman"/>
          <w:b/>
          <w:color w:val="000000" w:themeColor="text1"/>
          <w:kern w:val="0"/>
          <w:szCs w:val="21"/>
          <w:highlight w:val="none"/>
          <w14:textFill>
            <w14:solidFill>
              <w14:schemeClr w14:val="tx1"/>
            </w14:solidFill>
          </w14:textFill>
        </w:rPr>
        <w:t>”，如果不主动填报而被事后发现的，将取消其投标（中标）资格，并按有关规定从重处理</w:t>
      </w:r>
      <w:r>
        <w:rPr>
          <w:rFonts w:hint="eastAsia" w:ascii="宋体" w:hAnsi="宋体" w:eastAsia="宋体" w:cs="宋体"/>
          <w:b/>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2.</w:t>
      </w:r>
      <w:r>
        <w:rPr>
          <w:rFonts w:ascii="宋体" w:hAnsi="宋体" w:eastAsia="宋体" w:cs="宋体"/>
          <w:b/>
          <w:color w:val="000000" w:themeColor="text1"/>
          <w:kern w:val="0"/>
          <w:szCs w:val="21"/>
          <w:highlight w:val="none"/>
          <w:lang w:val="zh-CN"/>
          <w14:textFill>
            <w14:solidFill>
              <w14:schemeClr w14:val="tx1"/>
            </w14:solidFill>
          </w14:textFill>
        </w:rPr>
        <w:t>3</w:t>
      </w:r>
      <w:r>
        <w:rPr>
          <w:rFonts w:hint="eastAsia" w:ascii="宋体" w:hAnsi="宋体" w:eastAsia="宋体" w:cs="宋体"/>
          <w:b/>
          <w:color w:val="000000" w:themeColor="text1"/>
          <w:kern w:val="0"/>
          <w:szCs w:val="21"/>
          <w:highlight w:val="none"/>
          <w:lang w:val="zh-CN"/>
          <w14:textFill>
            <w14:solidFill>
              <w14:schemeClr w14:val="tx1"/>
            </w14:solidFill>
          </w14:textFill>
        </w:rPr>
        <w:t xml:space="preserve">  投标人</w:t>
      </w:r>
      <w:r>
        <w:rPr>
          <w:rFonts w:hint="eastAsia" w:ascii="宋体" w:hAnsi="宋体" w:eastAsia="宋体" w:cs="宋体"/>
          <w:b/>
          <w:color w:val="000000" w:themeColor="text1"/>
          <w:szCs w:val="21"/>
          <w:highlight w:val="none"/>
          <w:lang w:val="zh-CN"/>
          <w14:textFill>
            <w14:solidFill>
              <w14:schemeClr w14:val="tx1"/>
            </w14:solidFill>
          </w14:textFill>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r>
        <w:rPr>
          <w:rFonts w:ascii="宋体" w:hAnsi="宋体" w:eastAsia="宋体" w:cs="宋体"/>
          <w:b/>
          <w:color w:val="000000" w:themeColor="text1"/>
          <w:kern w:val="0"/>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317" w:leftChars="-100" w:hanging="527" w:hangingChars="25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000000" w:themeColor="text1"/>
          <w:szCs w:val="21"/>
          <w:highlight w:val="none"/>
          <w:lang w:val="zh-CN"/>
          <w14:textFill>
            <w14:solidFill>
              <w14:schemeClr w14:val="tx1"/>
            </w14:solidFill>
          </w14:textFill>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000000" w:themeColor="text1"/>
          <w:kern w:val="0"/>
          <w:szCs w:val="24"/>
          <w:highlight w:val="none"/>
          <w14:textFill>
            <w14:solidFill>
              <w14:schemeClr w14:val="tx1"/>
            </w14:solidFill>
          </w14:textFill>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9" w:name="_Toc23847_WPSOffice_Level3"/>
      <w:bookmarkStart w:id="40" w:name="_Toc142508315"/>
      <w:bookmarkStart w:id="41" w:name="_Toc11689"/>
      <w:bookmarkStart w:id="42" w:name="_Toc19774"/>
      <w:bookmarkStart w:id="43" w:name="_Toc161843145"/>
      <w:bookmarkStart w:id="44" w:name="_Toc450662851"/>
      <w:bookmarkStart w:id="45" w:name="_Toc486167665"/>
      <w:r>
        <w:rPr>
          <w:rFonts w:hint="eastAsia" w:ascii="宋体" w:hAnsi="宋体" w:eastAsia="宋体" w:cs="宋体"/>
          <w:color w:val="000000" w:themeColor="text1"/>
          <w:szCs w:val="21"/>
          <w:highlight w:val="none"/>
          <w:lang w:val="zh-CN"/>
          <w14:textFill>
            <w14:solidFill>
              <w14:schemeClr w14:val="tx1"/>
            </w14:solidFill>
          </w14:textFill>
        </w:rPr>
        <w:t>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合格的</w:t>
      </w:r>
      <w:bookmarkEnd w:id="39"/>
      <w:bookmarkEnd w:id="40"/>
      <w:r>
        <w:rPr>
          <w:rFonts w:hint="eastAsia" w:ascii="宋体" w:hAnsi="宋体" w:eastAsia="宋体" w:cs="宋体"/>
          <w:color w:val="000000" w:themeColor="text1"/>
          <w:szCs w:val="21"/>
          <w:highlight w:val="none"/>
          <w:lang w:val="zh-CN"/>
          <w14:textFill>
            <w14:solidFill>
              <w14:schemeClr w14:val="tx1"/>
            </w14:solidFill>
          </w14:textFill>
        </w:rPr>
        <w:t>服务</w:t>
      </w:r>
      <w:bookmarkEnd w:id="41"/>
      <w:bookmarkEnd w:id="42"/>
      <w:bookmarkEnd w:id="43"/>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“服务”是指投标人按招标文件规定完成的全部服务内容，其中包括完成服务所需的货物和工程，及须承担的技术支持、培训和其它伴随服务。</w:t>
      </w:r>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46" w:name="_Toc533708063"/>
      <w:bookmarkStart w:id="47" w:name="_Toc1977663"/>
      <w:r>
        <w:rPr>
          <w:rFonts w:hint="eastAsia" w:ascii="宋体" w:hAnsi="宋体" w:eastAsia="宋体" w:cs="宋体"/>
          <w:color w:val="000000" w:themeColor="text1"/>
          <w:szCs w:val="21"/>
          <w:highlight w:val="none"/>
          <w:lang w:val="zh-CN"/>
          <w14:textFill>
            <w14:solidFill>
              <w14:schemeClr w14:val="tx1"/>
            </w14:solidFill>
          </w14:textFill>
        </w:rPr>
        <w:t xml:space="preserve">3.2  </w:t>
      </w:r>
      <w:bookmarkEnd w:id="46"/>
      <w:bookmarkEnd w:id="47"/>
      <w:bookmarkStart w:id="48" w:name="_Toc533708065"/>
      <w:bookmarkStart w:id="49" w:name="_Toc1977665"/>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必须保证提供的所有</w:t>
      </w:r>
      <w:r>
        <w:rPr>
          <w:rFonts w:hint="eastAsia" w:ascii="宋体" w:hAnsi="宋体" w:eastAsia="宋体" w:cs="Times New Roman"/>
          <w:color w:val="000000" w:themeColor="text1"/>
          <w:szCs w:val="21"/>
          <w:highlight w:val="none"/>
          <w14:textFill>
            <w14:solidFill>
              <w14:schemeClr w14:val="tx1"/>
            </w14:solidFill>
          </w14:textFill>
        </w:rPr>
        <w:t>服务</w:t>
      </w:r>
      <w:r>
        <w:rPr>
          <w:rFonts w:hint="eastAsia" w:ascii="宋体" w:hAnsi="宋体" w:eastAsia="宋体" w:cs="Times New Roman"/>
          <w:color w:val="000000" w:themeColor="text1"/>
          <w:szCs w:val="21"/>
          <w:highlight w:val="none"/>
          <w:lang w:val="zh-CN"/>
          <w14:textFill>
            <w14:solidFill>
              <w14:schemeClr w14:val="tx1"/>
            </w14:solidFill>
          </w14:textFill>
        </w:rPr>
        <w:t>或</w:t>
      </w:r>
      <w:r>
        <w:rPr>
          <w:rFonts w:hint="eastAsia" w:ascii="宋体" w:hAnsi="宋体" w:eastAsia="宋体" w:cs="Times New Roman"/>
          <w:color w:val="000000" w:themeColor="text1"/>
          <w:szCs w:val="21"/>
          <w:highlight w:val="none"/>
          <w14:textFill>
            <w14:solidFill>
              <w14:schemeClr w14:val="tx1"/>
            </w14:solidFill>
          </w14:textFill>
        </w:rPr>
        <w:t>服务</w:t>
      </w:r>
      <w:r>
        <w:rPr>
          <w:rFonts w:hint="eastAsia" w:ascii="宋体" w:hAnsi="宋体" w:eastAsia="宋体" w:cs="Times New Roman"/>
          <w:color w:val="000000" w:themeColor="text1"/>
          <w:szCs w:val="21"/>
          <w:highlight w:val="none"/>
          <w:lang w:val="zh-CN"/>
          <w14:textFill>
            <w14:solidFill>
              <w14:schemeClr w14:val="tx1"/>
            </w14:solidFill>
          </w14:textFill>
        </w:rPr>
        <w:t>的任何部分均为最新正式版本</w:t>
      </w:r>
      <w:r>
        <w:rPr>
          <w:rFonts w:hint="eastAsia" w:ascii="宋体" w:hAnsi="宋体" w:eastAsia="宋体" w:cs="宋体"/>
          <w:color w:val="000000" w:themeColor="text1"/>
          <w:szCs w:val="21"/>
          <w:highlight w:val="none"/>
          <w:lang w:val="zh-CN"/>
          <w14:textFill>
            <w14:solidFill>
              <w14:schemeClr w14:val="tx1"/>
            </w14:solidFill>
          </w14:textFill>
        </w:rPr>
        <w:t>。</w:t>
      </w:r>
      <w:bookmarkEnd w:id="48"/>
      <w:bookmarkEnd w:id="49"/>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0" w:name="_Toc1977666"/>
      <w:bookmarkStart w:id="51" w:name="_Toc533708066"/>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 xml:space="preserve">  </w:t>
      </w:r>
      <w:bookmarkEnd w:id="50"/>
      <w:bookmarkEnd w:id="51"/>
      <w:bookmarkStart w:id="52" w:name="_Toc1977667"/>
      <w:bookmarkStart w:id="53" w:name="_Toc533708067"/>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kern w:val="0"/>
          <w:szCs w:val="21"/>
          <w:highlight w:val="none"/>
          <w14:textFill>
            <w14:solidFill>
              <w14:schemeClr w14:val="tx1"/>
            </w14:solidFill>
          </w14:textFill>
        </w:rPr>
        <w:t>应保证招标人在中华人民共和国使用服务或服务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52"/>
      <w:bookmarkEnd w:id="53"/>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4" w:name="_Toc533708068"/>
      <w:bookmarkStart w:id="55" w:name="_Toc1977668"/>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w:t>
      </w:r>
      <w:bookmarkEnd w:id="54"/>
      <w:bookmarkEnd w:id="55"/>
      <w:r>
        <w:rPr>
          <w:rFonts w:hint="eastAsia" w:ascii="宋体" w:hAnsi="宋体" w:eastAsia="宋体" w:cs="宋体"/>
          <w:color w:val="000000" w:themeColor="text1"/>
          <w:szCs w:val="21"/>
          <w:highlight w:val="none"/>
          <w:lang w:val="zh-CN"/>
          <w14:textFill>
            <w14:solidFill>
              <w14:schemeClr w14:val="tx1"/>
            </w14:solidFill>
          </w14:textFill>
        </w:rPr>
        <w:t>无论投标人</w:t>
      </w:r>
      <w:r>
        <w:rPr>
          <w:rFonts w:hint="eastAsia" w:ascii="宋体" w:hAnsi="宋体" w:eastAsia="宋体" w:cs="Times New Roman"/>
          <w:color w:val="000000" w:themeColor="text1"/>
          <w:kern w:val="0"/>
          <w:szCs w:val="21"/>
          <w:highlight w:val="none"/>
          <w14:textFill>
            <w14:solidFill>
              <w14:schemeClr w14:val="tx1"/>
            </w14:solidFill>
          </w14:textFill>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247"/>
        <w:jc w:val="left"/>
        <w:rPr>
          <w:rFonts w:ascii="宋体" w:hAnsi="宋体" w:eastAsia="宋体" w:cs="宋体"/>
          <w:color w:val="000000" w:themeColor="text1"/>
          <w:szCs w:val="21"/>
          <w:highlight w:val="none"/>
          <w:lang w:val="zh-CN"/>
          <w14:textFill>
            <w14:solidFill>
              <w14:schemeClr w14:val="tx1"/>
            </w14:solidFill>
          </w14:textFill>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56" w:name="_Toc3404"/>
      <w:bookmarkStart w:id="57" w:name="_Toc11533"/>
      <w:bookmarkStart w:id="58" w:name="_Toc161843146"/>
      <w:bookmarkStart w:id="59" w:name="_Toc142508316"/>
      <w:bookmarkStart w:id="60" w:name="_Toc9658_WPSOffice_Level3"/>
      <w:r>
        <w:rPr>
          <w:rFonts w:hint="eastAsia" w:ascii="宋体" w:hAnsi="宋体" w:eastAsia="宋体" w:cs="宋体"/>
          <w:color w:val="000000" w:themeColor="text1"/>
          <w:szCs w:val="21"/>
          <w:highlight w:val="none"/>
          <w:lang w:val="zh-CN"/>
          <w14:textFill>
            <w14:solidFill>
              <w14:schemeClr w14:val="tx1"/>
            </w14:solidFill>
          </w14:textFill>
        </w:rPr>
        <w:t>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其它说明</w:t>
      </w:r>
      <w:bookmarkEnd w:id="56"/>
      <w:bookmarkEnd w:id="57"/>
      <w:bookmarkEnd w:id="58"/>
      <w:bookmarkEnd w:id="59"/>
      <w:bookmarkEnd w:id="60"/>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1" w:name="_Toc1977670"/>
      <w:bookmarkStart w:id="62" w:name="_Toc533708070"/>
      <w:r>
        <w:rPr>
          <w:rFonts w:hint="eastAsia" w:ascii="宋体" w:hAnsi="宋体" w:eastAsia="宋体" w:cs="宋体"/>
          <w:color w:val="000000" w:themeColor="text1"/>
          <w:szCs w:val="21"/>
          <w:highlight w:val="none"/>
          <w:lang w:val="zh-CN"/>
          <w14:textFill>
            <w14:solidFill>
              <w14:schemeClr w14:val="tx1"/>
            </w14:solidFill>
          </w14:textFill>
        </w:rPr>
        <w:t>4.1  投标费用</w:t>
      </w:r>
      <w:bookmarkEnd w:id="61"/>
      <w:bookmarkEnd w:id="62"/>
    </w:p>
    <w:p>
      <w:pPr>
        <w:autoSpaceDE w:val="0"/>
        <w:autoSpaceDN w:val="0"/>
        <w:adjustRightInd w:val="0"/>
        <w:spacing w:line="360" w:lineRule="auto"/>
        <w:ind w:left="210" w:leftChars="100" w:firstLine="420" w:firstLineChars="200"/>
        <w:rPr>
          <w:rFonts w:ascii="宋体" w:hAnsi="宋体" w:eastAsia="宋体" w:cs="宋体"/>
          <w:color w:val="000000" w:themeColor="text1"/>
          <w:szCs w:val="21"/>
          <w:highlight w:val="none"/>
          <w:lang w:val="zh-CN"/>
          <w14:textFill>
            <w14:solidFill>
              <w14:schemeClr w14:val="tx1"/>
            </w14:solidFill>
          </w14:textFill>
        </w:rPr>
      </w:pPr>
      <w:bookmarkStart w:id="63" w:name="_Toc1977672"/>
      <w:bookmarkStart w:id="64" w:name="_Toc533708072"/>
      <w:r>
        <w:rPr>
          <w:rFonts w:hint="eastAsia" w:ascii="宋体" w:hAnsi="宋体" w:eastAsia="宋体" w:cs="Times New Roman"/>
          <w:color w:val="000000" w:themeColor="text1"/>
          <w:szCs w:val="21"/>
          <w:highlight w:val="none"/>
          <w:lang w:val="zh-CN"/>
          <w14:textFill>
            <w14:solidFill>
              <w14:schemeClr w14:val="tx1"/>
            </w14:solidFill>
          </w14:textFill>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000000" w:themeColor="text1"/>
          <w:szCs w:val="21"/>
          <w:highlight w:val="none"/>
          <w:lang w:val="zh-CN"/>
          <w14:textFill>
            <w14:solidFill>
              <w14:schemeClr w14:val="tx1"/>
            </w14:solidFill>
          </w14:textFill>
        </w:rPr>
        <w:t>。</w:t>
      </w:r>
      <w:bookmarkEnd w:id="63"/>
      <w:bookmarkEnd w:id="64"/>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5" w:name="_Toc533708073"/>
      <w:bookmarkStart w:id="66" w:name="_Toc1977673"/>
      <w:r>
        <w:rPr>
          <w:rFonts w:hint="eastAsia" w:ascii="宋体" w:hAnsi="宋体" w:eastAsia="宋体" w:cs="宋体"/>
          <w:color w:val="000000" w:themeColor="text1"/>
          <w:szCs w:val="21"/>
          <w:highlight w:val="none"/>
          <w:lang w:val="zh-CN"/>
          <w14:textFill>
            <w14:solidFill>
              <w14:schemeClr w14:val="tx1"/>
            </w14:solidFill>
          </w14:textFill>
        </w:rPr>
        <w:t>4.2  踏勘现场</w:t>
      </w:r>
      <w:bookmarkEnd w:id="65"/>
      <w:bookmarkEnd w:id="66"/>
    </w:p>
    <w:p>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bookmarkStart w:id="67" w:name="_Toc1977676"/>
      <w:bookmarkStart w:id="68" w:name="_Toc533708076"/>
      <w:r>
        <w:rPr>
          <w:rFonts w:hint="eastAsia" w:ascii="宋体" w:hAnsi="宋体" w:eastAsia="宋体" w:cs="Times New Roman"/>
          <w:color w:val="000000" w:themeColor="text1"/>
          <w:kern w:val="0"/>
          <w:szCs w:val="21"/>
          <w:highlight w:val="none"/>
          <w14:textFill>
            <w14:solidFill>
              <w14:schemeClr w14:val="tx1"/>
            </w14:solidFill>
          </w14:textFill>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（2）潜在投标人应承担踏勘现场自身所发生的费用。</w:t>
      </w:r>
    </w:p>
    <w:p>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纪律与保密事项</w:t>
      </w:r>
      <w:bookmarkEnd w:id="44"/>
      <w:bookmarkEnd w:id="45"/>
      <w:bookmarkEnd w:id="67"/>
      <w:bookmarkEnd w:id="68"/>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（3）开标后，直至向中标人授予合同期间，凡与审查、澄清、评价和比较报价的有关资料以及授标意见等，参与评标工作的有关人员均不得向投标人及与评标无关的其他人透露。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p>
    <w:p>
      <w:pPr>
        <w:keepNext/>
        <w:keepLines/>
        <w:autoSpaceDE w:val="0"/>
        <w:autoSpaceDN w:val="0"/>
        <w:adjustRightInd w:val="0"/>
        <w:spacing w:line="360" w:lineRule="auto"/>
        <w:ind w:left="247"/>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69" w:name="_Toc486167667"/>
      <w:bookmarkStart w:id="70" w:name="_Toc161843147"/>
      <w:bookmarkStart w:id="71" w:name="_Toc5395"/>
      <w:bookmarkStart w:id="72" w:name="_Toc450662853"/>
      <w:bookmarkStart w:id="73" w:name="_Toc142508317"/>
      <w:bookmarkStart w:id="74" w:name="_Toc30507_WPSOffice_Level2"/>
      <w:bookmarkStart w:id="75" w:name="_Toc140596876"/>
      <w:bookmarkStart w:id="76" w:name="_Toc1565"/>
      <w:r>
        <w:rPr>
          <w:rFonts w:hint="eastAsia" w:ascii="宋体" w:hAnsi="宋体" w:eastAsia="宋体" w:cs="宋体"/>
          <w:b/>
          <w:bCs/>
          <w:color w:val="000000" w:themeColor="text1"/>
          <w:kern w:val="44"/>
          <w:szCs w:val="21"/>
          <w:highlight w:val="none"/>
          <w:lang w:val="zh-CN"/>
          <w14:textFill>
            <w14:solidFill>
              <w14:schemeClr w14:val="tx1"/>
            </w14:solidFill>
          </w14:textFill>
        </w:rPr>
        <w:t>二、招标文件</w:t>
      </w:r>
      <w:bookmarkEnd w:id="69"/>
      <w:bookmarkEnd w:id="70"/>
      <w:bookmarkEnd w:id="71"/>
      <w:bookmarkEnd w:id="72"/>
      <w:bookmarkEnd w:id="73"/>
      <w:bookmarkEnd w:id="74"/>
      <w:bookmarkEnd w:id="75"/>
      <w:bookmarkEnd w:id="7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77" w:name="_Toc26635_WPSOffice_Level3"/>
      <w:bookmarkStart w:id="78" w:name="_Toc28893"/>
      <w:bookmarkStart w:id="79" w:name="_Toc161843148"/>
      <w:bookmarkStart w:id="80" w:name="_Toc486167668"/>
      <w:bookmarkStart w:id="81" w:name="_Toc2406"/>
      <w:bookmarkStart w:id="82" w:name="_Toc450662854"/>
      <w:bookmarkStart w:id="83" w:name="_Toc142508318"/>
      <w:r>
        <w:rPr>
          <w:rFonts w:hint="eastAsia" w:ascii="宋体" w:hAnsi="宋体" w:eastAsia="宋体" w:cs="宋体"/>
          <w:color w:val="000000" w:themeColor="text1"/>
          <w:szCs w:val="21"/>
          <w:highlight w:val="none"/>
          <w:lang w:val="zh-CN"/>
          <w14:textFill>
            <w14:solidFill>
              <w14:schemeClr w14:val="tx1"/>
            </w14:solidFill>
          </w14:textFill>
        </w:rPr>
        <w:t>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招标文件的构成</w:t>
      </w:r>
      <w:bookmarkEnd w:id="77"/>
      <w:bookmarkEnd w:id="78"/>
      <w:bookmarkEnd w:id="79"/>
      <w:bookmarkEnd w:id="80"/>
      <w:bookmarkEnd w:id="81"/>
      <w:bookmarkEnd w:id="82"/>
      <w:bookmarkEnd w:id="83"/>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招标文件包括：</w:t>
      </w:r>
    </w:p>
    <w:p>
      <w:pPr>
        <w:tabs>
          <w:tab w:val="left" w:pos="1890"/>
        </w:tabs>
        <w:autoSpaceDE w:val="0"/>
        <w:autoSpaceDN w:val="0"/>
        <w:adjustRightInd w:val="0"/>
        <w:spacing w:line="360" w:lineRule="auto"/>
        <w:ind w:left="-320"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第一篇 招标公告</w:t>
      </w:r>
    </w:p>
    <w:p>
      <w:pPr>
        <w:tabs>
          <w:tab w:val="left" w:pos="1890"/>
        </w:tabs>
        <w:autoSpaceDE w:val="0"/>
        <w:autoSpaceDN w:val="0"/>
        <w:adjustRightInd w:val="0"/>
        <w:spacing w:line="360" w:lineRule="auto"/>
        <w:ind w:left="-320"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第二篇 投标人须知</w:t>
      </w:r>
    </w:p>
    <w:p>
      <w:pPr>
        <w:tabs>
          <w:tab w:val="left" w:pos="1890"/>
        </w:tabs>
        <w:autoSpaceDE w:val="0"/>
        <w:autoSpaceDN w:val="0"/>
        <w:adjustRightInd w:val="0"/>
        <w:spacing w:line="360" w:lineRule="auto"/>
        <w:ind w:left="-320"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第三篇 用户需求书</w:t>
      </w:r>
    </w:p>
    <w:p>
      <w:pPr>
        <w:tabs>
          <w:tab w:val="left" w:pos="1890"/>
        </w:tabs>
        <w:autoSpaceDE w:val="0"/>
        <w:autoSpaceDN w:val="0"/>
        <w:adjustRightInd w:val="0"/>
        <w:spacing w:line="360" w:lineRule="auto"/>
        <w:ind w:left="-320"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第四篇 合同条款</w:t>
      </w:r>
    </w:p>
    <w:p>
      <w:pPr>
        <w:tabs>
          <w:tab w:val="left" w:pos="1890"/>
        </w:tabs>
        <w:autoSpaceDE w:val="0"/>
        <w:autoSpaceDN w:val="0"/>
        <w:adjustRightInd w:val="0"/>
        <w:spacing w:line="360" w:lineRule="auto"/>
        <w:ind w:left="-320"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第五篇 相关保函格式</w:t>
      </w:r>
    </w:p>
    <w:p>
      <w:pPr>
        <w:tabs>
          <w:tab w:val="left" w:pos="1890"/>
        </w:tabs>
        <w:autoSpaceDE w:val="0"/>
        <w:autoSpaceDN w:val="0"/>
        <w:adjustRightInd w:val="0"/>
        <w:spacing w:line="360" w:lineRule="auto"/>
        <w:ind w:left="-320"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第六篇 投标文件格式</w:t>
      </w:r>
    </w:p>
    <w:p>
      <w:pPr>
        <w:tabs>
          <w:tab w:val="left" w:pos="1890"/>
        </w:tabs>
        <w:autoSpaceDE w:val="0"/>
        <w:autoSpaceDN w:val="0"/>
        <w:adjustRightInd w:val="0"/>
        <w:spacing w:line="360" w:lineRule="auto"/>
        <w:ind w:left="-320"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附件一：</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评标工作大纲</w:t>
      </w:r>
    </w:p>
    <w:p>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5.2</w:t>
      </w:r>
      <w:r>
        <w:rPr>
          <w:rFonts w:hint="eastAsia" w:ascii="宋体" w:hAnsi="宋体" w:eastAsia="宋体" w:cs="宋体"/>
          <w:b/>
          <w:bCs/>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标志的部分为投标人、投标拟供服务必备的条件或重要指示），那么投标人的投标文件将有可能被拒绝接收或评审为无效投标文件</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p>
    <w:p>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（1）“招标人”指东莞市水务集团有限公司；</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）“招标代理机构”指建成工程咨询股份有限公司；</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）“投标人”指参加东莞市水务集团有限公司2024年度食堂食材采购项目所需的服务的投标，并向招标代理机构提交投标文件的当事人；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）“中标人”指其投标被招标人接受，并与招标人及招标人权属子公司、招标人权属子公司的分公司签订合同的当事人；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）“甲方”指在合同条款中指明的购买服务的单位，即东莞市水务集团有限公司、</w:t>
      </w:r>
      <w:r>
        <w:rPr>
          <w:rFonts w:hint="eastAsia" w:ascii="宋体" w:hAnsi="宋体" w:eastAsia="宋体" w:cs="宋体"/>
          <w:color w:val="000000" w:themeColor="text1"/>
          <w:szCs w:val="21"/>
          <w:highlight w:val="none"/>
          <w14:textFill>
            <w14:solidFill>
              <w14:schemeClr w14:val="tx1"/>
            </w14:solidFill>
          </w14:textFill>
        </w:rPr>
        <w:t>东莞市水务集团实业发展有限公司、东莞市水务集团科技发展有限公司、东莞市水务集团供水有限公司长安分公司</w:t>
      </w:r>
      <w:r>
        <w:rPr>
          <w:rFonts w:hint="eastAsia" w:ascii="宋体" w:hAnsi="宋体" w:eastAsia="宋体" w:cs="Times New Roman"/>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7</w:t>
      </w:r>
      <w:r>
        <w:rPr>
          <w:rFonts w:hint="eastAsia" w:ascii="宋体" w:hAnsi="宋体" w:eastAsia="宋体" w:cs="Times New Roman"/>
          <w:color w:val="000000" w:themeColor="text1"/>
          <w:kern w:val="0"/>
          <w:szCs w:val="21"/>
          <w:highlight w:val="none"/>
          <w14:textFill>
            <w14:solidFill>
              <w14:schemeClr w14:val="tx1"/>
            </w14:solidFill>
          </w14:textFill>
        </w:rPr>
        <w:t>）“乙方”指在合同条款中指明的本合同项下提供服务的公司或实体；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）“招标文件”指由招标代理机构发出的本招标文件，包括全部章节和附件；</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9</w:t>
      </w:r>
      <w:r>
        <w:rPr>
          <w:rFonts w:hint="eastAsia" w:ascii="宋体" w:hAnsi="宋体" w:eastAsia="宋体" w:cs="Times New Roman"/>
          <w:color w:val="000000" w:themeColor="text1"/>
          <w:kern w:val="0"/>
          <w:szCs w:val="21"/>
          <w:highlight w:val="none"/>
          <w14:textFill>
            <w14:solidFill>
              <w14:schemeClr w14:val="tx1"/>
            </w14:solidFill>
          </w14:textFill>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10</w:t>
      </w:r>
      <w:r>
        <w:rPr>
          <w:rFonts w:hint="eastAsia" w:ascii="宋体" w:hAnsi="宋体" w:eastAsia="宋体" w:cs="Times New Roman"/>
          <w:color w:val="000000" w:themeColor="text1"/>
          <w:kern w:val="0"/>
          <w:szCs w:val="21"/>
          <w:highlight w:val="none"/>
          <w14:textFill>
            <w14:solidFill>
              <w14:schemeClr w14:val="tx1"/>
            </w14:solidFill>
          </w14:textFill>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11</w:t>
      </w:r>
      <w:r>
        <w:rPr>
          <w:rFonts w:hint="eastAsia" w:ascii="宋体" w:hAnsi="宋体" w:eastAsia="宋体" w:cs="Times New Roman"/>
          <w:color w:val="000000" w:themeColor="text1"/>
          <w:kern w:val="0"/>
          <w:szCs w:val="21"/>
          <w:highlight w:val="none"/>
          <w14:textFill>
            <w14:solidFill>
              <w14:schemeClr w14:val="tx1"/>
            </w14:solidFill>
          </w14:textFill>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12</w:t>
      </w:r>
      <w:r>
        <w:rPr>
          <w:rFonts w:hint="eastAsia" w:ascii="宋体" w:hAnsi="宋体" w:eastAsia="宋体" w:cs="Times New Roman"/>
          <w:color w:val="000000" w:themeColor="text1"/>
          <w:kern w:val="0"/>
          <w:szCs w:val="21"/>
          <w:highlight w:val="none"/>
          <w14:textFill>
            <w14:solidFill>
              <w14:schemeClr w14:val="tx1"/>
            </w14:solidFill>
          </w14:textFill>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13</w:t>
      </w:r>
      <w:r>
        <w:rPr>
          <w:rFonts w:hint="eastAsia" w:ascii="宋体" w:hAnsi="宋体" w:eastAsia="宋体" w:cs="Times New Roman"/>
          <w:color w:val="000000" w:themeColor="text1"/>
          <w:kern w:val="0"/>
          <w:szCs w:val="21"/>
          <w:highlight w:val="none"/>
          <w14:textFill>
            <w14:solidFill>
              <w14:schemeClr w14:val="tx1"/>
            </w14:solidFill>
          </w14:textFill>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14</w:t>
      </w:r>
      <w:r>
        <w:rPr>
          <w:rFonts w:hint="eastAsia" w:ascii="宋体" w:hAnsi="宋体" w:eastAsia="宋体" w:cs="Times New Roman"/>
          <w:color w:val="000000" w:themeColor="text1"/>
          <w:kern w:val="0"/>
          <w:szCs w:val="21"/>
          <w:highlight w:val="none"/>
          <w14:textFill>
            <w14:solidFill>
              <w14:schemeClr w14:val="tx1"/>
            </w14:solidFill>
          </w14:textFill>
        </w:rPr>
        <w:t>）含税价，即为《中华人民共和国增值税暂行条例》（国务院令第6</w:t>
      </w:r>
      <w:r>
        <w:rPr>
          <w:rFonts w:ascii="宋体" w:hAnsi="宋体" w:eastAsia="宋体" w:cs="Times New Roman"/>
          <w:color w:val="000000" w:themeColor="text1"/>
          <w:kern w:val="0"/>
          <w:szCs w:val="21"/>
          <w:highlight w:val="none"/>
          <w14:textFill>
            <w14:solidFill>
              <w14:schemeClr w14:val="tx1"/>
            </w14:solidFill>
          </w14:textFill>
        </w:rPr>
        <w:t>91</w:t>
      </w:r>
      <w:r>
        <w:rPr>
          <w:rFonts w:hint="eastAsia" w:ascii="宋体" w:hAnsi="宋体" w:eastAsia="宋体" w:cs="Times New Roman"/>
          <w:color w:val="000000" w:themeColor="text1"/>
          <w:kern w:val="0"/>
          <w:szCs w:val="21"/>
          <w:highlight w:val="none"/>
          <w14:textFill>
            <w14:solidFill>
              <w14:schemeClr w14:val="tx1"/>
            </w14:solidFill>
          </w14:textFill>
        </w:rPr>
        <w:t>号修订版）规定的销售额及销项税之和。本招标文件所称的含税价和含税合同价是指含本采购项目投标人的销项税额，包含了投标人完成合同义务（含投标人代缴代扣、分包及委外服务、施工、采购货物等所产生的价税）的其他全部费用。</w:t>
      </w:r>
    </w:p>
    <w:p>
      <w:pPr>
        <w:autoSpaceDE w:val="0"/>
        <w:autoSpaceDN w:val="0"/>
        <w:adjustRightInd w:val="0"/>
        <w:spacing w:line="360" w:lineRule="auto"/>
        <w:ind w:left="951" w:leftChars="78" w:hanging="787" w:hangingChars="375"/>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84" w:name="_Toc161843149"/>
      <w:bookmarkStart w:id="85" w:name="_Toc11346"/>
      <w:bookmarkStart w:id="86" w:name="_Toc3727"/>
      <w:bookmarkStart w:id="87" w:name="_Toc486167669"/>
      <w:bookmarkStart w:id="88" w:name="_Toc142508319"/>
      <w:bookmarkStart w:id="89" w:name="_Toc29125_WPSOffice_Level3"/>
      <w:bookmarkStart w:id="90" w:name="_Toc450662855"/>
      <w:r>
        <w:rPr>
          <w:rFonts w:hint="eastAsia" w:ascii="宋体" w:hAnsi="宋体" w:eastAsia="宋体" w:cs="宋体"/>
          <w:color w:val="000000" w:themeColor="text1"/>
          <w:szCs w:val="21"/>
          <w:highlight w:val="none"/>
          <w:lang w:val="zh-CN"/>
          <w14:textFill>
            <w14:solidFill>
              <w14:schemeClr w14:val="tx1"/>
            </w14:solidFill>
          </w14:textFill>
        </w:rPr>
        <w:t>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招标文件的异议</w:t>
      </w:r>
      <w:bookmarkEnd w:id="84"/>
      <w:bookmarkEnd w:id="85"/>
      <w:bookmarkEnd w:id="86"/>
      <w:bookmarkEnd w:id="87"/>
      <w:bookmarkEnd w:id="88"/>
      <w:bookmarkEnd w:id="89"/>
      <w:bookmarkEnd w:id="90"/>
    </w:p>
    <w:p>
      <w:pPr>
        <w:autoSpaceDE w:val="0"/>
        <w:autoSpaceDN w:val="0"/>
        <w:adjustRightInd w:val="0"/>
        <w:spacing w:line="360" w:lineRule="auto"/>
        <w:ind w:left="288" w:leftChars="137" w:firstLine="420" w:firstLineChars="20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lang w:val="zh-CN"/>
          <w14:textFill>
            <w14:solidFill>
              <w14:schemeClr w14:val="tx1"/>
            </w14:solidFill>
          </w14:textFill>
        </w:rPr>
        <w:t>投标人或者其他利害关系人对招标文件有异议的，应当在投标截止时间10日前</w:t>
      </w:r>
      <w:r>
        <w:rPr>
          <w:rFonts w:ascii="宋体" w:hAnsi="宋体" w:eastAsia="宋体" w:cs="Times New Roman"/>
          <w:color w:val="000000" w:themeColor="text1"/>
          <w:szCs w:val="21"/>
          <w:highlight w:val="none"/>
          <w:lang w:val="zh-CN"/>
          <w14:textFill>
            <w14:solidFill>
              <w14:schemeClr w14:val="tx1"/>
            </w14:solidFill>
          </w14:textFill>
        </w:rPr>
        <w:t>以书面形式向</w:t>
      </w:r>
      <w:r>
        <w:rPr>
          <w:rFonts w:hint="eastAsia" w:ascii="宋体" w:hAnsi="宋体" w:eastAsia="宋体" w:cs="Times New Roman"/>
          <w:color w:val="000000" w:themeColor="text1"/>
          <w:szCs w:val="21"/>
          <w:highlight w:val="none"/>
          <w:lang w:val="zh-CN"/>
          <w14:textFill>
            <w14:solidFill>
              <w14:schemeClr w14:val="tx1"/>
            </w14:solidFill>
          </w14:textFill>
        </w:rPr>
        <w:t>招标代理机构</w:t>
      </w:r>
      <w:r>
        <w:rPr>
          <w:rFonts w:ascii="宋体" w:hAnsi="宋体" w:eastAsia="宋体" w:cs="Times New Roman"/>
          <w:color w:val="000000" w:themeColor="text1"/>
          <w:szCs w:val="21"/>
          <w:highlight w:val="none"/>
          <w:lang w:val="zh-CN"/>
          <w14:textFill>
            <w14:solidFill>
              <w14:schemeClr w14:val="tx1"/>
            </w14:solidFill>
          </w14:textFill>
        </w:rPr>
        <w:t>提出</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w:t>
      </w:r>
      <w:r>
        <w:rPr>
          <w:rFonts w:ascii="宋体" w:hAnsi="宋体" w:eastAsia="宋体" w:cs="Times New Roman"/>
          <w:color w:val="000000" w:themeColor="text1"/>
          <w:szCs w:val="21"/>
          <w:highlight w:val="none"/>
          <w:lang w:val="zh-CN"/>
          <w14:textFill>
            <w14:solidFill>
              <w14:schemeClr w14:val="tx1"/>
            </w14:solidFill>
          </w14:textFill>
        </w:rPr>
        <w:t>招标文件所有内容</w:t>
      </w:r>
      <w:r>
        <w:rPr>
          <w:rFonts w:hint="eastAsia" w:ascii="宋体" w:hAnsi="宋体" w:eastAsia="宋体" w:cs="Times New Roman"/>
          <w:color w:val="000000" w:themeColor="text1"/>
          <w:szCs w:val="21"/>
          <w:highlight w:val="none"/>
          <w:lang w:val="zh-CN"/>
          <w14:textFill>
            <w14:solidFill>
              <w14:schemeClr w14:val="tx1"/>
            </w14:solidFill>
          </w14:textFill>
        </w:rPr>
        <w:t>无异议</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异议</w:t>
      </w:r>
      <w:r>
        <w:rPr>
          <w:rFonts w:hint="eastAsia" w:ascii="宋体" w:hAnsi="宋体" w:eastAsia="宋体" w:cs="Times New Roman"/>
          <w:color w:val="000000" w:themeColor="text1"/>
          <w:szCs w:val="21"/>
          <w:highlight w:val="none"/>
          <w:lang w:val="zh-CN"/>
          <w14:textFill>
            <w14:solidFill>
              <w14:schemeClr w14:val="tx1"/>
            </w14:solidFill>
          </w14:textFill>
        </w:rPr>
        <w:t>书面材料必须</w:t>
      </w:r>
      <w:r>
        <w:rPr>
          <w:rFonts w:ascii="宋体" w:hAnsi="宋体" w:eastAsia="宋体" w:cs="Times New Roman"/>
          <w:color w:val="000000" w:themeColor="text1"/>
          <w:szCs w:val="21"/>
          <w:highlight w:val="none"/>
          <w:lang w:val="zh-CN"/>
          <w14:textFill>
            <w14:solidFill>
              <w14:schemeClr w14:val="tx1"/>
            </w14:solidFill>
          </w14:textFill>
        </w:rPr>
        <w:t>加盖投标人</w:t>
      </w:r>
      <w:r>
        <w:rPr>
          <w:rFonts w:hint="eastAsia" w:ascii="宋体" w:hAnsi="宋体" w:eastAsia="宋体" w:cs="Times New Roman"/>
          <w:color w:val="000000" w:themeColor="text1"/>
          <w:szCs w:val="21"/>
          <w:highlight w:val="none"/>
          <w:lang w:val="zh-CN"/>
          <w14:textFill>
            <w14:solidFill>
              <w14:schemeClr w14:val="tx1"/>
            </w14:solidFill>
          </w14:textFill>
        </w:rPr>
        <w:t>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w:t>
      </w:r>
      <w:r>
        <w:rPr>
          <w:rFonts w:hint="eastAsia" w:ascii="宋体" w:hAnsi="宋体" w:eastAsia="宋体" w:cs="Times New Roman"/>
          <w:bCs/>
          <w:color w:val="000000" w:themeColor="text1"/>
          <w:szCs w:val="21"/>
          <w:highlight w:val="none"/>
          <w:lang w:val="zh-CN"/>
          <w14:textFill>
            <w14:solidFill>
              <w14:schemeClr w14:val="tx1"/>
            </w14:solidFill>
          </w14:textFill>
        </w:rPr>
        <w:t>超出</w:t>
      </w:r>
      <w:r>
        <w:rPr>
          <w:rFonts w:hint="eastAsia" w:ascii="宋体" w:hAnsi="宋体" w:eastAsia="宋体" w:cs="Times New Roman"/>
          <w:color w:val="000000" w:themeColor="text1"/>
          <w:szCs w:val="21"/>
          <w:highlight w:val="none"/>
          <w:lang w:val="zh-CN"/>
          <w14:textFill>
            <w14:solidFill>
              <w14:schemeClr w14:val="tx1"/>
            </w14:solidFill>
          </w14:textFill>
        </w:rPr>
        <w:t>提交接收异议截止时间而</w:t>
      </w:r>
      <w:r>
        <w:rPr>
          <w:rFonts w:hint="eastAsia" w:ascii="宋体" w:hAnsi="宋体" w:eastAsia="宋体" w:cs="Times New Roman"/>
          <w:bCs/>
          <w:color w:val="000000" w:themeColor="text1"/>
          <w:szCs w:val="21"/>
          <w:highlight w:val="none"/>
          <w:lang w:val="zh-CN"/>
          <w14:textFill>
            <w14:solidFill>
              <w14:schemeClr w14:val="tx1"/>
            </w14:solidFill>
          </w14:textFill>
        </w:rPr>
        <w:t>提出的任何疑问，招标代理机构可不予答复。</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投标人必须在投标文件中提供投标承诺书（格式详见第六篇投标文件格式）</w:t>
      </w:r>
      <w:r>
        <w:rPr>
          <w:rFonts w:hint="eastAsia" w:ascii="宋体" w:hAnsi="宋体" w:eastAsia="宋体" w:cs="宋体"/>
          <w:b/>
          <w:bCs/>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290" w:leftChars="137" w:hanging="2" w:hangingChars="1"/>
        <w:rPr>
          <w:rFonts w:ascii="宋体" w:hAnsi="宋体" w:eastAsia="宋体" w:cs="宋体"/>
          <w:b/>
          <w:bCs/>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91" w:name="_Toc450662856"/>
      <w:bookmarkStart w:id="92" w:name="_Toc486167670"/>
      <w:bookmarkStart w:id="93" w:name="_Toc17145"/>
      <w:bookmarkStart w:id="94" w:name="_Toc142508320"/>
      <w:bookmarkStart w:id="95" w:name="_Toc161843150"/>
      <w:bookmarkStart w:id="96" w:name="_Toc29864"/>
      <w:bookmarkStart w:id="97" w:name="_Toc23483_WPSOffice_Level3"/>
      <w:r>
        <w:rPr>
          <w:rFonts w:hint="eastAsia" w:ascii="宋体" w:hAnsi="宋体" w:eastAsia="宋体" w:cs="宋体"/>
          <w:color w:val="000000" w:themeColor="text1"/>
          <w:szCs w:val="21"/>
          <w:highlight w:val="none"/>
          <w:lang w:val="zh-CN"/>
          <w14:textFill>
            <w14:solidFill>
              <w14:schemeClr w14:val="tx1"/>
            </w14:solidFill>
          </w14:textFill>
        </w:rPr>
        <w:t>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招标文件的澄清及修改</w:t>
      </w:r>
      <w:bookmarkEnd w:id="91"/>
      <w:bookmarkEnd w:id="92"/>
      <w:bookmarkEnd w:id="93"/>
      <w:bookmarkEnd w:id="94"/>
      <w:bookmarkEnd w:id="95"/>
      <w:bookmarkEnd w:id="96"/>
      <w:bookmarkEnd w:id="97"/>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7.1  招标代理机构对已发出的招标文件进行必要澄清或者修改的，将在招标文件要求提交投标文件截止时间1</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日前，在招标信息发布媒介上发布更正公告，请各投标人密切留意。该澄清或者修改的内容为招标文件的组成部分。</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7.3  招标文件的修改、补充通知在</w:t>
      </w:r>
      <w:r>
        <w:rPr>
          <w:rFonts w:hint="eastAsia" w:ascii="宋体" w:hAnsi="宋体" w:eastAsia="宋体" w:cs="Times New Roman"/>
          <w:bCs/>
          <w:color w:val="000000" w:themeColor="text1"/>
          <w:szCs w:val="21"/>
          <w:highlight w:val="none"/>
          <w14:textFill>
            <w14:solidFill>
              <w14:schemeClr w14:val="tx1"/>
            </w14:solidFill>
          </w14:textFill>
        </w:rPr>
        <w:t>广东省公共资源交易平台（ygp.gdzwfw.gov.cn）、</w:t>
      </w:r>
      <w:r>
        <w:rPr>
          <w:rFonts w:ascii="宋体" w:hAnsi="宋体" w:eastAsia="宋体" w:cs="Times New Roman"/>
          <w:color w:val="000000" w:themeColor="text1"/>
          <w:szCs w:val="21"/>
          <w:highlight w:val="none"/>
          <w:lang w:val="zh-CN"/>
          <w14:textFill>
            <w14:solidFill>
              <w14:schemeClr w14:val="tx1"/>
            </w14:solidFill>
          </w14:textFill>
        </w:rPr>
        <w:t>中国招标投标公共服务平台</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"http://www.cebpubservice.com）、广东省招标投标监管" </w:instrText>
      </w:r>
      <w:r>
        <w:rPr>
          <w:color w:val="000000" w:themeColor="text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t>www.cebpubservice.com）</w:t>
      </w:r>
      <w:r>
        <w:rPr>
          <w:rFonts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fldChar w:fldCharType="end"/>
      </w:r>
      <w:r>
        <w:rPr>
          <w:rFonts w:ascii="宋体" w:hAnsi="宋体" w:eastAsia="宋体" w:cs="Times New Roman"/>
          <w:color w:val="000000" w:themeColor="text1"/>
          <w:szCs w:val="21"/>
          <w:highlight w:val="none"/>
          <w:lang w:val="zh-CN"/>
          <w14:textFill>
            <w14:solidFill>
              <w14:schemeClr w14:val="tx1"/>
            </w14:solidFill>
          </w14:textFill>
        </w:rPr>
        <w:t>东莞市水务集团有限公司网</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"file:///D:\\C盘转移文件\\东莞市水务集团有限公司2024年度食堂食材采购项目\\www.dgswjt.cn）、招标代理公司网站（http:\\%20%20%20%20%20%20%20%20%20%20%20%20%20%20）" </w:instrText>
      </w:r>
      <w:r>
        <w:rPr>
          <w:color w:val="000000" w:themeColor="text1"/>
          <w:highlight w:val="none"/>
          <w14:textFill>
            <w14:solidFill>
              <w14:schemeClr w14:val="tx1"/>
            </w14:solidFill>
          </w14:textFill>
        </w:rPr>
        <w:fldChar w:fldCharType="separate"/>
      </w:r>
      <w:r>
        <w:rPr>
          <w:rStyle w:val="43"/>
          <w:rFonts w:ascii="宋体" w:hAnsi="宋体" w:eastAsia="宋体" w:cs="Times New Roman"/>
          <w:color w:val="000000" w:themeColor="text1"/>
          <w:sz w:val="21"/>
          <w:szCs w:val="21"/>
          <w:highlight w:val="none"/>
          <w14:textFill>
            <w14:solidFill>
              <w14:schemeClr w14:val="tx1"/>
            </w14:solidFill>
          </w14:textFill>
        </w:rPr>
        <w:t>www.dgswjt.cn）</w:t>
      </w:r>
      <w:r>
        <w:rPr>
          <w:rStyle w:val="43"/>
          <w:rFonts w:ascii="宋体" w:hAnsi="宋体" w:eastAsia="宋体" w:cs="Times New Roman"/>
          <w:color w:val="000000" w:themeColor="text1"/>
          <w:sz w:val="21"/>
          <w:szCs w:val="21"/>
          <w:highlight w:val="none"/>
          <w:lang w:val="zh-CN"/>
          <w14:textFill>
            <w14:solidFill>
              <w14:schemeClr w14:val="tx1"/>
            </w14:solidFill>
          </w14:textFill>
        </w:rPr>
        <w:t>、</w:t>
      </w:r>
      <w:r>
        <w:rPr>
          <w:rStyle w:val="43"/>
          <w:rFonts w:hint="eastAsia" w:ascii="宋体" w:hAnsi="宋体" w:eastAsia="宋体" w:cs="Times New Roman"/>
          <w:bCs/>
          <w:color w:val="000000" w:themeColor="text1"/>
          <w:kern w:val="0"/>
          <w:sz w:val="21"/>
          <w:szCs w:val="21"/>
          <w:highlight w:val="none"/>
          <w14:textFill>
            <w14:solidFill>
              <w14:schemeClr w14:val="tx1"/>
            </w14:solidFill>
          </w14:textFill>
        </w:rPr>
        <w:t>招标代理机构网站（</w:t>
      </w:r>
      <w:r>
        <w:rPr>
          <w:rStyle w:val="43"/>
          <w:rFonts w:hint="eastAsia" w:ascii="宋体" w:hAnsi="宋体" w:eastAsia="宋体" w:cs="Times New Roman"/>
          <w:bCs/>
          <w:color w:val="000000" w:themeColor="text1"/>
          <w:kern w:val="0"/>
          <w:szCs w:val="21"/>
          <w:highlight w:val="none"/>
          <w14:textFill>
            <w14:solidFill>
              <w14:schemeClr w14:val="tx1"/>
            </w14:solidFill>
          </w14:textFill>
        </w:rPr>
        <w:t>www.gzjc.com.cn</w:t>
      </w:r>
      <w:r>
        <w:rPr>
          <w:rStyle w:val="43"/>
          <w:rFonts w:ascii="宋体" w:hAnsi="宋体" w:eastAsia="宋体" w:cs="Times New Roman"/>
          <w:bCs/>
          <w:color w:val="000000" w:themeColor="text1"/>
          <w:kern w:val="0"/>
          <w:sz w:val="21"/>
          <w:szCs w:val="21"/>
          <w:highlight w:val="none"/>
          <w14:textFill>
            <w14:solidFill>
              <w14:schemeClr w14:val="tx1"/>
            </w14:solidFill>
          </w14:textFill>
        </w:rPr>
        <w:t>）</w:t>
      </w:r>
      <w:r>
        <w:rPr>
          <w:rStyle w:val="43"/>
          <w:rFonts w:ascii="宋体" w:hAnsi="宋体" w:eastAsia="宋体" w:cs="Times New Roman"/>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公布，请各投标人密切留意。</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p>
    <w:p>
      <w:pPr>
        <w:keepNext/>
        <w:keepLines/>
        <w:tabs>
          <w:tab w:val="left" w:pos="509"/>
        </w:tabs>
        <w:autoSpaceDE w:val="0"/>
        <w:autoSpaceDN w:val="0"/>
        <w:adjustRightInd w:val="0"/>
        <w:spacing w:line="360" w:lineRule="auto"/>
        <w:ind w:left="247"/>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98" w:name="_Toc161843151"/>
      <w:bookmarkStart w:id="99" w:name="_Toc29659_WPSOffice_Level2"/>
      <w:bookmarkStart w:id="100" w:name="_Toc23342"/>
      <w:bookmarkStart w:id="101" w:name="_Toc142508321"/>
      <w:bookmarkStart w:id="102" w:name="_Toc140596880"/>
      <w:bookmarkStart w:id="103" w:name="_Toc486167671"/>
      <w:bookmarkStart w:id="104" w:name="_Toc8711"/>
      <w:bookmarkStart w:id="105" w:name="_Toc450662857"/>
      <w:r>
        <w:rPr>
          <w:rFonts w:hint="eastAsia" w:ascii="宋体" w:hAnsi="宋体" w:eastAsia="宋体" w:cs="宋体"/>
          <w:b/>
          <w:bCs/>
          <w:color w:val="000000" w:themeColor="text1"/>
          <w:kern w:val="44"/>
          <w:szCs w:val="21"/>
          <w:highlight w:val="none"/>
          <w:lang w:val="zh-CN"/>
          <w14:textFill>
            <w14:solidFill>
              <w14:schemeClr w14:val="tx1"/>
            </w14:solidFill>
          </w14:textFill>
        </w:rPr>
        <w:t>三、投标文件的编制</w:t>
      </w:r>
      <w:bookmarkEnd w:id="98"/>
      <w:bookmarkEnd w:id="99"/>
      <w:bookmarkEnd w:id="100"/>
      <w:bookmarkEnd w:id="101"/>
      <w:bookmarkEnd w:id="102"/>
      <w:bookmarkEnd w:id="103"/>
      <w:bookmarkEnd w:id="104"/>
      <w:bookmarkEnd w:id="105"/>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06" w:name="_Toc142508322"/>
      <w:bookmarkStart w:id="107" w:name="_Toc450662858"/>
      <w:bookmarkStart w:id="108" w:name="_Toc6244"/>
      <w:bookmarkStart w:id="109" w:name="_Toc31162"/>
      <w:bookmarkStart w:id="110" w:name="_Toc486167672"/>
      <w:bookmarkStart w:id="111" w:name="_Toc161843152"/>
      <w:bookmarkStart w:id="112" w:name="_Toc10015_WPSOffice_Level3"/>
      <w:r>
        <w:rPr>
          <w:rFonts w:hint="eastAsia" w:ascii="宋体" w:hAnsi="宋体" w:eastAsia="宋体" w:cs="宋体"/>
          <w:color w:val="000000" w:themeColor="text1"/>
          <w:szCs w:val="21"/>
          <w:highlight w:val="none"/>
          <w:lang w:val="zh-CN"/>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投标使用的文字及度量衡单位</w:t>
      </w:r>
      <w:bookmarkEnd w:id="106"/>
      <w:bookmarkEnd w:id="107"/>
      <w:bookmarkEnd w:id="108"/>
      <w:bookmarkEnd w:id="109"/>
      <w:bookmarkEnd w:id="110"/>
      <w:bookmarkEnd w:id="111"/>
      <w:bookmarkEnd w:id="112"/>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8.2  投标文件使用的度量衡单位采用中华人民共和国法定计量单位。</w:t>
      </w:r>
    </w:p>
    <w:p>
      <w:pPr>
        <w:autoSpaceDE w:val="0"/>
        <w:autoSpaceDN w:val="0"/>
        <w:adjustRightInd w:val="0"/>
        <w:spacing w:line="360" w:lineRule="auto"/>
        <w:ind w:left="247"/>
        <w:rPr>
          <w:rFonts w:ascii="宋体" w:hAnsi="宋体" w:eastAsia="宋体" w:cs="宋体"/>
          <w:color w:val="000000" w:themeColor="text1"/>
          <w:szCs w:val="21"/>
          <w:highlight w:val="none"/>
          <w:lang w:val="zh-CN"/>
          <w14:textFill>
            <w14:solidFill>
              <w14:schemeClr w14:val="tx1"/>
            </w14:solidFill>
          </w14:textFill>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000000" w:themeColor="text1"/>
          <w:sz w:val="24"/>
          <w:szCs w:val="24"/>
          <w:highlight w:val="none"/>
          <w:lang w:val="zh-CN"/>
          <w14:textFill>
            <w14:solidFill>
              <w14:schemeClr w14:val="tx1"/>
            </w14:solidFill>
          </w14:textFill>
        </w:rPr>
      </w:pPr>
      <w:bookmarkStart w:id="113" w:name="_Toc7348"/>
      <w:bookmarkStart w:id="114" w:name="_Toc24916_WPSOffice_Level3"/>
      <w:bookmarkStart w:id="115" w:name="_Toc450662859"/>
      <w:bookmarkStart w:id="116" w:name="_Toc486167673"/>
      <w:bookmarkStart w:id="117" w:name="_Toc14943"/>
      <w:bookmarkStart w:id="118" w:name="_Toc142508323"/>
      <w:bookmarkStart w:id="119" w:name="_Toc161843153"/>
      <w:r>
        <w:rPr>
          <w:rFonts w:hint="eastAsia" w:ascii="宋体" w:hAnsi="宋体" w:eastAsia="宋体" w:cs="宋体"/>
          <w:color w:val="000000" w:themeColor="text1"/>
          <w:szCs w:val="21"/>
          <w:highlight w:val="none"/>
          <w:lang w:val="zh-CN"/>
          <w14:textFill>
            <w14:solidFill>
              <w14:schemeClr w14:val="tx1"/>
            </w14:solidFill>
          </w14:textFill>
        </w:rPr>
        <w:t>9</w:t>
      </w:r>
      <w:r>
        <w:rPr>
          <w:rFonts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bookmarkEnd w:id="113"/>
      <w:bookmarkEnd w:id="114"/>
      <w:bookmarkEnd w:id="115"/>
      <w:bookmarkEnd w:id="116"/>
      <w:bookmarkEnd w:id="117"/>
      <w:bookmarkEnd w:id="118"/>
      <w:bookmarkEnd w:id="119"/>
    </w:p>
    <w:p>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9.1  </w:t>
      </w:r>
      <w:r>
        <w:rPr>
          <w:rFonts w:hint="eastAsia" w:ascii="宋体" w:hAnsi="宋体" w:eastAsia="宋体" w:cs="宋体"/>
          <w:color w:val="000000" w:themeColor="text1"/>
          <w:kern w:val="0"/>
          <w:szCs w:val="24"/>
          <w:highlight w:val="none"/>
          <w14:textFill>
            <w14:solidFill>
              <w14:schemeClr w14:val="tx1"/>
            </w14:solidFill>
          </w14:textFill>
        </w:rPr>
        <w:t>投标文件的组成：</w:t>
      </w:r>
      <w:r>
        <w:rPr>
          <w:rFonts w:hint="eastAsia" w:ascii="宋体" w:hAnsi="宋体" w:eastAsia="宋体" w:cs="Times New Roman"/>
          <w:b/>
          <w:color w:val="000000" w:themeColor="text1"/>
          <w:kern w:val="0"/>
          <w:szCs w:val="21"/>
          <w:highlight w:val="none"/>
          <w:u w:val="single"/>
          <w14:textFill>
            <w14:solidFill>
              <w14:schemeClr w14:val="tx1"/>
            </w14:solidFill>
          </w14:textFill>
        </w:rPr>
        <w:t>商务文件、技术文件由投标人根据各自文件的实际情况决定是否分册装订，招标文件不做限制</w:t>
      </w:r>
      <w:r>
        <w:rPr>
          <w:rFonts w:hint="eastAsia" w:ascii="宋体" w:hAnsi="宋体" w:eastAsia="宋体" w:cs="Times New Roman"/>
          <w:b/>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9.1.1 商务文件：</w:t>
      </w:r>
    </w:p>
    <w:p>
      <w:pPr>
        <w:autoSpaceDE w:val="0"/>
        <w:autoSpaceDN w:val="0"/>
        <w:adjustRightInd w:val="0"/>
        <w:spacing w:line="360" w:lineRule="auto"/>
        <w:ind w:left="247"/>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zh-CN"/>
          <w14:textFill>
            <w14:solidFill>
              <w14:schemeClr w14:val="tx1"/>
            </w14:solidFill>
          </w14:textFill>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（2）投标承诺书；</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）投标报价表；</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）投标人资格证明文件：</w:t>
      </w:r>
    </w:p>
    <w:p>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1）多证合一营业执照</w:t>
      </w:r>
      <w:r>
        <w:rPr>
          <w:rFonts w:hint="eastAsia" w:ascii="宋体" w:hAnsi="宋体" w:eastAsia="宋体" w:cs="Times New Roman"/>
          <w:color w:val="000000" w:themeColor="text1"/>
          <w:kern w:val="0"/>
          <w:szCs w:val="21"/>
          <w:highlight w:val="none"/>
          <w14:textFill>
            <w14:solidFill>
              <w14:schemeClr w14:val="tx1"/>
            </w14:solidFill>
          </w14:textFill>
        </w:rPr>
        <w:t>（或事业单位法人证书）</w:t>
      </w:r>
      <w:r>
        <w:rPr>
          <w:rFonts w:ascii="宋体" w:hAnsi="宋体" w:eastAsia="宋体" w:cs="Times New Roman"/>
          <w:color w:val="000000" w:themeColor="text1"/>
          <w:szCs w:val="21"/>
          <w:highlight w:val="none"/>
          <w:lang w:val="zh-CN"/>
          <w14:textFill>
            <w14:solidFill>
              <w14:schemeClr w14:val="tx1"/>
            </w14:solidFill>
          </w14:textFill>
        </w:rPr>
        <w:t>复印件；</w:t>
      </w:r>
    </w:p>
    <w:p>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lang w:val="zh-CN"/>
          <w14:textFill>
            <w14:solidFill>
              <w14:schemeClr w14:val="tx1"/>
            </w14:solidFill>
          </w14:textFill>
        </w:rPr>
        <w:t>）法定代表人身份证明书和法定代表人授权书原件（法定代表人投标时只提供法定代表人身份证明书，委托</w:t>
      </w:r>
      <w:r>
        <w:rPr>
          <w:rFonts w:ascii="宋体" w:hAnsi="宋体" w:eastAsia="宋体" w:cs="Times New Roman"/>
          <w:color w:val="000000" w:themeColor="text1"/>
          <w:szCs w:val="21"/>
          <w:highlight w:val="none"/>
          <w14:textFill>
            <w14:solidFill>
              <w14:schemeClr w14:val="tx1"/>
            </w14:solidFill>
          </w14:textFill>
        </w:rPr>
        <w:t>他人</w:t>
      </w:r>
      <w:r>
        <w:rPr>
          <w:rFonts w:ascii="宋体" w:hAnsi="宋体" w:eastAsia="宋体" w:cs="Times New Roman"/>
          <w:color w:val="000000" w:themeColor="text1"/>
          <w:szCs w:val="21"/>
          <w:highlight w:val="none"/>
          <w:lang w:val="zh-CN"/>
          <w14:textFill>
            <w14:solidFill>
              <w14:schemeClr w14:val="tx1"/>
            </w14:solidFill>
          </w14:textFill>
        </w:rPr>
        <w:t>为投标代表时同时提供法定代表人授权书）；</w:t>
      </w:r>
    </w:p>
    <w:p>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lang w:val="zh-CN"/>
          <w14:textFill>
            <w14:solidFill>
              <w14:schemeClr w14:val="tx1"/>
            </w14:solidFill>
          </w14:textFill>
        </w:rPr>
        <w:t>）食品药品监督管理部门或市场监督管理部门颁发并在有效期内的食品经营许可证</w:t>
      </w:r>
      <w:r>
        <w:rPr>
          <w:rFonts w:ascii="宋体" w:hAnsi="宋体" w:eastAsia="宋体" w:cs="Times New Roman"/>
          <w:color w:val="000000" w:themeColor="text1"/>
          <w:szCs w:val="21"/>
          <w:highlight w:val="none"/>
          <w:lang w:val="zh-CN"/>
          <w14:textFill>
            <w14:solidFill>
              <w14:schemeClr w14:val="tx1"/>
            </w14:solidFill>
          </w14:textFill>
        </w:rPr>
        <w:t>复印件</w:t>
      </w:r>
      <w:r>
        <w:rPr>
          <w:rFonts w:hint="eastAsia" w:ascii="宋体" w:hAnsi="宋体" w:eastAsia="宋体" w:cs="Times New Roman"/>
          <w:color w:val="000000" w:themeColor="text1"/>
          <w:szCs w:val="21"/>
          <w:highlight w:val="none"/>
          <w:lang w:val="zh-CN"/>
          <w14:textFill>
            <w14:solidFill>
              <w14:schemeClr w14:val="tx1"/>
            </w14:solidFill>
          </w14:textFill>
        </w:rPr>
        <w:t>；</w:t>
      </w:r>
    </w:p>
    <w:p>
      <w:pPr>
        <w:tabs>
          <w:tab w:val="left" w:pos="1276"/>
        </w:tabs>
        <w:spacing w:line="360" w:lineRule="auto"/>
        <w:ind w:left="283" w:hanging="283" w:hangingChars="13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资格业绩</w:t>
      </w:r>
      <w:r>
        <w:rPr>
          <w:rFonts w:hint="eastAsia" w:ascii="宋体" w:hAnsi="宋体" w:eastAsia="宋体"/>
          <w:color w:val="000000" w:themeColor="text1"/>
          <w:szCs w:val="21"/>
          <w:highlight w:val="none"/>
          <w:lang w:val="zh-CN"/>
          <w14:textFill>
            <w14:solidFill>
              <w14:schemeClr w14:val="tx1"/>
            </w14:solidFill>
          </w14:textFill>
        </w:rPr>
        <w:t>【投标人提供一份2021年1月1日以来已完成或正在服务的饭堂、食堂食品或者食材供应链配送服务项目业绩（合同签订日期为2021年1月1日或以后）（服务内容必须为食品或者食材配送服务）</w:t>
      </w:r>
      <w:r>
        <w:rPr>
          <w:rFonts w:hint="eastAsia" w:ascii="宋体" w:hAnsi="宋体" w:eastAsia="宋体"/>
          <w:color w:val="000000" w:themeColor="text1"/>
          <w:szCs w:val="21"/>
          <w:highlight w:val="none"/>
          <w14:textFill>
            <w14:solidFill>
              <w14:schemeClr w14:val="tx1"/>
            </w14:solidFill>
          </w14:textFill>
        </w:rPr>
        <w:t>，资格业绩证明材料提交要求详见招标文件第六篇投标文件格式5.5】；</w:t>
      </w:r>
    </w:p>
    <w:p>
      <w:pPr>
        <w:autoSpaceDE w:val="0"/>
        <w:autoSpaceDN w:val="0"/>
        <w:adjustRightInd w:val="0"/>
        <w:spacing w:line="360" w:lineRule="auto"/>
        <w:ind w:left="913" w:hanging="913" w:hangingChars="43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最近3年投标人牵涉的其他（失信和违法）</w:t>
      </w:r>
      <w:r>
        <w:rPr>
          <w:rFonts w:hint="eastAsia" w:ascii="宋体" w:hAnsi="宋体" w:eastAsia="宋体" w:cs="宋体"/>
          <w:color w:val="000000" w:themeColor="text1"/>
          <w:kern w:val="0"/>
          <w:szCs w:val="21"/>
          <w:highlight w:val="none"/>
          <w14:textFill>
            <w14:solidFill>
              <w14:schemeClr w14:val="tx1"/>
            </w14:solidFill>
          </w14:textFill>
        </w:rPr>
        <w:t>处罚说明</w:t>
      </w:r>
      <w:r>
        <w:rPr>
          <w:rFonts w:hint="eastAsia" w:ascii="宋体" w:hAnsi="宋体" w:eastAsia="宋体" w:cs="宋体"/>
          <w:color w:val="000000" w:themeColor="text1"/>
          <w:szCs w:val="21"/>
          <w:highlight w:val="none"/>
          <w:lang w:val="zh-CN"/>
          <w14:textFill>
            <w14:solidFill>
              <w14:schemeClr w14:val="tx1"/>
            </w14:solidFill>
          </w14:textFill>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lang w:val="zh-CN"/>
          <w14:textFill>
            <w14:solidFill>
              <w14:schemeClr w14:val="tx1"/>
            </w14:solidFill>
          </w14:textFill>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）业绩表；</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10</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拟投入本项目的配送场所面积</w:t>
      </w:r>
      <w:r>
        <w:rPr>
          <w:rFonts w:hint="eastAsia" w:ascii="宋体" w:hAnsi="宋体" w:eastAsia="宋体" w:cs="宋体"/>
          <w:color w:val="000000" w:themeColor="text1"/>
          <w:szCs w:val="21"/>
          <w:highlight w:val="none"/>
          <w:lang w:val="zh-CN"/>
          <w14:textFill>
            <w14:solidFill>
              <w14:schemeClr w14:val="tx1"/>
            </w14:solidFill>
          </w14:textFill>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）拟投入本项目的人员及车辆情况；</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）拟供应货品来源情况；</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（13）食品安全责任险；</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）投标保证金汇入情况说明；</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9.1.2 技术文件：</w:t>
      </w:r>
    </w:p>
    <w:p>
      <w:pPr>
        <w:autoSpaceDE w:val="0"/>
        <w:autoSpaceDN w:val="0"/>
        <w:adjustRightInd w:val="0"/>
        <w:spacing w:line="360" w:lineRule="auto"/>
        <w:ind w:left="247"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目录：</w:t>
      </w:r>
    </w:p>
    <w:p>
      <w:pPr>
        <w:numPr>
          <w:ilvl w:val="0"/>
          <w:numId w:val="1"/>
        </w:num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ascii="宋体" w:hAnsi="宋体" w:eastAsia="宋体" w:cs="宋体"/>
          <w:color w:val="000000" w:themeColor="text1"/>
          <w:kern w:val="0"/>
          <w:szCs w:val="21"/>
          <w:highlight w:val="none"/>
          <w:lang w:val="zh-CN"/>
          <w14:textFill>
            <w14:solidFill>
              <w14:schemeClr w14:val="tx1"/>
            </w14:solidFill>
          </w14:textFill>
        </w:rPr>
        <w:t>用户需求响应程度（即用户需求偏离表格式）；</w:t>
      </w:r>
    </w:p>
    <w:p>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购买食品安全责任险承诺书；</w:t>
      </w:r>
    </w:p>
    <w:p>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zh-CN"/>
          <w14:textFill>
            <w14:solidFill>
              <w14:schemeClr w14:val="tx1"/>
            </w14:solidFill>
          </w14:textFill>
        </w:rPr>
        <w:t>）总体实施方案；</w:t>
      </w:r>
    </w:p>
    <w:p>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val="zh-CN"/>
          <w14:textFill>
            <w14:solidFill>
              <w14:schemeClr w14:val="tx1"/>
            </w14:solidFill>
          </w14:textFill>
        </w:rPr>
        <w:t>）食品安全管理；</w:t>
      </w:r>
    </w:p>
    <w:p>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）应急处理方案；</w:t>
      </w:r>
    </w:p>
    <w:p>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6</w:t>
      </w:r>
      <w:r>
        <w:rPr>
          <w:rFonts w:hint="eastAsia" w:ascii="宋体" w:hAnsi="宋体" w:eastAsia="宋体" w:cs="宋体"/>
          <w:color w:val="000000" w:themeColor="text1"/>
          <w:kern w:val="0"/>
          <w:szCs w:val="21"/>
          <w:highlight w:val="none"/>
          <w:lang w:val="zh-CN"/>
          <w14:textFill>
            <w14:solidFill>
              <w14:schemeClr w14:val="tx1"/>
            </w14:solidFill>
          </w14:textFill>
        </w:rPr>
        <w:t>）投标人认为有必要提供的其它材料（不做强制要求）。</w:t>
      </w:r>
    </w:p>
    <w:p>
      <w:pPr>
        <w:autoSpaceDE w:val="0"/>
        <w:autoSpaceDN w:val="0"/>
        <w:adjustRightInd w:val="0"/>
        <w:spacing w:line="360" w:lineRule="auto"/>
        <w:ind w:left="422" w:leftChars="-100" w:hanging="632" w:hangingChars="3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9.1.3 </w:t>
      </w:r>
      <w:r>
        <w:rPr>
          <w:rFonts w:hint="eastAsia" w:ascii="宋体" w:hAnsi="宋体" w:eastAsia="宋体" w:cs="宋体"/>
          <w:b/>
          <w:bCs/>
          <w:color w:val="000000" w:themeColor="text1"/>
          <w:kern w:val="0"/>
          <w:szCs w:val="21"/>
          <w:highlight w:val="none"/>
          <w:lang w:val="zh-CN"/>
          <w14:textFill>
            <w14:solidFill>
              <w14:schemeClr w14:val="tx1"/>
            </w14:solidFill>
          </w14:textFill>
        </w:rPr>
        <w:t>投标文件电子文件</w:t>
      </w:r>
      <w:r>
        <w:rPr>
          <w:rFonts w:hint="eastAsia" w:ascii="宋体" w:hAnsi="宋体" w:eastAsia="宋体" w:cs="宋体"/>
          <w:color w:val="000000" w:themeColor="text1"/>
          <w:kern w:val="0"/>
          <w:szCs w:val="21"/>
          <w:highlight w:val="none"/>
          <w:lang w:val="zh-CN"/>
          <w14:textFill>
            <w14:solidFill>
              <w14:schemeClr w14:val="tx1"/>
            </w14:solidFill>
          </w14:textFill>
        </w:rPr>
        <w:t>（详细要求见本篇第17.</w:t>
      </w:r>
      <w:r>
        <w:rPr>
          <w:rFonts w:ascii="宋体" w:hAnsi="宋体" w:eastAsia="宋体" w:cs="宋体"/>
          <w:color w:val="000000" w:themeColor="text1"/>
          <w:kern w:val="0"/>
          <w:szCs w:val="21"/>
          <w:highlight w:val="none"/>
          <w:lang w:val="zh-CN"/>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款）</w:t>
      </w:r>
    </w:p>
    <w:p>
      <w:pPr>
        <w:autoSpaceDE w:val="0"/>
        <w:autoSpaceDN w:val="0"/>
        <w:adjustRightInd w:val="0"/>
        <w:spacing w:line="360" w:lineRule="auto"/>
        <w:ind w:left="35" w:leftChars="-118" w:hanging="283" w:hangingChars="135"/>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9.1.4 唱标信封（单独密封）</w:t>
      </w:r>
    </w:p>
    <w:p>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（1）投标报价表；</w:t>
      </w:r>
    </w:p>
    <w:p>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9.3  </w:t>
      </w:r>
      <w:r>
        <w:rPr>
          <w:rFonts w:hint="eastAsia" w:ascii="宋体" w:hAnsi="宋体" w:eastAsia="宋体" w:cs="宋体"/>
          <w:b/>
          <w:color w:val="000000" w:themeColor="text1"/>
          <w:szCs w:val="21"/>
          <w:highlight w:val="none"/>
          <w:u w:val="single"/>
          <w:lang w:val="zh-CN"/>
          <w14:textFill>
            <w14:solidFill>
              <w14:schemeClr w14:val="tx1"/>
            </w14:solidFill>
          </w14:textFill>
        </w:rPr>
        <w:t>投标文件中相关证件、证书、合同、</w:t>
      </w:r>
      <w:r>
        <w:rPr>
          <w:rFonts w:hint="eastAsia" w:ascii="宋体" w:hAnsi="宋体" w:eastAsia="宋体" w:cs="Times New Roman"/>
          <w:b/>
          <w:color w:val="000000" w:themeColor="text1"/>
          <w:szCs w:val="21"/>
          <w:highlight w:val="none"/>
          <w:u w:val="single"/>
          <w:lang w:val="zh-CN"/>
          <w14:textFill>
            <w14:solidFill>
              <w14:schemeClr w14:val="tx1"/>
            </w14:solidFill>
          </w14:textFill>
        </w:rPr>
        <w:t>发票、照片</w:t>
      </w:r>
      <w:r>
        <w:rPr>
          <w:rFonts w:hint="eastAsia" w:ascii="宋体" w:hAnsi="宋体" w:eastAsia="宋体" w:cs="宋体"/>
          <w:b/>
          <w:color w:val="000000" w:themeColor="text1"/>
          <w:szCs w:val="21"/>
          <w:highlight w:val="none"/>
          <w:u w:val="single"/>
          <w:lang w:val="zh-CN"/>
          <w14:textFill>
            <w14:solidFill>
              <w14:schemeClr w14:val="tx1"/>
            </w14:solidFill>
          </w14:textFill>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20" w:name="_Toc161843154"/>
      <w:bookmarkStart w:id="121" w:name="_Toc13214"/>
      <w:bookmarkStart w:id="122" w:name="_Toc450662860"/>
      <w:bookmarkStart w:id="123" w:name="_Toc11170"/>
      <w:bookmarkStart w:id="124" w:name="_Toc486167674"/>
      <w:bookmarkStart w:id="125" w:name="_Toc142508324"/>
      <w:bookmarkStart w:id="126" w:name="_Toc8675_WPSOffice_Level3"/>
      <w:r>
        <w:rPr>
          <w:rFonts w:hint="eastAsia" w:ascii="宋体" w:hAnsi="宋体" w:eastAsia="宋体" w:cs="宋体"/>
          <w:color w:val="000000" w:themeColor="text1"/>
          <w:szCs w:val="21"/>
          <w:highlight w:val="none"/>
          <w:lang w:val="zh-CN"/>
          <w14:textFill>
            <w14:solidFill>
              <w14:schemeClr w14:val="tx1"/>
            </w14:solidFill>
          </w14:textFill>
        </w:rPr>
        <w:t>10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投标函</w:t>
      </w:r>
      <w:bookmarkEnd w:id="120"/>
      <w:bookmarkEnd w:id="121"/>
      <w:bookmarkEnd w:id="122"/>
      <w:bookmarkEnd w:id="123"/>
      <w:bookmarkEnd w:id="124"/>
      <w:bookmarkEnd w:id="125"/>
      <w:bookmarkEnd w:id="126"/>
    </w:p>
    <w:p>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27" w:name="_Toc24311"/>
      <w:bookmarkStart w:id="128" w:name="_Toc486167675"/>
      <w:bookmarkStart w:id="129" w:name="_Toc161843155"/>
      <w:bookmarkStart w:id="130" w:name="_Toc15427"/>
      <w:bookmarkStart w:id="131" w:name="_Toc142508325"/>
      <w:bookmarkStart w:id="132" w:name="_Toc450662861"/>
      <w:bookmarkStart w:id="133" w:name="_Toc4385_WPSOffice_Level3"/>
      <w:r>
        <w:rPr>
          <w:rFonts w:hint="eastAsia" w:ascii="宋体" w:hAnsi="宋体" w:eastAsia="宋体" w:cs="宋体"/>
          <w:color w:val="000000" w:themeColor="text1"/>
          <w:szCs w:val="21"/>
          <w:highlight w:val="none"/>
          <w:lang w:val="zh-CN"/>
          <w14:textFill>
            <w14:solidFill>
              <w14:schemeClr w14:val="tx1"/>
            </w14:solidFill>
          </w14:textFill>
        </w:rPr>
        <w:t>11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w:t>
      </w:r>
      <w:bookmarkEnd w:id="127"/>
      <w:bookmarkEnd w:id="128"/>
      <w:bookmarkEnd w:id="129"/>
      <w:bookmarkEnd w:id="130"/>
      <w:bookmarkEnd w:id="131"/>
      <w:bookmarkEnd w:id="132"/>
      <w:bookmarkEnd w:id="133"/>
    </w:p>
    <w:p>
      <w:pPr>
        <w:tabs>
          <w:tab w:val="left" w:pos="567"/>
        </w:tabs>
        <w:autoSpaceDE w:val="0"/>
        <w:autoSpaceDN w:val="0"/>
        <w:adjustRightInd w:val="0"/>
        <w:spacing w:line="360" w:lineRule="auto"/>
        <w:ind w:left="357" w:leftChars="-100" w:hanging="567"/>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 xml:space="preserve">11.1 </w:t>
      </w:r>
      <w:r>
        <w:rPr>
          <w:rFonts w:hint="eastAsia" w:ascii="宋体" w:hAnsi="宋体" w:eastAsia="宋体" w:cs="Times New Roman"/>
          <w:b/>
          <w:color w:val="000000" w:themeColor="text1"/>
          <w:szCs w:val="21"/>
          <w:highlight w:val="none"/>
          <w:lang w:val="zh-CN"/>
          <w14:textFill>
            <w14:solidFill>
              <w14:schemeClr w14:val="tx1"/>
            </w14:solidFill>
          </w14:textFill>
        </w:rPr>
        <w:t>本项目不需要进行投标报价。</w:t>
      </w:r>
    </w:p>
    <w:p>
      <w:pPr>
        <w:autoSpaceDE w:val="0"/>
        <w:autoSpaceDN w:val="0"/>
        <w:adjustRightInd w:val="0"/>
        <w:spacing w:line="360" w:lineRule="auto"/>
        <w:ind w:left="357" w:leftChars="-100" w:hanging="567"/>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11.2 本项目采用以下方式确定供货价格（定价原则）：</w:t>
      </w:r>
    </w:p>
    <w:p>
      <w:pPr>
        <w:autoSpaceDE w:val="0"/>
        <w:autoSpaceDN w:val="0"/>
        <w:adjustRightInd w:val="0"/>
        <w:spacing w:line="360" w:lineRule="auto"/>
        <w:ind w:left="357" w:leftChars="-100" w:hanging="567"/>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（1）原则上以东莞市发展和改革局（http://dgdp.dg.gov.cn/jggl/spjg/，网址仅供参考，具体以东莞市发展和改革局官方网址发布的为准）“东莞市菜篮子价格监测表”当月份最新公布本期</w:t>
      </w:r>
      <w:r>
        <w:rPr>
          <w:rFonts w:hint="eastAsia" w:hAnsi="宋体" w:eastAsia="宋体" w:cs="宋体"/>
          <w:color w:val="000000" w:themeColor="text1"/>
          <w:szCs w:val="21"/>
          <w:highlight w:val="none"/>
          <w14:textFill>
            <w14:solidFill>
              <w14:schemeClr w14:val="tx1"/>
            </w14:solidFill>
          </w14:textFill>
        </w:rPr>
        <w:t>（指招标人或招标人权属子公司或招标人权属子公司的分公司审批之日的最新期次）价格</w:t>
      </w:r>
      <w:r>
        <w:rPr>
          <w:rFonts w:hint="eastAsia" w:ascii="宋体" w:hAnsi="宋体" w:eastAsia="宋体" w:cs="Times New Roman"/>
          <w:color w:val="000000" w:themeColor="text1"/>
          <w:szCs w:val="21"/>
          <w:highlight w:val="none"/>
          <w:lang w:val="zh-CN"/>
          <w14:textFill>
            <w14:solidFill>
              <w14:schemeClr w14:val="tx1"/>
            </w14:solidFill>
          </w14:textFill>
        </w:rPr>
        <w:t>作为基准价抽样审核；若东莞物价专栏无最近当月份公布或招标人或招标人权属子公司或招标人权属子公司的分公司所需的相同品种，则招标人或招标人权属子公司或招标人权属子公司的分公司将对本市区农副产品市场（莞城细村农贸市场或新光明市场或长安沙头综合市场）的市场零售价（与中标人供货产品等级、质量相近的产品零售价）进行抽样调查，核定相同品种的市场零售价格作基准价。</w:t>
      </w:r>
    </w:p>
    <w:p>
      <w:pPr>
        <w:autoSpaceDE w:val="0"/>
        <w:autoSpaceDN w:val="0"/>
        <w:adjustRightInd w:val="0"/>
        <w:spacing w:line="360" w:lineRule="auto"/>
        <w:ind w:left="357" w:leftChars="-100" w:hanging="567"/>
        <w:rPr>
          <w:color w:val="000000" w:themeColor="text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2）临时委托采购：中标人必须按照招标人或招标人权属子公司或招标人权属子公司的分公司急需餐料物资品种、数量、送货时间、地点等在2小时内进行供货，若急需餐料物资不在供货物资清单表上，该项临时需求食品材料纳入下次供货清单内，并按上述定价原则确定供货价。</w:t>
      </w:r>
    </w:p>
    <w:p>
      <w:pPr>
        <w:autoSpaceDE w:val="0"/>
        <w:autoSpaceDN w:val="0"/>
        <w:adjustRightInd w:val="0"/>
        <w:spacing w:line="360" w:lineRule="auto"/>
        <w:ind w:left="357" w:leftChars="-100" w:hanging="567"/>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11.3 定价周期：</w:t>
      </w:r>
    </w:p>
    <w:p>
      <w:pPr>
        <w:autoSpaceDE w:val="0"/>
        <w:autoSpaceDN w:val="0"/>
        <w:adjustRightInd w:val="0"/>
        <w:spacing w:line="360" w:lineRule="auto"/>
        <w:ind w:left="357" w:leftChars="-100" w:hanging="567"/>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（1） A类（粮油干货类）、 B类（肉类）、 C类（蔬果类、其他类项）价格每半月更新一次，中标人每月12日前提交下半月报价给招标人或招标人权属子公司或招标人权属子公司的分公司审核，每月25日前提交下个月上半月报价给招标人或招标人权属子公司或招标人权属子公司的分公司审核。</w:t>
      </w:r>
    </w:p>
    <w:p>
      <w:pPr>
        <w:autoSpaceDE w:val="0"/>
        <w:autoSpaceDN w:val="0"/>
        <w:adjustRightInd w:val="0"/>
        <w:spacing w:line="360" w:lineRule="auto"/>
        <w:ind w:left="357" w:leftChars="-100" w:hanging="567"/>
        <w:rPr>
          <w:rFonts w:eastAsia="宋体"/>
          <w:color w:val="000000" w:themeColor="text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2）所供货品规格、型号报价与实际配送的规格型号相符合。核定价格后若供货时期市场出现部分类型餐料价格大幅浮动，升降在30%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函复，若在此期限内不予函复则以新定价格执行，除此之外，双方约定的供货物资价格在有效期内任何一方不得随意更改。</w:t>
      </w:r>
    </w:p>
    <w:p>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 xml:space="preserve">本项目的价格为含税价，本招标文件所称的含税价是包含了投标人完成合同义务（含投标人代缴代扣、委外服务、采购服务或货物等所产生的价税）的其他全部费用。供货价格均包括但不限于以下内容涉及的费用： </w:t>
      </w:r>
    </w:p>
    <w:p>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（1）货物的采购费、运至合同指定地点的运输费、装卸费、检验费、储存费、合理利润、保险费、</w:t>
      </w:r>
      <w:r>
        <w:rPr>
          <w:rFonts w:hint="eastAsia" w:ascii="宋体" w:hAnsi="宋体" w:eastAsia="宋体" w:cs="宋体"/>
          <w:color w:val="000000" w:themeColor="text1"/>
          <w:kern w:val="0"/>
          <w:szCs w:val="21"/>
          <w:highlight w:val="none"/>
          <w14:textFill>
            <w14:solidFill>
              <w14:schemeClr w14:val="tx1"/>
            </w14:solidFill>
          </w14:textFill>
        </w:rPr>
        <w:t>中标服务费及招标文件所要求的相关服务等全过程产生的成本和费用以及税费</w:t>
      </w:r>
      <w:r>
        <w:rPr>
          <w:rFonts w:hint="eastAsia" w:ascii="宋体" w:hAnsi="宋体" w:eastAsia="宋体" w:cs="宋体"/>
          <w:color w:val="000000" w:themeColor="text1"/>
          <w:szCs w:val="21"/>
          <w:highlight w:val="none"/>
          <w:lang w:val="zh-CN"/>
          <w14:textFill>
            <w14:solidFill>
              <w14:schemeClr w14:val="tx1"/>
            </w14:solidFill>
          </w14:textFill>
        </w:rPr>
        <w:t>；</w:t>
      </w:r>
    </w:p>
    <w:p>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 xml:space="preserve">     </w:t>
      </w: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34" w:name="_Toc450662862"/>
      <w:bookmarkStart w:id="135" w:name="_Toc161843156"/>
      <w:bookmarkStart w:id="136" w:name="_Toc486167676"/>
      <w:bookmarkStart w:id="137" w:name="_Toc142508326"/>
      <w:bookmarkStart w:id="138" w:name="_Toc3469"/>
      <w:bookmarkStart w:id="139" w:name="_Toc30042_WPSOffice_Level3"/>
      <w:bookmarkStart w:id="140" w:name="_Toc20312"/>
      <w:r>
        <w:rPr>
          <w:rFonts w:hint="eastAsia" w:ascii="宋体" w:hAnsi="宋体" w:eastAsia="宋体" w:cs="宋体"/>
          <w:color w:val="000000" w:themeColor="text1"/>
          <w:szCs w:val="21"/>
          <w:highlight w:val="none"/>
          <w:lang w:val="zh-CN"/>
          <w14:textFill>
            <w14:solidFill>
              <w14:schemeClr w14:val="tx1"/>
            </w14:solidFill>
          </w14:textFill>
        </w:rPr>
        <w:t>12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投标报价货币</w:t>
      </w:r>
      <w:bookmarkEnd w:id="134"/>
      <w:bookmarkEnd w:id="135"/>
      <w:bookmarkEnd w:id="136"/>
      <w:bookmarkEnd w:id="137"/>
      <w:bookmarkEnd w:id="138"/>
      <w:bookmarkEnd w:id="139"/>
      <w:bookmarkEnd w:id="140"/>
    </w:p>
    <w:p>
      <w:pPr>
        <w:autoSpaceDE w:val="0"/>
        <w:autoSpaceDN w:val="0"/>
        <w:adjustRightInd w:val="0"/>
        <w:spacing w:line="360" w:lineRule="auto"/>
        <w:ind w:left="265" w:leftChars="119" w:hanging="15"/>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报价表上的价格须以人民币报价，以其</w:t>
      </w:r>
      <w:r>
        <w:rPr>
          <w:rFonts w:hint="eastAsia" w:ascii="宋体" w:hAnsi="宋体" w:eastAsia="宋体" w:cs="Times New Roman"/>
          <w:b/>
          <w:color w:val="000000" w:themeColor="text1"/>
          <w:szCs w:val="21"/>
          <w:highlight w:val="none"/>
          <w14:textFill>
            <w14:solidFill>
              <w14:schemeClr w14:val="tx1"/>
            </w14:solidFill>
          </w14:textFill>
        </w:rPr>
        <w:t>他</w:t>
      </w:r>
      <w:r>
        <w:rPr>
          <w:rFonts w:hint="eastAsia" w:ascii="宋体" w:hAnsi="宋体" w:eastAsia="宋体" w:cs="Times New Roman"/>
          <w:b/>
          <w:color w:val="000000" w:themeColor="text1"/>
          <w:szCs w:val="21"/>
          <w:highlight w:val="none"/>
          <w:lang w:val="zh-CN"/>
          <w14:textFill>
            <w14:solidFill>
              <w14:schemeClr w14:val="tx1"/>
            </w14:solidFill>
          </w14:textFill>
        </w:rPr>
        <w:t>货币标价的投标将予以拒绝</w:t>
      </w:r>
      <w:r>
        <w:rPr>
          <w:rFonts w:hint="eastAsia" w:ascii="宋体" w:hAnsi="宋体" w:eastAsia="宋体" w:cs="宋体"/>
          <w:b/>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265" w:leftChars="119" w:hanging="15"/>
        <w:rPr>
          <w:rFonts w:ascii="宋体" w:hAnsi="宋体" w:eastAsia="宋体" w:cs="宋体"/>
          <w:color w:val="000000" w:themeColor="text1"/>
          <w:szCs w:val="21"/>
          <w:highlight w:val="none"/>
          <w14:textFill>
            <w14:solidFill>
              <w14:schemeClr w14:val="tx1"/>
            </w14:solidFill>
          </w14:textFill>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41" w:name="_Toc9411_WPSOffice_Level3"/>
      <w:bookmarkStart w:id="142" w:name="_Toc486167677"/>
      <w:bookmarkStart w:id="143" w:name="_Toc142508327"/>
      <w:bookmarkStart w:id="144" w:name="_Toc450662863"/>
      <w:bookmarkStart w:id="145" w:name="_Toc20031"/>
      <w:bookmarkStart w:id="146" w:name="_Toc161843157"/>
      <w:bookmarkStart w:id="147" w:name="_Toc3961"/>
      <w:r>
        <w:rPr>
          <w:rFonts w:hint="eastAsia" w:ascii="宋体" w:hAnsi="宋体" w:eastAsia="宋体" w:cs="宋体"/>
          <w:color w:val="000000" w:themeColor="text1"/>
          <w:szCs w:val="21"/>
          <w:highlight w:val="none"/>
          <w:lang w:val="zh-CN"/>
          <w14:textFill>
            <w14:solidFill>
              <w14:schemeClr w14:val="tx1"/>
            </w14:solidFill>
          </w14:textFill>
        </w:rPr>
        <w:t>13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证明投标人的合格性和资格的声明文件</w:t>
      </w:r>
      <w:bookmarkEnd w:id="141"/>
      <w:bookmarkEnd w:id="142"/>
      <w:bookmarkEnd w:id="143"/>
      <w:bookmarkEnd w:id="144"/>
      <w:bookmarkEnd w:id="145"/>
      <w:bookmarkEnd w:id="146"/>
      <w:bookmarkEnd w:id="147"/>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vertAlign w:val="superscript"/>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（3）投标人证明其相应资格</w:t>
      </w:r>
      <w:r>
        <w:rPr>
          <w:rFonts w:hint="eastAsia" w:ascii="宋体" w:hAnsi="宋体" w:eastAsia="宋体" w:cs="Times New Roman"/>
          <w:color w:val="000000" w:themeColor="text1"/>
          <w:szCs w:val="21"/>
          <w:highlight w:val="none"/>
          <w:lang w:val="zh-CN"/>
          <w14:textFill>
            <w14:solidFill>
              <w14:schemeClr w14:val="tx1"/>
            </w14:solidFill>
          </w14:textFill>
        </w:rPr>
        <w:t>符合或</w:t>
      </w:r>
      <w:r>
        <w:rPr>
          <w:rFonts w:hint="eastAsia" w:ascii="宋体" w:hAnsi="宋体" w:eastAsia="宋体" w:cs="宋体"/>
          <w:color w:val="000000" w:themeColor="text1"/>
          <w:szCs w:val="21"/>
          <w:highlight w:val="none"/>
          <w:lang w:val="zh-CN"/>
          <w14:textFill>
            <w14:solidFill>
              <w14:schemeClr w14:val="tx1"/>
            </w14:solidFill>
          </w14:textFill>
        </w:rPr>
        <w:t>优于招标文件要求的其它文件。</w:t>
      </w:r>
    </w:p>
    <w:p>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560" w:leftChars="128" w:hanging="291" w:hangingChars="139"/>
        <w:rPr>
          <w:rFonts w:ascii="宋体" w:hAnsi="宋体" w:eastAsia="宋体" w:cs="宋体"/>
          <w:color w:val="000000" w:themeColor="text1"/>
          <w:szCs w:val="21"/>
          <w:highlight w:val="none"/>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48" w:name="_Toc8615"/>
      <w:bookmarkStart w:id="149" w:name="_Toc29754"/>
      <w:bookmarkStart w:id="150" w:name="_Toc142508328"/>
      <w:bookmarkStart w:id="151" w:name="_Toc27771_WPSOffice_Level3"/>
      <w:bookmarkStart w:id="152" w:name="_Toc486167678"/>
      <w:bookmarkStart w:id="153" w:name="_Toc161843158"/>
      <w:bookmarkStart w:id="154" w:name="_Toc450662864"/>
      <w:r>
        <w:rPr>
          <w:rFonts w:hint="eastAsia" w:ascii="宋体" w:hAnsi="宋体" w:eastAsia="宋体" w:cs="宋体"/>
          <w:color w:val="000000" w:themeColor="text1"/>
          <w:szCs w:val="21"/>
          <w:highlight w:val="none"/>
          <w:lang w:val="zh-CN"/>
          <w14:textFill>
            <w14:solidFill>
              <w14:schemeClr w14:val="tx1"/>
            </w14:solidFill>
          </w14:textFill>
        </w:rPr>
        <w:t>14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证明服务的合格性并符合招标文件规定的声明文件</w:t>
      </w:r>
      <w:bookmarkEnd w:id="148"/>
      <w:bookmarkEnd w:id="149"/>
      <w:bookmarkEnd w:id="150"/>
      <w:bookmarkEnd w:id="151"/>
      <w:bookmarkEnd w:id="152"/>
      <w:bookmarkEnd w:id="153"/>
      <w:bookmarkEnd w:id="154"/>
    </w:p>
    <w:p>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第9</w:t>
      </w:r>
      <w:r>
        <w:rPr>
          <w:rFonts w:hint="eastAsia" w:ascii="宋体" w:hAnsi="宋体" w:eastAsia="宋体" w:cs="宋体"/>
          <w:color w:val="000000" w:themeColor="text1"/>
          <w:szCs w:val="21"/>
          <w:highlight w:val="none"/>
          <w:lang w:val="zh-CN"/>
          <w14:textFill>
            <w14:solidFill>
              <w14:schemeClr w14:val="tx1"/>
            </w14:solidFill>
          </w14:textFill>
        </w:rPr>
        <w:t>条规定，投标人须提交证明其拟供</w:t>
      </w:r>
      <w:r>
        <w:rPr>
          <w:rFonts w:hint="eastAsia" w:ascii="宋体" w:hAnsi="宋体" w:eastAsia="宋体" w:cs="宋体"/>
          <w:color w:val="000000" w:themeColor="text1"/>
          <w:szCs w:val="21"/>
          <w:highlight w:val="none"/>
          <w14:textFill>
            <w14:solidFill>
              <w14:schemeClr w14:val="tx1"/>
            </w14:solidFill>
          </w14:textFill>
        </w:rPr>
        <w:t>服务</w:t>
      </w:r>
      <w:r>
        <w:rPr>
          <w:rFonts w:hint="eastAsia" w:ascii="宋体" w:hAnsi="宋体" w:eastAsia="宋体" w:cs="宋体"/>
          <w:color w:val="000000" w:themeColor="text1"/>
          <w:szCs w:val="21"/>
          <w:highlight w:val="none"/>
          <w:lang w:val="zh-CN"/>
          <w14:textFill>
            <w14:solidFill>
              <w14:schemeClr w14:val="tx1"/>
            </w14:solidFill>
          </w14:textFill>
        </w:rPr>
        <w:t>的合格性并符合招标文件规定的声明文件，作为投标文件的一部分。</w:t>
      </w:r>
    </w:p>
    <w:p>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14.2  证明</w:t>
      </w:r>
      <w:r>
        <w:rPr>
          <w:rFonts w:hint="eastAsia" w:ascii="宋体" w:hAnsi="宋体" w:eastAsia="宋体" w:cs="宋体"/>
          <w:color w:val="000000" w:themeColor="text1"/>
          <w:kern w:val="0"/>
          <w:szCs w:val="21"/>
          <w:highlight w:val="none"/>
          <w14:textFill>
            <w14:solidFill>
              <w14:schemeClr w14:val="tx1"/>
            </w14:solidFill>
          </w14:textFill>
        </w:rPr>
        <w:t>相关服务</w:t>
      </w:r>
      <w:r>
        <w:rPr>
          <w:rFonts w:hint="eastAsia" w:ascii="宋体" w:hAnsi="宋体" w:eastAsia="宋体" w:cs="宋体"/>
          <w:color w:val="000000" w:themeColor="text1"/>
          <w:szCs w:val="21"/>
          <w:highlight w:val="none"/>
          <w:lang w:val="zh-CN"/>
          <w14:textFill>
            <w14:solidFill>
              <w14:schemeClr w14:val="tx1"/>
            </w14:solidFill>
          </w14:textFill>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14.3 </w:t>
      </w:r>
      <w:r>
        <w:rPr>
          <w:rFonts w:hint="eastAsia" w:ascii="宋体" w:hAnsi="宋体" w:eastAsia="宋体" w:cs="宋体"/>
          <w:b/>
          <w:color w:val="000000" w:themeColor="text1"/>
          <w:szCs w:val="21"/>
          <w:highlight w:val="none"/>
          <w:lang w:val="zh-CN"/>
          <w14:textFill>
            <w14:solidFill>
              <w14:schemeClr w14:val="tx1"/>
            </w14:solidFill>
          </w14:textFill>
        </w:rPr>
        <w:t>为说明第14.2款的规定，投标人应注意本招标文件在《用户需求书》中对服务要求</w:t>
      </w:r>
      <w:r>
        <w:rPr>
          <w:rFonts w:hint="eastAsia" w:ascii="宋体" w:hAnsi="宋体" w:eastAsia="宋体" w:cs="宋体"/>
          <w:b/>
          <w:color w:val="000000" w:themeColor="text1"/>
          <w:szCs w:val="21"/>
          <w:highlight w:val="none"/>
          <w14:textFill>
            <w14:solidFill>
              <w14:schemeClr w14:val="tx1"/>
            </w14:solidFill>
          </w14:textFill>
        </w:rPr>
        <w:t>的</w:t>
      </w:r>
      <w:r>
        <w:rPr>
          <w:rFonts w:hint="eastAsia" w:ascii="宋体" w:hAnsi="宋体" w:eastAsia="宋体" w:cs="宋体"/>
          <w:b/>
          <w:color w:val="000000" w:themeColor="text1"/>
          <w:szCs w:val="21"/>
          <w:highlight w:val="none"/>
          <w:lang w:val="zh-CN"/>
          <w14:textFill>
            <w14:solidFill>
              <w14:schemeClr w14:val="tx1"/>
            </w14:solidFill>
          </w14:textFill>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pPr>
        <w:autoSpaceDE w:val="0"/>
        <w:autoSpaceDN w:val="0"/>
        <w:adjustRightInd w:val="0"/>
        <w:spacing w:line="360" w:lineRule="auto"/>
        <w:ind w:left="247"/>
        <w:rPr>
          <w:rFonts w:ascii="宋体" w:hAnsi="宋体" w:eastAsia="宋体" w:cs="Times New Roman"/>
          <w:color w:val="000000" w:themeColor="text1"/>
          <w:kern w:val="0"/>
          <w:sz w:val="24"/>
          <w:szCs w:val="24"/>
          <w:highlight w:val="none"/>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55" w:name="_Toc30555"/>
      <w:bookmarkStart w:id="156" w:name="_Toc142508329"/>
      <w:bookmarkStart w:id="157" w:name="_Toc8644"/>
      <w:bookmarkStart w:id="158" w:name="_Toc486167679"/>
      <w:bookmarkStart w:id="159" w:name="_Toc5356_WPSOffice_Level3"/>
      <w:bookmarkStart w:id="160" w:name="_Toc161843159"/>
      <w:r>
        <w:rPr>
          <w:rFonts w:hint="eastAsia" w:ascii="宋体" w:hAnsi="宋体" w:eastAsia="宋体" w:cs="宋体"/>
          <w:color w:val="000000" w:themeColor="text1"/>
          <w:szCs w:val="21"/>
          <w:highlight w:val="none"/>
          <w:lang w:val="zh-CN"/>
          <w14:textFill>
            <w14:solidFill>
              <w14:schemeClr w14:val="tx1"/>
            </w14:solidFill>
          </w14:textFill>
        </w:rPr>
        <w:t>15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投标保证金</w:t>
      </w:r>
      <w:bookmarkEnd w:id="155"/>
      <w:bookmarkEnd w:id="156"/>
      <w:bookmarkEnd w:id="157"/>
      <w:bookmarkEnd w:id="158"/>
      <w:bookmarkEnd w:id="159"/>
      <w:bookmarkEnd w:id="160"/>
    </w:p>
    <w:p>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15.1</w:t>
      </w:r>
      <w:r>
        <w:rPr>
          <w:rFonts w:ascii="宋体" w:hAnsi="宋体" w:eastAsia="宋体" w:cs="宋体"/>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投标人投标时须附有投标保证金</w:t>
      </w:r>
      <w:r>
        <w:rPr>
          <w:rFonts w:hint="eastAsia" w:ascii="宋体" w:hAnsi="宋体" w:eastAsia="宋体" w:cs="宋体"/>
          <w:b/>
          <w:bCs/>
          <w:color w:val="000000" w:themeColor="text1"/>
          <w:kern w:val="0"/>
          <w:szCs w:val="21"/>
          <w:highlight w:val="none"/>
          <w:u w:val="single"/>
          <w14:textFill>
            <w14:solidFill>
              <w14:schemeClr w14:val="tx1"/>
            </w14:solidFill>
          </w14:textFill>
        </w:rPr>
        <w:t>200,000.00</w:t>
      </w:r>
      <w:r>
        <w:rPr>
          <w:rFonts w:hint="eastAsia" w:ascii="宋体" w:hAnsi="宋体" w:eastAsia="宋体" w:cs="宋体"/>
          <w:b/>
          <w:color w:val="000000" w:themeColor="text1"/>
          <w:kern w:val="0"/>
          <w:szCs w:val="21"/>
          <w:highlight w:val="none"/>
          <w:u w:val="single"/>
          <w14:textFill>
            <w14:solidFill>
              <w14:schemeClr w14:val="tx1"/>
            </w14:solidFill>
          </w14:textFill>
        </w:rPr>
        <w:t>元（大写：人民币贰拾万元整）</w:t>
      </w:r>
      <w:r>
        <w:rPr>
          <w:rFonts w:hint="eastAsia" w:ascii="宋体" w:hAnsi="宋体" w:eastAsia="宋体" w:cs="宋体"/>
          <w:b/>
          <w:color w:val="000000" w:themeColor="text1"/>
          <w:kern w:val="0"/>
          <w:szCs w:val="21"/>
          <w:highlight w:val="none"/>
          <w14:textFill>
            <w14:solidFill>
              <w14:schemeClr w14:val="tx1"/>
            </w14:solidFill>
          </w14:textFill>
        </w:rPr>
        <w:t>。</w:t>
      </w:r>
    </w:p>
    <w:p>
      <w:pPr>
        <w:spacing w:line="360" w:lineRule="auto"/>
        <w:ind w:left="315" w:leftChars="-100" w:hanging="525" w:hangingChars="25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 xml:space="preserve">15.2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应按要求提交投标保证金，</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000000" w:themeColor="text1"/>
          <w:kern w:val="0"/>
          <w:szCs w:val="21"/>
          <w:highlight w:val="none"/>
          <w14:textFill>
            <w14:solidFill>
              <w14:schemeClr w14:val="tx1"/>
            </w14:solidFill>
          </w14:textFill>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15.3 提交保证金时应符合下列规定：</w:t>
      </w:r>
    </w:p>
    <w:p>
      <w:pPr>
        <w:spacing w:line="360" w:lineRule="auto"/>
        <w:ind w:left="-320" w:firstLine="777" w:firstLineChars="3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必须通过本单位基本账户采用银行转账、电汇方式提交，且在递交投标文件截止时间前</w:t>
      </w:r>
      <w:r>
        <w:rPr>
          <w:rFonts w:hint="eastAsia" w:ascii="宋体" w:hAnsi="宋体" w:eastAsia="宋体" w:cs="Times New Roman"/>
          <w:color w:val="000000" w:themeColor="text1"/>
          <w:kern w:val="0"/>
          <w:szCs w:val="21"/>
          <w:highlight w:val="none"/>
          <w14:textFill>
            <w14:solidFill>
              <w14:schemeClr w14:val="tx1"/>
            </w14:solidFill>
          </w14:textFill>
        </w:rPr>
        <w:t>到达</w:t>
      </w:r>
      <w:r>
        <w:rPr>
          <w:rFonts w:hint="eastAsia" w:ascii="宋体" w:hAnsi="宋体" w:eastAsia="宋体" w:cs="宋体"/>
          <w:color w:val="000000" w:themeColor="text1"/>
          <w:kern w:val="0"/>
          <w:szCs w:val="21"/>
          <w:highlight w:val="none"/>
          <w14:textFill>
            <w14:solidFill>
              <w14:schemeClr w14:val="tx1"/>
            </w14:solidFill>
          </w14:textFill>
        </w:rPr>
        <w:t>以下账户上</w:t>
      </w:r>
      <w:r>
        <w:rPr>
          <w:rFonts w:hint="eastAsia" w:ascii="宋体" w:hAnsi="宋体" w:eastAsia="宋体" w:cs="宋体"/>
          <w:b/>
          <w:bCs/>
          <w:color w:val="000000" w:themeColor="text1"/>
          <w:kern w:val="0"/>
          <w:szCs w:val="21"/>
          <w:highlight w:val="none"/>
          <w14:textFill>
            <w14:solidFill>
              <w14:schemeClr w14:val="tx1"/>
            </w14:solidFill>
          </w14:textFill>
        </w:rPr>
        <w:t>并注明招标编号</w:t>
      </w:r>
      <w:r>
        <w:rPr>
          <w:rFonts w:hint="eastAsia" w:ascii="宋体" w:hAnsi="宋体" w:eastAsia="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225" w:leftChars="107" w:firstLine="489" w:firstLineChars="233"/>
        <w:jc w:val="left"/>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开户名称：东莞市水务集团有限公司</w:t>
      </w:r>
    </w:p>
    <w:p>
      <w:pPr>
        <w:autoSpaceDE w:val="0"/>
        <w:autoSpaceDN w:val="0"/>
        <w:adjustRightInd w:val="0"/>
        <w:spacing w:line="360" w:lineRule="auto"/>
        <w:ind w:left="225" w:leftChars="107" w:firstLine="489" w:firstLineChars="233"/>
        <w:jc w:val="left"/>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开户银行：东莞农村商业银行中心支行</w:t>
      </w:r>
    </w:p>
    <w:p>
      <w:pPr>
        <w:autoSpaceDE w:val="0"/>
        <w:autoSpaceDN w:val="0"/>
        <w:adjustRightInd w:val="0"/>
        <w:spacing w:line="360" w:lineRule="auto"/>
        <w:ind w:left="225" w:leftChars="107" w:firstLine="489" w:firstLineChars="233"/>
        <w:jc w:val="left"/>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银行账号：380010190010046195</w:t>
      </w:r>
    </w:p>
    <w:p>
      <w:pPr>
        <w:spacing w:line="360" w:lineRule="auto"/>
        <w:ind w:left="210" w:leftChars="100" w:firstLine="211" w:firstLineChars="1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投标保证金未按规定时间到达指定账户或提交金额不足的，将被视为无效投标保证金</w:t>
      </w:r>
      <w:r>
        <w:rPr>
          <w:rFonts w:hint="eastAsia" w:ascii="宋体" w:hAnsi="宋体" w:eastAsia="宋体" w:cs="宋体"/>
          <w:b/>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357" w:leftChars="-100" w:hanging="567" w:hangingChars="270"/>
        <w:jc w:val="left"/>
        <w:rPr>
          <w:rFonts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15.4</w:t>
      </w:r>
      <w:r>
        <w:rPr>
          <w:rFonts w:ascii="宋体" w:hAnsi="宋体" w:eastAsia="宋体" w:cs="宋体"/>
          <w:bCs/>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4"/>
          <w:highlight w:val="none"/>
          <w:u w:val="single"/>
          <w14:textFill>
            <w14:solidFill>
              <w14:schemeClr w14:val="tx1"/>
            </w14:solidFill>
          </w14:textFill>
        </w:rPr>
        <w:t>任何未按第15.1款、第15.2款、第15.3款规定提交投标保证金的投标，将被视为无效投标</w:t>
      </w:r>
      <w:r>
        <w:rPr>
          <w:rFonts w:hint="eastAsia" w:ascii="宋体" w:hAnsi="宋体" w:eastAsia="宋体" w:cs="宋体"/>
          <w:b/>
          <w:color w:val="000000" w:themeColor="text1"/>
          <w:kern w:val="0"/>
          <w:szCs w:val="24"/>
          <w:highlight w:val="none"/>
          <w14:textFill>
            <w14:solidFill>
              <w14:schemeClr w14:val="tx1"/>
            </w14:solidFill>
          </w14:textFill>
        </w:rPr>
        <w:t>。</w:t>
      </w:r>
    </w:p>
    <w:p>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15.5 </w:t>
      </w:r>
      <w:r>
        <w:rPr>
          <w:rFonts w:hint="eastAsia" w:ascii="宋体" w:hAnsi="宋体" w:eastAsia="宋体" w:cs="宋体"/>
          <w:color w:val="000000" w:themeColor="text1"/>
          <w:kern w:val="0"/>
          <w:szCs w:val="21"/>
          <w:highlight w:val="none"/>
          <w14:textFill>
            <w14:solidFill>
              <w14:schemeClr w14:val="tx1"/>
            </w14:solidFill>
          </w14:textFill>
        </w:rPr>
        <w:t>未</w:t>
      </w:r>
      <w:r>
        <w:rPr>
          <w:rFonts w:hint="eastAsia" w:ascii="宋体" w:hAnsi="宋体" w:eastAsia="宋体" w:cs="宋体"/>
          <w:color w:val="000000" w:themeColor="text1"/>
          <w:szCs w:val="21"/>
          <w:highlight w:val="none"/>
          <w:lang w:val="zh-CN"/>
          <w14:textFill>
            <w14:solidFill>
              <w14:schemeClr w14:val="tx1"/>
            </w14:solidFill>
          </w14:textFill>
        </w:rPr>
        <w:t>中标</w:t>
      </w:r>
      <w:r>
        <w:rPr>
          <w:rFonts w:hint="eastAsia" w:ascii="宋体" w:hAnsi="宋体" w:eastAsia="宋体" w:cs="宋体"/>
          <w:color w:val="000000" w:themeColor="text1"/>
          <w:kern w:val="0"/>
          <w:szCs w:val="21"/>
          <w:highlight w:val="none"/>
          <w14:textFill>
            <w14:solidFill>
              <w14:schemeClr w14:val="tx1"/>
            </w14:solidFill>
          </w14:textFill>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000000" w:themeColor="text1"/>
          <w:kern w:val="0"/>
          <w:szCs w:val="21"/>
          <w:highlight w:val="none"/>
          <w14:textFill>
            <w14:solidFill>
              <w14:schemeClr w14:val="tx1"/>
            </w14:solidFill>
          </w14:textFill>
        </w:rPr>
        <w:t>投标保证金</w:t>
      </w:r>
      <w:r>
        <w:rPr>
          <w:rFonts w:hint="eastAsia" w:ascii="宋体" w:hAnsi="宋体" w:eastAsia="宋体" w:cs="宋体"/>
          <w:color w:val="000000" w:themeColor="text1"/>
          <w:kern w:val="0"/>
          <w:szCs w:val="21"/>
          <w:highlight w:val="none"/>
          <w14:textFill>
            <w14:solidFill>
              <w14:schemeClr w14:val="tx1"/>
            </w14:solidFill>
          </w14:textFill>
        </w:rPr>
        <w:t>有效期已延长。</w:t>
      </w:r>
    </w:p>
    <w:p>
      <w:pPr>
        <w:spacing w:line="360" w:lineRule="auto"/>
        <w:ind w:left="357" w:leftChars="-100"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15.6 </w:t>
      </w:r>
      <w:r>
        <w:rPr>
          <w:rFonts w:hint="eastAsia" w:ascii="宋体" w:hAnsi="宋体" w:eastAsia="宋体" w:cs="宋体"/>
          <w:color w:val="000000" w:themeColor="text1"/>
          <w:kern w:val="0"/>
          <w:szCs w:val="21"/>
          <w:highlight w:val="none"/>
          <w14:textFill>
            <w14:solidFill>
              <w14:schemeClr w14:val="tx1"/>
            </w14:solidFill>
          </w14:textFill>
        </w:rPr>
        <w:t>中标人的投标保证金，满足下列要求，并最迟应在本项目的书面合同签订后5日内退还。</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（1）中标</w:t>
      </w:r>
      <w:r>
        <w:rPr>
          <w:rFonts w:hint="eastAsia" w:ascii="宋体" w:hAnsi="宋体" w:eastAsia="宋体" w:cs="宋体"/>
          <w:color w:val="000000" w:themeColor="text1"/>
          <w:szCs w:val="21"/>
          <w:highlight w:val="none"/>
          <w:lang w:val="zh-CN"/>
          <w14:textFill>
            <w14:solidFill>
              <w14:schemeClr w14:val="tx1"/>
            </w14:solidFill>
          </w14:textFill>
        </w:rPr>
        <w:t>人提交了履约担保；</w:t>
      </w:r>
    </w:p>
    <w:p>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（2）在投标过程中</w:t>
      </w:r>
      <w:r>
        <w:rPr>
          <w:rFonts w:hint="eastAsia" w:ascii="宋体" w:hAnsi="宋体" w:eastAsia="宋体" w:cs="宋体"/>
          <w:color w:val="000000" w:themeColor="text1"/>
          <w:kern w:val="0"/>
          <w:szCs w:val="21"/>
          <w:highlight w:val="none"/>
          <w14:textFill>
            <w14:solidFill>
              <w14:schemeClr w14:val="tx1"/>
            </w14:solidFill>
          </w14:textFill>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000000" w:themeColor="text1"/>
          <w:kern w:val="0"/>
          <w:szCs w:val="20"/>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15.7 </w:t>
      </w:r>
      <w:r>
        <w:rPr>
          <w:rFonts w:hint="eastAsia" w:ascii="宋体" w:hAnsi="宋体" w:eastAsia="宋体" w:cs="宋体"/>
          <w:color w:val="000000" w:themeColor="text1"/>
          <w:kern w:val="0"/>
          <w:szCs w:val="20"/>
          <w:highlight w:val="none"/>
          <w14:textFill>
            <w14:solidFill>
              <w14:schemeClr w14:val="tx1"/>
            </w14:solidFill>
          </w14:textFill>
        </w:rPr>
        <w:t>若</w:t>
      </w:r>
      <w:r>
        <w:rPr>
          <w:rFonts w:hint="eastAsia" w:ascii="宋体" w:hAnsi="宋体" w:eastAsia="宋体" w:cs="宋体"/>
          <w:color w:val="000000" w:themeColor="text1"/>
          <w:szCs w:val="21"/>
          <w:highlight w:val="none"/>
          <w:lang w:val="zh-CN"/>
          <w14:textFill>
            <w14:solidFill>
              <w14:schemeClr w14:val="tx1"/>
            </w14:solidFill>
          </w14:textFill>
        </w:rPr>
        <w:t>发生</w:t>
      </w:r>
      <w:r>
        <w:rPr>
          <w:rFonts w:hint="eastAsia" w:ascii="宋体" w:hAnsi="宋体" w:eastAsia="宋体" w:cs="宋体"/>
          <w:color w:val="000000" w:themeColor="text1"/>
          <w:kern w:val="0"/>
          <w:szCs w:val="20"/>
          <w:highlight w:val="none"/>
          <w14:textFill>
            <w14:solidFill>
              <w14:schemeClr w14:val="tx1"/>
            </w14:solidFill>
          </w14:textFill>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如果投标人（或中标人）：</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w:t>
      </w:r>
      <w:r>
        <w:rPr>
          <w:rFonts w:hint="eastAsia" w:ascii="宋体" w:hAnsi="宋体" w:eastAsia="宋体" w:cs="宋体"/>
          <w:color w:val="000000" w:themeColor="text1"/>
          <w:szCs w:val="21"/>
          <w:highlight w:val="none"/>
          <w:lang w:val="zh-CN"/>
          <w14:textFill>
            <w14:solidFill>
              <w14:schemeClr w14:val="tx1"/>
            </w14:solidFill>
          </w14:textFill>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（3）未根据第34条规定签署合同；</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）将中标项目转让给他人，或者在投标文件中未说明，且未经招标人同意，将中标项目的合同</w:t>
      </w:r>
      <w:r>
        <w:rPr>
          <w:rFonts w:ascii="宋体" w:hAnsi="宋体" w:eastAsia="宋体" w:cs="宋体"/>
          <w:color w:val="000000" w:themeColor="text1"/>
          <w:szCs w:val="21"/>
          <w:highlight w:val="none"/>
          <w:lang w:val="zh-CN"/>
          <w14:textFill>
            <w14:solidFill>
              <w14:schemeClr w14:val="tx1"/>
            </w14:solidFill>
          </w14:textFill>
        </w:rPr>
        <w:t>的权利义务转让</w:t>
      </w:r>
      <w:r>
        <w:rPr>
          <w:rFonts w:hint="eastAsia" w:ascii="宋体" w:hAnsi="宋体" w:eastAsia="宋体" w:cs="宋体"/>
          <w:color w:val="000000" w:themeColor="text1"/>
          <w:szCs w:val="21"/>
          <w:highlight w:val="none"/>
          <w:lang w:val="zh-CN"/>
          <w14:textFill>
            <w14:solidFill>
              <w14:schemeClr w14:val="tx1"/>
            </w14:solidFill>
          </w14:textFill>
        </w:rPr>
        <w:t>给第三</w:t>
      </w:r>
      <w:r>
        <w:rPr>
          <w:rFonts w:ascii="宋体" w:hAnsi="宋体" w:eastAsia="宋体" w:cs="宋体"/>
          <w:color w:val="000000" w:themeColor="text1"/>
          <w:szCs w:val="21"/>
          <w:highlight w:val="none"/>
          <w:lang w:val="zh-CN"/>
          <w14:textFill>
            <w14:solidFill>
              <w14:schemeClr w14:val="tx1"/>
            </w14:solidFill>
          </w14:textFill>
        </w:rPr>
        <w:t>方</w:t>
      </w:r>
      <w:r>
        <w:rPr>
          <w:rFonts w:hint="eastAsia" w:ascii="宋体" w:hAnsi="宋体" w:eastAsia="宋体" w:cs="宋体"/>
          <w:color w:val="000000" w:themeColor="text1"/>
          <w:szCs w:val="21"/>
          <w:highlight w:val="none"/>
          <w:lang w:val="zh-CN"/>
          <w14:textFill>
            <w14:solidFill>
              <w14:schemeClr w14:val="tx1"/>
            </w14:solidFill>
          </w14:textFill>
        </w:rPr>
        <w:t>的；</w:t>
      </w:r>
    </w:p>
    <w:p>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）提供虚假投标文</w:t>
      </w:r>
      <w:r>
        <w:rPr>
          <w:rFonts w:hint="eastAsia" w:ascii="宋体" w:hAnsi="宋体" w:eastAsia="宋体" w:cs="宋体"/>
          <w:color w:val="000000" w:themeColor="text1"/>
          <w:kern w:val="0"/>
          <w:szCs w:val="21"/>
          <w:highlight w:val="none"/>
          <w14:textFill>
            <w14:solidFill>
              <w14:schemeClr w14:val="tx1"/>
            </w14:solidFill>
          </w14:textFill>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000000" w:themeColor="text1"/>
          <w:kern w:val="0"/>
          <w:szCs w:val="21"/>
          <w:highlight w:val="none"/>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61" w:name="_Toc22649_WPSOffice_Level3"/>
      <w:bookmarkStart w:id="162" w:name="_Toc29607"/>
      <w:bookmarkStart w:id="163" w:name="_Toc1458"/>
      <w:bookmarkStart w:id="164" w:name="_Toc161843160"/>
      <w:bookmarkStart w:id="165" w:name="_Toc450662865"/>
      <w:bookmarkStart w:id="166" w:name="_Toc142508330"/>
      <w:bookmarkStart w:id="167" w:name="_Toc486167680"/>
      <w:r>
        <w:rPr>
          <w:rFonts w:hint="eastAsia" w:ascii="宋体" w:hAnsi="宋体" w:eastAsia="宋体" w:cs="宋体"/>
          <w:color w:val="000000" w:themeColor="text1"/>
          <w:szCs w:val="21"/>
          <w:highlight w:val="none"/>
          <w:lang w:val="zh-CN"/>
          <w14:textFill>
            <w14:solidFill>
              <w14:schemeClr w14:val="tx1"/>
            </w14:solidFill>
          </w14:textFill>
        </w:rPr>
        <w:t>16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投标有效期</w:t>
      </w:r>
      <w:bookmarkEnd w:id="161"/>
      <w:bookmarkEnd w:id="162"/>
      <w:bookmarkEnd w:id="163"/>
      <w:bookmarkEnd w:id="164"/>
      <w:bookmarkEnd w:id="165"/>
      <w:bookmarkEnd w:id="166"/>
      <w:bookmarkEnd w:id="167"/>
    </w:p>
    <w:p>
      <w:pPr>
        <w:tabs>
          <w:tab w:val="left" w:pos="567"/>
        </w:tabs>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投标文件将在递交投标文件截止时间届满后90日内有效。投标有效期比规定时间短的按无效投标文件处理</w:t>
      </w:r>
      <w:r>
        <w:rPr>
          <w:rFonts w:hint="eastAsia" w:ascii="宋体" w:hAnsi="宋体" w:eastAsia="宋体" w:cs="宋体"/>
          <w:b/>
          <w:bCs/>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000000" w:themeColor="text1"/>
          <w:szCs w:val="21"/>
          <w:highlight w:val="none"/>
          <w:lang w:val="zh-CN"/>
          <w14:textFill>
            <w14:solidFill>
              <w14:schemeClr w14:val="tx1"/>
            </w14:solidFill>
          </w14:textFill>
        </w:rPr>
        <w:t>，招标</w:t>
      </w:r>
      <w:r>
        <w:rPr>
          <w:rFonts w:hint="eastAsia" w:ascii="宋体" w:hAnsi="宋体" w:eastAsia="宋体" w:cs="Times New Roman"/>
          <w:color w:val="000000" w:themeColor="text1"/>
          <w:szCs w:val="21"/>
          <w:highlight w:val="none"/>
          <w14:textFill>
            <w14:solidFill>
              <w14:schemeClr w14:val="tx1"/>
            </w14:solidFill>
          </w14:textFill>
        </w:rPr>
        <w:t>人</w:t>
      </w:r>
      <w:r>
        <w:rPr>
          <w:rFonts w:hint="eastAsia" w:ascii="宋体" w:hAnsi="宋体" w:eastAsia="宋体" w:cs="Times New Roman"/>
          <w:color w:val="000000" w:themeColor="text1"/>
          <w:szCs w:val="21"/>
          <w:highlight w:val="none"/>
          <w:lang w:val="zh-CN"/>
          <w14:textFill>
            <w14:solidFill>
              <w14:schemeClr w14:val="tx1"/>
            </w14:solidFill>
          </w14:textFill>
        </w:rPr>
        <w:t>将退还</w:t>
      </w:r>
      <w:r>
        <w:rPr>
          <w:rFonts w:hint="eastAsia" w:ascii="宋体" w:hAnsi="宋体" w:eastAsia="宋体" w:cs="宋体"/>
          <w:color w:val="000000" w:themeColor="text1"/>
          <w:szCs w:val="21"/>
          <w:highlight w:val="none"/>
          <w:lang w:val="zh-CN"/>
          <w14:textFill>
            <w14:solidFill>
              <w14:schemeClr w14:val="tx1"/>
            </w14:solidFill>
          </w14:textFill>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68" w:name="_Toc932"/>
      <w:bookmarkStart w:id="169" w:name="_Toc486167681"/>
      <w:bookmarkStart w:id="170" w:name="_Toc161843161"/>
      <w:bookmarkStart w:id="171" w:name="_Toc142508331"/>
      <w:bookmarkStart w:id="172" w:name="_Toc25637_WPSOffice_Level3"/>
      <w:bookmarkStart w:id="173" w:name="_Toc450662866"/>
      <w:bookmarkStart w:id="174" w:name="_Toc20422"/>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投标文件的式样和签署</w:t>
      </w:r>
      <w:bookmarkEnd w:id="168"/>
      <w:bookmarkEnd w:id="169"/>
      <w:bookmarkEnd w:id="170"/>
      <w:bookmarkEnd w:id="171"/>
      <w:bookmarkEnd w:id="172"/>
      <w:bookmarkEnd w:id="173"/>
      <w:bookmarkEnd w:id="174"/>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投标人应准备一份“唱标信封”、</w:t>
      </w:r>
      <w:r>
        <w:rPr>
          <w:rFonts w:hint="eastAsia" w:ascii="宋体" w:hAnsi="宋体" w:eastAsia="宋体" w:cs="Times New Roman"/>
          <w:b/>
          <w:color w:val="000000" w:themeColor="text1"/>
          <w:szCs w:val="21"/>
          <w:highlight w:val="none"/>
          <w:u w:val="single"/>
          <w:lang w:val="zh-CN"/>
          <w14:textFill>
            <w14:solidFill>
              <w14:schemeClr w14:val="tx1"/>
            </w14:solidFill>
          </w14:textFill>
        </w:rPr>
        <w:t>一份投标文件电子文件、</w:t>
      </w:r>
      <w:r>
        <w:rPr>
          <w:rFonts w:hint="eastAsia" w:ascii="宋体" w:hAnsi="宋体" w:eastAsia="宋体" w:cs="宋体"/>
          <w:b/>
          <w:color w:val="000000" w:themeColor="text1"/>
          <w:szCs w:val="21"/>
          <w:highlight w:val="none"/>
          <w:u w:val="single"/>
          <w:lang w:val="zh-CN"/>
          <w14:textFill>
            <w14:solidFill>
              <w14:schemeClr w14:val="tx1"/>
            </w14:solidFill>
          </w14:textFill>
        </w:rPr>
        <w:t>一份正本和</w:t>
      </w:r>
      <w:r>
        <w:rPr>
          <w:rFonts w:hint="eastAsia" w:ascii="宋体" w:hAnsi="宋体" w:eastAsia="宋体" w:cs="宋体"/>
          <w:b/>
          <w:color w:val="000000" w:themeColor="text1"/>
          <w:szCs w:val="21"/>
          <w:highlight w:val="none"/>
          <w:u w:val="single"/>
          <w14:textFill>
            <w14:solidFill>
              <w14:schemeClr w14:val="tx1"/>
            </w14:solidFill>
          </w14:textFill>
        </w:rPr>
        <w:t>柒</w:t>
      </w:r>
      <w:r>
        <w:rPr>
          <w:rFonts w:hint="eastAsia" w:ascii="宋体" w:hAnsi="宋体" w:eastAsia="宋体" w:cs="宋体"/>
          <w:b/>
          <w:color w:val="000000" w:themeColor="text1"/>
          <w:szCs w:val="21"/>
          <w:highlight w:val="none"/>
          <w:u w:val="single"/>
          <w:lang w:val="zh-CN"/>
          <w14:textFill>
            <w14:solidFill>
              <w14:schemeClr w14:val="tx1"/>
            </w14:solidFill>
          </w14:textFill>
        </w:rPr>
        <w:t>份副本“投标文件”</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000000" w:themeColor="text1"/>
          <w:szCs w:val="21"/>
          <w:highlight w:val="none"/>
          <w:lang w:val="zh-CN"/>
          <w14:textFill>
            <w14:solidFill>
              <w14:schemeClr w14:val="tx1"/>
            </w14:solidFill>
          </w14:textFill>
        </w:rPr>
        <w:t>。</w:t>
      </w:r>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Cs/>
          <w:color w:val="000000" w:themeColor="text1"/>
          <w:szCs w:val="21"/>
          <w:highlight w:val="none"/>
          <w:lang w:val="zh-CN"/>
          <w14:textFill>
            <w14:solidFill>
              <w14:schemeClr w14:val="tx1"/>
            </w14:solidFill>
          </w14:textFill>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法人授权委托证明书</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以书面形式附在投标文件中。</w:t>
      </w:r>
      <w:r>
        <w:rPr>
          <w:rFonts w:hint="eastAsia" w:ascii="宋体" w:hAnsi="宋体" w:eastAsia="宋体" w:cs="Times New Roman"/>
          <w:color w:val="000000" w:themeColor="text1"/>
          <w:szCs w:val="21"/>
          <w:highlight w:val="none"/>
          <w:lang w:val="zh-CN"/>
          <w14:textFill>
            <w14:solidFill>
              <w14:schemeClr w14:val="tx1"/>
            </w14:solidFill>
          </w14:textFill>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除投标人对错处作必要修改外，投标文件中不许有加行、涂抹或改写。</w:t>
      </w:r>
      <w:r>
        <w:rPr>
          <w:rFonts w:hint="eastAsia" w:ascii="宋体" w:hAnsi="宋体" w:eastAsia="宋体" w:cs="宋体"/>
          <w:bCs/>
          <w:color w:val="000000" w:themeColor="text1"/>
          <w:szCs w:val="21"/>
          <w:highlight w:val="none"/>
          <w:lang w:val="zh-CN"/>
          <w14:textFill>
            <w14:solidFill>
              <w14:schemeClr w14:val="tx1"/>
            </w14:solidFill>
          </w14:textFill>
        </w:rPr>
        <w:t>若有修改须由签署投标文件的人进行签字（或盖私章），并加盖投标人</w:t>
      </w:r>
      <w:r>
        <w:rPr>
          <w:rFonts w:hint="eastAsia" w:ascii="宋体" w:hAnsi="宋体" w:eastAsia="宋体" w:cs="Times New Roman"/>
          <w:bCs/>
          <w:color w:val="000000" w:themeColor="text1"/>
          <w:szCs w:val="21"/>
          <w:highlight w:val="none"/>
          <w:lang w:val="zh-CN"/>
          <w14:textFill>
            <w14:solidFill>
              <w14:schemeClr w14:val="tx1"/>
            </w14:solidFill>
          </w14:textFill>
        </w:rPr>
        <w:t>法人</w:t>
      </w:r>
      <w:r>
        <w:rPr>
          <w:rFonts w:hint="eastAsia" w:ascii="宋体" w:hAnsi="宋体" w:eastAsia="宋体" w:cs="宋体"/>
          <w:bCs/>
          <w:color w:val="000000" w:themeColor="text1"/>
          <w:szCs w:val="21"/>
          <w:highlight w:val="none"/>
          <w:lang w:val="zh-CN"/>
          <w14:textFill>
            <w14:solidFill>
              <w14:schemeClr w14:val="tx1"/>
            </w14:solidFill>
          </w14:textFill>
        </w:rPr>
        <w:t>公章。</w:t>
      </w:r>
    </w:p>
    <w:p>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电子文件内容包括：电子文件不可设置密码，用DVD或CD-R光盘或U盘储存，</w:t>
      </w:r>
      <w:r>
        <w:rPr>
          <w:rFonts w:hint="eastAsia" w:ascii="宋体" w:hAnsi="宋体" w:eastAsia="宋体" w:cs="Times New Roman"/>
          <w:color w:val="000000" w:themeColor="text1"/>
          <w:szCs w:val="21"/>
          <w:highlight w:val="none"/>
          <w:lang w:val="zh-CN"/>
          <w14:textFill>
            <w14:solidFill>
              <w14:schemeClr w14:val="tx1"/>
            </w14:solidFill>
          </w14:textFill>
        </w:rPr>
        <w:t>可密封于</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内（若电子文件单独密封，其包装封面需注明项目名称、招标编号、投标人单位名称，并加盖投标人法人公章）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电报、电传、传真的投标概不接受。</w:t>
      </w:r>
    </w:p>
    <w:p>
      <w:pPr>
        <w:autoSpaceDE w:val="0"/>
        <w:autoSpaceDN w:val="0"/>
        <w:adjustRightInd w:val="0"/>
        <w:ind w:left="247"/>
        <w:jc w:val="left"/>
        <w:rPr>
          <w:rFonts w:ascii="宋体" w:hAnsi="宋体" w:eastAsia="宋体" w:cs="宋体"/>
          <w:color w:val="000000" w:themeColor="text1"/>
          <w:kern w:val="0"/>
          <w:sz w:val="24"/>
          <w:szCs w:val="24"/>
          <w:highlight w:val="none"/>
          <w14:textFill>
            <w14:solidFill>
              <w14:schemeClr w14:val="tx1"/>
            </w14:solidFill>
          </w14:textFill>
        </w:rPr>
      </w:pPr>
      <w:bookmarkStart w:id="175" w:name="_Toc450662867"/>
    </w:p>
    <w:p>
      <w:pPr>
        <w:keepNext/>
        <w:keepLines/>
        <w:tabs>
          <w:tab w:val="left" w:pos="509"/>
        </w:tabs>
        <w:autoSpaceDE w:val="0"/>
        <w:autoSpaceDN w:val="0"/>
        <w:adjustRightInd w:val="0"/>
        <w:spacing w:line="360" w:lineRule="auto"/>
        <w:ind w:left="247"/>
        <w:jc w:val="left"/>
        <w:outlineLvl w:val="0"/>
        <w:rPr>
          <w:rFonts w:ascii="宋体" w:hAnsi="宋体" w:eastAsia="宋体" w:cs="宋体"/>
          <w:color w:val="000000" w:themeColor="text1"/>
          <w:kern w:val="0"/>
          <w:sz w:val="24"/>
          <w:szCs w:val="24"/>
          <w:highlight w:val="none"/>
          <w14:textFill>
            <w14:solidFill>
              <w14:schemeClr w14:val="tx1"/>
            </w14:solidFill>
          </w14:textFill>
        </w:rPr>
      </w:pPr>
      <w:bookmarkStart w:id="176" w:name="_Toc486167682"/>
      <w:bookmarkStart w:id="177" w:name="_Toc140596891"/>
      <w:bookmarkStart w:id="178" w:name="_Toc22356_WPSOffice_Level2"/>
      <w:bookmarkStart w:id="179" w:name="_Toc17199"/>
      <w:bookmarkStart w:id="180" w:name="_Toc26605"/>
      <w:bookmarkStart w:id="181" w:name="_Toc142508332"/>
      <w:bookmarkStart w:id="182" w:name="_Toc161843162"/>
      <w:r>
        <w:rPr>
          <w:rFonts w:hint="eastAsia" w:ascii="宋体" w:hAnsi="宋体" w:eastAsia="宋体" w:cs="宋体"/>
          <w:b/>
          <w:bCs/>
          <w:color w:val="000000" w:themeColor="text1"/>
          <w:kern w:val="44"/>
          <w:szCs w:val="21"/>
          <w:highlight w:val="none"/>
          <w:lang w:val="zh-CN"/>
          <w14:textFill>
            <w14:solidFill>
              <w14:schemeClr w14:val="tx1"/>
            </w14:solidFill>
          </w14:textFill>
        </w:rPr>
        <w:t>四、投标文件的递交</w:t>
      </w:r>
      <w:bookmarkEnd w:id="175"/>
      <w:bookmarkEnd w:id="176"/>
      <w:bookmarkEnd w:id="177"/>
      <w:bookmarkEnd w:id="178"/>
      <w:bookmarkEnd w:id="179"/>
      <w:bookmarkEnd w:id="180"/>
      <w:bookmarkEnd w:id="181"/>
      <w:bookmarkEnd w:id="182"/>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83" w:name="_Toc29885"/>
      <w:bookmarkStart w:id="184" w:name="_Toc161843163"/>
      <w:bookmarkStart w:id="185" w:name="_Toc486167683"/>
      <w:bookmarkStart w:id="186" w:name="_Toc31551"/>
      <w:bookmarkStart w:id="187" w:name="_Toc142508333"/>
      <w:bookmarkStart w:id="188" w:name="_Toc450662868"/>
      <w:bookmarkStart w:id="189" w:name="_Toc12192_WPSOffice_Level3"/>
      <w:r>
        <w:rPr>
          <w:rFonts w:hint="eastAsia" w:ascii="宋体" w:hAnsi="宋体" w:eastAsia="宋体" w:cs="宋体"/>
          <w:color w:val="000000" w:themeColor="text1"/>
          <w:szCs w:val="21"/>
          <w:highlight w:val="none"/>
          <w:lang w:val="zh-CN"/>
          <w14:textFill>
            <w14:solidFill>
              <w14:schemeClr w14:val="tx1"/>
            </w14:solidFill>
          </w14:textFill>
        </w:rPr>
        <w:t>18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投标文件的密封和标记</w:t>
      </w:r>
      <w:bookmarkEnd w:id="183"/>
      <w:bookmarkEnd w:id="184"/>
      <w:bookmarkEnd w:id="185"/>
      <w:bookmarkEnd w:id="186"/>
      <w:bookmarkEnd w:id="187"/>
      <w:bookmarkEnd w:id="188"/>
      <w:bookmarkEnd w:id="189"/>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投标人应将正本和副本投标文件（本处不含唱标信封</w:t>
      </w:r>
      <w:r>
        <w:rPr>
          <w:rFonts w:hint="eastAsia" w:ascii="宋体" w:hAnsi="宋体" w:eastAsia="宋体" w:cs="Times New Roman"/>
          <w:color w:val="000000" w:themeColor="text1"/>
          <w:szCs w:val="21"/>
          <w:highlight w:val="none"/>
          <w:lang w:val="zh-CN"/>
          <w14:textFill>
            <w14:solidFill>
              <w14:schemeClr w14:val="tx1"/>
            </w14:solidFill>
          </w14:textFill>
        </w:rPr>
        <w:t>、投标文件电子文件</w:t>
      </w:r>
      <w:r>
        <w:rPr>
          <w:rFonts w:hint="eastAsia" w:ascii="宋体" w:hAnsi="宋体" w:eastAsia="宋体" w:cs="宋体"/>
          <w:color w:val="000000" w:themeColor="text1"/>
          <w:szCs w:val="21"/>
          <w:highlight w:val="none"/>
          <w:lang w:val="zh-CN"/>
          <w14:textFill>
            <w14:solidFill>
              <w14:schemeClr w14:val="tx1"/>
            </w14:solidFill>
          </w14:textFill>
        </w:rPr>
        <w:t>）密封在不透明的外层封装中。</w:t>
      </w:r>
    </w:p>
    <w:p>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lang w:val="zh-CN"/>
          <w14:textFill>
            <w14:solidFill>
              <w14:schemeClr w14:val="tx1"/>
            </w14:solidFill>
          </w14:textFill>
        </w:rPr>
        <w:t>唱标信封应单独密封</w:t>
      </w:r>
      <w:r>
        <w:rPr>
          <w:rFonts w:hint="eastAsia" w:ascii="宋体" w:hAnsi="宋体" w:eastAsia="宋体" w:cs="Times New Roman"/>
          <w:b/>
          <w:bCs/>
          <w:color w:val="000000" w:themeColor="text1"/>
          <w:szCs w:val="21"/>
          <w:highlight w:val="none"/>
          <w:lang w:val="zh-CN"/>
          <w14:textFill>
            <w14:solidFill>
              <w14:schemeClr w14:val="tx1"/>
            </w14:solidFill>
          </w14:textFill>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18.4</w:t>
      </w:r>
      <w:r>
        <w:rPr>
          <w:rFonts w:hint="eastAsia" w:ascii="宋体" w:hAnsi="宋体" w:eastAsia="宋体" w:cs="宋体"/>
          <w:b/>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lang w:val="zh-CN"/>
          <w14:textFill>
            <w14:solidFill>
              <w14:schemeClr w14:val="tx1"/>
            </w14:solidFill>
          </w14:textFill>
        </w:rPr>
        <w:t>如果</w:t>
      </w:r>
      <w:r>
        <w:rPr>
          <w:rFonts w:hint="eastAsia" w:ascii="宋体" w:hAnsi="宋体" w:eastAsia="宋体" w:cs="Times New Roman"/>
          <w:b/>
          <w:color w:val="000000" w:themeColor="text1"/>
          <w:szCs w:val="21"/>
          <w:highlight w:val="none"/>
          <w:lang w:val="zh-CN"/>
          <w14:textFill>
            <w14:solidFill>
              <w14:schemeClr w14:val="tx1"/>
            </w14:solidFill>
          </w14:textFill>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55" w:leftChars="-101" w:right="15" w:rightChars="7"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18.5 开标前，</w:t>
      </w:r>
      <w:r>
        <w:rPr>
          <w:rFonts w:hint="eastAsia" w:ascii="宋体" w:hAnsi="宋体" w:eastAsia="宋体" w:cs="Times New Roman"/>
          <w:color w:val="000000" w:themeColor="text1"/>
          <w:szCs w:val="21"/>
          <w:highlight w:val="none"/>
          <w:lang w:val="zh-CN"/>
          <w14:textFill>
            <w14:solidFill>
              <w14:schemeClr w14:val="tx1"/>
            </w14:solidFill>
          </w14:textFill>
        </w:rPr>
        <w:t>由投标人代表</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第一位递交投标文件的投标人代表及主动自愿参与检查的投标人代表</w:t>
      </w:r>
      <w:r>
        <w:rPr>
          <w:rFonts w:ascii="宋体" w:hAnsi="宋体" w:eastAsia="宋体" w:cs="Times New Roman"/>
          <w:color w:val="000000" w:themeColor="text1"/>
          <w:szCs w:val="21"/>
          <w:highlight w:val="none"/>
          <w:lang w:val="zh-CN"/>
          <w14:textFill>
            <w14:solidFill>
              <w14:schemeClr w14:val="tx1"/>
            </w14:solidFill>
          </w14:textFill>
        </w:rPr>
        <w:t>）和招标人代表</w:t>
      </w:r>
      <w:r>
        <w:rPr>
          <w:rFonts w:hint="eastAsia" w:ascii="宋体" w:hAnsi="宋体" w:eastAsia="宋体" w:cs="Times New Roman"/>
          <w:color w:val="000000" w:themeColor="text1"/>
          <w:kern w:val="0"/>
          <w:szCs w:val="21"/>
          <w:highlight w:val="none"/>
          <w:lang w:val="zh-CN"/>
          <w14:textFill>
            <w14:solidFill>
              <w14:schemeClr w14:val="tx1"/>
            </w14:solidFill>
          </w14:textFill>
        </w:rPr>
        <w:t>将对所有的投标文件的密封性进行检查</w:t>
      </w:r>
      <w:r>
        <w:rPr>
          <w:rFonts w:ascii="宋体" w:hAnsi="宋体" w:eastAsia="宋体" w:cs="Times New Roman"/>
          <w:color w:val="000000" w:themeColor="text1"/>
          <w:szCs w:val="21"/>
          <w:highlight w:val="none"/>
          <w:lang w:val="zh-CN"/>
          <w14:textFill>
            <w14:solidFill>
              <w14:schemeClr w14:val="tx1"/>
            </w14:solidFill>
          </w14:textFill>
        </w:rPr>
        <w:t>，并签署进行确认</w:t>
      </w:r>
      <w:r>
        <w:rPr>
          <w:rFonts w:hint="eastAsia" w:ascii="宋体" w:hAnsi="宋体" w:eastAsia="宋体" w:cs="宋体"/>
          <w:color w:val="000000" w:themeColor="text1"/>
          <w:szCs w:val="21"/>
          <w:highlight w:val="none"/>
          <w:lang w:val="zh-CN"/>
          <w14:textFill>
            <w14:solidFill>
              <w14:schemeClr w14:val="tx1"/>
            </w14:solidFill>
          </w14:textFill>
        </w:rPr>
        <w:t>。</w:t>
      </w:r>
    </w:p>
    <w:p>
      <w:pPr>
        <w:tabs>
          <w:tab w:val="left" w:pos="567"/>
        </w:tabs>
        <w:autoSpaceDE w:val="0"/>
        <w:autoSpaceDN w:val="0"/>
        <w:adjustRightInd w:val="0"/>
        <w:spacing w:line="360" w:lineRule="auto"/>
        <w:ind w:left="-320" w:right="15" w:rightChars="7" w:firstLine="525" w:firstLineChars="250"/>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90" w:name="_Toc486167684"/>
      <w:bookmarkStart w:id="191" w:name="_Toc12582"/>
      <w:bookmarkStart w:id="192" w:name="_Toc142508334"/>
      <w:bookmarkStart w:id="193" w:name="_Toc29665_WPSOffice_Level3"/>
      <w:bookmarkStart w:id="194" w:name="_Toc161843164"/>
      <w:bookmarkStart w:id="195" w:name="_Toc450662869"/>
      <w:bookmarkStart w:id="196" w:name="_Toc4979"/>
      <w:r>
        <w:rPr>
          <w:rFonts w:hint="eastAsia" w:ascii="宋体" w:hAnsi="宋体" w:eastAsia="宋体" w:cs="宋体"/>
          <w:color w:val="000000" w:themeColor="text1"/>
          <w:szCs w:val="21"/>
          <w:highlight w:val="none"/>
          <w:lang w:val="zh-CN"/>
          <w14:textFill>
            <w14:solidFill>
              <w14:schemeClr w14:val="tx1"/>
            </w14:solidFill>
          </w14:textFill>
        </w:rPr>
        <w:t>19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递交投标文件的截止日期</w:t>
      </w:r>
      <w:bookmarkEnd w:id="190"/>
      <w:bookmarkEnd w:id="191"/>
      <w:bookmarkEnd w:id="192"/>
      <w:bookmarkEnd w:id="193"/>
      <w:bookmarkEnd w:id="194"/>
      <w:bookmarkEnd w:id="195"/>
      <w:bookmarkEnd w:id="196"/>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收到投标文件的时间不得迟于第一篇</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招标公告</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中规定的截止时间</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可按照第</w:t>
      </w:r>
      <w:r>
        <w:rPr>
          <w:rFonts w:ascii="宋体" w:hAnsi="宋体" w:eastAsia="宋体" w:cs="Times New Roman"/>
          <w:color w:val="000000" w:themeColor="text1"/>
          <w:szCs w:val="21"/>
          <w:highlight w:val="none"/>
          <w:lang w:val="zh-CN"/>
          <w14:textFill>
            <w14:solidFill>
              <w14:schemeClr w14:val="tx1"/>
            </w14:solidFill>
          </w14:textFill>
        </w:rPr>
        <w:t>7</w:t>
      </w:r>
      <w:r>
        <w:rPr>
          <w:rFonts w:hint="eastAsia" w:ascii="宋体" w:hAnsi="宋体" w:eastAsia="宋体" w:cs="Times New Roman"/>
          <w:color w:val="000000" w:themeColor="text1"/>
          <w:szCs w:val="21"/>
          <w:highlight w:val="none"/>
          <w:lang w:val="zh-CN"/>
          <w14:textFill>
            <w14:solidFill>
              <w14:schemeClr w14:val="tx1"/>
            </w14:solidFill>
          </w14:textFill>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kern w:val="0"/>
          <w:sz w:val="24"/>
          <w:szCs w:val="24"/>
          <w:highlight w:val="none"/>
          <w14:textFill>
            <w14:solidFill>
              <w14:schemeClr w14:val="tx1"/>
            </w14:solidFill>
          </w14:textFill>
        </w:rPr>
      </w:pPr>
      <w:bookmarkStart w:id="197" w:name="_Toc486167685"/>
      <w:bookmarkStart w:id="198" w:name="_Toc161843165"/>
      <w:bookmarkStart w:id="199" w:name="_Toc30287"/>
      <w:bookmarkStart w:id="200" w:name="_Toc22431_WPSOffice_Level3"/>
      <w:bookmarkStart w:id="201" w:name="_Toc20835"/>
      <w:bookmarkStart w:id="202" w:name="_Toc142508335"/>
      <w:bookmarkStart w:id="203" w:name="_Toc450662870"/>
      <w:r>
        <w:rPr>
          <w:rFonts w:hint="eastAsia" w:ascii="宋体" w:hAnsi="宋体" w:eastAsia="宋体" w:cs="宋体"/>
          <w:color w:val="000000" w:themeColor="text1"/>
          <w:szCs w:val="21"/>
          <w:highlight w:val="none"/>
          <w:lang w:val="zh-CN"/>
          <w14:textFill>
            <w14:solidFill>
              <w14:schemeClr w14:val="tx1"/>
            </w14:solidFill>
          </w14:textFill>
        </w:rPr>
        <w:t>20 迟交的投标文件</w:t>
      </w:r>
      <w:bookmarkEnd w:id="197"/>
      <w:bookmarkEnd w:id="198"/>
      <w:bookmarkEnd w:id="199"/>
      <w:bookmarkEnd w:id="200"/>
      <w:bookmarkEnd w:id="201"/>
      <w:bookmarkEnd w:id="202"/>
      <w:bookmarkEnd w:id="203"/>
    </w:p>
    <w:p>
      <w:pPr>
        <w:autoSpaceDE w:val="0"/>
        <w:autoSpaceDN w:val="0"/>
        <w:adjustRightInd w:val="0"/>
        <w:spacing w:line="360" w:lineRule="auto"/>
        <w:ind w:left="-320" w:firstLine="315" w:firstLineChars="1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根据第19条规定，招标代理机构将拒绝任何晚于递交投标文件的截止时间交到的投标文件。</w:t>
      </w:r>
    </w:p>
    <w:p>
      <w:pPr>
        <w:autoSpaceDE w:val="0"/>
        <w:autoSpaceDN w:val="0"/>
        <w:adjustRightInd w:val="0"/>
        <w:ind w:left="247"/>
        <w:jc w:val="left"/>
        <w:rPr>
          <w:rFonts w:ascii="宋体" w:hAnsi="宋体" w:eastAsia="宋体" w:cs="宋体"/>
          <w:color w:val="000000" w:themeColor="text1"/>
          <w:kern w:val="0"/>
          <w:sz w:val="24"/>
          <w:szCs w:val="24"/>
          <w:highlight w:val="none"/>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04" w:name="_Toc27851"/>
      <w:bookmarkStart w:id="205" w:name="_Toc161843166"/>
      <w:bookmarkStart w:id="206" w:name="_Toc3814"/>
      <w:bookmarkStart w:id="207" w:name="_Toc486167686"/>
      <w:bookmarkStart w:id="208" w:name="_Toc4883_WPSOffice_Level3"/>
      <w:bookmarkStart w:id="209" w:name="_Toc450662871"/>
      <w:bookmarkStart w:id="210" w:name="_Toc142508336"/>
      <w:r>
        <w:rPr>
          <w:rFonts w:hint="eastAsia" w:ascii="宋体" w:hAnsi="宋体" w:eastAsia="宋体" w:cs="宋体"/>
          <w:color w:val="000000" w:themeColor="text1"/>
          <w:szCs w:val="21"/>
          <w:highlight w:val="none"/>
          <w:lang w:val="zh-CN"/>
          <w14:textFill>
            <w14:solidFill>
              <w14:schemeClr w14:val="tx1"/>
            </w14:solidFill>
          </w14:textFill>
        </w:rPr>
        <w:t>21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投标文件的修改和撤回</w:t>
      </w:r>
      <w:bookmarkEnd w:id="204"/>
      <w:bookmarkEnd w:id="205"/>
      <w:bookmarkEnd w:id="206"/>
      <w:bookmarkEnd w:id="207"/>
      <w:bookmarkEnd w:id="208"/>
      <w:bookmarkEnd w:id="209"/>
      <w:bookmarkEnd w:id="210"/>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color w:val="000000" w:themeColor="text1"/>
          <w:szCs w:val="21"/>
          <w:highlight w:val="none"/>
          <w:lang w:val="zh-CN"/>
          <w14:textFill>
            <w14:solidFill>
              <w14:schemeClr w14:val="tx1"/>
            </w14:solidFill>
          </w14:textFill>
        </w:rPr>
        <w:t>投标人对投标文件的修改或撤回的通知应按第</w:t>
      </w:r>
      <w:r>
        <w:rPr>
          <w:rFonts w:ascii="宋体" w:hAnsi="宋体" w:eastAsia="宋体" w:cs="Times New Roman"/>
          <w:color w:val="000000" w:themeColor="text1"/>
          <w:szCs w:val="21"/>
          <w:highlight w:val="none"/>
          <w:lang w:val="zh-CN"/>
          <w14:textFill>
            <w14:solidFill>
              <w14:schemeClr w14:val="tx1"/>
            </w14:solidFill>
          </w14:textFill>
        </w:rPr>
        <w:t>17</w:t>
      </w:r>
      <w:r>
        <w:rPr>
          <w:rFonts w:hint="eastAsia" w:ascii="宋体" w:hAnsi="宋体" w:eastAsia="宋体" w:cs="Times New Roman"/>
          <w:color w:val="000000" w:themeColor="text1"/>
          <w:szCs w:val="21"/>
          <w:highlight w:val="none"/>
          <w:lang w:val="zh-CN"/>
          <w14:textFill>
            <w14:solidFill>
              <w14:schemeClr w14:val="tx1"/>
            </w14:solidFill>
          </w14:textFill>
        </w:rPr>
        <w:t>条和第18条规定进行准备、密封、标注和递送</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投标人不得在递交投标文件截止时间起至第16条规定的投标文件有效期期满前撤销投标文件。否则招标</w:t>
      </w:r>
      <w:r>
        <w:rPr>
          <w:rFonts w:hint="eastAsia" w:ascii="宋体" w:hAnsi="宋体" w:eastAsia="宋体" w:cs="宋体"/>
          <w:color w:val="000000" w:themeColor="text1"/>
          <w:szCs w:val="21"/>
          <w:highlight w:val="none"/>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pPr>
        <w:keepNext/>
        <w:keepLines/>
        <w:tabs>
          <w:tab w:val="left" w:pos="509"/>
        </w:tabs>
        <w:autoSpaceDE w:val="0"/>
        <w:autoSpaceDN w:val="0"/>
        <w:adjustRightInd w:val="0"/>
        <w:spacing w:line="360" w:lineRule="auto"/>
        <w:ind w:left="247"/>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11" w:name="_Toc161843167"/>
      <w:bookmarkStart w:id="212" w:name="_Toc486167687"/>
      <w:bookmarkStart w:id="213" w:name="_Toc28824"/>
      <w:bookmarkStart w:id="214" w:name="_Toc450662872"/>
      <w:bookmarkStart w:id="215" w:name="_Toc140596896"/>
      <w:bookmarkStart w:id="216" w:name="_Toc30428"/>
      <w:bookmarkStart w:id="217" w:name="_Toc142508337"/>
      <w:bookmarkStart w:id="218" w:name="_Toc1049_WPSOffice_Level2"/>
      <w:r>
        <w:rPr>
          <w:rFonts w:hint="eastAsia" w:ascii="宋体" w:hAnsi="宋体" w:eastAsia="宋体" w:cs="宋体"/>
          <w:b/>
          <w:bCs/>
          <w:color w:val="000000" w:themeColor="text1"/>
          <w:kern w:val="44"/>
          <w:szCs w:val="21"/>
          <w:highlight w:val="none"/>
          <w:lang w:val="zh-CN"/>
          <w14:textFill>
            <w14:solidFill>
              <w14:schemeClr w14:val="tx1"/>
            </w14:solidFill>
          </w14:textFill>
        </w:rPr>
        <w:t>五、开标与评标</w:t>
      </w:r>
      <w:bookmarkEnd w:id="211"/>
      <w:bookmarkEnd w:id="212"/>
      <w:bookmarkEnd w:id="213"/>
      <w:bookmarkEnd w:id="214"/>
      <w:bookmarkEnd w:id="215"/>
      <w:bookmarkEnd w:id="216"/>
      <w:bookmarkEnd w:id="217"/>
      <w:bookmarkEnd w:id="218"/>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19" w:name="_Toc8728"/>
      <w:bookmarkStart w:id="220" w:name="_Toc11256"/>
      <w:bookmarkStart w:id="221" w:name="_Toc142508338"/>
      <w:bookmarkStart w:id="222" w:name="_Toc144_WPSOffice_Level3"/>
      <w:bookmarkStart w:id="223" w:name="_Toc161843168"/>
      <w:bookmarkStart w:id="224" w:name="_Toc486167688"/>
      <w:bookmarkStart w:id="225" w:name="_Toc450662873"/>
      <w:r>
        <w:rPr>
          <w:rFonts w:hint="eastAsia" w:ascii="宋体" w:hAnsi="宋体" w:eastAsia="宋体" w:cs="宋体"/>
          <w:color w:val="000000" w:themeColor="text1"/>
          <w:szCs w:val="21"/>
          <w:highlight w:val="none"/>
          <w:lang w:val="zh-CN"/>
          <w14:textFill>
            <w14:solidFill>
              <w14:schemeClr w14:val="tx1"/>
            </w14:solidFill>
          </w14:textFill>
        </w:rPr>
        <w:t>22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开标</w:t>
      </w:r>
      <w:bookmarkEnd w:id="219"/>
      <w:bookmarkEnd w:id="220"/>
      <w:bookmarkEnd w:id="221"/>
      <w:bookmarkEnd w:id="222"/>
      <w:bookmarkEnd w:id="223"/>
      <w:bookmarkEnd w:id="224"/>
      <w:bookmarkEnd w:id="225"/>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000000" w:themeColor="text1"/>
          <w:szCs w:val="21"/>
          <w:highlight w:val="none"/>
          <w14:textFill>
            <w14:solidFill>
              <w14:schemeClr w14:val="tx1"/>
            </w14:solidFill>
          </w14:textFill>
        </w:rPr>
        <w:t>当</w:t>
      </w:r>
      <w:r>
        <w:rPr>
          <w:rFonts w:hint="eastAsia" w:ascii="宋体" w:hAnsi="宋体" w:eastAsia="宋体" w:cs="宋体"/>
          <w:color w:val="000000" w:themeColor="text1"/>
          <w:szCs w:val="21"/>
          <w:highlight w:val="none"/>
          <w:lang w:val="zh-CN"/>
          <w14:textFill>
            <w14:solidFill>
              <w14:schemeClr w14:val="tx1"/>
            </w14:solidFill>
          </w14:textFill>
        </w:rPr>
        <w:t>场核查确认之后，可重新宣读其投标文件</w:t>
      </w:r>
      <w:r>
        <w:rPr>
          <w:rFonts w:hint="eastAsia" w:ascii="宋体" w:hAnsi="宋体" w:eastAsia="宋体" w:cs="宋体"/>
          <w:color w:val="000000" w:themeColor="text1"/>
          <w:szCs w:val="21"/>
          <w:highlight w:val="none"/>
          <w14:textFill>
            <w14:solidFill>
              <w14:schemeClr w14:val="tx1"/>
            </w14:solidFill>
          </w14:textFill>
        </w:rPr>
        <w:t>相关内容</w:t>
      </w:r>
      <w:r>
        <w:rPr>
          <w:rFonts w:hint="eastAsia" w:ascii="宋体" w:hAnsi="宋体" w:eastAsia="宋体" w:cs="宋体"/>
          <w:color w:val="000000" w:themeColor="text1"/>
          <w:szCs w:val="21"/>
          <w:highlight w:val="none"/>
          <w:lang w:val="zh-CN"/>
          <w14:textFill>
            <w14:solidFill>
              <w14:schemeClr w14:val="tx1"/>
            </w14:solidFill>
          </w14:textFill>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w:t>
      </w: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 xml:space="preserve"> 招标代理机构将做开标记录，开标记录包括第22.</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000000" w:themeColor="text1"/>
          <w:kern w:val="0"/>
          <w:szCs w:val="21"/>
          <w:highlight w:val="none"/>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26" w:name="_Toc32534"/>
      <w:bookmarkStart w:id="227" w:name="_Toc161843169"/>
      <w:bookmarkStart w:id="228" w:name="_Toc486167689"/>
      <w:bookmarkStart w:id="229" w:name="_Toc12165_WPSOffice_Level3"/>
      <w:bookmarkStart w:id="230" w:name="_Toc142508339"/>
      <w:bookmarkStart w:id="231" w:name="_Toc23059"/>
      <w:bookmarkStart w:id="232" w:name="_Toc450662874"/>
      <w:r>
        <w:rPr>
          <w:rFonts w:hint="eastAsia" w:ascii="宋体" w:hAnsi="宋体" w:eastAsia="宋体" w:cs="宋体"/>
          <w:color w:val="000000" w:themeColor="text1"/>
          <w:szCs w:val="21"/>
          <w:highlight w:val="none"/>
          <w:lang w:val="zh-CN"/>
          <w14:textFill>
            <w14:solidFill>
              <w14:schemeClr w14:val="tx1"/>
            </w14:solidFill>
          </w14:textFill>
        </w:rPr>
        <w:t>23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bookmarkEnd w:id="226"/>
      <w:bookmarkEnd w:id="227"/>
      <w:bookmarkEnd w:id="228"/>
      <w:bookmarkEnd w:id="229"/>
      <w:bookmarkEnd w:id="230"/>
      <w:bookmarkEnd w:id="231"/>
      <w:bookmarkEnd w:id="232"/>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递交投标文件后，</w:t>
      </w:r>
      <w:r>
        <w:rPr>
          <w:rFonts w:hint="eastAsia" w:ascii="宋体" w:hAnsi="宋体" w:eastAsia="宋体" w:cs="Times New Roman"/>
          <w:color w:val="000000" w:themeColor="text1"/>
          <w:szCs w:val="21"/>
          <w:highlight w:val="none"/>
          <w:lang w:val="zh-CN"/>
          <w14:textFill>
            <w14:solidFill>
              <w14:schemeClr w14:val="tx1"/>
            </w14:solidFill>
          </w14:textFill>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000000" w:themeColor="text1"/>
          <w:szCs w:val="21"/>
          <w:highlight w:val="none"/>
          <w:lang w:val="zh-CN"/>
          <w14:textFill>
            <w14:solidFill>
              <w14:schemeClr w14:val="tx1"/>
            </w14:solidFill>
          </w14:textFill>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33" w:name="_Toc161843170"/>
      <w:bookmarkStart w:id="234" w:name="_Toc16920"/>
      <w:bookmarkStart w:id="235" w:name="_Toc15565_WPSOffice_Level3"/>
      <w:bookmarkStart w:id="236" w:name="_Toc486167690"/>
      <w:bookmarkStart w:id="237" w:name="_Toc450662875"/>
      <w:bookmarkStart w:id="238" w:name="_Toc800"/>
      <w:bookmarkStart w:id="239" w:name="_Toc142508340"/>
      <w:r>
        <w:rPr>
          <w:rFonts w:hint="eastAsia" w:ascii="宋体" w:hAnsi="宋体" w:eastAsia="宋体" w:cs="宋体"/>
          <w:color w:val="000000" w:themeColor="text1"/>
          <w:szCs w:val="21"/>
          <w:highlight w:val="none"/>
          <w:lang w:val="zh-CN"/>
          <w14:textFill>
            <w14:solidFill>
              <w14:schemeClr w14:val="tx1"/>
            </w14:solidFill>
          </w14:textFill>
        </w:rPr>
        <w:t>24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w:t>
      </w:r>
      <w:bookmarkEnd w:id="233"/>
      <w:bookmarkEnd w:id="234"/>
      <w:bookmarkEnd w:id="235"/>
      <w:bookmarkEnd w:id="236"/>
      <w:bookmarkEnd w:id="237"/>
      <w:bookmarkEnd w:id="238"/>
      <w:bookmarkEnd w:id="239"/>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40" w:name="_Toc18668"/>
      <w:bookmarkStart w:id="241" w:name="_Toc12715"/>
      <w:bookmarkStart w:id="242" w:name="_Toc161843171"/>
      <w:bookmarkStart w:id="243" w:name="_Toc28910_WPSOffice_Level3"/>
      <w:bookmarkStart w:id="244" w:name="_Toc142508341"/>
      <w:bookmarkStart w:id="245" w:name="_Toc486167691"/>
      <w:bookmarkStart w:id="246" w:name="_Toc450662876"/>
      <w:r>
        <w:rPr>
          <w:rFonts w:hint="eastAsia" w:ascii="宋体" w:hAnsi="宋体" w:eastAsia="宋体" w:cs="宋体"/>
          <w:color w:val="000000" w:themeColor="text1"/>
          <w:szCs w:val="21"/>
          <w:highlight w:val="none"/>
          <w:lang w:val="zh-CN"/>
          <w14:textFill>
            <w14:solidFill>
              <w14:schemeClr w14:val="tx1"/>
            </w14:solidFill>
          </w14:textFill>
        </w:rPr>
        <w:t>25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投标文件的初审</w:t>
      </w:r>
      <w:bookmarkEnd w:id="240"/>
      <w:bookmarkEnd w:id="241"/>
      <w:bookmarkEnd w:id="242"/>
      <w:bookmarkEnd w:id="243"/>
      <w:bookmarkEnd w:id="244"/>
      <w:bookmarkEnd w:id="245"/>
      <w:bookmarkEnd w:id="246"/>
    </w:p>
    <w:p>
      <w:pPr>
        <w:autoSpaceDE w:val="0"/>
        <w:autoSpaceDN w:val="0"/>
        <w:adjustRightInd w:val="0"/>
        <w:spacing w:line="360" w:lineRule="auto"/>
        <w:ind w:left="357" w:leftChars="-100"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47" w:name="_Toc30225"/>
      <w:bookmarkStart w:id="248" w:name="_Toc486167692"/>
      <w:bookmarkStart w:id="249" w:name="_Toc338_WPSOffice_Level3"/>
      <w:bookmarkStart w:id="250" w:name="_Toc142508342"/>
      <w:bookmarkStart w:id="251" w:name="_Toc450662877"/>
      <w:bookmarkStart w:id="252" w:name="_Toc4837"/>
      <w:bookmarkStart w:id="253" w:name="_Toc161843172"/>
      <w:r>
        <w:rPr>
          <w:rFonts w:hint="eastAsia" w:ascii="宋体" w:hAnsi="宋体" w:eastAsia="宋体" w:cs="宋体"/>
          <w:color w:val="000000" w:themeColor="text1"/>
          <w:szCs w:val="21"/>
          <w:highlight w:val="none"/>
          <w:lang w:val="zh-CN"/>
          <w14:textFill>
            <w14:solidFill>
              <w14:schemeClr w14:val="tx1"/>
            </w14:solidFill>
          </w14:textFill>
        </w:rPr>
        <w:t>26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投标文件的澄清</w:t>
      </w:r>
      <w:bookmarkEnd w:id="247"/>
      <w:bookmarkEnd w:id="248"/>
      <w:bookmarkEnd w:id="249"/>
      <w:bookmarkEnd w:id="250"/>
      <w:bookmarkEnd w:id="251"/>
      <w:bookmarkEnd w:id="252"/>
      <w:bookmarkEnd w:id="253"/>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bookmarkStart w:id="254" w:name="_Toc450662879"/>
      <w:r>
        <w:rPr>
          <w:rFonts w:hint="eastAsia" w:ascii="宋体" w:hAnsi="宋体" w:eastAsia="宋体" w:cs="宋体"/>
          <w:color w:val="000000" w:themeColor="text1"/>
          <w:szCs w:val="21"/>
          <w:highlight w:val="none"/>
          <w:lang w:val="zh-CN"/>
          <w14:textFill>
            <w14:solidFill>
              <w14:schemeClr w14:val="tx1"/>
            </w14:solidFill>
          </w14:textFill>
        </w:rPr>
        <w:t xml:space="preserve">26.2 </w:t>
      </w:r>
      <w:r>
        <w:rPr>
          <w:rFonts w:hint="eastAsia" w:ascii="宋体" w:hAnsi="宋体" w:eastAsia="宋体" w:cs="宋体"/>
          <w:color w:val="000000" w:themeColor="text1"/>
          <w:szCs w:val="21"/>
          <w:highlight w:val="none"/>
          <w14:textFill>
            <w14:solidFill>
              <w14:schemeClr w14:val="tx1"/>
            </w14:solidFill>
          </w14:textFill>
        </w:rPr>
        <w:t>开标当天</w:t>
      </w:r>
      <w:r>
        <w:rPr>
          <w:rFonts w:hint="eastAsia" w:ascii="宋体" w:hAnsi="宋体" w:eastAsia="宋体" w:cs="宋体"/>
          <w:color w:val="000000" w:themeColor="text1"/>
          <w:szCs w:val="21"/>
          <w:highlight w:val="none"/>
          <w:lang w:val="zh-CN"/>
          <w14:textFill>
            <w14:solidFill>
              <w14:schemeClr w14:val="tx1"/>
            </w14:solidFill>
          </w14:textFill>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p>
    <w:bookmarkEnd w:id="254"/>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55" w:name="_Toc522047355"/>
      <w:bookmarkStart w:id="256" w:name="_Toc142508343"/>
      <w:bookmarkStart w:id="257" w:name="_Toc18368_WPSOffice_Level3"/>
      <w:bookmarkStart w:id="258" w:name="_Toc521918096"/>
      <w:bookmarkStart w:id="259" w:name="_Toc161843173"/>
      <w:bookmarkStart w:id="260" w:name="_Toc10967"/>
      <w:bookmarkStart w:id="261" w:name="_Toc22065"/>
      <w:r>
        <w:rPr>
          <w:rFonts w:hint="eastAsia" w:ascii="宋体" w:hAnsi="宋体" w:eastAsia="宋体" w:cs="宋体"/>
          <w:color w:val="000000" w:themeColor="text1"/>
          <w:szCs w:val="21"/>
          <w:highlight w:val="none"/>
          <w:lang w:val="zh-CN"/>
          <w14:textFill>
            <w14:solidFill>
              <w14:schemeClr w14:val="tx1"/>
            </w14:solidFill>
          </w14:textFill>
        </w:rPr>
        <w:t>27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对投标文件的比较和评价</w:t>
      </w:r>
      <w:bookmarkEnd w:id="255"/>
      <w:bookmarkEnd w:id="256"/>
      <w:bookmarkEnd w:id="257"/>
      <w:bookmarkEnd w:id="258"/>
      <w:bookmarkEnd w:id="259"/>
      <w:bookmarkEnd w:id="260"/>
      <w:bookmarkEnd w:id="261"/>
    </w:p>
    <w:p>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评标委员会将对资格性检查和符合性检查合格的投标文件进行比较和评价，包括商务、技术的详细评审。</w:t>
      </w:r>
    </w:p>
    <w:p>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w:t>
      </w: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根据上述商务、技术综合评价的权重分配计算出各投标人的综合得分。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262" w:name="_Toc522047356"/>
      <w:bookmarkStart w:id="263" w:name="_Toc52191809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64" w:name="_Toc161843174"/>
      <w:bookmarkStart w:id="265" w:name="_Toc27026"/>
      <w:bookmarkStart w:id="266" w:name="_Toc14804"/>
      <w:bookmarkStart w:id="267" w:name="_Toc142508344"/>
      <w:bookmarkStart w:id="268" w:name="_Toc21460_WPSOffice_Level3"/>
      <w:r>
        <w:rPr>
          <w:rFonts w:hint="eastAsia" w:ascii="宋体" w:hAnsi="宋体" w:eastAsia="宋体" w:cs="宋体"/>
          <w:color w:val="000000" w:themeColor="text1"/>
          <w:szCs w:val="21"/>
          <w:highlight w:val="none"/>
          <w:lang w:val="zh-CN"/>
          <w14:textFill>
            <w14:solidFill>
              <w14:schemeClr w14:val="tx1"/>
            </w14:solidFill>
          </w14:textFill>
        </w:rPr>
        <w:t>28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评标原则及方法</w:t>
      </w:r>
      <w:bookmarkEnd w:id="262"/>
      <w:bookmarkEnd w:id="263"/>
      <w:bookmarkEnd w:id="264"/>
      <w:bookmarkEnd w:id="265"/>
      <w:bookmarkEnd w:id="266"/>
      <w:bookmarkEnd w:id="267"/>
      <w:bookmarkEnd w:id="268"/>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对所有投标文件的评审，都采用相同的程序和标准。按步骤先进行初步评审，再进行商务、技术评审。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在评标时将根据第27</w:t>
      </w:r>
      <w:r>
        <w:rPr>
          <w:rFonts w:hint="eastAsia" w:ascii="宋体" w:hAnsi="宋体" w:eastAsia="宋体" w:cs="Times New Roman"/>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szCs w:val="21"/>
          <w:highlight w:val="none"/>
          <w:lang w:val="zh-CN"/>
          <w14:textFill>
            <w14:solidFill>
              <w14:schemeClr w14:val="tx1"/>
            </w14:solidFill>
          </w14:textFill>
        </w:rPr>
        <w:t>，采用综合评分法的评审方法，对所有实质响应性投标文件进行综合打分。</w:t>
      </w:r>
    </w:p>
    <w:p>
      <w:pPr>
        <w:autoSpaceDE w:val="0"/>
        <w:autoSpaceDN w:val="0"/>
        <w:adjustRightInd w:val="0"/>
        <w:spacing w:line="360" w:lineRule="auto"/>
        <w:ind w:left="441" w:leftChars="-60"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28.3 </w:t>
      </w:r>
      <w:r>
        <w:rPr>
          <w:rFonts w:hint="eastAsia" w:ascii="宋体" w:hAnsi="宋体" w:eastAsia="宋体" w:cs="宋体"/>
          <w:b/>
          <w:bCs/>
          <w:color w:val="000000" w:themeColor="text1"/>
          <w:szCs w:val="21"/>
          <w:highlight w:val="none"/>
          <w:lang w:val="zh-CN"/>
          <w14:textFill>
            <w14:solidFill>
              <w14:schemeClr w14:val="tx1"/>
            </w14:solidFill>
          </w14:textFill>
        </w:rPr>
        <w:t>若</w:t>
      </w:r>
      <w:r>
        <w:rPr>
          <w:rFonts w:hint="eastAsia" w:ascii="宋体" w:hAnsi="宋体" w:eastAsia="宋体" w:cs="宋体"/>
          <w:b/>
          <w:bCs/>
          <w:color w:val="000000" w:themeColor="text1"/>
          <w:szCs w:val="21"/>
          <w:highlight w:val="none"/>
          <w14:textFill>
            <w14:solidFill>
              <w14:schemeClr w14:val="tx1"/>
            </w14:solidFill>
          </w14:textFill>
        </w:rPr>
        <w:t>本次招标过程中有效投标人不足三个时，公开招标失败。</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69" w:name="_Toc161843175"/>
      <w:bookmarkStart w:id="270" w:name="_Toc466882017"/>
      <w:bookmarkStart w:id="271" w:name="_Toc486167694"/>
      <w:bookmarkStart w:id="272" w:name="_Toc11615"/>
      <w:bookmarkStart w:id="273" w:name="_Toc4819"/>
      <w:bookmarkStart w:id="274" w:name="_Toc142508345"/>
      <w:bookmarkStart w:id="275" w:name="_Toc465358969"/>
      <w:bookmarkStart w:id="276" w:name="_Toc32498_WPSOffice_Level3"/>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w:t>
      </w:r>
      <w:r>
        <w:rPr>
          <w:rFonts w:hint="eastAsia" w:ascii="宋体" w:hAnsi="宋体" w:eastAsia="宋体" w:cs="Times New Roman"/>
          <w:color w:val="000000" w:themeColor="text1"/>
          <w:szCs w:val="21"/>
          <w:highlight w:val="none"/>
          <w:lang w:val="zh-CN"/>
          <w14:textFill>
            <w14:solidFill>
              <w14:schemeClr w14:val="tx1"/>
            </w14:solidFill>
          </w14:textFill>
        </w:rPr>
        <w:t>示</w:t>
      </w:r>
      <w:r>
        <w:rPr>
          <w:rFonts w:hint="eastAsia" w:ascii="宋体" w:hAnsi="宋体" w:eastAsia="宋体" w:cs="宋体"/>
          <w:color w:val="000000" w:themeColor="text1"/>
          <w:szCs w:val="21"/>
          <w:highlight w:val="none"/>
          <w:lang w:val="zh-CN"/>
          <w14:textFill>
            <w14:solidFill>
              <w14:schemeClr w14:val="tx1"/>
            </w14:solidFill>
          </w14:textFill>
        </w:rPr>
        <w:t>及异议、投诉</w:t>
      </w:r>
      <w:bookmarkEnd w:id="269"/>
      <w:bookmarkEnd w:id="270"/>
      <w:bookmarkEnd w:id="271"/>
      <w:bookmarkEnd w:id="272"/>
      <w:bookmarkEnd w:id="273"/>
      <w:bookmarkEnd w:id="274"/>
      <w:bookmarkEnd w:id="275"/>
      <w:bookmarkEnd w:id="276"/>
    </w:p>
    <w:p>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招标代理机构在招标公告发布媒介公示中标候选人，公示期为3日。投标人或者其他利害关系人对评标结果有异议的，应当在</w:t>
      </w:r>
      <w:r>
        <w:rPr>
          <w:rFonts w:hint="eastAsia" w:ascii="宋体" w:hAnsi="宋体" w:eastAsia="宋体" w:cs="Times New Roman"/>
          <w:color w:val="000000" w:themeColor="text1"/>
          <w:szCs w:val="21"/>
          <w:highlight w:val="none"/>
          <w14:textFill>
            <w14:solidFill>
              <w14:schemeClr w14:val="tx1"/>
            </w14:solidFill>
          </w14:textFill>
        </w:rPr>
        <w:t>评标结果</w:t>
      </w:r>
      <w:r>
        <w:rPr>
          <w:rFonts w:hint="eastAsia" w:ascii="宋体" w:hAnsi="宋体" w:eastAsia="宋体" w:cs="Times New Roman"/>
          <w:color w:val="000000" w:themeColor="text1"/>
          <w:szCs w:val="21"/>
          <w:highlight w:val="none"/>
          <w:lang w:val="zh-CN"/>
          <w14:textFill>
            <w14:solidFill>
              <w14:schemeClr w14:val="tx1"/>
            </w14:solidFill>
          </w14:textFill>
        </w:rPr>
        <w:t>公示期间向招标代理机构以书面的形式提出，</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将完整的异议书面材料原件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对评标结果无异议。超出提交异议截止时间而提出的任何疑问，招标代理机构可不予答复</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招标代理机构将拒收未能提供完整异议书面材料的异议，完整的异议书面材料必须同时包含：异议书（加盖法人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，并注明联系人、联系电话、联系地址）、授权提交异议的法定代表人授权书原件、反映异议人主体资格的营业执照复印件（加盖法人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）、以及合法来源的证据证明材料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pPr>
        <w:autoSpaceDE w:val="0"/>
        <w:autoSpaceDN w:val="0"/>
        <w:adjustRightInd w:val="0"/>
        <w:spacing w:line="360" w:lineRule="auto"/>
        <w:ind w:left="248" w:hanging="56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 xml:space="preserve">29.2 </w:t>
      </w:r>
      <w:r>
        <w:rPr>
          <w:rFonts w:hint="eastAsia" w:ascii="宋体" w:hAnsi="宋体" w:eastAsia="宋体" w:cs="Times New Roman"/>
          <w:b/>
          <w:color w:val="000000" w:themeColor="text1"/>
          <w:szCs w:val="21"/>
          <w:highlight w:val="none"/>
          <w:lang w:val="zh-CN"/>
          <w14:textFill>
            <w14:solidFill>
              <w14:schemeClr w14:val="tx1"/>
            </w14:solidFill>
          </w14:textFill>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000000" w:themeColor="text1"/>
          <w:szCs w:val="21"/>
          <w:highlight w:val="none"/>
          <w:lang w:val="zh-CN"/>
          <w14:textFill>
            <w14:solidFill>
              <w14:schemeClr w14:val="tx1"/>
            </w14:solidFill>
          </w14:textFill>
        </w:rPr>
        <w:t>移交司法机关处理</w:t>
      </w:r>
      <w:r>
        <w:rPr>
          <w:rFonts w:hint="eastAsia" w:ascii="宋体" w:hAnsi="宋体" w:eastAsia="宋体" w:cs="Times New Roman"/>
          <w:b/>
          <w:color w:val="000000" w:themeColor="text1"/>
          <w:szCs w:val="21"/>
          <w:highlight w:val="none"/>
          <w:lang w:val="zh-CN"/>
          <w14:textFill>
            <w14:solidFill>
              <w14:schemeClr w14:val="tx1"/>
            </w14:solidFill>
          </w14:textFill>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000000" w:themeColor="text1"/>
          <w:kern w:val="0"/>
          <w:szCs w:val="21"/>
          <w:highlight w:val="none"/>
          <w14:textFill>
            <w14:solidFill>
              <w14:schemeClr w14:val="tx1"/>
            </w14:solidFill>
          </w14:textFill>
        </w:rPr>
        <w:t>第一中标候选人未能在招标人（或其委托的招标代理机构</w:t>
      </w:r>
      <w:r>
        <w:rPr>
          <w:rFonts w:ascii="宋体" w:hAnsi="宋体" w:eastAsia="宋体" w:cs="Times New Roman"/>
          <w:b/>
          <w:color w:val="000000" w:themeColor="text1"/>
          <w:kern w:val="0"/>
          <w:szCs w:val="21"/>
          <w:highlight w:val="none"/>
          <w14:textFill>
            <w14:solidFill>
              <w14:schemeClr w14:val="tx1"/>
            </w14:solidFill>
          </w14:textFill>
        </w:rPr>
        <w:t>) 书面要求的时间(一般不少于三个工作日) 内提供完整的材料原件进行核查的</w:t>
      </w:r>
      <w:r>
        <w:rPr>
          <w:rFonts w:hint="eastAsia" w:ascii="宋体" w:hAnsi="宋体" w:eastAsia="宋体" w:cs="Times New Roman"/>
          <w:b/>
          <w:color w:val="000000" w:themeColor="text1"/>
          <w:szCs w:val="21"/>
          <w:highlight w:val="none"/>
          <w:lang w:val="zh-CN"/>
          <w14:textFill>
            <w14:solidFill>
              <w14:schemeClr w14:val="tx1"/>
            </w14:solidFill>
          </w14:textFill>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000000" w:themeColor="text1"/>
          <w:szCs w:val="21"/>
          <w:highlight w:val="none"/>
          <w:lang w:val="zh-CN"/>
          <w14:textFill>
            <w14:solidFill>
              <w14:schemeClr w14:val="tx1"/>
            </w14:solidFill>
          </w14:textFill>
        </w:rPr>
      </w:pPr>
      <w:bookmarkStart w:id="277" w:name="_Toc142508346"/>
      <w:bookmarkStart w:id="278" w:name="_Toc465358970"/>
      <w:bookmarkStart w:id="279" w:name="_Toc466882018"/>
      <w:bookmarkStart w:id="280" w:name="_Toc3154"/>
      <w:bookmarkStart w:id="281" w:name="_Toc26354"/>
      <w:bookmarkStart w:id="282" w:name="_Toc486167695"/>
      <w:bookmarkStart w:id="283" w:name="_Toc161843176"/>
      <w:bookmarkStart w:id="284" w:name="_Toc1848_WPSOffice_Level3"/>
      <w:r>
        <w:rPr>
          <w:rFonts w:hint="eastAsia" w:ascii="宋体" w:hAnsi="宋体" w:eastAsia="宋体" w:cs="宋体"/>
          <w:color w:val="000000" w:themeColor="text1"/>
          <w:szCs w:val="21"/>
          <w:highlight w:val="none"/>
          <w:lang w:val="zh-CN"/>
          <w14:textFill>
            <w14:solidFill>
              <w14:schemeClr w14:val="tx1"/>
            </w14:solidFill>
          </w14:textFill>
        </w:rPr>
        <w:t>30 真实性审查</w:t>
      </w:r>
      <w:bookmarkEnd w:id="277"/>
      <w:bookmarkEnd w:id="278"/>
      <w:bookmarkEnd w:id="279"/>
      <w:bookmarkEnd w:id="280"/>
      <w:bookmarkEnd w:id="281"/>
      <w:bookmarkEnd w:id="282"/>
      <w:bookmarkEnd w:id="283"/>
      <w:bookmarkEnd w:id="284"/>
    </w:p>
    <w:p>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30.1 在</w:t>
      </w:r>
      <w:r>
        <w:rPr>
          <w:rFonts w:hint="eastAsia" w:ascii="宋体" w:hAnsi="宋体" w:eastAsia="宋体" w:cs="Times New Roman"/>
          <w:b/>
          <w:color w:val="000000" w:themeColor="text1"/>
          <w:kern w:val="0"/>
          <w:szCs w:val="21"/>
          <w:highlight w:val="none"/>
          <w14:textFill>
            <w14:solidFill>
              <w14:schemeClr w14:val="tx1"/>
            </w14:solidFill>
          </w14:textFill>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000000" w:themeColor="text1"/>
          <w:szCs w:val="21"/>
          <w:highlight w:val="none"/>
          <w:lang w:val="zh-CN"/>
          <w14:textFill>
            <w14:solidFill>
              <w14:schemeClr w14:val="tx1"/>
            </w14:solidFill>
          </w14:textFill>
        </w:rPr>
        <w:t>如有需要，投标人有义务提供投标文件外其他相关证明资料原件（包括但不限于业绩合同对应的发票等）供招标人核查。</w:t>
      </w:r>
      <w:r>
        <w:rPr>
          <w:rFonts w:hint="eastAsia" w:ascii="宋体" w:hAnsi="宋体" w:eastAsia="宋体" w:cs="Times New Roman"/>
          <w:b/>
          <w:color w:val="000000" w:themeColor="text1"/>
          <w:kern w:val="0"/>
          <w:szCs w:val="21"/>
          <w:highlight w:val="none"/>
          <w14:textFill>
            <w14:solidFill>
              <w14:schemeClr w14:val="tx1"/>
            </w14:solidFill>
          </w14:textFill>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30.2 投标人</w:t>
      </w:r>
      <w:r>
        <w:rPr>
          <w:rFonts w:hint="eastAsia" w:ascii="宋体" w:hAnsi="宋体" w:eastAsia="宋体" w:cs="Times New Roman"/>
          <w:b/>
          <w:color w:val="000000" w:themeColor="text1"/>
          <w:kern w:val="0"/>
          <w:szCs w:val="21"/>
          <w:highlight w:val="none"/>
          <w14:textFill>
            <w14:solidFill>
              <w14:schemeClr w14:val="tx1"/>
            </w14:solidFill>
          </w14:textFill>
        </w:rPr>
        <w:t>在招标人（或其委托的招标代理机构）、或评标委员会通知其提供</w:t>
      </w:r>
      <w:r>
        <w:rPr>
          <w:rFonts w:hint="eastAsia" w:ascii="宋体" w:hAnsi="宋体" w:eastAsia="宋体" w:cs="Times New Roman"/>
          <w:b/>
          <w:color w:val="000000" w:themeColor="text1"/>
          <w:szCs w:val="21"/>
          <w:highlight w:val="none"/>
          <w:lang w:val="zh-CN"/>
          <w14:textFill>
            <w14:solidFill>
              <w14:schemeClr w14:val="tx1"/>
            </w14:solidFill>
          </w14:textFill>
        </w:rPr>
        <w:t>上述投标文件或投标文件外其他相关（包括但不限于业绩合同对应的发票等）的证明资料原件</w:t>
      </w:r>
      <w:r>
        <w:rPr>
          <w:rFonts w:hint="eastAsia" w:ascii="宋体" w:hAnsi="宋体" w:eastAsia="宋体" w:cs="Times New Roman"/>
          <w:b/>
          <w:color w:val="000000" w:themeColor="text1"/>
          <w:kern w:val="0"/>
          <w:szCs w:val="21"/>
          <w:highlight w:val="none"/>
          <w14:textFill>
            <w14:solidFill>
              <w14:schemeClr w14:val="tx1"/>
            </w14:solidFill>
          </w14:textFill>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30.3 若投标人在投标或履约过程中存在提供虚假材料、</w:t>
      </w:r>
      <w:r>
        <w:rPr>
          <w:rFonts w:ascii="宋体" w:hAnsi="宋体" w:eastAsia="宋体" w:cs="宋体"/>
          <w:b/>
          <w:color w:val="000000" w:themeColor="text1"/>
          <w:szCs w:val="21"/>
          <w:highlight w:val="none"/>
          <w14:textFill>
            <w14:solidFill>
              <w14:schemeClr w14:val="tx1"/>
            </w14:solidFill>
          </w14:textFill>
        </w:rPr>
        <w:t>虚假响应</w:t>
      </w:r>
      <w:r>
        <w:rPr>
          <w:rFonts w:hint="eastAsia" w:ascii="宋体" w:hAnsi="宋体" w:eastAsia="宋体" w:cs="宋体"/>
          <w:b/>
          <w:color w:val="000000" w:themeColor="text1"/>
          <w:szCs w:val="21"/>
          <w:highlight w:val="none"/>
          <w14:textFill>
            <w14:solidFill>
              <w14:schemeClr w14:val="tx1"/>
            </w14:solidFill>
          </w14:textFill>
        </w:rPr>
        <w:t>招标</w:t>
      </w:r>
      <w:r>
        <w:rPr>
          <w:rFonts w:ascii="宋体" w:hAnsi="宋体" w:eastAsia="宋体" w:cs="宋体"/>
          <w:b/>
          <w:color w:val="000000" w:themeColor="text1"/>
          <w:szCs w:val="21"/>
          <w:highlight w:val="none"/>
          <w14:textFill>
            <w14:solidFill>
              <w14:schemeClr w14:val="tx1"/>
            </w14:solidFill>
          </w14:textFill>
        </w:rPr>
        <w:t>文件</w:t>
      </w:r>
      <w:r>
        <w:rPr>
          <w:rFonts w:hint="eastAsia" w:ascii="宋体" w:hAnsi="宋体" w:eastAsia="宋体" w:cs="宋体"/>
          <w:b/>
          <w:color w:val="000000" w:themeColor="text1"/>
          <w:szCs w:val="21"/>
          <w:highlight w:val="none"/>
          <w14:textFill>
            <w14:solidFill>
              <w14:schemeClr w14:val="tx1"/>
            </w14:solidFill>
          </w14:textFill>
        </w:rPr>
        <w:t>要求等弄虚作假行为，或未能根据本须知2</w:t>
      </w:r>
      <w:r>
        <w:rPr>
          <w:rFonts w:ascii="宋体" w:hAnsi="宋体" w:eastAsia="宋体" w:cs="宋体"/>
          <w:b/>
          <w:color w:val="000000" w:themeColor="text1"/>
          <w:szCs w:val="21"/>
          <w:highlight w:val="none"/>
          <w14:textFill>
            <w14:solidFill>
              <w14:schemeClr w14:val="tx1"/>
            </w14:solidFill>
          </w14:textFill>
        </w:rPr>
        <w:t>9.2</w:t>
      </w:r>
      <w:r>
        <w:rPr>
          <w:rFonts w:hint="eastAsia" w:ascii="宋体" w:hAnsi="宋体" w:eastAsia="宋体" w:cs="宋体"/>
          <w:b/>
          <w:color w:val="000000" w:themeColor="text1"/>
          <w:szCs w:val="21"/>
          <w:highlight w:val="none"/>
          <w14:textFill>
            <w14:solidFill>
              <w14:schemeClr w14:val="tx1"/>
            </w14:solidFill>
          </w14:textFill>
        </w:rPr>
        <w:t>款约定按时提供原件进行核查的，</w:t>
      </w:r>
      <w:r>
        <w:rPr>
          <w:rFonts w:ascii="宋体" w:hAnsi="宋体" w:eastAsia="宋体" w:cs="宋体"/>
          <w:b/>
          <w:color w:val="000000" w:themeColor="text1"/>
          <w:szCs w:val="21"/>
          <w:highlight w:val="none"/>
          <w14:textFill>
            <w14:solidFill>
              <w14:schemeClr w14:val="tx1"/>
            </w14:solidFill>
          </w14:textFill>
        </w:rPr>
        <w:t>或不按照投标文件承诺履约</w:t>
      </w:r>
      <w:r>
        <w:rPr>
          <w:rFonts w:hint="eastAsia" w:ascii="宋体" w:hAnsi="宋体" w:eastAsia="宋体" w:cs="宋体"/>
          <w:b/>
          <w:color w:val="000000" w:themeColor="text1"/>
          <w:szCs w:val="21"/>
          <w:highlight w:val="none"/>
          <w14:textFill>
            <w14:solidFill>
              <w14:schemeClr w14:val="tx1"/>
            </w14:solidFill>
          </w14:textFill>
        </w:rPr>
        <w:t>或撤回投标或放弃中标资格或</w:t>
      </w:r>
      <w:r>
        <w:rPr>
          <w:rFonts w:ascii="宋体" w:hAnsi="宋体" w:eastAsia="宋体" w:cs="宋体"/>
          <w:b/>
          <w:color w:val="000000" w:themeColor="text1"/>
          <w:szCs w:val="21"/>
          <w:highlight w:val="none"/>
          <w14:textFill>
            <w14:solidFill>
              <w14:schemeClr w14:val="tx1"/>
            </w14:solidFill>
          </w14:textFill>
        </w:rPr>
        <w:t>不按要求与招标人签订合同等影响中标结果的行为</w:t>
      </w:r>
      <w:r>
        <w:rPr>
          <w:rFonts w:hint="eastAsia" w:ascii="宋体" w:hAnsi="宋体" w:eastAsia="宋体" w:cs="宋体"/>
          <w:b/>
          <w:color w:val="000000" w:themeColor="text1"/>
          <w:szCs w:val="21"/>
          <w:highlight w:val="none"/>
          <w14:textFill>
            <w14:solidFill>
              <w14:schemeClr w14:val="tx1"/>
            </w14:solidFill>
          </w14:textFill>
        </w:rPr>
        <w:t>，因此导致投标人无法参与东莞市水务集团有限公司相关招标采购等活动的，由投标人自行承担全部后果。</w:t>
      </w:r>
    </w:p>
    <w:p>
      <w:pPr>
        <w:autoSpaceDE w:val="0"/>
        <w:autoSpaceDN w:val="0"/>
        <w:adjustRightInd w:val="0"/>
        <w:snapToGrid w:val="0"/>
        <w:spacing w:line="360" w:lineRule="auto"/>
        <w:ind w:left="247"/>
        <w:jc w:val="left"/>
        <w:rPr>
          <w:rFonts w:ascii="宋体" w:hAnsi="宋体" w:eastAsia="宋体" w:cs="宋体"/>
          <w:color w:val="000000" w:themeColor="text1"/>
          <w:szCs w:val="21"/>
          <w:highlight w:val="none"/>
          <w14:textFill>
            <w14:solidFill>
              <w14:schemeClr w14:val="tx1"/>
            </w14:solidFill>
          </w14:textFill>
        </w:rPr>
      </w:pPr>
      <w:bookmarkStart w:id="285" w:name="_Toc466882019"/>
      <w:bookmarkStart w:id="286" w:name="_Toc465358971"/>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000000" w:themeColor="text1"/>
          <w:szCs w:val="21"/>
          <w:highlight w:val="none"/>
          <w:lang w:val="zh-CN"/>
          <w14:textFill>
            <w14:solidFill>
              <w14:schemeClr w14:val="tx1"/>
            </w14:solidFill>
          </w14:textFill>
        </w:rPr>
      </w:pPr>
      <w:bookmarkStart w:id="287" w:name="_Toc142508347"/>
      <w:bookmarkStart w:id="288" w:name="_Toc486167696"/>
      <w:bookmarkStart w:id="289" w:name="_Toc23672"/>
      <w:bookmarkStart w:id="290" w:name="_Toc8654"/>
      <w:bookmarkStart w:id="291" w:name="_Toc10867_WPSOffice_Level3"/>
      <w:bookmarkStart w:id="292" w:name="_Toc161843177"/>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bookmarkEnd w:id="285"/>
      <w:bookmarkEnd w:id="286"/>
      <w:bookmarkEnd w:id="287"/>
      <w:bookmarkEnd w:id="288"/>
      <w:bookmarkEnd w:id="289"/>
      <w:bookmarkEnd w:id="290"/>
      <w:bookmarkEnd w:id="291"/>
      <w:bookmarkEnd w:id="292"/>
    </w:p>
    <w:p>
      <w:pPr>
        <w:autoSpaceDE w:val="0"/>
        <w:autoSpaceDN w:val="0"/>
        <w:adjustRightInd w:val="0"/>
        <w:spacing w:line="360" w:lineRule="auto"/>
        <w:ind w:left="248" w:leftChars="118" w:firstLine="1"/>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000000" w:themeColor="text1"/>
          <w:kern w:val="44"/>
          <w:sz w:val="24"/>
          <w:szCs w:val="24"/>
          <w:highlight w:val="none"/>
          <w:lang w:val="zh-CN"/>
          <w14:textFill>
            <w14:solidFill>
              <w14:schemeClr w14:val="tx1"/>
            </w14:solidFill>
          </w14:textFill>
        </w:rPr>
      </w:pPr>
      <w:bookmarkStart w:id="293" w:name="_Toc450662880"/>
    </w:p>
    <w:p>
      <w:pPr>
        <w:keepNext/>
        <w:keepLines/>
        <w:autoSpaceDE w:val="0"/>
        <w:autoSpaceDN w:val="0"/>
        <w:adjustRightInd w:val="0"/>
        <w:spacing w:line="360" w:lineRule="auto"/>
        <w:ind w:left="247"/>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94" w:name="_Toc486167697"/>
      <w:bookmarkStart w:id="295" w:name="_Toc140596907"/>
      <w:bookmarkStart w:id="296" w:name="_Toc16848_WPSOffice_Level2"/>
      <w:bookmarkStart w:id="297" w:name="_Toc161843178"/>
      <w:bookmarkStart w:id="298" w:name="_Toc142508348"/>
      <w:bookmarkStart w:id="299" w:name="_Toc16789"/>
      <w:bookmarkStart w:id="300" w:name="_Toc27936"/>
      <w:r>
        <w:rPr>
          <w:rFonts w:hint="eastAsia" w:ascii="宋体" w:hAnsi="宋体" w:eastAsia="宋体" w:cs="宋体"/>
          <w:b/>
          <w:bCs/>
          <w:color w:val="000000" w:themeColor="text1"/>
          <w:kern w:val="44"/>
          <w:szCs w:val="21"/>
          <w:highlight w:val="none"/>
          <w:lang w:val="zh-CN"/>
          <w14:textFill>
            <w14:solidFill>
              <w14:schemeClr w14:val="tx1"/>
            </w14:solidFill>
          </w14:textFill>
        </w:rPr>
        <w:t>六、授予合同</w:t>
      </w:r>
      <w:bookmarkEnd w:id="293"/>
      <w:bookmarkEnd w:id="294"/>
      <w:bookmarkEnd w:id="295"/>
      <w:bookmarkEnd w:id="296"/>
      <w:bookmarkEnd w:id="297"/>
      <w:bookmarkEnd w:id="298"/>
      <w:bookmarkEnd w:id="299"/>
      <w:bookmarkEnd w:id="300"/>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01" w:name="_Toc161843179"/>
      <w:bookmarkStart w:id="302" w:name="_Toc29383"/>
      <w:bookmarkStart w:id="303" w:name="_Toc31713"/>
      <w:bookmarkStart w:id="304" w:name="_Toc486167698"/>
      <w:bookmarkStart w:id="305" w:name="_Toc6401_WPSOffice_Level3"/>
      <w:bookmarkStart w:id="306" w:name="_Toc450662881"/>
      <w:bookmarkStart w:id="307" w:name="_Toc142508349"/>
      <w:r>
        <w:rPr>
          <w:rFonts w:hint="eastAsia" w:ascii="宋体" w:hAnsi="宋体" w:eastAsia="宋体" w:cs="宋体"/>
          <w:color w:val="000000" w:themeColor="text1"/>
          <w:szCs w:val="21"/>
          <w:highlight w:val="none"/>
          <w14:textFill>
            <w14:solidFill>
              <w14:schemeClr w14:val="tx1"/>
            </w14:solidFill>
          </w14:textFill>
        </w:rPr>
        <w:t>32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授予合同的准则</w:t>
      </w:r>
      <w:bookmarkEnd w:id="301"/>
      <w:bookmarkEnd w:id="302"/>
      <w:bookmarkEnd w:id="303"/>
      <w:bookmarkEnd w:id="304"/>
      <w:bookmarkEnd w:id="305"/>
      <w:bookmarkEnd w:id="306"/>
      <w:bookmarkEnd w:id="307"/>
    </w:p>
    <w:p>
      <w:pPr>
        <w:tabs>
          <w:tab w:val="left" w:pos="645"/>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除第29条、30条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32.2 招标人依法</w:t>
      </w:r>
      <w:r>
        <w:rPr>
          <w:rFonts w:hint="eastAsia" w:ascii="宋体" w:hAnsi="宋体" w:eastAsia="宋体" w:cs="宋体"/>
          <w:color w:val="000000" w:themeColor="text1"/>
          <w:kern w:val="0"/>
          <w:szCs w:val="21"/>
          <w:highlight w:val="none"/>
          <w14:textFill>
            <w14:solidFill>
              <w14:schemeClr w14:val="tx1"/>
            </w14:solidFill>
          </w14:textFill>
        </w:rPr>
        <w:t>按照评标报告中推荐的中标候选人顺序</w:t>
      </w:r>
      <w:r>
        <w:rPr>
          <w:rFonts w:hint="eastAsia" w:ascii="宋体" w:hAnsi="宋体" w:eastAsia="宋体" w:cs="宋体"/>
          <w:color w:val="000000" w:themeColor="text1"/>
          <w:szCs w:val="21"/>
          <w:highlight w:val="none"/>
          <w:lang w:val="zh-CN"/>
          <w14:textFill>
            <w14:solidFill>
              <w14:schemeClr w14:val="tx1"/>
            </w14:solidFill>
          </w14:textFill>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08" w:name="_Toc450662885"/>
    </w:p>
    <w:p>
      <w:pPr>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09" w:name="_Toc486167699"/>
      <w:bookmarkStart w:id="310" w:name="_Toc161843180"/>
      <w:bookmarkStart w:id="311" w:name="_Toc6726_WPSOffice_Level3"/>
      <w:bookmarkStart w:id="312" w:name="_Toc18984"/>
      <w:bookmarkStart w:id="313" w:name="_Toc142508350"/>
      <w:bookmarkStart w:id="314" w:name="_Toc8196"/>
      <w:r>
        <w:rPr>
          <w:rFonts w:hint="eastAsia" w:ascii="宋体" w:hAnsi="宋体" w:eastAsia="宋体" w:cs="宋体"/>
          <w:color w:val="000000" w:themeColor="text1"/>
          <w:szCs w:val="21"/>
          <w:highlight w:val="none"/>
          <w:lang w:val="zh-CN"/>
          <w14:textFill>
            <w14:solidFill>
              <w14:schemeClr w14:val="tx1"/>
            </w14:solidFill>
          </w14:textFill>
        </w:rPr>
        <w:t>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中标通知</w:t>
      </w:r>
      <w:bookmarkEnd w:id="308"/>
      <w:bookmarkEnd w:id="309"/>
      <w:bookmarkEnd w:id="310"/>
      <w:bookmarkEnd w:id="311"/>
      <w:bookmarkEnd w:id="312"/>
      <w:bookmarkEnd w:id="313"/>
      <w:bookmarkEnd w:id="314"/>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15" w:name="_Toc450662886"/>
      <w:r>
        <w:rPr>
          <w:rFonts w:hint="eastAsia" w:ascii="宋体" w:hAnsi="宋体" w:eastAsia="宋体" w:cs="宋体"/>
          <w:color w:val="000000" w:themeColor="text1"/>
          <w:szCs w:val="21"/>
          <w:highlight w:val="none"/>
          <w:lang w:val="zh-CN"/>
          <w14:textFill>
            <w14:solidFill>
              <w14:schemeClr w14:val="tx1"/>
            </w14:solidFill>
          </w14:textFill>
        </w:rPr>
        <w:t>33.1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16" w:name="_Toc486167700"/>
      <w:bookmarkStart w:id="317" w:name="_Toc19127"/>
      <w:bookmarkStart w:id="318" w:name="_Toc161843181"/>
      <w:bookmarkStart w:id="319" w:name="_Toc142508351"/>
      <w:bookmarkStart w:id="320" w:name="_Toc28020"/>
      <w:bookmarkStart w:id="321" w:name="_Toc9694_WPSOffice_Level3"/>
      <w:r>
        <w:rPr>
          <w:rFonts w:hint="eastAsia" w:ascii="宋体" w:hAnsi="宋体" w:eastAsia="宋体" w:cs="宋体"/>
          <w:color w:val="000000" w:themeColor="text1"/>
          <w:szCs w:val="21"/>
          <w:highlight w:val="none"/>
          <w14:textFill>
            <w14:solidFill>
              <w14:schemeClr w14:val="tx1"/>
            </w14:solidFill>
          </w14:textFill>
        </w:rPr>
        <w:t>34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签署合同</w:t>
      </w:r>
      <w:bookmarkEnd w:id="315"/>
      <w:bookmarkEnd w:id="316"/>
      <w:bookmarkEnd w:id="317"/>
      <w:bookmarkEnd w:id="318"/>
      <w:bookmarkEnd w:id="319"/>
      <w:bookmarkEnd w:id="320"/>
      <w:bookmarkEnd w:id="321"/>
    </w:p>
    <w:p>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000000" w:themeColor="text1"/>
          <w:szCs w:val="21"/>
          <w:highlight w:val="none"/>
          <w:lang w:val="zh-CN"/>
          <w14:textFill>
            <w14:solidFill>
              <w14:schemeClr w14:val="tx1"/>
            </w14:solidFill>
          </w14:textFill>
        </w:rPr>
        <w:t>。</w:t>
      </w:r>
    </w:p>
    <w:p>
      <w:pPr>
        <w:tabs>
          <w:tab w:val="left" w:pos="540"/>
        </w:tabs>
        <w:autoSpaceDE w:val="0"/>
        <w:autoSpaceDN w:val="0"/>
        <w:adjustRightInd w:val="0"/>
        <w:spacing w:line="360" w:lineRule="auto"/>
        <w:ind w:left="330" w:leftChars="-100" w:right="15" w:rightChars="7" w:hanging="54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 本项目中标人分别与招标人（东莞市水务集团有限公司）、招标人权属子公司（东莞市水务集团实业发展有限公司、东莞市水务集团科技发展有限公司）、招标人权属子公司的分公司（东莞市水务集团供水有限公司长安分公司）签署合同（即在招标文件提供的合同格式基础上，根据投标文件的响应内容分别与中标人签署四个单项合同），招标人及招标人权属子公司、招标人权属子公司的分公司有权要求中标人分别办理单项合同履约担保。</w:t>
      </w:r>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22" w:name="_Toc450662887"/>
      <w:bookmarkStart w:id="323" w:name="_Toc5304"/>
      <w:bookmarkStart w:id="324" w:name="_Toc161843182"/>
      <w:bookmarkStart w:id="325" w:name="_Toc10513_WPSOffice_Level3"/>
      <w:bookmarkStart w:id="326" w:name="_Toc8181"/>
      <w:bookmarkStart w:id="327" w:name="_Toc142508352"/>
      <w:bookmarkStart w:id="328" w:name="_Toc486167701"/>
      <w:r>
        <w:rPr>
          <w:rFonts w:hint="eastAsia" w:ascii="宋体" w:hAnsi="宋体" w:eastAsia="宋体" w:cs="宋体"/>
          <w:color w:val="000000" w:themeColor="text1"/>
          <w:szCs w:val="21"/>
          <w:highlight w:val="none"/>
          <w14:textFill>
            <w14:solidFill>
              <w14:schemeClr w14:val="tx1"/>
            </w14:solidFill>
          </w14:textFill>
        </w:rPr>
        <w:t>35</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履约担保</w:t>
      </w:r>
      <w:bookmarkEnd w:id="322"/>
      <w:bookmarkEnd w:id="323"/>
      <w:bookmarkEnd w:id="324"/>
      <w:bookmarkEnd w:id="325"/>
      <w:bookmarkEnd w:id="326"/>
      <w:bookmarkEnd w:id="327"/>
      <w:bookmarkEnd w:id="328"/>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Times New Roman"/>
          <w:color w:val="000000" w:themeColor="text1"/>
          <w:szCs w:val="21"/>
          <w:highlight w:val="none"/>
          <w:u w:val="single"/>
          <w:lang w:val="zh-CN"/>
          <w14:textFill>
            <w14:solidFill>
              <w14:schemeClr w14:val="tx1"/>
            </w14:solidFill>
          </w14:textFill>
        </w:rPr>
      </w:pPr>
      <w:bookmarkStart w:id="329" w:name="_Toc466882025"/>
      <w:bookmarkStart w:id="330" w:name="_Toc465358977"/>
      <w:r>
        <w:rPr>
          <w:rFonts w:hint="eastAsia" w:ascii="宋体" w:hAnsi="宋体" w:eastAsia="宋体" w:cs="宋体"/>
          <w:bCs/>
          <w:color w:val="000000" w:themeColor="text1"/>
          <w:szCs w:val="21"/>
          <w:highlight w:val="none"/>
          <w14:textFill>
            <w14:solidFill>
              <w14:schemeClr w14:val="tx1"/>
            </w14:solidFill>
          </w14:textFill>
        </w:rPr>
        <w:t>35</w:t>
      </w:r>
      <w:r>
        <w:rPr>
          <w:rFonts w:hint="eastAsia" w:ascii="宋体" w:hAnsi="宋体" w:eastAsia="宋体" w:cs="宋体"/>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签订合同前，按本招标文件规定金额及形式要求，向招标人及招标人权属子公司、招标人权属子公司的分公司提交不可撤销银行履约保函（或履约保证金或履约保证保险或担保公司履约担保书），作为履约担保（所需费用由中标人自行承担），否则招标人可取消中标人的中标资格，不予退还其投标保证金。其中，中标人应在与东莞市水务集团有限公司签订合同前，向其提交履约保证金（银行转账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柒万捌仟叁佰元整，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采用不可撤销银行履约保函形式的金额为人民币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壹拾万零壹仟捌佰元整，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采用履约保证保险形式的金额为人民币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壹拾万零壹仟捌佰元整，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采用担保公司履约担保书形式的金额为人民币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壹拾贰万伍仟叁佰元整；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中标人应在与东莞市水务集团实业发展有限公司签订合同前，向其提交履约保证金（银行转账形式）的金额为人民币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壹拾贰万壹仟柒佰元整，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采用不可撤销银行履约保函形式的金额为人民币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壹拾伍万捌仟贰佰元整，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采用履约保证保险形式的金额为人民币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壹拾伍万捌仟贰佰元整，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采用担保公司履约担保书形式的金额为人民币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壹拾玖万肆仟柒佰元整；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中标人应在与东莞市水务集团科技发展有限公司签订合同前，向其提交履约保证金（银行转账形式）的金额为人民币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壹拾壹万捌仟壹佰元整，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采用不可撤销银行履约保函形式的金额为人民币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壹拾伍万叁仟伍佰元整，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采用履约保证保险形式的金额为人民币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壹拾伍万叁仟伍佰元整，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采用担保公司履约担保书形式的金额为人民币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壹拾捌万捌仟玖佰元整；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中标人应在与东莞市水务集团供水有限公司长安分公司签订合同前，向其提交履约保证金（银行转账形式）的金额为人民币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壹拾捌万壹仟玖佰元整，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采用不可撤销银行履约保函形式的金额为人民币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贰拾叁万陆仟伍佰元整，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采用履约保证保险形式的金额为人民币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贰拾叁万陆仟伍佰元整，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采用担保公司履约担保书形式的金额为人民币</w:t>
      </w:r>
      <w:r>
        <w:rPr>
          <w:rFonts w:hint="eastAsia" w:ascii="宋体" w:hAnsi="宋体" w:eastAsia="宋体" w:cs="Times New Roman"/>
          <w:b/>
          <w:bCs/>
          <w:color w:val="000000" w:themeColor="text1"/>
          <w:szCs w:val="21"/>
          <w:highlight w:val="none"/>
          <w:u w:val="single"/>
          <w14:textFill>
            <w14:solidFill>
              <w14:schemeClr w14:val="tx1"/>
            </w14:solidFill>
          </w14:textFill>
        </w:rPr>
        <w:t>贰拾玖万壹仟壹佰元整</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w:t>
      </w:r>
      <w:r>
        <w:rPr>
          <w:rFonts w:hint="eastAsia" w:ascii="宋体" w:hAnsi="宋体" w:eastAsia="宋体" w:cs="Times New Roman"/>
          <w:color w:val="000000" w:themeColor="text1"/>
          <w:szCs w:val="21"/>
          <w:highlight w:val="none"/>
          <w:u w:val="single"/>
          <w:lang w:val="zh-CN"/>
          <w14:textFill>
            <w14:solidFill>
              <w14:schemeClr w14:val="tx1"/>
            </w14:solidFill>
          </w14:textFill>
        </w:rPr>
        <w:t>合同履行过程中，中标人给招标人或招标人权属子公司或招标人权属子公司的分公司造成的损失超过履约担保数额的，中标人还应当对超过部分予以赔偿，招标人或招标人权属子公司或招标人权属子公司的分公司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35.2 </w:t>
      </w:r>
      <w:r>
        <w:rPr>
          <w:rFonts w:hint="eastAsia" w:ascii="宋体" w:hAnsi="宋体" w:eastAsia="宋体" w:cs="Times New Roman"/>
          <w:color w:val="000000" w:themeColor="text1"/>
          <w:kern w:val="0"/>
          <w:szCs w:val="21"/>
          <w:highlight w:val="none"/>
          <w14:textFill>
            <w14:solidFill>
              <w14:schemeClr w14:val="tx1"/>
            </w14:solidFill>
          </w14:textFill>
        </w:rPr>
        <w:t>履约担保用于补偿招标人或招标人权属子公司或招标人权属子公司的分公司因中标人不能完全履行其合同义务而蒙受的损失或其他合同约定的事项。如发生下列任一情况时，招标人或招标人权属子公司或招标人权属子公司的分公司有权依合同追究违约责任外，同时有权提取履约担保并进行相应处理</w:t>
      </w:r>
      <w:r>
        <w:rPr>
          <w:rFonts w:hint="eastAsia" w:ascii="宋体" w:hAnsi="宋体" w:eastAsia="宋体" w:cs="宋体"/>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中标人将合同项下中标人的权利义务全部转让给第三方，或未经招标人或招标人权属子公司或招标人权属子公司的分公司书面同意将部分权利义务转让给第三方的，招标人或招标人权属子公司或招标人权属子公司的分公司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2）在合同履行期间，中标人</w:t>
      </w:r>
      <w:r>
        <w:rPr>
          <w:rFonts w:hint="eastAsia" w:ascii="宋体" w:hAnsi="宋体" w:eastAsia="宋体" w:cs="Times New Roman"/>
          <w:color w:val="000000" w:themeColor="text1"/>
          <w:kern w:val="0"/>
          <w:szCs w:val="21"/>
          <w:highlight w:val="none"/>
          <w14:textFill>
            <w14:solidFill>
              <w14:schemeClr w14:val="tx1"/>
            </w14:solidFill>
          </w14:textFill>
        </w:rPr>
        <w:t>怠于履行合同义务，经招标人或招标人权属子公司或招标人权属子公司的分公司通知或要求承担违约金后仍拒不改正的，招标人或招标人权属子公司或招标人权属子公司的分公司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3）在合同履行期间，因中标人</w:t>
      </w:r>
      <w:r>
        <w:rPr>
          <w:rFonts w:hint="eastAsia" w:ascii="宋体" w:hAnsi="宋体" w:eastAsia="宋体" w:cs="宋体"/>
          <w:color w:val="000000" w:themeColor="text1"/>
          <w:kern w:val="0"/>
          <w:szCs w:val="21"/>
          <w:highlight w:val="none"/>
          <w14:textFill>
            <w14:solidFill>
              <w14:schemeClr w14:val="tx1"/>
            </w14:solidFill>
          </w14:textFill>
        </w:rPr>
        <w:t>货物、</w:t>
      </w:r>
      <w:r>
        <w:rPr>
          <w:rFonts w:ascii="宋体" w:hAnsi="宋体" w:eastAsia="宋体" w:cs="Times New Roman"/>
          <w:color w:val="000000" w:themeColor="text1"/>
          <w:kern w:val="0"/>
          <w:szCs w:val="21"/>
          <w:highlight w:val="none"/>
          <w14:textFill>
            <w14:solidFill>
              <w14:schemeClr w14:val="tx1"/>
            </w14:solidFill>
          </w14:textFill>
        </w:rPr>
        <w:t>服务质量问题造成损害、侵权损失（包括但不限于招标人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ascii="宋体" w:hAnsi="宋体" w:eastAsia="宋体" w:cs="Times New Roman"/>
          <w:color w:val="000000" w:themeColor="text1"/>
          <w:kern w:val="0"/>
          <w:szCs w:val="21"/>
          <w:highlight w:val="none"/>
          <w14:textFill>
            <w14:solidFill>
              <w14:schemeClr w14:val="tx1"/>
            </w14:solidFill>
          </w14:textFill>
        </w:rPr>
        <w:t>经济损失、中标人</w:t>
      </w:r>
      <w:r>
        <w:rPr>
          <w:rFonts w:hint="eastAsia" w:ascii="宋体" w:hAnsi="宋体" w:eastAsia="宋体" w:cs="宋体"/>
          <w:color w:val="000000" w:themeColor="text1"/>
          <w:kern w:val="0"/>
          <w:szCs w:val="21"/>
          <w:highlight w:val="none"/>
          <w14:textFill>
            <w14:solidFill>
              <w14:schemeClr w14:val="tx1"/>
            </w14:solidFill>
          </w14:textFill>
        </w:rPr>
        <w:t>所雇佣人员</w:t>
      </w:r>
      <w:r>
        <w:rPr>
          <w:rFonts w:ascii="宋体" w:hAnsi="宋体" w:eastAsia="宋体" w:cs="Times New Roman"/>
          <w:color w:val="000000" w:themeColor="text1"/>
          <w:kern w:val="0"/>
          <w:szCs w:val="21"/>
          <w:highlight w:val="none"/>
          <w14:textFill>
            <w14:solidFill>
              <w14:schemeClr w14:val="tx1"/>
            </w14:solidFill>
          </w14:textFill>
        </w:rPr>
        <w:t>第三人人身财产损失等）、</w:t>
      </w:r>
      <w:r>
        <w:rPr>
          <w:rFonts w:hint="eastAsia" w:ascii="宋体" w:hAnsi="宋体" w:eastAsia="宋体" w:cs="Times New Roman"/>
          <w:color w:val="000000" w:themeColor="text1"/>
          <w:kern w:val="0"/>
          <w:szCs w:val="21"/>
          <w:highlight w:val="none"/>
          <w14:textFill>
            <w14:solidFill>
              <w14:schemeClr w14:val="tx1"/>
            </w14:solidFill>
          </w14:textFill>
        </w:rPr>
        <w:t>拖欠原材料供应商货款或与其所雇用员工发生劳资纠纷、上访、闹事或其他影响招标人或招标人权属子公司或招标人权属子公司的分公司生产经营等情况而其未及时妥善处理的</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招标人或招标人权属子公司或招标人权属子公司的分公司有权使用履约担保予以支付或作出相应处理，由此产生的一切法律后果由中标人承担。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4）在合同履行期间，中标人违约产生的违约金、赔偿、罚款或其他应付费用等款项，招标人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ascii="宋体" w:hAnsi="宋体" w:eastAsia="宋体" w:cs="Times New Roman"/>
          <w:color w:val="000000" w:themeColor="text1"/>
          <w:kern w:val="0"/>
          <w:szCs w:val="21"/>
          <w:highlight w:val="none"/>
          <w14:textFill>
            <w14:solidFill>
              <w14:schemeClr w14:val="tx1"/>
            </w14:solidFill>
          </w14:textFill>
        </w:rPr>
        <w:t>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5）合同期内，中标人不能及时完成合同某项义务的，招标人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ascii="宋体" w:hAnsi="宋体" w:eastAsia="宋体" w:cs="Times New Roman"/>
          <w:color w:val="000000" w:themeColor="text1"/>
          <w:kern w:val="0"/>
          <w:szCs w:val="21"/>
          <w:highlight w:val="none"/>
          <w14:textFill>
            <w14:solidFill>
              <w14:schemeClr w14:val="tx1"/>
            </w14:solidFill>
          </w14:textFill>
        </w:rPr>
        <w:t>有权提取履约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6）其他根据本合同约定或法律规定，招标人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ascii="宋体" w:hAnsi="宋体" w:eastAsia="宋体" w:cs="Times New Roman"/>
          <w:color w:val="000000" w:themeColor="text1"/>
          <w:kern w:val="0"/>
          <w:szCs w:val="21"/>
          <w:highlight w:val="none"/>
          <w14:textFill>
            <w14:solidFill>
              <w14:schemeClr w14:val="tx1"/>
            </w14:solidFill>
          </w14:textFill>
        </w:rPr>
        <w:t>可启用履约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ascii="宋体" w:hAnsi="宋体" w:eastAsia="宋体" w:cs="Times New Roman"/>
          <w:color w:val="000000" w:themeColor="text1"/>
          <w:kern w:val="0"/>
          <w:szCs w:val="21"/>
          <w:highlight w:val="none"/>
          <w14:textFill>
            <w14:solidFill>
              <w14:schemeClr w14:val="tx1"/>
            </w14:solidFill>
          </w14:textFill>
        </w:rPr>
        <w:t>出具履约保函的银行必须是</w:t>
      </w:r>
      <w:r>
        <w:rPr>
          <w:rFonts w:hint="eastAsia" w:ascii="宋体" w:hAnsi="宋体" w:eastAsia="宋体" w:cs="Times New Roman"/>
          <w:color w:val="000000" w:themeColor="text1"/>
          <w:kern w:val="0"/>
          <w:szCs w:val="21"/>
          <w:highlight w:val="none"/>
          <w14:textFill>
            <w14:solidFill>
              <w14:schemeClr w14:val="tx1"/>
            </w14:solidFill>
          </w14:textFill>
        </w:rPr>
        <w:t>境内</w:t>
      </w:r>
      <w:r>
        <w:rPr>
          <w:rFonts w:ascii="宋体" w:hAnsi="宋体" w:eastAsia="宋体" w:cs="Times New Roman"/>
          <w:color w:val="000000" w:themeColor="text1"/>
          <w:kern w:val="0"/>
          <w:szCs w:val="21"/>
          <w:highlight w:val="none"/>
          <w14:textFill>
            <w14:solidFill>
              <w14:schemeClr w14:val="tx1"/>
            </w14:solidFill>
          </w14:textFill>
        </w:rPr>
        <w:t>支行一级以上机构，并经招标人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ascii="宋体" w:hAnsi="宋体" w:eastAsia="宋体" w:cs="Times New Roman"/>
          <w:color w:val="000000" w:themeColor="text1"/>
          <w:kern w:val="0"/>
          <w:szCs w:val="21"/>
          <w:highlight w:val="none"/>
          <w14:textFill>
            <w14:solidFill>
              <w14:schemeClr w14:val="tx1"/>
            </w14:solidFill>
          </w14:textFill>
        </w:rPr>
        <w:t>同意，执行本款时所发生的费用由中标人</w:t>
      </w:r>
      <w:r>
        <w:rPr>
          <w:rFonts w:hint="eastAsia" w:ascii="宋体" w:hAnsi="宋体" w:eastAsia="宋体" w:cs="Times New Roman"/>
          <w:color w:val="000000" w:themeColor="text1"/>
          <w:kern w:val="0"/>
          <w:szCs w:val="21"/>
          <w:highlight w:val="none"/>
          <w14:textFill>
            <w14:solidFill>
              <w14:schemeClr w14:val="tx1"/>
            </w14:solidFill>
          </w14:textFill>
        </w:rPr>
        <w:t>承担</w:t>
      </w:r>
      <w:r>
        <w:rPr>
          <w:rFonts w:ascii="宋体" w:hAnsi="宋体" w:eastAsia="宋体" w:cs="Times New Roman"/>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履约担保格式应采用招标文件中提供的（格式参见第</w:t>
      </w:r>
      <w:r>
        <w:rPr>
          <w:rFonts w:hint="eastAsia" w:ascii="宋体" w:hAnsi="宋体" w:eastAsia="宋体" w:cs="Times New Roman"/>
          <w:color w:val="000000" w:themeColor="text1"/>
          <w:kern w:val="0"/>
          <w:szCs w:val="21"/>
          <w:highlight w:val="none"/>
          <w14:textFill>
            <w14:solidFill>
              <w14:schemeClr w14:val="tx1"/>
            </w14:solidFill>
          </w14:textFill>
        </w:rPr>
        <w:t>五篇</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000000" w:themeColor="text1"/>
          <w:kern w:val="0"/>
          <w:szCs w:val="21"/>
          <w:highlight w:val="none"/>
          <w14:textFill>
            <w14:solidFill>
              <w14:schemeClr w14:val="tx1"/>
            </w14:solidFill>
          </w14:textFill>
        </w:rPr>
        <w:t>如使用其他格式的履约保函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（或履约保证保险或担保公司履约担保书）</w:t>
      </w:r>
      <w:r>
        <w:rPr>
          <w:rFonts w:ascii="宋体" w:hAnsi="宋体" w:eastAsia="宋体" w:cs="Times New Roman"/>
          <w:color w:val="000000" w:themeColor="text1"/>
          <w:kern w:val="0"/>
          <w:szCs w:val="21"/>
          <w:highlight w:val="none"/>
          <w14:textFill>
            <w14:solidFill>
              <w14:schemeClr w14:val="tx1"/>
            </w14:solidFill>
          </w14:textFill>
        </w:rPr>
        <w:t>，须事先经招标人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ascii="宋体" w:hAnsi="宋体" w:eastAsia="宋体" w:cs="Times New Roman"/>
          <w:color w:val="000000" w:themeColor="text1"/>
          <w:kern w:val="0"/>
          <w:szCs w:val="21"/>
          <w:highlight w:val="none"/>
          <w14:textFill>
            <w14:solidFill>
              <w14:schemeClr w14:val="tx1"/>
            </w14:solidFill>
          </w14:textFill>
        </w:rPr>
        <w:t>的书面</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提供担保的担保机构经济性质须为东莞市国有企业，或政府性融资担保机构（中标人须提供能证明其属于政府性融资担保机构的证明文件），并经招标人或招标人权属子公司或招标人权属子公司的分公司同意，执行本款时所发生的费用由中标人承担。如招标人或招标人权属子公司或招标人权属子公司的分公司合同条款接受担保公司预付款担保函的，对担保机构要求参照本条执行</w:t>
      </w:r>
      <w:r>
        <w:rPr>
          <w:rFonts w:ascii="宋体" w:hAnsi="宋体" w:eastAsia="宋体" w:cs="Times New Roman"/>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ascii="宋体" w:hAnsi="宋体" w:eastAsia="宋体" w:cs="Times New Roman"/>
          <w:color w:val="000000" w:themeColor="text1"/>
          <w:kern w:val="0"/>
          <w:szCs w:val="21"/>
          <w:highlight w:val="none"/>
          <w14:textFill>
            <w14:solidFill>
              <w14:schemeClr w14:val="tx1"/>
            </w14:solidFill>
          </w14:textFill>
        </w:rPr>
        <w:t>如果</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人提交的履约担保的有效期届满时间先于招标文件、合同文件要求的，</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人应在原提交的履约担保有效期届满前15</w:t>
      </w:r>
      <w:r>
        <w:rPr>
          <w:rFonts w:hint="eastAsia" w:ascii="宋体" w:hAnsi="宋体" w:eastAsia="宋体" w:cs="Times New Roman"/>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kern w:val="0"/>
          <w:szCs w:val="21"/>
          <w:highlight w:val="none"/>
          <w14:textFill>
            <w14:solidFill>
              <w14:schemeClr w14:val="tx1"/>
            </w14:solidFill>
          </w14:textFill>
        </w:rPr>
        <w:t>内，无条件办理</w:t>
      </w:r>
      <w:r>
        <w:rPr>
          <w:rFonts w:hint="eastAsia" w:ascii="宋体" w:hAnsi="宋体" w:eastAsia="宋体" w:cs="Times New Roman"/>
          <w:color w:val="000000" w:themeColor="text1"/>
          <w:kern w:val="0"/>
          <w:szCs w:val="21"/>
          <w:highlight w:val="none"/>
          <w14:textFill>
            <w14:solidFill>
              <w14:schemeClr w14:val="tx1"/>
            </w14:solidFill>
          </w14:textFill>
        </w:rPr>
        <w:t>符合招标人或招标人权属子公司或招标人权属子公司的分公司要求的</w:t>
      </w:r>
      <w:r>
        <w:rPr>
          <w:rFonts w:ascii="宋体" w:hAnsi="宋体" w:eastAsia="宋体" w:cs="Times New Roman"/>
          <w:color w:val="000000" w:themeColor="text1"/>
          <w:kern w:val="0"/>
          <w:szCs w:val="21"/>
          <w:highlight w:val="none"/>
          <w14:textFill>
            <w14:solidFill>
              <w14:schemeClr w14:val="tx1"/>
            </w14:solidFill>
          </w14:textFill>
        </w:rPr>
        <w:t>履约担保延期手续，否则视为</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人违约，</w:t>
      </w:r>
      <w:r>
        <w:rPr>
          <w:rFonts w:hint="eastAsia" w:ascii="宋体" w:hAnsi="宋体" w:eastAsia="宋体" w:cs="Times New Roman"/>
          <w:color w:val="000000" w:themeColor="text1"/>
          <w:kern w:val="0"/>
          <w:szCs w:val="21"/>
          <w:highlight w:val="none"/>
          <w14:textFill>
            <w14:solidFill>
              <w14:schemeClr w14:val="tx1"/>
            </w14:solidFill>
          </w14:textFill>
        </w:rPr>
        <w:t>招标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ascii="宋体" w:hAnsi="宋体" w:eastAsia="宋体" w:cs="Times New Roman"/>
          <w:color w:val="000000" w:themeColor="text1"/>
          <w:kern w:val="0"/>
          <w:szCs w:val="21"/>
          <w:highlight w:val="none"/>
          <w14:textFill>
            <w14:solidFill>
              <w14:schemeClr w14:val="tx1"/>
            </w14:solidFill>
          </w14:textFill>
        </w:rPr>
        <w:t>有权</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在不可撤销银行履约保函或履约保证保险或担保公司履约担保书到期前</w:t>
      </w:r>
      <w:r>
        <w:rPr>
          <w:rFonts w:ascii="宋体" w:hAnsi="宋体" w:eastAsia="宋体" w:cs="Times New Roman"/>
          <w:color w:val="000000" w:themeColor="text1"/>
          <w:kern w:val="0"/>
          <w:szCs w:val="21"/>
          <w:highlight w:val="none"/>
          <w14:textFill>
            <w14:solidFill>
              <w14:schemeClr w14:val="tx1"/>
            </w14:solidFill>
          </w14:textFill>
        </w:rPr>
        <w:t>向出具履约</w:t>
      </w:r>
      <w:r>
        <w:rPr>
          <w:rFonts w:hint="eastAsia" w:ascii="宋体" w:hAnsi="宋体" w:eastAsia="宋体" w:cs="Times New Roman"/>
          <w:color w:val="000000" w:themeColor="text1"/>
          <w:kern w:val="0"/>
          <w:szCs w:val="21"/>
          <w:highlight w:val="none"/>
          <w14:textFill>
            <w14:solidFill>
              <w14:schemeClr w14:val="tx1"/>
            </w14:solidFill>
          </w14:textFill>
        </w:rPr>
        <w:t>担保的机构</w:t>
      </w:r>
      <w:r>
        <w:rPr>
          <w:rFonts w:ascii="宋体" w:hAnsi="宋体" w:eastAsia="宋体" w:cs="Times New Roman"/>
          <w:color w:val="000000" w:themeColor="text1"/>
          <w:kern w:val="0"/>
          <w:szCs w:val="21"/>
          <w:highlight w:val="none"/>
          <w14:textFill>
            <w14:solidFill>
              <w14:schemeClr w14:val="tx1"/>
            </w14:solidFill>
          </w14:textFill>
        </w:rPr>
        <w:t>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金。</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在不可撤销银行履约保函（或履约保证保险或担保公司履约担保书）到期后中标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未按招标人或招标人权属子公司或招标人权属子公司的分公司要求重新提供的，招标人或招标人权属子公司或招标人权属子公司的分公司有权要求中标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以履约担保金额为限承担违约金，违约金可直接从未付采购合同费用中扣除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）在合同履行过程中，不论何种原因导致履约担保金数额不符合招标文件要求的，中标人应当在</w:t>
      </w:r>
      <w:r>
        <w:rPr>
          <w:rFonts w:ascii="宋体" w:hAnsi="宋体" w:eastAsia="宋体" w:cs="Times New Roman"/>
          <w:color w:val="000000" w:themeColor="text1"/>
          <w:kern w:val="0"/>
          <w:szCs w:val="21"/>
          <w:highlight w:val="none"/>
          <w14:textFill>
            <w14:solidFill>
              <w14:schemeClr w14:val="tx1"/>
            </w14:solidFill>
          </w14:textFill>
        </w:rPr>
        <w:t>5日内予以补足。逾期不予补足的，</w:t>
      </w:r>
      <w:r>
        <w:rPr>
          <w:rFonts w:hint="eastAsia" w:ascii="宋体" w:hAnsi="宋体" w:eastAsia="宋体" w:cs="Times New Roman"/>
          <w:color w:val="000000" w:themeColor="text1"/>
          <w:kern w:val="0"/>
          <w:szCs w:val="21"/>
          <w:highlight w:val="none"/>
          <w14:textFill>
            <w14:solidFill>
              <w14:schemeClr w14:val="tx1"/>
            </w14:solidFill>
          </w14:textFill>
        </w:rPr>
        <w:t>招标人或招标人权属子公司或招标人权属子公司的分公司有权按需补足的金额要求中标人承担违约金，并要求限期补足。如中标人仍不补足的，招标人或招标人权属子公司或招标人权属子公司的分公司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（6）不</w:t>
      </w:r>
      <w:r>
        <w:rPr>
          <w:rFonts w:hint="eastAsia" w:ascii="宋体" w:hAnsi="宋体" w:eastAsia="宋体" w:cs="Times New Roman"/>
          <w:color w:val="000000" w:themeColor="text1"/>
          <w:kern w:val="0"/>
          <w:szCs w:val="21"/>
          <w:highlight w:val="none"/>
          <w14:textFill>
            <w14:solidFill>
              <w14:schemeClr w14:val="tx1"/>
            </w14:solidFill>
          </w14:textFill>
        </w:rPr>
        <w:t>可撤销银行履约保函（或履约保证保险或担保公司履约担保书）应从合同签订之日起至合同期限届满并完成全部供货及相关服务义务后二十八（28）日内保持有效。</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35.5  中标人</w:t>
      </w:r>
      <w:r>
        <w:rPr>
          <w:rFonts w:ascii="宋体" w:hAnsi="宋体" w:eastAsia="宋体" w:cs="Times New Roman"/>
          <w:color w:val="000000" w:themeColor="text1"/>
          <w:kern w:val="0"/>
          <w:szCs w:val="21"/>
          <w:highlight w:val="none"/>
          <w14:textFill>
            <w14:solidFill>
              <w14:schemeClr w14:val="tx1"/>
            </w14:solidFill>
          </w14:textFill>
        </w:rPr>
        <w:t>也可以按招标文件约定的额度和时间，向招标人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ascii="宋体" w:hAnsi="宋体" w:eastAsia="宋体" w:cs="Times New Roman"/>
          <w:color w:val="000000" w:themeColor="text1"/>
          <w:kern w:val="0"/>
          <w:szCs w:val="21"/>
          <w:highlight w:val="none"/>
          <w14:textFill>
            <w14:solidFill>
              <w14:schemeClr w14:val="tx1"/>
            </w14:solidFill>
          </w14:textFill>
        </w:rPr>
        <w:t>交纳同等数额的履约保证金作为履约担保。如中标人提交的履约保证金是其分支机构以转账形式转入的，要提交</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人的法人书面授权，不接受由私人账户和其它单位转入的保证金</w:t>
      </w:r>
      <w:r>
        <w:rPr>
          <w:rFonts w:hint="eastAsia" w:ascii="宋体" w:hAnsi="宋体" w:eastAsia="宋体" w:cs="Times New Roman"/>
          <w:color w:val="000000" w:themeColor="text1"/>
          <w:kern w:val="0"/>
          <w:szCs w:val="21"/>
          <w:highlight w:val="none"/>
          <w14:textFill>
            <w14:solidFill>
              <w14:schemeClr w14:val="tx1"/>
            </w14:solidFill>
          </w14:textFill>
        </w:rPr>
        <w:t>，也不接受现金形式提交</w:t>
      </w:r>
      <w:r>
        <w:rPr>
          <w:rFonts w:ascii="宋体" w:hAnsi="宋体" w:eastAsia="宋体" w:cs="Times New Roman"/>
          <w:color w:val="000000" w:themeColor="text1"/>
          <w:kern w:val="0"/>
          <w:szCs w:val="21"/>
          <w:highlight w:val="none"/>
          <w14:textFill>
            <w14:solidFill>
              <w14:schemeClr w14:val="tx1"/>
            </w14:solidFill>
          </w14:textFill>
        </w:rPr>
        <w:t>。履约保证金应以存入招标人</w:t>
      </w:r>
      <w:r>
        <w:rPr>
          <w:rFonts w:hint="eastAsia" w:ascii="宋体" w:hAnsi="宋体" w:eastAsia="宋体" w:cs="Times New Roman"/>
          <w:color w:val="000000" w:themeColor="text1"/>
          <w:kern w:val="0"/>
          <w:szCs w:val="21"/>
          <w:highlight w:val="none"/>
          <w14:textFill>
            <w14:solidFill>
              <w14:schemeClr w14:val="tx1"/>
            </w14:solidFill>
          </w14:textFill>
        </w:rPr>
        <w:t>及招标人权属子公司、招标人权属子公司的分公司</w:t>
      </w:r>
      <w:r>
        <w:rPr>
          <w:rFonts w:ascii="宋体" w:hAnsi="宋体" w:eastAsia="宋体" w:cs="Times New Roman"/>
          <w:color w:val="000000" w:themeColor="text1"/>
          <w:kern w:val="0"/>
          <w:szCs w:val="21"/>
          <w:highlight w:val="none"/>
          <w14:textFill>
            <w14:solidFill>
              <w14:schemeClr w14:val="tx1"/>
            </w14:solidFill>
          </w14:textFill>
        </w:rPr>
        <w:t>指定的</w:t>
      </w:r>
      <w:r>
        <w:rPr>
          <w:rFonts w:hint="eastAsia" w:ascii="宋体" w:hAnsi="宋体" w:eastAsia="宋体" w:cs="Times New Roman"/>
          <w:color w:val="000000" w:themeColor="text1"/>
          <w:kern w:val="0"/>
          <w:szCs w:val="21"/>
          <w:highlight w:val="none"/>
          <w14:textFill>
            <w14:solidFill>
              <w14:schemeClr w14:val="tx1"/>
            </w14:solidFill>
          </w14:textFill>
        </w:rPr>
        <w:t>以下</w:t>
      </w:r>
      <w:r>
        <w:rPr>
          <w:rFonts w:ascii="宋体" w:hAnsi="宋体" w:eastAsia="宋体" w:cs="Times New Roman"/>
          <w:color w:val="000000" w:themeColor="text1"/>
          <w:kern w:val="0"/>
          <w:szCs w:val="21"/>
          <w:highlight w:val="none"/>
          <w14:textFill>
            <w14:solidFill>
              <w14:schemeClr w14:val="tx1"/>
            </w14:solidFill>
          </w14:textFill>
        </w:rPr>
        <w:t>银行账户为准</w:t>
      </w:r>
      <w:r>
        <w:rPr>
          <w:rFonts w:hint="eastAsia" w:ascii="宋体" w:hAnsi="宋体" w:eastAsia="宋体" w:cs="宋体"/>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东莞市水务集团有限公司履约保证金账户：</w:t>
      </w:r>
      <w:r>
        <w:rPr>
          <w:rFonts w:hint="eastAsia" w:ascii="宋体" w:hAnsi="宋体" w:eastAsia="宋体" w:cs="宋体"/>
          <w:b/>
          <w:color w:val="000000" w:themeColor="text1"/>
          <w:kern w:val="0"/>
          <w:szCs w:val="21"/>
          <w:highlight w:val="none"/>
          <w:u w:val="single"/>
          <w14:textFill>
            <w14:solidFill>
              <w14:schemeClr w14:val="tx1"/>
            </w14:solidFill>
          </w14:textFill>
        </w:rPr>
        <w:t>（特别提醒，本账户非投标保证金账户）</w:t>
      </w:r>
    </w:p>
    <w:p>
      <w:pPr>
        <w:autoSpaceDE w:val="0"/>
        <w:autoSpaceDN w:val="0"/>
        <w:adjustRightInd w:val="0"/>
        <w:snapToGrid w:val="0"/>
        <w:spacing w:line="360" w:lineRule="auto"/>
        <w:ind w:left="-320"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 xml:space="preserve">开户名称： 东莞市水务集团有限公司 </w:t>
      </w:r>
    </w:p>
    <w:p>
      <w:pPr>
        <w:autoSpaceDE w:val="0"/>
        <w:autoSpaceDN w:val="0"/>
        <w:adjustRightInd w:val="0"/>
        <w:snapToGrid w:val="0"/>
        <w:spacing w:line="360" w:lineRule="auto"/>
        <w:ind w:left="-320"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 xml:space="preserve">银行账号：2010 0213 0920 0288 889 </w:t>
      </w:r>
    </w:p>
    <w:p>
      <w:pPr>
        <w:autoSpaceDE w:val="0"/>
        <w:autoSpaceDN w:val="0"/>
        <w:adjustRightInd w:val="0"/>
        <w:snapToGrid w:val="0"/>
        <w:spacing w:line="360" w:lineRule="auto"/>
        <w:ind w:left="-320"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 中国工商银行东莞分行</w:t>
      </w:r>
    </w:p>
    <w:p>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000000" w:themeColor="text1"/>
          <w:kern w:val="0"/>
          <w:szCs w:val="21"/>
          <w:highlight w:val="none"/>
          <w14:textFill>
            <w14:solidFill>
              <w14:schemeClr w14:val="tx1"/>
            </w14:solidFill>
          </w14:textFill>
        </w:rPr>
      </w:pPr>
    </w:p>
    <w:p>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东莞市水务集团实业发展有限公司履约保证金账户：</w:t>
      </w:r>
      <w:r>
        <w:rPr>
          <w:rFonts w:hint="eastAsia" w:ascii="宋体" w:hAnsi="宋体" w:eastAsia="宋体" w:cs="宋体"/>
          <w:b/>
          <w:color w:val="000000" w:themeColor="text1"/>
          <w:kern w:val="0"/>
          <w:szCs w:val="21"/>
          <w:highlight w:val="none"/>
          <w:u w:val="single"/>
          <w14:textFill>
            <w14:solidFill>
              <w14:schemeClr w14:val="tx1"/>
            </w14:solidFill>
          </w14:textFill>
        </w:rPr>
        <w:t>（特别提醒，本账户非投标保证金账户）</w:t>
      </w:r>
    </w:p>
    <w:p>
      <w:pPr>
        <w:autoSpaceDE w:val="0"/>
        <w:autoSpaceDN w:val="0"/>
        <w:adjustRightInd w:val="0"/>
        <w:snapToGrid w:val="0"/>
        <w:spacing w:line="360" w:lineRule="auto"/>
        <w:ind w:left="-320"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 xml:space="preserve">开户名称：东莞市水务集团实业发展有限公司 </w:t>
      </w:r>
    </w:p>
    <w:p>
      <w:pPr>
        <w:autoSpaceDE w:val="0"/>
        <w:autoSpaceDN w:val="0"/>
        <w:adjustRightInd w:val="0"/>
        <w:snapToGrid w:val="0"/>
        <w:spacing w:line="360" w:lineRule="auto"/>
        <w:ind w:left="-320"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 xml:space="preserve">银行账号：2010 0216 0900 0030 431 </w:t>
      </w:r>
    </w:p>
    <w:p>
      <w:pPr>
        <w:autoSpaceDE w:val="0"/>
        <w:autoSpaceDN w:val="0"/>
        <w:adjustRightInd w:val="0"/>
        <w:snapToGrid w:val="0"/>
        <w:spacing w:line="360" w:lineRule="auto"/>
        <w:ind w:left="-320"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开户银行：中国工商银行东莞市城区支行新河北分理处</w:t>
      </w:r>
    </w:p>
    <w:p>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000000" w:themeColor="text1"/>
          <w:kern w:val="0"/>
          <w:szCs w:val="21"/>
          <w:highlight w:val="none"/>
          <w14:textFill>
            <w14:solidFill>
              <w14:schemeClr w14:val="tx1"/>
            </w14:solidFill>
          </w14:textFill>
        </w:rPr>
      </w:pPr>
    </w:p>
    <w:p>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东莞市水务集团科技发展有限公司履约保证金账户：</w:t>
      </w:r>
      <w:r>
        <w:rPr>
          <w:rFonts w:hint="eastAsia" w:ascii="宋体" w:hAnsi="宋体" w:eastAsia="宋体" w:cs="宋体"/>
          <w:b/>
          <w:color w:val="000000" w:themeColor="text1"/>
          <w:kern w:val="0"/>
          <w:szCs w:val="21"/>
          <w:highlight w:val="none"/>
          <w:u w:val="single"/>
          <w14:textFill>
            <w14:solidFill>
              <w14:schemeClr w14:val="tx1"/>
            </w14:solidFill>
          </w14:textFill>
        </w:rPr>
        <w:t>（特别提醒，本账户非投标保证金账户）</w:t>
      </w:r>
    </w:p>
    <w:p>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w:t>
      </w:r>
      <w:r>
        <w:rPr>
          <w:rFonts w:hint="eastAsia" w:ascii="宋体" w:hAnsi="宋体" w:eastAsia="宋体" w:cs="宋体"/>
          <w:b/>
          <w:color w:val="000000" w:themeColor="text1"/>
          <w:kern w:val="0"/>
          <w:szCs w:val="21"/>
          <w:highlight w:val="none"/>
          <w14:textFill>
            <w14:solidFill>
              <w14:schemeClr w14:val="tx1"/>
            </w14:solidFill>
          </w14:textFill>
        </w:rPr>
        <w:t xml:space="preserve">称：东莞市水务集团科技发展有限公司  </w:t>
      </w:r>
    </w:p>
    <w:p>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银行账号：2010 0213 0920 0593 250</w:t>
      </w:r>
    </w:p>
    <w:p>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开户银行：中国工商银行东莞分行</w:t>
      </w:r>
    </w:p>
    <w:p>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000000" w:themeColor="text1"/>
          <w:kern w:val="0"/>
          <w:szCs w:val="21"/>
          <w:highlight w:val="none"/>
          <w14:textFill>
            <w14:solidFill>
              <w14:schemeClr w14:val="tx1"/>
            </w14:solidFill>
          </w14:textFill>
        </w:rPr>
      </w:pPr>
    </w:p>
    <w:p>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东莞市水务集团供水有限公司长安分公司履约保证金账户：</w:t>
      </w:r>
      <w:r>
        <w:rPr>
          <w:rFonts w:hint="eastAsia" w:ascii="宋体" w:hAnsi="宋体" w:eastAsia="宋体" w:cs="宋体"/>
          <w:b/>
          <w:color w:val="000000" w:themeColor="text1"/>
          <w:kern w:val="0"/>
          <w:szCs w:val="21"/>
          <w:highlight w:val="none"/>
          <w:u w:val="single"/>
          <w14:textFill>
            <w14:solidFill>
              <w14:schemeClr w14:val="tx1"/>
            </w14:solidFill>
          </w14:textFill>
        </w:rPr>
        <w:t>（特别提醒，本账户非投标保证金账户）</w:t>
      </w:r>
    </w:p>
    <w:p>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w:t>
      </w:r>
      <w:r>
        <w:rPr>
          <w:rFonts w:hint="eastAsia" w:ascii="宋体" w:hAnsi="宋体" w:eastAsia="宋体" w:cs="宋体"/>
          <w:b/>
          <w:color w:val="000000" w:themeColor="text1"/>
          <w:kern w:val="0"/>
          <w:szCs w:val="21"/>
          <w:highlight w:val="none"/>
          <w14:textFill>
            <w14:solidFill>
              <w14:schemeClr w14:val="tx1"/>
            </w14:solidFill>
          </w14:textFill>
        </w:rPr>
        <w:t xml:space="preserve">：东莞市水务集团供水有限公司长安分公司  </w:t>
      </w:r>
    </w:p>
    <w:p>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银行账号：5590 0001 4469 121 </w:t>
      </w:r>
    </w:p>
    <w:p>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开户银行：东莞银行富丽支行</w:t>
      </w:r>
    </w:p>
    <w:p>
      <w:pPr>
        <w:autoSpaceDE w:val="0"/>
        <w:autoSpaceDN w:val="0"/>
        <w:adjustRightInd w:val="0"/>
        <w:spacing w:line="360" w:lineRule="auto"/>
        <w:ind w:left="420" w:leftChars="-100" w:hanging="630" w:hanging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35.6</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w:t>
      </w:r>
      <w:r>
        <w:rPr>
          <w:rFonts w:hint="eastAsia" w:ascii="宋体" w:hAnsi="宋体" w:eastAsia="宋体" w:cs="Times New Roman"/>
          <w:color w:val="000000" w:themeColor="text1"/>
          <w:kern w:val="0"/>
          <w:szCs w:val="24"/>
          <w:highlight w:val="none"/>
          <w14:textFill>
            <w14:solidFill>
              <w14:schemeClr w14:val="tx1"/>
            </w14:solidFill>
          </w14:textFill>
        </w:rPr>
        <w:t>提交了履约担保后，当履约保证金转达招标人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hint="eastAsia" w:ascii="宋体" w:hAnsi="宋体" w:eastAsia="宋体" w:cs="Times New Roman"/>
          <w:color w:val="000000" w:themeColor="text1"/>
          <w:kern w:val="0"/>
          <w:szCs w:val="24"/>
          <w:highlight w:val="none"/>
          <w14:textFill>
            <w14:solidFill>
              <w14:schemeClr w14:val="tx1"/>
            </w14:solidFill>
          </w14:textFill>
        </w:rPr>
        <w:t>履约保证金账户后，</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人将履约保证金的汇款凭证用A4纸复印件（</w:t>
      </w:r>
      <w:r>
        <w:rPr>
          <w:rFonts w:hint="eastAsia" w:ascii="宋体" w:hAnsi="宋体" w:eastAsia="宋体" w:cs="Times New Roman"/>
          <w:bCs/>
          <w:color w:val="000000" w:themeColor="text1"/>
          <w:kern w:val="0"/>
          <w:szCs w:val="24"/>
          <w:highlight w:val="none"/>
          <w14:textFill>
            <w14:solidFill>
              <w14:schemeClr w14:val="tx1"/>
            </w14:solidFill>
          </w14:textFill>
        </w:rPr>
        <w:t>注明</w:t>
      </w:r>
      <w:r>
        <w:rPr>
          <w:rFonts w:hint="eastAsia" w:ascii="宋体" w:hAnsi="宋体" w:eastAsia="宋体" w:cs="Times New Roman"/>
          <w:bCs/>
          <w:color w:val="000000" w:themeColor="text1"/>
          <w:szCs w:val="21"/>
          <w:highlight w:val="none"/>
          <w:lang w:val="zh-CN"/>
          <w14:textFill>
            <w14:solidFill>
              <w14:schemeClr w14:val="tx1"/>
            </w14:solidFill>
          </w14:textFill>
        </w:rPr>
        <w:t>招标</w:t>
      </w:r>
      <w:r>
        <w:rPr>
          <w:rFonts w:hint="eastAsia" w:ascii="宋体" w:hAnsi="宋体" w:eastAsia="宋体" w:cs="Times New Roman"/>
          <w:bCs/>
          <w:color w:val="000000" w:themeColor="text1"/>
          <w:kern w:val="0"/>
          <w:szCs w:val="24"/>
          <w:highlight w:val="none"/>
          <w14:textFill>
            <w14:solidFill>
              <w14:schemeClr w14:val="tx1"/>
            </w14:solidFill>
          </w14:textFill>
        </w:rPr>
        <w:t>编号</w:t>
      </w:r>
      <w:r>
        <w:rPr>
          <w:rFonts w:hint="eastAsia" w:ascii="宋体" w:hAnsi="宋体" w:eastAsia="宋体" w:cs="Times New Roman"/>
          <w:color w:val="000000" w:themeColor="text1"/>
          <w:kern w:val="0"/>
          <w:szCs w:val="24"/>
          <w:highlight w:val="none"/>
          <w14:textFill>
            <w14:solidFill>
              <w14:schemeClr w14:val="tx1"/>
            </w14:solidFill>
          </w14:textFill>
        </w:rPr>
        <w:t>）一式二份并加盖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人的公章送招标代理机构，[或当中标人采取不可撤销银行履约保函（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或担保公司履约担保书）的方式缴纳履约担保时，中标人将不可撤销银行履约保函（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或担保公司履约担保书）原件</w:t>
      </w:r>
      <w:r>
        <w:rPr>
          <w:rFonts w:hint="eastAsia" w:ascii="宋体" w:hAnsi="宋体" w:eastAsia="宋体" w:cs="Times New Roman"/>
          <w:color w:val="000000" w:themeColor="text1"/>
          <w:szCs w:val="21"/>
          <w:highlight w:val="none"/>
          <w:lang w:val="zh-CN"/>
          <w14:textFill>
            <w14:solidFill>
              <w14:schemeClr w14:val="tx1"/>
            </w14:solidFill>
          </w14:textFill>
        </w:rPr>
        <w:t>交给招标人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hint="eastAsia" w:ascii="宋体" w:hAnsi="宋体" w:eastAsia="宋体" w:cs="Times New Roman"/>
          <w:color w:val="000000" w:themeColor="text1"/>
          <w:szCs w:val="21"/>
          <w:highlight w:val="none"/>
          <w:lang w:val="zh-CN"/>
          <w14:textFill>
            <w14:solidFill>
              <w14:schemeClr w14:val="tx1"/>
            </w14:solidFill>
          </w14:textFill>
        </w:rPr>
        <w:t>，由招标人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hint="eastAsia" w:ascii="宋体" w:hAnsi="宋体" w:eastAsia="宋体" w:cs="Times New Roman"/>
          <w:color w:val="000000" w:themeColor="text1"/>
          <w:szCs w:val="21"/>
          <w:highlight w:val="none"/>
          <w:lang w:val="zh-CN"/>
          <w14:textFill>
            <w14:solidFill>
              <w14:schemeClr w14:val="tx1"/>
            </w14:solidFill>
          </w14:textFill>
        </w:rPr>
        <w:t>在</w:t>
      </w:r>
      <w:r>
        <w:rPr>
          <w:rFonts w:hint="eastAsia" w:ascii="宋体" w:hAnsi="宋体" w:eastAsia="宋体" w:cs="Times New Roman"/>
          <w:color w:val="000000" w:themeColor="text1"/>
          <w:kern w:val="0"/>
          <w:szCs w:val="24"/>
          <w:highlight w:val="none"/>
          <w14:textFill>
            <w14:solidFill>
              <w14:schemeClr w14:val="tx1"/>
            </w14:solidFill>
          </w14:textFill>
        </w:rPr>
        <w:t>履约保函一式两份复印件上</w:t>
      </w:r>
      <w:r>
        <w:rPr>
          <w:rFonts w:hint="eastAsia" w:ascii="宋体" w:hAnsi="宋体" w:eastAsia="宋体" w:cs="Times New Roman"/>
          <w:color w:val="000000" w:themeColor="text1"/>
          <w:szCs w:val="21"/>
          <w:highlight w:val="none"/>
          <w:lang w:val="zh-CN"/>
          <w14:textFill>
            <w14:solidFill>
              <w14:schemeClr w14:val="tx1"/>
            </w14:solidFill>
          </w14:textFill>
        </w:rPr>
        <w:t>注明“原件已收”及签收人、日期后，中标人在每份复印件上</w:t>
      </w:r>
      <w:r>
        <w:rPr>
          <w:rFonts w:hint="eastAsia" w:ascii="宋体" w:hAnsi="宋体" w:eastAsia="宋体" w:cs="Times New Roman"/>
          <w:color w:val="000000" w:themeColor="text1"/>
          <w:kern w:val="0"/>
          <w:szCs w:val="24"/>
          <w:highlight w:val="none"/>
          <w14:textFill>
            <w14:solidFill>
              <w14:schemeClr w14:val="tx1"/>
            </w14:solidFill>
          </w14:textFill>
        </w:rPr>
        <w:t>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w:t>
      </w:r>
      <w:r>
        <w:rPr>
          <w:rFonts w:hint="eastAsia" w:ascii="宋体" w:hAnsi="宋体" w:eastAsia="宋体" w:cs="宋体"/>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35.7</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中标人以履约保证金（银行转账形式）提供履约担保的在依法完成本项目的所有合同义务</w:t>
      </w:r>
      <w:r>
        <w:rPr>
          <w:rFonts w:ascii="宋体" w:hAnsi="宋体" w:eastAsia="宋体" w:cs="宋体"/>
          <w:color w:val="000000" w:themeColor="text1"/>
          <w:kern w:val="0"/>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，经招标人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hint="eastAsia" w:ascii="宋体" w:hAnsi="宋体" w:eastAsia="宋体" w:cs="宋体"/>
          <w:color w:val="000000" w:themeColor="text1"/>
          <w:kern w:val="0"/>
          <w:szCs w:val="21"/>
          <w:highlight w:val="none"/>
          <w14:textFill>
            <w14:solidFill>
              <w14:schemeClr w14:val="tx1"/>
            </w14:solidFill>
          </w14:textFill>
        </w:rPr>
        <w:t>确认，中标人可向招标人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hint="eastAsia" w:ascii="宋体" w:hAnsi="宋体" w:eastAsia="宋体" w:cs="宋体"/>
          <w:color w:val="000000" w:themeColor="text1"/>
          <w:kern w:val="0"/>
          <w:szCs w:val="21"/>
          <w:highlight w:val="none"/>
          <w14:textFill>
            <w14:solidFill>
              <w14:schemeClr w14:val="tx1"/>
            </w14:solidFill>
          </w14:textFill>
        </w:rPr>
        <w:t>提交退回履约担保的申请。招标人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hint="eastAsia" w:ascii="宋体" w:hAnsi="宋体" w:eastAsia="宋体" w:cs="宋体"/>
          <w:color w:val="000000" w:themeColor="text1"/>
          <w:kern w:val="0"/>
          <w:szCs w:val="21"/>
          <w:highlight w:val="none"/>
          <w14:textFill>
            <w14:solidFill>
              <w14:schemeClr w14:val="tx1"/>
            </w14:solidFill>
          </w14:textFill>
        </w:rPr>
        <w:t>审核无异议后，办理履约担保退还手续，退回时一律以银行转账的形式无息退回到中标人的账户。</w:t>
      </w:r>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14:textFill>
            <w14:solidFill>
              <w14:schemeClr w14:val="tx1"/>
            </w14:solidFill>
          </w14:textFill>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31" w:name="_Toc142508353"/>
      <w:bookmarkStart w:id="332" w:name="_Toc486167702"/>
      <w:bookmarkStart w:id="333" w:name="_Toc10548"/>
      <w:bookmarkStart w:id="334" w:name="_Toc161843183"/>
      <w:bookmarkStart w:id="335" w:name="_Toc27162"/>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bookmarkEnd w:id="329"/>
      <w:bookmarkEnd w:id="330"/>
      <w:bookmarkEnd w:id="331"/>
      <w:bookmarkEnd w:id="332"/>
      <w:bookmarkEnd w:id="333"/>
      <w:bookmarkEnd w:id="334"/>
      <w:bookmarkEnd w:id="335"/>
    </w:p>
    <w:p>
      <w:pPr>
        <w:autoSpaceDE w:val="0"/>
        <w:autoSpaceDN w:val="0"/>
        <w:adjustRightInd w:val="0"/>
        <w:spacing w:line="360" w:lineRule="auto"/>
        <w:ind w:left="328" w:leftChars="-114"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合同履行中</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w:t>
      </w:r>
      <w:r>
        <w:rPr>
          <w:rFonts w:ascii="宋体" w:hAnsi="宋体" w:eastAsia="宋体" w:cs="宋体"/>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hint="eastAsia" w:ascii="宋体" w:hAnsi="宋体" w:eastAsia="宋体" w:cs="宋体"/>
          <w:color w:val="000000" w:themeColor="text1"/>
          <w:kern w:val="0"/>
          <w:szCs w:val="21"/>
          <w:highlight w:val="none"/>
          <w14:textFill>
            <w14:solidFill>
              <w14:schemeClr w14:val="tx1"/>
            </w14:solidFill>
          </w14:textFill>
        </w:rPr>
        <w:t>在合同约定的范围内，招标人</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或招标人权属子公司或招标人权属子公司的分公司</w:t>
      </w:r>
      <w:r>
        <w:rPr>
          <w:rFonts w:hint="eastAsia" w:ascii="宋体" w:hAnsi="宋体" w:eastAsia="宋体" w:cs="宋体"/>
          <w:color w:val="000000" w:themeColor="text1"/>
          <w:kern w:val="0"/>
          <w:szCs w:val="21"/>
          <w:highlight w:val="none"/>
          <w14:textFill>
            <w14:solidFill>
              <w14:schemeClr w14:val="tx1"/>
            </w14:solidFill>
          </w14:textFill>
        </w:rPr>
        <w:t>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36" w:name="_Toc450662888"/>
    </w:p>
    <w:p>
      <w:pPr>
        <w:tabs>
          <w:tab w:val="left" w:pos="46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37" w:name="_Toc2401"/>
      <w:bookmarkStart w:id="338" w:name="_Toc23218"/>
      <w:bookmarkStart w:id="339" w:name="_Toc28921_WPSOffice_Level3"/>
      <w:bookmarkStart w:id="340" w:name="_Toc142508354"/>
      <w:bookmarkStart w:id="341" w:name="_Toc486167703"/>
      <w:bookmarkStart w:id="342" w:name="_Toc161843184"/>
      <w:r>
        <w:rPr>
          <w:rFonts w:hint="eastAsia" w:ascii="宋体" w:hAnsi="宋体" w:eastAsia="宋体" w:cs="宋体"/>
          <w:color w:val="000000" w:themeColor="text1"/>
          <w:szCs w:val="21"/>
          <w:highlight w:val="none"/>
          <w14:textFill>
            <w14:solidFill>
              <w14:schemeClr w14:val="tx1"/>
            </w14:solidFill>
          </w14:textFill>
        </w:rPr>
        <w:t>37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w:t>
      </w:r>
      <w:bookmarkEnd w:id="336"/>
      <w:bookmarkEnd w:id="337"/>
      <w:bookmarkEnd w:id="338"/>
      <w:bookmarkEnd w:id="339"/>
      <w:bookmarkEnd w:id="340"/>
      <w:bookmarkEnd w:id="341"/>
      <w:bookmarkEnd w:id="342"/>
    </w:p>
    <w:p>
      <w:pPr>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43"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44" w:name="_Toc142508355"/>
      <w:bookmarkStart w:id="345" w:name="_Toc21985"/>
      <w:bookmarkStart w:id="346" w:name="_Toc161843185"/>
      <w:bookmarkStart w:id="347" w:name="_Toc6796"/>
      <w:bookmarkStart w:id="348" w:name="_Toc486167704"/>
      <w:bookmarkStart w:id="349" w:name="_Toc6764_WPSOffice_Level3"/>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bookmarkEnd w:id="343"/>
      <w:bookmarkEnd w:id="344"/>
      <w:bookmarkEnd w:id="345"/>
      <w:bookmarkEnd w:id="346"/>
      <w:bookmarkEnd w:id="347"/>
      <w:bookmarkEnd w:id="348"/>
      <w:bookmarkEnd w:id="349"/>
    </w:p>
    <w:p>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.1</w:t>
      </w:r>
      <w:bookmarkStart w:id="350" w:name="_Toc31106_WPSOffice_Level3"/>
      <w:bookmarkStart w:id="351" w:name="_Toc486167705"/>
      <w:r>
        <w:rPr>
          <w:rFonts w:hint="eastAsia" w:ascii="宋体" w:hAnsi="宋体" w:eastAsia="宋体" w:cs="Times New Roman"/>
          <w:color w:val="000000" w:themeColor="text1"/>
          <w:szCs w:val="21"/>
          <w:highlight w:val="none"/>
          <w:lang w:val="zh-CN"/>
          <w14:textFill>
            <w14:solidFill>
              <w14:schemeClr w14:val="tx1"/>
            </w14:solidFill>
          </w14:textFill>
        </w:rPr>
        <w:t>该项目获得中标的中标人在执行合同过程中，向招标人（或招标人的权属</w:t>
      </w:r>
      <w:r>
        <w:rPr>
          <w:rFonts w:hint="eastAsia" w:ascii="宋体" w:hAnsi="宋体" w:eastAsia="宋体" w:cs="Times New Roman"/>
          <w:color w:val="000000" w:themeColor="text1"/>
          <w:szCs w:val="21"/>
          <w:highlight w:val="none"/>
          <w14:textFill>
            <w14:solidFill>
              <w14:schemeClr w14:val="tx1"/>
            </w14:solidFill>
          </w14:textFill>
        </w:rPr>
        <w:t>子</w:t>
      </w:r>
      <w:r>
        <w:rPr>
          <w:rFonts w:hint="eastAsia" w:ascii="宋体" w:hAnsi="宋体" w:eastAsia="宋体" w:cs="Times New Roman"/>
          <w:color w:val="000000" w:themeColor="text1"/>
          <w:szCs w:val="21"/>
          <w:highlight w:val="none"/>
          <w:lang w:val="zh-CN"/>
          <w14:textFill>
            <w14:solidFill>
              <w14:schemeClr w14:val="tx1"/>
            </w14:solidFill>
          </w14:textFill>
        </w:rPr>
        <w:t>公司</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或招标人权属子公司的分公司</w:t>
      </w:r>
      <w:r>
        <w:rPr>
          <w:rFonts w:hint="eastAsia" w:ascii="宋体" w:hAnsi="宋体" w:eastAsia="宋体" w:cs="Times New Roman"/>
          <w:color w:val="000000" w:themeColor="text1"/>
          <w:szCs w:val="21"/>
          <w:highlight w:val="none"/>
          <w:lang w:val="zh-CN"/>
          <w14:textFill>
            <w14:solidFill>
              <w14:schemeClr w14:val="tx1"/>
            </w14:solidFill>
          </w14:textFill>
        </w:rPr>
        <w:t>）出具的发票必须是由中标人开具，不得以其他单位或个人名义出具，本项目中标人向招标人（或招标人的权属</w:t>
      </w:r>
      <w:r>
        <w:rPr>
          <w:rFonts w:hint="eastAsia" w:ascii="宋体" w:hAnsi="宋体" w:eastAsia="宋体" w:cs="Times New Roman"/>
          <w:color w:val="000000" w:themeColor="text1"/>
          <w:szCs w:val="21"/>
          <w:highlight w:val="none"/>
          <w14:textFill>
            <w14:solidFill>
              <w14:schemeClr w14:val="tx1"/>
            </w14:solidFill>
          </w14:textFill>
        </w:rPr>
        <w:t>子</w:t>
      </w:r>
      <w:r>
        <w:rPr>
          <w:rFonts w:hint="eastAsia" w:ascii="宋体" w:hAnsi="宋体" w:eastAsia="宋体" w:cs="Times New Roman"/>
          <w:color w:val="000000" w:themeColor="text1"/>
          <w:szCs w:val="21"/>
          <w:highlight w:val="none"/>
          <w:lang w:val="zh-CN"/>
          <w14:textFill>
            <w14:solidFill>
              <w14:schemeClr w14:val="tx1"/>
            </w14:solidFill>
          </w14:textFill>
        </w:rPr>
        <w:t>公司</w:t>
      </w:r>
      <w:r>
        <w:rPr>
          <w:rFonts w:hint="eastAsia" w:ascii="宋体" w:hAnsi="宋体" w:eastAsia="宋体" w:cs="Times New Roman"/>
          <w:color w:val="000000" w:themeColor="text1"/>
          <w:kern w:val="0"/>
          <w:szCs w:val="21"/>
          <w:highlight w:val="none"/>
          <w14:textFill>
            <w14:solidFill>
              <w14:schemeClr w14:val="tx1"/>
            </w14:solidFill>
          </w14:textFill>
        </w:rPr>
        <w:t>或招标人权属子公司的分公司</w:t>
      </w:r>
      <w:r>
        <w:rPr>
          <w:rFonts w:hint="eastAsia" w:ascii="宋体" w:hAnsi="宋体" w:eastAsia="宋体" w:cs="Times New Roman"/>
          <w:color w:val="000000" w:themeColor="text1"/>
          <w:szCs w:val="21"/>
          <w:highlight w:val="none"/>
          <w:lang w:val="zh-CN"/>
          <w14:textFill>
            <w14:solidFill>
              <w14:schemeClr w14:val="tx1"/>
            </w14:solidFill>
          </w14:textFill>
        </w:rPr>
        <w:t>）出具的发票类型为增值税</w:t>
      </w:r>
      <w:r>
        <w:rPr>
          <w:rFonts w:hint="eastAsia" w:ascii="宋体" w:hAnsi="宋体" w:eastAsia="宋体" w:cs="Times New Roman"/>
          <w:color w:val="000000" w:themeColor="text1"/>
          <w:szCs w:val="21"/>
          <w:highlight w:val="none"/>
          <w14:textFill>
            <w14:solidFill>
              <w14:schemeClr w14:val="tx1"/>
            </w14:solidFill>
          </w14:textFill>
        </w:rPr>
        <w:t>普通发票</w:t>
      </w:r>
      <w:r>
        <w:rPr>
          <w:rFonts w:hint="eastAsia" w:ascii="宋体" w:hAnsi="宋体" w:eastAsia="宋体" w:cs="Times New Roman"/>
          <w:color w:val="000000" w:themeColor="text1"/>
          <w:szCs w:val="21"/>
          <w:highlight w:val="none"/>
          <w:lang w:val="zh-CN"/>
          <w14:textFill>
            <w14:solidFill>
              <w14:schemeClr w14:val="tx1"/>
            </w14:solidFill>
          </w14:textFill>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14:textFill>
            <w14:solidFill>
              <w14:schemeClr w14:val="tx1"/>
            </w14:solidFill>
          </w14:textFill>
        </w:rPr>
      </w:pPr>
      <w:bookmarkStart w:id="352" w:name="_Toc8619"/>
      <w:bookmarkStart w:id="353" w:name="_Toc142508356"/>
      <w:bookmarkStart w:id="354" w:name="_Toc161843186"/>
      <w:bookmarkStart w:id="355" w:name="_Toc24547"/>
      <w:r>
        <w:rPr>
          <w:rFonts w:ascii="宋体" w:hAnsi="宋体" w:eastAsia="宋体" w:cs="宋体"/>
          <w:color w:val="000000" w:themeColor="text1"/>
          <w:szCs w:val="21"/>
          <w:highlight w:val="none"/>
          <w14:textFill>
            <w14:solidFill>
              <w14:schemeClr w14:val="tx1"/>
            </w14:solidFill>
          </w14:textFill>
        </w:rPr>
        <w:t>39 招标相关补充约定</w:t>
      </w:r>
      <w:bookmarkEnd w:id="352"/>
      <w:bookmarkEnd w:id="353"/>
      <w:bookmarkEnd w:id="354"/>
      <w:bookmarkEnd w:id="355"/>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39.1</w:t>
      </w:r>
      <w:r>
        <w:rPr>
          <w:rFonts w:ascii="宋体" w:hAnsi="宋体" w:eastAsia="宋体" w:cs="Times New Roman"/>
          <w:b/>
          <w:color w:val="000000" w:themeColor="text1"/>
          <w:szCs w:val="21"/>
          <w:highlight w:val="none"/>
          <w14:textFill>
            <w14:solidFill>
              <w14:schemeClr w14:val="tx1"/>
            </w14:solidFill>
          </w14:textFill>
        </w:rPr>
        <w:tab/>
      </w:r>
      <w:r>
        <w:rPr>
          <w:rFonts w:ascii="宋体" w:hAnsi="宋体" w:eastAsia="宋体" w:cs="Times New Roman"/>
          <w:b/>
          <w:color w:val="000000" w:themeColor="text1"/>
          <w:szCs w:val="21"/>
          <w:highlight w:val="none"/>
          <w14:textFill>
            <w14:solidFill>
              <w14:schemeClr w14:val="tx1"/>
            </w14:solidFill>
          </w14:textFill>
        </w:rPr>
        <w:t>本项目投标人须知第2条所述行政处罚信息，以开标</w:t>
      </w:r>
      <w:r>
        <w:rPr>
          <w:rFonts w:hint="eastAsia" w:ascii="宋体" w:hAnsi="宋体" w:eastAsia="宋体" w:cs="Times New Roman"/>
          <w:b/>
          <w:color w:val="000000" w:themeColor="text1"/>
          <w:szCs w:val="21"/>
          <w:highlight w:val="none"/>
          <w14:textFill>
            <w14:solidFill>
              <w14:schemeClr w14:val="tx1"/>
            </w14:solidFill>
          </w14:textFill>
        </w:rPr>
        <w:t>当天</w:t>
      </w:r>
      <w:r>
        <w:rPr>
          <w:rFonts w:ascii="宋体" w:hAnsi="宋体" w:eastAsia="宋体" w:cs="Times New Roman"/>
          <w:b/>
          <w:color w:val="000000" w:themeColor="text1"/>
          <w:szCs w:val="21"/>
          <w:highlight w:val="none"/>
          <w14:textFill>
            <w14:solidFill>
              <w14:schemeClr w14:val="tx1"/>
            </w14:solidFill>
          </w14:textFill>
        </w:rPr>
        <w:t>在“信用中国”网站（www.creditchina.gov.cn）查询结果为准</w:t>
      </w:r>
      <w:r>
        <w:rPr>
          <w:rFonts w:hint="eastAsia" w:ascii="宋体" w:hAnsi="宋体" w:eastAsia="宋体" w:cs="Times New Roman"/>
          <w:b/>
          <w:color w:val="000000" w:themeColor="text1"/>
          <w:szCs w:val="21"/>
          <w:highlight w:val="none"/>
          <w14:textFill>
            <w14:solidFill>
              <w14:schemeClr w14:val="tx1"/>
            </w14:solidFill>
          </w14:textFill>
        </w:rPr>
        <w:t>，或以司法、仲裁机构等出具的生效文件予以认定,时间以认定文件的落款时间为准</w:t>
      </w:r>
      <w:r>
        <w:rPr>
          <w:rFonts w:ascii="宋体" w:hAnsi="宋体" w:eastAsia="宋体" w:cs="Times New Roman"/>
          <w:b/>
          <w:color w:val="000000" w:themeColor="text1"/>
          <w:szCs w:val="21"/>
          <w:highlight w:val="none"/>
          <w14:textFill>
            <w14:solidFill>
              <w14:schemeClr w14:val="tx1"/>
            </w14:solidFill>
          </w14:textFill>
        </w:rPr>
        <w:t>。开标结束后，有关投标单位的行政处罚信息，以</w:t>
      </w:r>
      <w:r>
        <w:rPr>
          <w:rFonts w:hint="eastAsia" w:ascii="宋体" w:hAnsi="宋体" w:eastAsia="宋体" w:cs="Times New Roman"/>
          <w:b/>
          <w:color w:val="000000" w:themeColor="text1"/>
          <w:szCs w:val="21"/>
          <w:highlight w:val="none"/>
          <w14:textFill>
            <w14:solidFill>
              <w14:schemeClr w14:val="tx1"/>
            </w14:solidFill>
          </w14:textFill>
        </w:rPr>
        <w:t>开标当天查询</w:t>
      </w:r>
      <w:r>
        <w:rPr>
          <w:rFonts w:ascii="宋体" w:hAnsi="宋体" w:eastAsia="宋体" w:cs="Times New Roman"/>
          <w:b/>
          <w:color w:val="000000" w:themeColor="text1"/>
          <w:szCs w:val="21"/>
          <w:highlight w:val="none"/>
          <w14:textFill>
            <w14:solidFill>
              <w14:schemeClr w14:val="tx1"/>
            </w14:solidFill>
          </w14:textFill>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14:textFill>
            <w14:solidFill>
              <w14:schemeClr w14:val="tx1"/>
            </w14:solidFill>
          </w14:textFill>
        </w:rPr>
      </w:pPr>
      <w:bookmarkStart w:id="356" w:name="_Toc161843187"/>
      <w:bookmarkStart w:id="357" w:name="_Toc142508357"/>
      <w:bookmarkStart w:id="358" w:name="_Toc26594"/>
      <w:bookmarkStart w:id="359" w:name="_Toc29758"/>
      <w:r>
        <w:rPr>
          <w:rFonts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14:textFill>
            <w14:solidFill>
              <w14:schemeClr w14:val="tx1"/>
            </w14:solidFill>
          </w14:textFill>
        </w:rPr>
        <w:t xml:space="preserve"> 本次招标活动的最终解释权归招标代理机构及招标人所有。</w:t>
      </w:r>
      <w:bookmarkEnd w:id="350"/>
      <w:bookmarkEnd w:id="351"/>
      <w:bookmarkEnd w:id="356"/>
      <w:bookmarkEnd w:id="357"/>
      <w:bookmarkEnd w:id="358"/>
      <w:bookmarkEnd w:id="359"/>
    </w:p>
    <w:p>
      <w:pPr>
        <w:ind w:left="247"/>
        <w:jc w:val="left"/>
        <w:rPr>
          <w:color w:val="000000" w:themeColor="text1"/>
          <w:highlight w:val="none"/>
          <w:lang w:val="zh-CN"/>
          <w14:textFill>
            <w14:solidFill>
              <w14:schemeClr w14:val="tx1"/>
            </w14:solidFill>
          </w14:textFill>
        </w:rPr>
      </w:pPr>
      <w:bookmarkStart w:id="360" w:name="_Toc450662891"/>
      <w:bookmarkStart w:id="361" w:name="_Toc27939_WPSOffice_Level1"/>
      <w:bookmarkStart w:id="362" w:name="_Toc142508358"/>
      <w:bookmarkStart w:id="363" w:name="_Toc486167706"/>
      <w:bookmarkStart w:id="364" w:name="_Toc14879"/>
      <w:bookmarkStart w:id="365" w:name="_Toc21446"/>
    </w:p>
    <w:p>
      <w:pPr>
        <w:ind w:left="247"/>
        <w:jc w:val="left"/>
        <w:rPr>
          <w:color w:val="000000" w:themeColor="text1"/>
          <w:highlight w:val="none"/>
          <w:lang w:val="zh-CN"/>
          <w14:textFill>
            <w14:solidFill>
              <w14:schemeClr w14:val="tx1"/>
            </w14:solidFill>
          </w14:textFill>
        </w:rPr>
      </w:pPr>
    </w:p>
    <w:p>
      <w:pPr>
        <w:ind w:left="247"/>
        <w:jc w:val="left"/>
        <w:rPr>
          <w:color w:val="000000" w:themeColor="text1"/>
          <w:highlight w:val="none"/>
          <w:lang w:val="zh-CN"/>
          <w14:textFill>
            <w14:solidFill>
              <w14:schemeClr w14:val="tx1"/>
            </w14:solidFill>
          </w14:textFill>
        </w:rPr>
      </w:pPr>
    </w:p>
    <w:p>
      <w:pPr>
        <w:ind w:left="247"/>
        <w:jc w:val="left"/>
        <w:rPr>
          <w:color w:val="000000" w:themeColor="text1"/>
          <w:highlight w:val="none"/>
          <w:lang w:val="zh-CN"/>
          <w14:textFill>
            <w14:solidFill>
              <w14:schemeClr w14:val="tx1"/>
            </w14:solidFill>
          </w14:textFill>
        </w:rPr>
      </w:pPr>
    </w:p>
    <w:p>
      <w:pPr>
        <w:ind w:left="247"/>
        <w:jc w:val="left"/>
        <w:rPr>
          <w:color w:val="000000" w:themeColor="text1"/>
          <w:highlight w:val="none"/>
          <w:lang w:val="zh-CN"/>
          <w14:textFill>
            <w14:solidFill>
              <w14:schemeClr w14:val="tx1"/>
            </w14:solidFill>
          </w14:textFill>
        </w:rPr>
      </w:pPr>
    </w:p>
    <w:p>
      <w:pPr>
        <w:ind w:left="247"/>
        <w:jc w:val="left"/>
        <w:rPr>
          <w:color w:val="000000" w:themeColor="text1"/>
          <w:highlight w:val="none"/>
          <w:lang w:val="zh-CN"/>
          <w14:textFill>
            <w14:solidFill>
              <w14:schemeClr w14:val="tx1"/>
            </w14:solidFill>
          </w14:textFill>
        </w:rPr>
      </w:pPr>
    </w:p>
    <w:p>
      <w:pPr>
        <w:ind w:left="247"/>
        <w:jc w:val="left"/>
        <w:rPr>
          <w:color w:val="000000" w:themeColor="text1"/>
          <w:highlight w:val="none"/>
          <w:lang w:val="zh-CN"/>
          <w14:textFill>
            <w14:solidFill>
              <w14:schemeClr w14:val="tx1"/>
            </w14:solidFill>
          </w14:textFill>
        </w:rPr>
      </w:pPr>
    </w:p>
    <w:p>
      <w:pPr>
        <w:pageBreakBefore/>
        <w:tabs>
          <w:tab w:val="left" w:pos="1080"/>
        </w:tabs>
        <w:autoSpaceDE w:val="0"/>
        <w:autoSpaceDN w:val="0"/>
        <w:adjustRightInd w:val="0"/>
        <w:spacing w:line="360" w:lineRule="auto"/>
        <w:ind w:left="357" w:leftChars="-100" w:hanging="567"/>
        <w:jc w:val="center"/>
        <w:outlineLvl w:val="0"/>
        <w:rPr>
          <w:rFonts w:hAnsi="宋体" w:cs="宋体"/>
          <w:b/>
          <w:bCs/>
          <w:color w:val="000000" w:themeColor="text1"/>
          <w:sz w:val="32"/>
          <w:szCs w:val="32"/>
          <w:highlight w:val="none"/>
          <w:lang w:val="zh-CN"/>
          <w14:textFill>
            <w14:solidFill>
              <w14:schemeClr w14:val="tx1"/>
            </w14:solidFill>
          </w14:textFill>
        </w:rPr>
      </w:pPr>
      <w:bookmarkStart w:id="366" w:name="_Toc161843188"/>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第三篇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用户需求书</w:t>
      </w:r>
      <w:bookmarkEnd w:id="360"/>
      <w:bookmarkEnd w:id="361"/>
      <w:bookmarkEnd w:id="362"/>
      <w:bookmarkEnd w:id="363"/>
      <w:bookmarkEnd w:id="364"/>
      <w:bookmarkEnd w:id="365"/>
      <w:bookmarkEnd w:id="366"/>
    </w:p>
    <w:p>
      <w:pPr>
        <w:spacing w:line="360" w:lineRule="auto"/>
        <w:ind w:left="247"/>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一、项目概况</w:t>
      </w:r>
    </w:p>
    <w:p>
      <w:pPr>
        <w:spacing w:line="360" w:lineRule="auto"/>
        <w:ind w:left="-320"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为保障食堂食材供应质量，确保</w:t>
      </w:r>
      <w:r>
        <w:rPr>
          <w:rFonts w:hint="eastAsia" w:ascii="宋体" w:hAnsi="宋体" w:eastAsia="宋体" w:cs="宋体"/>
          <w:color w:val="000000" w:themeColor="text1"/>
          <w:szCs w:val="21"/>
          <w:highlight w:val="none"/>
          <w:lang w:val="zh-CN"/>
          <w14:textFill>
            <w14:solidFill>
              <w14:schemeClr w14:val="tx1"/>
            </w14:solidFill>
          </w14:textFill>
        </w:rPr>
        <w:t>符合食品安全、卫生要求，东莞市水务集团有限公司、东莞市水务集团实业发展有限公司、</w:t>
      </w:r>
      <w:r>
        <w:rPr>
          <w:rFonts w:hint="eastAsia" w:ascii="宋体" w:hAnsi="宋体" w:eastAsia="宋体" w:cs="宋体"/>
          <w:color w:val="000000" w:themeColor="text1"/>
          <w:szCs w:val="21"/>
          <w:highlight w:val="none"/>
          <w14:textFill>
            <w14:solidFill>
              <w14:schemeClr w14:val="tx1"/>
            </w14:solidFill>
          </w14:textFill>
        </w:rPr>
        <w:t>东莞市水务集团科技发展有限公司、东莞市水务集团供水有限公司长安分公司</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含</w:t>
      </w:r>
      <w:r>
        <w:rPr>
          <w:rFonts w:hint="eastAsia" w:ascii="宋体" w:hAnsi="宋体" w:eastAsia="宋体" w:cs="宋体"/>
          <w:color w:val="000000" w:themeColor="text1"/>
          <w:szCs w:val="21"/>
          <w:highlight w:val="none"/>
          <w:lang w:val="zh-CN"/>
          <w14:textFill>
            <w14:solidFill>
              <w14:schemeClr w14:val="tx1"/>
            </w14:solidFill>
          </w14:textFill>
        </w:rPr>
        <w:t>招标人全资子公司、控股公司、由招标人管理的参股公司，当前包括10家子公司，后续将根据业务发展增加权属企业），拟开展食堂食材配送服务的招标采购工作。</w:t>
      </w:r>
    </w:p>
    <w:p>
      <w:pPr>
        <w:pStyle w:val="18"/>
        <w:ind w:left="247"/>
        <w:rPr>
          <w:rFonts w:hAnsi="宋体" w:cs="宋体"/>
          <w:color w:val="000000" w:themeColor="text1"/>
          <w:sz w:val="21"/>
          <w:szCs w:val="21"/>
          <w:highlight w:val="none"/>
          <w14:textFill>
            <w14:solidFill>
              <w14:schemeClr w14:val="tx1"/>
            </w14:solidFill>
          </w14:textFill>
        </w:rPr>
      </w:pPr>
    </w:p>
    <w:p>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二、总体要求</w:t>
      </w:r>
    </w:p>
    <w:p>
      <w:pPr>
        <w:spacing w:line="360" w:lineRule="auto"/>
        <w:ind w:left="247"/>
        <w:contextualSpacing/>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（一）服务单位</w:t>
      </w:r>
    </w:p>
    <w:p>
      <w:pPr>
        <w:spacing w:line="360" w:lineRule="auto"/>
        <w:ind w:left="-320" w:firstLine="420"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本项目通过公开招标确定一家食堂食材配送单位。</w:t>
      </w:r>
    </w:p>
    <w:p>
      <w:pPr>
        <w:spacing w:line="360" w:lineRule="auto"/>
        <w:ind w:left="247"/>
        <w:contextualSpacing/>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（二）服务期限</w:t>
      </w:r>
    </w:p>
    <w:p>
      <w:pPr>
        <w:spacing w:line="360" w:lineRule="auto"/>
        <w:ind w:left="-32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各公司自合同签订之日起一年。服务期限满后，双方经友好协商一致之后，可在保持原合同约定条款的情况下，签订补充协议延长服务资格期限，延长的服务资格期限原则上不超过三个月。本项目确定的中标人与东莞市水务集团有限公司、</w:t>
      </w:r>
      <w:r>
        <w:rPr>
          <w:rFonts w:hint="eastAsia" w:ascii="宋体" w:hAnsi="宋体" w:eastAsia="宋体" w:cs="宋体"/>
          <w:color w:val="000000" w:themeColor="text1"/>
          <w:szCs w:val="21"/>
          <w:highlight w:val="none"/>
          <w:lang w:val="zh-CN"/>
          <w14:textFill>
            <w14:solidFill>
              <w14:schemeClr w14:val="tx1"/>
            </w14:solidFill>
          </w14:textFill>
        </w:rPr>
        <w:t>东莞市水务集团实业发展有限公司、</w:t>
      </w:r>
      <w:r>
        <w:rPr>
          <w:rFonts w:hint="eastAsia" w:ascii="宋体" w:hAnsi="宋体" w:eastAsia="宋体" w:cs="宋体"/>
          <w:color w:val="000000" w:themeColor="text1"/>
          <w:szCs w:val="21"/>
          <w:highlight w:val="none"/>
          <w14:textFill>
            <w14:solidFill>
              <w14:schemeClr w14:val="tx1"/>
            </w14:solidFill>
          </w14:textFill>
        </w:rPr>
        <w:t>东莞市水务集团科技发展有限公司、东莞市水务集团供水有限公司长安分公司签订农副产品食品材料配送合同，招标人不确保中标人农副产品、主副食品、其他食品材料实际产生配送量，每月份按实际产生量结算。</w:t>
      </w:r>
    </w:p>
    <w:p>
      <w:pPr>
        <w:spacing w:line="360" w:lineRule="auto"/>
        <w:ind w:left="247"/>
        <w:contextualSpacing/>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（三）付款方法</w:t>
      </w:r>
    </w:p>
    <w:p>
      <w:pPr>
        <w:spacing w:line="360" w:lineRule="auto"/>
        <w:ind w:left="-32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招标人或招标人权属子公司或招标人权属子公司的分公司每月与中标人按实际产生量结算一次。</w:t>
      </w:r>
    </w:p>
    <w:p>
      <w:pPr>
        <w:spacing w:line="360" w:lineRule="auto"/>
        <w:ind w:left="247"/>
        <w:rPr>
          <w:rFonts w:ascii="宋体" w:hAnsi="宋体" w:eastAsia="宋体" w:cs="宋体"/>
          <w:b/>
          <w:bCs/>
          <w:color w:val="000000" w:themeColor="text1"/>
          <w:szCs w:val="21"/>
          <w:highlight w:val="none"/>
          <w14:textFill>
            <w14:solidFill>
              <w14:schemeClr w14:val="tx1"/>
            </w14:solidFill>
          </w14:textFill>
        </w:rPr>
      </w:pPr>
    </w:p>
    <w:p>
      <w:pPr>
        <w:spacing w:line="360" w:lineRule="auto"/>
        <w:ind w:left="247"/>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三、具体要求</w:t>
      </w:r>
    </w:p>
    <w:p>
      <w:pPr>
        <w:spacing w:line="360" w:lineRule="auto"/>
        <w:ind w:left="247"/>
        <w:contextualSpacing/>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（一）采购内容</w:t>
      </w:r>
    </w:p>
    <w:p>
      <w:pPr>
        <w:spacing w:line="360" w:lineRule="auto"/>
        <w:ind w:left="-32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建设、运营</w:t>
      </w:r>
      <w:r>
        <w:rPr>
          <w:rFonts w:hint="eastAsia" w:ascii="宋体" w:hAnsi="宋体" w:eastAsia="宋体" w:cs="宋体"/>
          <w:color w:val="000000" w:themeColor="text1"/>
          <w:szCs w:val="21"/>
          <w:highlight w:val="none"/>
          <w14:textFill>
            <w14:solidFill>
              <w14:schemeClr w14:val="tx1"/>
            </w14:solidFill>
          </w14:textFill>
        </w:rPr>
        <w:t>需要委托供应商提供食堂食材采购及配送服务，供货内容包括但不限于以下：</w:t>
      </w:r>
    </w:p>
    <w:p>
      <w:pPr>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A类（粮油干货类）：大米、食用油、调味品、干货、杂货、米粉面粉类等食品材料；</w:t>
      </w:r>
    </w:p>
    <w:p>
      <w:pPr>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B类（肉类）：生鲜猪、牛、羊、三鸟，鱼及冰冻水产、畜、禽肉类；</w:t>
      </w:r>
    </w:p>
    <w:p>
      <w:pPr>
        <w:autoSpaceDE w:val="0"/>
        <w:autoSpaceDN w:val="0"/>
        <w:adjustRightInd w:val="0"/>
        <w:spacing w:line="360" w:lineRule="auto"/>
        <w:ind w:left="-320"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C类（蔬果类）：生鲜蔬菜、水果等食品材料。</w:t>
      </w:r>
    </w:p>
    <w:p>
      <w:pPr>
        <w:spacing w:line="360" w:lineRule="auto"/>
        <w:ind w:left="247"/>
        <w:contextualSpacing/>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（二）就餐人数</w:t>
      </w:r>
    </w:p>
    <w:p>
      <w:pPr>
        <w:spacing w:line="360" w:lineRule="auto"/>
        <w:ind w:left="-32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2024年-2025年计划员工数量830人，东莞市水务集团有限公司130人、东莞市水务集团科技发展有限公司196人、</w:t>
      </w:r>
      <w:r>
        <w:rPr>
          <w:rFonts w:hint="eastAsia" w:ascii="宋体" w:hAnsi="宋体" w:eastAsia="宋体" w:cs="宋体"/>
          <w:color w:val="000000" w:themeColor="text1"/>
          <w:szCs w:val="21"/>
          <w:highlight w:val="none"/>
          <w:lang w:val="zh-CN"/>
          <w14:textFill>
            <w14:solidFill>
              <w14:schemeClr w14:val="tx1"/>
            </w14:solidFill>
          </w14:textFill>
        </w:rPr>
        <w:t>东莞市水务集团实业发展有限公司</w:t>
      </w:r>
      <w:r>
        <w:rPr>
          <w:rFonts w:hint="eastAsia" w:ascii="宋体" w:hAnsi="宋体" w:eastAsia="宋体" w:cs="宋体"/>
          <w:color w:val="000000" w:themeColor="text1"/>
          <w:szCs w:val="21"/>
          <w:highlight w:val="none"/>
          <w14:textFill>
            <w14:solidFill>
              <w14:schemeClr w14:val="tx1"/>
            </w14:solidFill>
          </w14:textFill>
        </w:rPr>
        <w:t>202人、东莞市水务集团供水有限公司长安分公司302人员工食堂（具体就餐人数以实际为准）。</w:t>
      </w:r>
    </w:p>
    <w:p>
      <w:pPr>
        <w:spacing w:line="360" w:lineRule="auto"/>
        <w:ind w:left="247"/>
        <w:contextualSpacing/>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（三）供货地点</w:t>
      </w:r>
    </w:p>
    <w:tbl>
      <w:tblPr>
        <w:tblStyle w:val="38"/>
        <w:tblW w:w="10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4928"/>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4" w:type="dxa"/>
            <w:vAlign w:val="center"/>
          </w:tcPr>
          <w:p>
            <w:pP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4928" w:type="dxa"/>
            <w:vAlign w:val="center"/>
          </w:tcPr>
          <w:p>
            <w:pPr>
              <w:ind w:left="247"/>
              <w:jc w:val="center"/>
              <w:rPr>
                <w:rFonts w:ascii="宋体" w:hAnsi="宋体" w:eastAsia="宋体" w:cs="宋体"/>
                <w:b/>
                <w:bCs/>
                <w:color w:val="000000" w:themeColor="text1"/>
                <w:szCs w:val="21"/>
                <w:highlight w:val="none"/>
                <w14:textFill>
                  <w14:solidFill>
                    <w14:schemeClr w14:val="tx1"/>
                  </w14:solidFill>
                </w14:textFill>
              </w:rPr>
            </w:pPr>
            <w:bookmarkStart w:id="367" w:name="OLE_LINK1"/>
            <w:r>
              <w:rPr>
                <w:rFonts w:hint="eastAsia" w:ascii="宋体" w:hAnsi="宋体" w:eastAsia="宋体" w:cs="宋体"/>
                <w:b/>
                <w:bCs/>
                <w:color w:val="000000" w:themeColor="text1"/>
                <w:szCs w:val="21"/>
                <w:highlight w:val="none"/>
                <w14:textFill>
                  <w14:solidFill>
                    <w14:schemeClr w14:val="tx1"/>
                  </w14:solidFill>
                </w14:textFill>
              </w:rPr>
              <w:t>食堂</w:t>
            </w:r>
            <w:bookmarkEnd w:id="367"/>
            <w:r>
              <w:rPr>
                <w:rFonts w:hint="eastAsia" w:ascii="宋体" w:hAnsi="宋体" w:eastAsia="宋体" w:cs="宋体"/>
                <w:b/>
                <w:bCs/>
                <w:color w:val="000000" w:themeColor="text1"/>
                <w:szCs w:val="21"/>
                <w:highlight w:val="none"/>
                <w14:textFill>
                  <w14:solidFill>
                    <w14:schemeClr w14:val="tx1"/>
                  </w14:solidFill>
                </w14:textFill>
              </w:rPr>
              <w:t>名称</w:t>
            </w:r>
          </w:p>
        </w:tc>
        <w:tc>
          <w:tcPr>
            <w:tcW w:w="4890" w:type="dxa"/>
            <w:vAlign w:val="center"/>
          </w:tcPr>
          <w:p>
            <w:pPr>
              <w:ind w:left="247"/>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配送地址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4"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92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东莞市水务集团有限公司</w:t>
            </w:r>
          </w:p>
        </w:tc>
        <w:tc>
          <w:tcPr>
            <w:tcW w:w="4890" w:type="dxa"/>
            <w:tcBorders>
              <w:right w:val="single" w:color="auto" w:sz="4" w:space="0"/>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东莞市东城街道育华路1号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4"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492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东莞市水务集团实业发展有限公司</w:t>
            </w:r>
          </w:p>
        </w:tc>
        <w:tc>
          <w:tcPr>
            <w:tcW w:w="4890" w:type="dxa"/>
            <w:tcBorders>
              <w:right w:val="single" w:color="auto" w:sz="4" w:space="0"/>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东莞市南城街道石鼓滨河路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4"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492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东莞市水务集团科技发展有限公司</w:t>
            </w:r>
          </w:p>
        </w:tc>
        <w:tc>
          <w:tcPr>
            <w:tcW w:w="4890" w:type="dxa"/>
            <w:tcBorders>
              <w:right w:val="single" w:color="auto" w:sz="4" w:space="0"/>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东莞市南城街道石鼓滨河路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4"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492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东莞市水务集团供水有限公司长安分公司</w:t>
            </w:r>
          </w:p>
        </w:tc>
        <w:tc>
          <w:tcPr>
            <w:tcW w:w="4890" w:type="dxa"/>
            <w:tcBorders>
              <w:right w:val="single" w:color="auto" w:sz="4" w:space="0"/>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1.东莞市长安镇莲湖路108号</w:t>
            </w:r>
          </w:p>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2.东莞市长安镇滨河路92号</w:t>
            </w:r>
          </w:p>
        </w:tc>
      </w:tr>
    </w:tbl>
    <w:p>
      <w:pPr>
        <w:spacing w:line="360" w:lineRule="auto"/>
        <w:ind w:left="-320" w:firstLine="422" w:firstLineChars="200"/>
        <w:contextualSpacing/>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备注：若在服务期内，招标人办公地点发生改变，服务地址以新办公地点地址为准。</w:t>
      </w:r>
    </w:p>
    <w:p>
      <w:pPr>
        <w:spacing w:line="360" w:lineRule="auto"/>
        <w:ind w:left="247"/>
        <w:contextualSpacing/>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（四）定价及定价周期</w:t>
      </w:r>
    </w:p>
    <w:p>
      <w:pPr>
        <w:spacing w:line="360" w:lineRule="auto"/>
        <w:ind w:left="-317"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1.招标人和中标人按以下方式确定供货价格（定价原则）：</w:t>
      </w:r>
    </w:p>
    <w:p>
      <w:pPr>
        <w:spacing w:line="360" w:lineRule="auto"/>
        <w:ind w:left="-317"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（1）原则上以东莞市发展和改革局</w:t>
      </w:r>
      <w:r>
        <w:rPr>
          <w:rFonts w:hint="eastAsia" w:ascii="宋体" w:hAnsi="宋体" w:eastAsia="宋体" w:cs="Times New Roman"/>
          <w:color w:val="000000" w:themeColor="text1"/>
          <w:szCs w:val="21"/>
          <w:highlight w:val="none"/>
          <w14:textFill>
            <w14:solidFill>
              <w14:schemeClr w14:val="tx1"/>
            </w14:solidFill>
          </w14:textFill>
        </w:rPr>
        <w:t>（http://dgdp.dg.gov.cn/jggl/spjg/，</w:t>
      </w:r>
      <w:r>
        <w:rPr>
          <w:rFonts w:hint="eastAsia" w:ascii="宋体" w:hAnsi="宋体" w:eastAsia="宋体" w:cs="Times New Roman"/>
          <w:color w:val="000000" w:themeColor="text1"/>
          <w:szCs w:val="21"/>
          <w:highlight w:val="none"/>
          <w:lang w:val="zh-CN"/>
          <w14:textFill>
            <w14:solidFill>
              <w14:schemeClr w14:val="tx1"/>
            </w14:solidFill>
          </w14:textFill>
        </w:rPr>
        <w:t>网址仅供参考</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具体以东莞市发展和改革局官方网址发布的为准</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东莞市菜篮子价格监测表</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当月份最新公布本期</w:t>
      </w:r>
      <w:r>
        <w:rPr>
          <w:rFonts w:hint="eastAsia" w:hAnsi="宋体" w:eastAsia="宋体" w:cs="宋体"/>
          <w:color w:val="000000" w:themeColor="text1"/>
          <w:szCs w:val="21"/>
          <w:highlight w:val="none"/>
          <w14:textFill>
            <w14:solidFill>
              <w14:schemeClr w14:val="tx1"/>
            </w14:solidFill>
          </w14:textFill>
        </w:rPr>
        <w:t>（指招标人或招标人权属子公司或招标人权属子公司的分公司审批之日的最新期次）价格</w:t>
      </w:r>
      <w:r>
        <w:rPr>
          <w:rFonts w:hint="eastAsia" w:ascii="宋体" w:hAnsi="宋体" w:eastAsia="宋体" w:cs="宋体"/>
          <w:color w:val="000000" w:themeColor="text1"/>
          <w:szCs w:val="21"/>
          <w:highlight w:val="none"/>
          <w14:textFill>
            <w14:solidFill>
              <w14:schemeClr w14:val="tx1"/>
            </w14:solidFill>
          </w14:textFill>
        </w:rPr>
        <w:t>作为基准价抽样审核；若东莞物价专栏无最近当月份公布或招标人</w:t>
      </w:r>
      <w:r>
        <w:rPr>
          <w:rFonts w:hint="eastAsia" w:ascii="宋体" w:hAnsi="宋体" w:eastAsia="宋体" w:cs="Times New Roman"/>
          <w:color w:val="000000" w:themeColor="text1"/>
          <w:szCs w:val="21"/>
          <w:highlight w:val="none"/>
          <w:lang w:val="zh-CN"/>
          <w14:textFill>
            <w14:solidFill>
              <w14:schemeClr w14:val="tx1"/>
            </w14:solidFill>
          </w14:textFill>
        </w:rPr>
        <w:t>或招标人权属子公司或招标人权属子公司的分公司</w:t>
      </w:r>
      <w:r>
        <w:rPr>
          <w:rFonts w:hint="eastAsia" w:ascii="宋体" w:hAnsi="宋体" w:eastAsia="宋体" w:cs="宋体"/>
          <w:color w:val="000000" w:themeColor="text1"/>
          <w:szCs w:val="21"/>
          <w:highlight w:val="none"/>
          <w14:textFill>
            <w14:solidFill>
              <w14:schemeClr w14:val="tx1"/>
            </w14:solidFill>
          </w14:textFill>
        </w:rPr>
        <w:t>所需的相同品种，则招标人</w:t>
      </w:r>
      <w:r>
        <w:rPr>
          <w:rFonts w:hint="eastAsia" w:ascii="宋体" w:hAnsi="宋体" w:eastAsia="宋体" w:cs="Times New Roman"/>
          <w:color w:val="000000" w:themeColor="text1"/>
          <w:szCs w:val="21"/>
          <w:highlight w:val="none"/>
          <w:lang w:val="zh-CN"/>
          <w14:textFill>
            <w14:solidFill>
              <w14:schemeClr w14:val="tx1"/>
            </w14:solidFill>
          </w14:textFill>
        </w:rPr>
        <w:t>或招标人权属子公司或招标人权属子公司的分公司</w:t>
      </w:r>
      <w:r>
        <w:rPr>
          <w:rFonts w:hint="eastAsia" w:ascii="宋体" w:hAnsi="宋体" w:eastAsia="宋体" w:cs="宋体"/>
          <w:color w:val="000000" w:themeColor="text1"/>
          <w:szCs w:val="21"/>
          <w:highlight w:val="none"/>
          <w14:textFill>
            <w14:solidFill>
              <w14:schemeClr w14:val="tx1"/>
            </w14:solidFill>
          </w14:textFill>
        </w:rPr>
        <w:t>将对本市区农副产品市场（莞城细村农贸市场或新光明市场或长安沙头综合市场）的市场零售价（与中标人供货产品等级、质量相近的产品零售价）进行抽样调查，核定相同品种的市场零售价格作基准价。</w:t>
      </w:r>
    </w:p>
    <w:p>
      <w:pPr>
        <w:snapToGrid w:val="0"/>
        <w:spacing w:line="360" w:lineRule="auto"/>
        <w:ind w:left="-317"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（2）临时委托采购：中标人必须按照招标人</w:t>
      </w:r>
      <w:r>
        <w:rPr>
          <w:rFonts w:hint="eastAsia" w:ascii="宋体" w:hAnsi="宋体" w:eastAsia="宋体" w:cs="Times New Roman"/>
          <w:color w:val="000000" w:themeColor="text1"/>
          <w:szCs w:val="21"/>
          <w:highlight w:val="none"/>
          <w:lang w:val="zh-CN"/>
          <w14:textFill>
            <w14:solidFill>
              <w14:schemeClr w14:val="tx1"/>
            </w14:solidFill>
          </w14:textFill>
        </w:rPr>
        <w:t>或招标人权属子公司或招标人权属子公司的分公司</w:t>
      </w:r>
      <w:r>
        <w:rPr>
          <w:rFonts w:hint="eastAsia" w:ascii="宋体" w:hAnsi="宋体" w:eastAsia="宋体" w:cs="宋体"/>
          <w:color w:val="000000" w:themeColor="text1"/>
          <w:szCs w:val="21"/>
          <w:highlight w:val="none"/>
          <w14:textFill>
            <w14:solidFill>
              <w14:schemeClr w14:val="tx1"/>
            </w14:solidFill>
          </w14:textFill>
        </w:rPr>
        <w:t>急需餐料物资品种、数量、送货时间、地点等在2小时内进行供货，若急需餐料物资不在供货物资清单表上，该项临时需求食品材料纳入下次供货清单内，并按上述定价原则确定供货价。</w:t>
      </w:r>
    </w:p>
    <w:p>
      <w:pPr>
        <w:pStyle w:val="19"/>
        <w:spacing w:line="360" w:lineRule="auto"/>
        <w:ind w:left="-317" w:firstLine="21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2.定价周期</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（1）A类（粮油干货类）、B类（肉类）、C类（蔬果类、其他类项）价格每半月更新一次，中标人每月12日前提交下半月报价给招标人</w:t>
      </w:r>
      <w:r>
        <w:rPr>
          <w:rFonts w:hint="eastAsia" w:ascii="宋体" w:hAnsi="宋体" w:eastAsia="宋体" w:cs="Times New Roman"/>
          <w:color w:val="000000" w:themeColor="text1"/>
          <w:szCs w:val="21"/>
          <w:highlight w:val="none"/>
          <w:lang w:val="zh-CN"/>
          <w14:textFill>
            <w14:solidFill>
              <w14:schemeClr w14:val="tx1"/>
            </w14:solidFill>
          </w14:textFill>
        </w:rPr>
        <w:t>或招标人权属子公司或招标人权属子公司的分公司</w:t>
      </w:r>
      <w:r>
        <w:rPr>
          <w:rFonts w:hint="eastAsia" w:ascii="宋体" w:hAnsi="宋体" w:eastAsia="宋体" w:cs="宋体"/>
          <w:color w:val="000000" w:themeColor="text1"/>
          <w:szCs w:val="21"/>
          <w:highlight w:val="none"/>
          <w14:textFill>
            <w14:solidFill>
              <w14:schemeClr w14:val="tx1"/>
            </w14:solidFill>
          </w14:textFill>
        </w:rPr>
        <w:t>审核，每月25日前提交下个月上半月报价给招标人</w:t>
      </w:r>
      <w:r>
        <w:rPr>
          <w:rFonts w:hint="eastAsia" w:ascii="宋体" w:hAnsi="宋体" w:eastAsia="宋体" w:cs="Times New Roman"/>
          <w:color w:val="000000" w:themeColor="text1"/>
          <w:szCs w:val="21"/>
          <w:highlight w:val="none"/>
          <w:lang w:val="zh-CN"/>
          <w14:textFill>
            <w14:solidFill>
              <w14:schemeClr w14:val="tx1"/>
            </w14:solidFill>
          </w14:textFill>
        </w:rPr>
        <w:t>或招标人权属子公司或招标人权属子公司的分公司</w:t>
      </w:r>
      <w:r>
        <w:rPr>
          <w:rFonts w:hint="eastAsia" w:ascii="宋体" w:hAnsi="宋体" w:eastAsia="宋体" w:cs="宋体"/>
          <w:color w:val="000000" w:themeColor="text1"/>
          <w:szCs w:val="21"/>
          <w:highlight w:val="none"/>
          <w14:textFill>
            <w14:solidFill>
              <w14:schemeClr w14:val="tx1"/>
            </w14:solidFill>
          </w14:textFill>
        </w:rPr>
        <w:t>审核。</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所供货品规格、型号报价与实际配送的规格型号相符合。核定价格后若供货时期市场出现部分类型餐料价格大幅浮动，升降在30%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函复，若在此期限内不予函复则以新定价格执行，除此之外，双方约定的供货物资价格在有效期内任何一方不得随意更改。</w:t>
      </w:r>
    </w:p>
    <w:p>
      <w:pPr>
        <w:spacing w:line="360" w:lineRule="auto"/>
        <w:ind w:left="247"/>
        <w:contextualSpacing/>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（五）考核管理</w:t>
      </w:r>
    </w:p>
    <w:p>
      <w:pPr>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招标人及招标人权属子公司、招标人权属子公司的分公司每月安排相关人员对中标人进行服务质量跟踪，两个月为一个考核期，并填写“XX公司食堂配送服务考核评分表”（附件1），考核成绩较差（低于80分）时由招标人或招标人权属子公司或招标人权属子公司的分公司下达整改意见书，以确保中标人的服务质量能满足招标人或招标人权属子公司或招标人权属子公司的分公司要求；如连续两次接收整改意见书仍未符合整改要求，招标人或招标人权属子公司或招标人权属子公司的分公司将有权</w:t>
      </w:r>
      <w:r>
        <w:rPr>
          <w:rFonts w:hint="eastAsia" w:ascii="宋体" w:hAnsi="宋体" w:eastAsia="宋体" w:cs="宋体"/>
          <w:color w:val="000000" w:themeColor="text1"/>
          <w:kern w:val="0"/>
          <w:szCs w:val="21"/>
          <w:highlight w:val="none"/>
          <w14:textFill>
            <w14:solidFill>
              <w14:schemeClr w14:val="tx1"/>
            </w14:solidFill>
          </w14:textFill>
        </w:rPr>
        <w:t>单方</w:t>
      </w:r>
      <w:r>
        <w:rPr>
          <w:rFonts w:hint="eastAsia" w:ascii="宋体" w:hAnsi="宋体" w:eastAsia="宋体" w:cs="宋体"/>
          <w:color w:val="000000" w:themeColor="text1"/>
          <w:szCs w:val="21"/>
          <w:highlight w:val="none"/>
          <w14:textFill>
            <w14:solidFill>
              <w14:schemeClr w14:val="tx1"/>
            </w14:solidFill>
          </w14:textFill>
        </w:rPr>
        <w:t>解除相关配送合同并没收履约担保，同时中标人应当承担违约责任。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2.中标人按照招标人提出的物品订货清单，不论数量多少，必须保证在规定的时间、地点送货。</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3.中标人对招标人提出的临时性服务要求应按招标人要求按时、按质、按量将货品送到指定地点。</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4.中标人提供的货品必须符合国家食品卫生法规相关标准，保质、保量。不合格的货品，中标人必须包退包换。</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5.中标人提供的货品必须出示真实有效的合格证书、检验报告：</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（1）A类：食品材料按招标人要求定期提供有效检验合格报告；B类、C类食品要提交所有相关检验、检测证明报告。</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（2）凡国家有明文规定的必须提供产品检验报告交食堂存档，符合国家溯源制度规定。</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6.中标人每次送货应有相应的送货清单（盖有中标人的有效公章），且必须时提供合法的进货单据。</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7.中标人提供的货品导致招标人有任何食物安全事件出现，由中标人承担全部责任及赔偿招标人一切损失，招标人保留法律追究权利。</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8.中标人应按照招标人指定时间内对下月供货价格进行签字确认。</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9.中标人的供货价应包含货品交给招标人之前的一切费用，包括运输费、储存费等，并承担送货途中的一切风险。</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10.未列入物资明细表内又需要购买的货品，其单价由双方以本用户需求书规定的定价原则确定供货价格。</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11.中标人进入招标人范围内必须遵守招标人有关规定，不得影响招标人的正常工作，由于中标人的过失造成招标人直接经济损失则要负全部责任及赔偿招标人一切损失。</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12.中标人须提供以往交易记录。</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13.中标人须有固定分割肉加工场所，具备空调作业环境，配套设备设施齐全，有相应加工作业流程及相关管理制度。</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★14.中标人须承诺中标后为招标人（</w:t>
      </w:r>
      <w:r>
        <w:rPr>
          <w:rFonts w:hint="eastAsia" w:ascii="宋体" w:hAnsi="宋体" w:eastAsia="宋体" w:cs="宋体"/>
          <w:color w:val="000000" w:themeColor="text1"/>
          <w:szCs w:val="21"/>
          <w:highlight w:val="none"/>
          <w:lang w:val="zh-CN"/>
          <w14:textFill>
            <w14:solidFill>
              <w14:schemeClr w14:val="tx1"/>
            </w14:solidFill>
          </w14:textFill>
        </w:rPr>
        <w:t>东莞市水务集团有限公司</w:t>
      </w:r>
      <w:r>
        <w:rPr>
          <w:rFonts w:hint="eastAsia" w:ascii="宋体" w:hAnsi="宋体" w:eastAsia="宋体" w:cs="宋体"/>
          <w:color w:val="000000" w:themeColor="text1"/>
          <w:szCs w:val="21"/>
          <w:highlight w:val="none"/>
          <w14:textFill>
            <w14:solidFill>
              <w14:schemeClr w14:val="tx1"/>
            </w14:solidFill>
          </w14:textFill>
        </w:rPr>
        <w:t>）及招标人权属子公司（</w:t>
      </w:r>
      <w:r>
        <w:rPr>
          <w:rFonts w:hint="eastAsia" w:ascii="宋体" w:hAnsi="宋体" w:eastAsia="宋体" w:cs="宋体"/>
          <w:color w:val="000000" w:themeColor="text1"/>
          <w:szCs w:val="21"/>
          <w:highlight w:val="none"/>
          <w:lang w:val="zh-CN"/>
          <w14:textFill>
            <w14:solidFill>
              <w14:schemeClr w14:val="tx1"/>
            </w14:solidFill>
          </w14:textFill>
        </w:rPr>
        <w:t>东莞市水务集团实业发展有限公司、</w:t>
      </w:r>
      <w:r>
        <w:rPr>
          <w:rFonts w:hint="eastAsia" w:ascii="宋体" w:hAnsi="宋体" w:eastAsia="宋体" w:cs="宋体"/>
          <w:color w:val="000000" w:themeColor="text1"/>
          <w:szCs w:val="21"/>
          <w:highlight w:val="none"/>
          <w14:textFill>
            <w14:solidFill>
              <w14:schemeClr w14:val="tx1"/>
            </w14:solidFill>
          </w14:textFill>
        </w:rPr>
        <w:t>东莞市水务集团科技发展有限公司）、招标人权属子公司的分公司（东莞市水务集团供水有限公司长安分公司）为受益人）提供一份额度不少于人民币20000万元的保险（食品安全责任险），各受益人均享有同等受益权，保险承保期限不短于配送时间一年，如配送服务合同延期，保险承保期需同步延期。</w:t>
      </w:r>
      <w:r>
        <w:rPr>
          <w:rFonts w:hint="eastAsia" w:ascii="宋体" w:hAnsi="宋体" w:eastAsia="宋体" w:cs="宋体"/>
          <w:color w:val="000000" w:themeColor="text1"/>
          <w:kern w:val="0"/>
          <w:szCs w:val="21"/>
          <w:highlight w:val="none"/>
          <w14:textFill>
            <w14:solidFill>
              <w14:schemeClr w14:val="tx1"/>
            </w14:solidFill>
          </w14:textFill>
        </w:rPr>
        <w:t>若因</w:t>
      </w:r>
      <w:r>
        <w:rPr>
          <w:rFonts w:hint="eastAsia" w:ascii="宋体" w:hAnsi="宋体" w:eastAsia="宋体" w:cs="宋体"/>
          <w:color w:val="000000" w:themeColor="text1"/>
          <w:szCs w:val="21"/>
          <w:highlight w:val="none"/>
          <w14:textFill>
            <w14:solidFill>
              <w14:schemeClr w14:val="tx1"/>
            </w14:solidFill>
          </w14:textFill>
        </w:rPr>
        <w:t>中标人</w:t>
      </w:r>
      <w:r>
        <w:rPr>
          <w:rFonts w:hint="eastAsia" w:ascii="宋体" w:hAnsi="宋体" w:eastAsia="宋体" w:cs="宋体"/>
          <w:color w:val="000000" w:themeColor="text1"/>
          <w:kern w:val="0"/>
          <w:szCs w:val="21"/>
          <w:highlight w:val="none"/>
          <w14:textFill>
            <w14:solidFill>
              <w14:schemeClr w14:val="tx1"/>
            </w14:solidFill>
          </w14:textFill>
        </w:rPr>
        <w:t>原因造成</w:t>
      </w:r>
      <w:r>
        <w:rPr>
          <w:rFonts w:hint="eastAsia" w:ascii="宋体" w:hAnsi="宋体" w:eastAsia="宋体" w:cs="宋体"/>
          <w:color w:val="000000" w:themeColor="text1"/>
          <w:szCs w:val="21"/>
          <w:highlight w:val="none"/>
          <w14:textFill>
            <w14:solidFill>
              <w14:schemeClr w14:val="tx1"/>
            </w14:solidFill>
          </w14:textFill>
        </w:rPr>
        <w:t>招标人或招标人权属子公司或招标人权属子公司的分公司</w:t>
      </w:r>
      <w:r>
        <w:rPr>
          <w:rFonts w:hint="eastAsia" w:ascii="宋体" w:hAnsi="宋体" w:eastAsia="宋体" w:cs="宋体"/>
          <w:color w:val="000000" w:themeColor="text1"/>
          <w:kern w:val="0"/>
          <w:szCs w:val="21"/>
          <w:highlight w:val="none"/>
          <w14:textFill>
            <w14:solidFill>
              <w14:schemeClr w14:val="tx1"/>
            </w14:solidFill>
          </w14:textFill>
        </w:rPr>
        <w:t>人员食物中毒等事故而索赔并超出相应保险赔偿额度，超出部分由</w:t>
      </w:r>
      <w:r>
        <w:rPr>
          <w:rFonts w:hint="eastAsia" w:ascii="宋体" w:hAnsi="宋体" w:eastAsia="宋体" w:cs="宋体"/>
          <w:color w:val="000000" w:themeColor="text1"/>
          <w:szCs w:val="21"/>
          <w:highlight w:val="none"/>
          <w14:textFill>
            <w14:solidFill>
              <w14:schemeClr w14:val="tx1"/>
            </w14:solidFill>
          </w14:textFill>
        </w:rPr>
        <w:t>中标人</w:t>
      </w:r>
      <w:r>
        <w:rPr>
          <w:rFonts w:hint="eastAsia" w:ascii="宋体" w:hAnsi="宋体" w:eastAsia="宋体" w:cs="宋体"/>
          <w:color w:val="000000" w:themeColor="text1"/>
          <w:kern w:val="0"/>
          <w:szCs w:val="21"/>
          <w:highlight w:val="none"/>
          <w14:textFill>
            <w14:solidFill>
              <w14:schemeClr w14:val="tx1"/>
            </w14:solidFill>
          </w14:textFill>
        </w:rPr>
        <w:t>负责承担。</w:t>
      </w:r>
      <w:r>
        <w:rPr>
          <w:rFonts w:hint="eastAsia" w:ascii="宋体" w:hAnsi="宋体" w:eastAsia="宋体" w:cs="宋体"/>
          <w:b/>
          <w:bCs/>
          <w:color w:val="000000" w:themeColor="text1"/>
          <w:szCs w:val="21"/>
          <w:highlight w:val="none"/>
          <w14:textFill>
            <w14:solidFill>
              <w14:schemeClr w14:val="tx1"/>
            </w14:solidFill>
          </w14:textFill>
        </w:rPr>
        <w:t>（注：须提供《购买食品安全责任险承诺书》加盖投标人公章）</w:t>
      </w:r>
    </w:p>
    <w:p>
      <w:pPr>
        <w:spacing w:line="360" w:lineRule="auto"/>
        <w:ind w:left="247"/>
        <w:contextualSpacing/>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（六）验收标准</w:t>
      </w:r>
    </w:p>
    <w:p>
      <w:pPr>
        <w:snapToGrid w:val="0"/>
        <w:spacing w:line="360" w:lineRule="auto"/>
        <w:ind w:left="-320" w:firstLine="422"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A类（粮油干货类）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1.粮食大米类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（1）由正规厂家出厂、颜色品质纯正，米粒形均匀、整齐、重量大没有碎米和爆腰。</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（2）有清香味和光泽，无米糠和其它杂质、无虫害、无异味、无霉味，用手摸时滑爽、干燥。</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（3）符合食品卫生标准，无毒、无污染。</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2.食用油类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（1）由知名正规厂家生产的植物油，非转基因类。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（2）色泽纯正，透明度好。</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3.调味品类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（1）由正规厂家生产、颜色品质纯正。</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4.干货、杂货、副食品类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（1）必须选用符合国家食品卫生法规相关标准的商品，选用无毒、无害、无污染、可溯源的食品。掺假、掺杂食品坚决不能使用。</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（2）副食品等级标准要相符，其包装盒或标签上须注明食品名称、生产厂家、厂址、生产日期、食品的主要原料成份和食品保质期等信息，注明不详或没有注明的商品不予验收。</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（3）副食品表面外观新鲜、完整，无霉变异味，无砂粒杂质，无虫尸鼠粪等不洁卫生问题。</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5.米粉面粉类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（1）米粉面粉类及其制品颜色品质要纯正，不掺假、掺杂。</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（2）符合食品卫生标准，粉质细腻干爽无异物、无毒、无污染。</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（3）制成品不能出现异味、霉变结块、虫尸鼠粪等不洁的卫生问题。</w:t>
      </w:r>
    </w:p>
    <w:p>
      <w:pPr>
        <w:snapToGrid w:val="0"/>
        <w:spacing w:line="360" w:lineRule="auto"/>
        <w:ind w:left="-320" w:firstLine="420" w:firstLineChars="200"/>
        <w:contextualSpacing/>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上述货品必须符合国家食品卫生法规相关标准，符合招标人使用要求，货品必须保证有三分之二以上保质期（如货品有保质期）。</w:t>
      </w:r>
    </w:p>
    <w:p>
      <w:pPr>
        <w:snapToGrid w:val="0"/>
        <w:spacing w:line="360" w:lineRule="auto"/>
        <w:ind w:left="-320" w:firstLine="422" w:firstLineChars="200"/>
        <w:contextualSpacing/>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B类（肉类）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1.猪肉类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（1）具有当天卫生监督部门发放的“动物检疫合格证明”，肉体印有检疫章。</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（2）表皮干爽、肌体结实、肉质紧密、肉色淡红新鲜，肥肉洁白而细腻。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（3）外观检测无异味、无寄生虫、无粘液、无渗出液体、指压反弹迅速、具有猪肉自然气味。</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（4）运输设备具备恒温保鲜（5℃度），存放容器保持清洁卫生，包装合理且材料无污染。</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2.牛肉类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（1）具有当天卫生监督部门发放的“动物检疫合格证明”，外观检测新鲜肉质柔软有光泽、无腐臭变质异味、无寄生虫、无粘液、无渗出液体。</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（2）牛肉色泽棕红，脂肪呈淡黄色或深黄色，肉质坚硬，弹性足。</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（3）运输设备具备恒温保鲜（5℃度），存放容器保持清洁卫生，包装合理且材料无污染。</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3.羊肉类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（1）具有当天卫生监督部门发放的“动物检疫合格证明”。</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（2）羊肉色泽暗红，纤维细而软，肌间少脂肪。</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（3）运输设备具备恒温保鲜（5℃度），存放容器保持清洁卫生，包装合理且材料无污染。</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4.水产品类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（1）必须鲜活。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（2）鲜鱼鳞片完整，有光泽无脱落，鳃口紧闭，眼球光亮透明，鱼鳃鲜红，鳍尾完整，确保新鲜。</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（3）身体饱满结实，无腐烂异味，肉质紧密有弹性，无离骨脱刺现象。</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（4）来源可靠放心，无毒、无害、无污染。</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5.三鸟类（已经屠杀完成）</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（1）具有当天卫生监督部门发放的“动物检疫合格证明”。</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（2）肉质新鲜柔软有光泽，质地紧密，脂肪呈白色或淡黄色，肉质细腻、无腐烂异味， 肉体结实，内脏清掏干净，肉质弹性足无明显渗出液体，总体无粘液。</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（3）运输设备具备恒温保鲜（5℃度），存放容器保持清洁卫生，包装合理，来源可靠放心，无毒、无害、无污染。</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6.零星冻品、加工副食品类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（1）必须选用符合国家食品卫生法规相关标准的商品，选用无毒、无害、无污染、可溯源的副食品。掺假、掺杂副食品坚决不能使用。</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（2）食品等级标准要相符，其包装盒或标签上须注明食品名称，生产厂家、厂址、生产日期、食品的主要原料成份和食品保质期等信息，注明不详或没有注明的商品不予验收。</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（3）冻肉类产品中间不能有过多冰块，重量必须和包装箱上标明的重量一致。</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（4）奶制品色泽乳白，口味鲜香，包装完整，无破损，验收每批在保质期二分之一以上，符合国家规定的质量卫生标准。</w:t>
      </w:r>
    </w:p>
    <w:p>
      <w:pPr>
        <w:snapToGrid w:val="0"/>
        <w:spacing w:line="360" w:lineRule="auto"/>
        <w:ind w:left="-320" w:firstLine="422" w:firstLineChars="200"/>
        <w:contextualSpacing/>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C类：蔬果类</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1.应保持较好的色泽和新鲜度。</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2.符合国家食品卫生标准，蔬菜不得有黄叶；不得腐烂和泥沙等现象。</w:t>
      </w:r>
    </w:p>
    <w:p>
      <w:pPr>
        <w:snapToGrid w:val="0"/>
        <w:spacing w:line="360" w:lineRule="auto"/>
        <w:ind w:left="-320" w:firstLine="420" w:firstLineChars="2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3.无公害、农药残留不得超标，提供农药残留检测证明。</w:t>
      </w:r>
    </w:p>
    <w:p>
      <w:pPr>
        <w:pStyle w:val="205"/>
        <w:spacing w:before="0" w:after="0" w:line="360" w:lineRule="auto"/>
        <w:ind w:left="247" w:right="0"/>
        <w:rPr>
          <w:rFonts w:ascii="宋体" w:hAnsi="宋体" w:eastAsia="宋体" w:cs="宋体"/>
          <w:b/>
          <w:color w:val="000000" w:themeColor="text1"/>
          <w:szCs w:val="21"/>
          <w:highlight w:val="none"/>
          <w14:textFill>
            <w14:solidFill>
              <w14:schemeClr w14:val="tx1"/>
            </w14:solidFill>
          </w14:textFill>
        </w:rPr>
      </w:pPr>
    </w:p>
    <w:p>
      <w:pPr>
        <w:spacing w:line="360" w:lineRule="auto"/>
        <w:ind w:left="24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四、其他</w:t>
      </w:r>
    </w:p>
    <w:p>
      <w:pPr>
        <w:tabs>
          <w:tab w:val="left" w:pos="1800"/>
        </w:tabs>
        <w:spacing w:line="360" w:lineRule="auto"/>
        <w:ind w:left="-32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其他未尽事宜，将在合同签订或项目执行过程中双方协商确定，中标人须无条件满足招标人的合理要求。</w:t>
      </w:r>
    </w:p>
    <w:p>
      <w:pPr>
        <w:ind w:left="24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pPr>
        <w:spacing w:line="288" w:lineRule="auto"/>
        <w:ind w:left="24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附件1：</w:t>
      </w:r>
    </w:p>
    <w:p>
      <w:pPr>
        <w:ind w:left="247"/>
        <w:jc w:val="center"/>
        <w:rPr>
          <w:rFonts w:ascii="宋体" w:hAnsi="宋体" w:eastAsia="宋体" w:cs="宋体"/>
          <w:b/>
          <w:bCs/>
          <w:color w:val="000000" w:themeColor="text1"/>
          <w:sz w:val="22"/>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XX公司食堂配送服务考核评分表</w:t>
      </w:r>
    </w:p>
    <w:tbl>
      <w:tblPr>
        <w:tblStyle w:val="37"/>
        <w:tblpPr w:leftFromText="180" w:rightFromText="180" w:vertAnchor="text" w:horzAnchor="page" w:tblpX="982" w:tblpY="828"/>
        <w:tblOverlap w:val="never"/>
        <w:tblW w:w="1036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20"/>
        <w:gridCol w:w="614"/>
        <w:gridCol w:w="4634"/>
        <w:gridCol w:w="879"/>
        <w:gridCol w:w="775"/>
        <w:gridCol w:w="672"/>
        <w:gridCol w:w="672"/>
        <w:gridCol w:w="6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8" w:type="dxa"/>
            <w:vMerge w:val="restart"/>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720" w:type="dxa"/>
            <w:vMerge w:val="restart"/>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考核指标</w:t>
            </w:r>
          </w:p>
        </w:tc>
        <w:tc>
          <w:tcPr>
            <w:tcW w:w="614" w:type="dxa"/>
            <w:vMerge w:val="restart"/>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分值</w:t>
            </w:r>
          </w:p>
        </w:tc>
        <w:tc>
          <w:tcPr>
            <w:tcW w:w="4634" w:type="dxa"/>
            <w:vMerge w:val="restart"/>
            <w:tcBorders>
              <w:tl2br w:val="nil"/>
              <w:tr2bl w:val="nil"/>
            </w:tcBorders>
            <w:vAlign w:val="center"/>
          </w:tcPr>
          <w:p>
            <w:pPr>
              <w:spacing w:line="480" w:lineRule="exact"/>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考核要素和评估内容及其标准</w:t>
            </w:r>
          </w:p>
        </w:tc>
        <w:tc>
          <w:tcPr>
            <w:tcW w:w="879"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优秀</w:t>
            </w:r>
          </w:p>
        </w:tc>
        <w:tc>
          <w:tcPr>
            <w:tcW w:w="775"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良好</w:t>
            </w:r>
          </w:p>
        </w:tc>
        <w:tc>
          <w:tcPr>
            <w:tcW w:w="67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不合格</w:t>
            </w:r>
          </w:p>
        </w:tc>
        <w:tc>
          <w:tcPr>
            <w:tcW w:w="672" w:type="dxa"/>
            <w:vMerge w:val="restart"/>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扣分情况</w:t>
            </w:r>
          </w:p>
        </w:tc>
        <w:tc>
          <w:tcPr>
            <w:tcW w:w="682" w:type="dxa"/>
            <w:vMerge w:val="restart"/>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8" w:type="dxa"/>
            <w:vMerge w:val="continue"/>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c>
          <w:tcPr>
            <w:tcW w:w="720" w:type="dxa"/>
            <w:vMerge w:val="continue"/>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614" w:type="dxa"/>
            <w:vMerge w:val="continue"/>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c>
          <w:tcPr>
            <w:tcW w:w="4634" w:type="dxa"/>
            <w:vMerge w:val="continue"/>
            <w:tcBorders>
              <w:tl2br w:val="nil"/>
              <w:tr2bl w:val="nil"/>
            </w:tcBorders>
            <w:vAlign w:val="center"/>
          </w:tcPr>
          <w:p>
            <w:pPr>
              <w:spacing w:line="480" w:lineRule="exact"/>
              <w:ind w:left="247"/>
              <w:rPr>
                <w:rFonts w:ascii="宋体" w:hAnsi="宋体" w:eastAsia="宋体" w:cs="宋体"/>
                <w:color w:val="000000" w:themeColor="text1"/>
                <w:szCs w:val="21"/>
                <w:highlight w:val="none"/>
                <w14:textFill>
                  <w14:solidFill>
                    <w14:schemeClr w14:val="tx1"/>
                  </w14:solidFill>
                </w14:textFill>
              </w:rPr>
            </w:pPr>
          </w:p>
        </w:tc>
        <w:tc>
          <w:tcPr>
            <w:tcW w:w="879"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8-10分</w:t>
            </w:r>
          </w:p>
        </w:tc>
        <w:tc>
          <w:tcPr>
            <w:tcW w:w="775"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5-7分</w:t>
            </w:r>
          </w:p>
        </w:tc>
        <w:tc>
          <w:tcPr>
            <w:tcW w:w="672"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5分以下</w:t>
            </w:r>
          </w:p>
        </w:tc>
        <w:tc>
          <w:tcPr>
            <w:tcW w:w="672" w:type="dxa"/>
            <w:vMerge w:val="continue"/>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c>
          <w:tcPr>
            <w:tcW w:w="682" w:type="dxa"/>
            <w:vMerge w:val="continue"/>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718"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720"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送货时间</w:t>
            </w:r>
          </w:p>
        </w:tc>
        <w:tc>
          <w:tcPr>
            <w:tcW w:w="614"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634"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非不可抗拒情况下：本月内每次送货准时得 8-10 分；本月内2次不准时但能与食堂方及时沟通得 5-7分，不沟通或沟通不及时3次得 5 分以下。</w:t>
            </w:r>
          </w:p>
        </w:tc>
        <w:tc>
          <w:tcPr>
            <w:tcW w:w="879"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18"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720"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服务态度</w:t>
            </w:r>
          </w:p>
        </w:tc>
        <w:tc>
          <w:tcPr>
            <w:tcW w:w="614"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634"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工作人员工作认真，服务热情周到，运送搬装文明得8-10分；本月内发现因搬装等原因造成食物污染、破损2次得 5-7分；发生3次以上情况 5 分以下。</w:t>
            </w:r>
          </w:p>
        </w:tc>
        <w:tc>
          <w:tcPr>
            <w:tcW w:w="879"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8"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720"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差错情况</w:t>
            </w:r>
          </w:p>
        </w:tc>
        <w:tc>
          <w:tcPr>
            <w:tcW w:w="614"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634"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本月内每次送货无差错得 8-10 分；有2次差错但能及时补救得 5-7 分；4次出错且补救不及时 5 分以下。</w:t>
            </w:r>
          </w:p>
        </w:tc>
        <w:tc>
          <w:tcPr>
            <w:tcW w:w="879"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720"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足斤足两</w:t>
            </w:r>
          </w:p>
        </w:tc>
        <w:tc>
          <w:tcPr>
            <w:tcW w:w="614"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634"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本月内送货没有出现短斤缺两现象得 8-10 分；2次出现短近缺两但能及时更正得 5-7 分；上述情况发生且不能及时更正3次得 5 分以下。</w:t>
            </w:r>
          </w:p>
        </w:tc>
        <w:tc>
          <w:tcPr>
            <w:tcW w:w="879"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18"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720"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价格与质量合理性</w:t>
            </w:r>
          </w:p>
        </w:tc>
        <w:tc>
          <w:tcPr>
            <w:tcW w:w="614"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634"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按照菜篮子价格与指定市场的同等价格品种的质量相比较,价格合理下浮得 8 -10分；对比市场价，价格有偏高20％，得 5-7 分；价格高于市场价30％，得 5 分以下。</w:t>
            </w:r>
          </w:p>
        </w:tc>
        <w:tc>
          <w:tcPr>
            <w:tcW w:w="879"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18"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720"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质量服务</w:t>
            </w:r>
          </w:p>
        </w:tc>
        <w:tc>
          <w:tcPr>
            <w:tcW w:w="614"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634"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所供商品经过挑选后利用率达到 98%得 8-10 分，本月内3次发现商品利用率在 97%-90%，得5-7 分；4次发现未经挑选并有腐烂情况的质量问题得 5 分以下。</w:t>
            </w:r>
          </w:p>
        </w:tc>
        <w:tc>
          <w:tcPr>
            <w:tcW w:w="879"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18"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720"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品牌意识</w:t>
            </w:r>
          </w:p>
        </w:tc>
        <w:tc>
          <w:tcPr>
            <w:tcW w:w="614"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634"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按食堂发出的订单品种采购，无擅自更换商品品种现象 8-10 分；本月内发现有3次以下擅自更换商品品种现象得5-7 分，发现3 次及以上擅自更换商品品种现象得 5 分以下。</w:t>
            </w:r>
          </w:p>
        </w:tc>
        <w:tc>
          <w:tcPr>
            <w:tcW w:w="879"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18"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p>
        </w:tc>
        <w:tc>
          <w:tcPr>
            <w:tcW w:w="720"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联系制度</w:t>
            </w:r>
          </w:p>
        </w:tc>
        <w:tc>
          <w:tcPr>
            <w:tcW w:w="614"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634"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更换商品前，与食堂联系并谈妥商品事项，得 8-10 分；本月内2次更改商品单方定价得 5-7 分；本月内3次出现更改商品单方定价得 5 分以下。</w:t>
            </w:r>
          </w:p>
        </w:tc>
        <w:tc>
          <w:tcPr>
            <w:tcW w:w="879"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18"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p>
        </w:tc>
        <w:tc>
          <w:tcPr>
            <w:tcW w:w="720"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跟踪随访</w:t>
            </w:r>
          </w:p>
        </w:tc>
        <w:tc>
          <w:tcPr>
            <w:tcW w:w="614"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634"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供货商能主动到食堂随访，倾听食堂意见，每月2次得8-10 分，供货商每月回访食堂1次得 5-0 分。</w:t>
            </w:r>
          </w:p>
        </w:tc>
        <w:tc>
          <w:tcPr>
            <w:tcW w:w="879"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18"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720"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检测资料</w:t>
            </w:r>
          </w:p>
        </w:tc>
        <w:tc>
          <w:tcPr>
            <w:tcW w:w="614"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634"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本月内向食堂提供全部有关商品的检测资料得 8-10 分；遗漏2次但当月内可以及时补交的 得5分，遗漏 2 次以上没有在当月份补充的得 3分以下。</w:t>
            </w:r>
          </w:p>
        </w:tc>
        <w:tc>
          <w:tcPr>
            <w:tcW w:w="879"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18"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1334" w:type="dxa"/>
            <w:gridSpan w:val="2"/>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一票否决项</w:t>
            </w:r>
          </w:p>
        </w:tc>
        <w:tc>
          <w:tcPr>
            <w:tcW w:w="4634"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1、食堂发现假冒伪劣、腐败变质、三无产品；2、商品由他人代送，经整改无效；3、要求检测的商品未经检测，且未按要求限时整改。</w:t>
            </w:r>
          </w:p>
        </w:tc>
        <w:tc>
          <w:tcPr>
            <w:tcW w:w="879"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c>
          <w:tcPr>
            <w:tcW w:w="67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2" w:type="dxa"/>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86" w:type="dxa"/>
            <w:gridSpan w:val="4"/>
            <w:tcBorders>
              <w:tl2br w:val="nil"/>
              <w:tr2bl w:val="nil"/>
            </w:tcBorders>
            <w:vAlign w:val="center"/>
          </w:tcPr>
          <w:p>
            <w:pPr>
              <w:spacing w:line="480" w:lineRule="exact"/>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考核得分</w:t>
            </w:r>
          </w:p>
        </w:tc>
        <w:tc>
          <w:tcPr>
            <w:tcW w:w="3680" w:type="dxa"/>
            <w:gridSpan w:val="5"/>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86" w:type="dxa"/>
            <w:gridSpan w:val="4"/>
            <w:tcBorders>
              <w:tl2br w:val="nil"/>
              <w:tr2bl w:val="nil"/>
            </w:tcBorders>
            <w:vAlign w:val="center"/>
          </w:tcPr>
          <w:p>
            <w:pPr>
              <w:spacing w:line="480" w:lineRule="exact"/>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考核结果</w:t>
            </w:r>
          </w:p>
        </w:tc>
        <w:tc>
          <w:tcPr>
            <w:tcW w:w="3680" w:type="dxa"/>
            <w:gridSpan w:val="5"/>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r>
    </w:tbl>
    <w:p>
      <w:pPr>
        <w:ind w:left="24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考核月份：                                    </w:t>
      </w:r>
      <w:r>
        <w:rPr>
          <w:rFonts w:hint="eastAsia" w:ascii="宋体" w:hAnsi="宋体" w:eastAsia="宋体" w:cs="宋体"/>
          <w:color w:val="000000" w:themeColor="text1"/>
          <w:szCs w:val="21"/>
          <w:highlight w:val="none"/>
          <w14:textFill>
            <w14:solidFill>
              <w14:schemeClr w14:val="tx1"/>
            </w14:solidFill>
          </w14:textFill>
        </w:rPr>
        <w:t>考核日期：  年  月  日</w:t>
      </w:r>
    </w:p>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考核人：                                      审核人：</w:t>
      </w:r>
    </w:p>
    <w:p>
      <w:pPr>
        <w:pageBreakBefore/>
        <w:spacing w:before="120" w:beforeLines="50" w:after="120" w:afterLines="50" w:line="360" w:lineRule="auto"/>
        <w:ind w:left="-320" w:firstLine="640"/>
        <w:jc w:val="center"/>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368" w:name="_Toc161843189"/>
      <w:bookmarkStart w:id="369" w:name="_Toc11281_WPSOffice_Level1"/>
      <w:bookmarkStart w:id="370" w:name="_Toc25251"/>
      <w:bookmarkStart w:id="371" w:name="_Toc450662892"/>
      <w:bookmarkStart w:id="372" w:name="_Toc142508359"/>
      <w:bookmarkStart w:id="373" w:name="_Toc486167707"/>
      <w:bookmarkStart w:id="374" w:name="_Toc20401"/>
      <w:r>
        <w:rPr>
          <w:rFonts w:hint="eastAsia" w:ascii="宋体" w:hAnsi="宋体" w:eastAsia="宋体" w:cs="Times New Roman"/>
          <w:b/>
          <w:bCs/>
          <w:color w:val="000000" w:themeColor="text1"/>
          <w:sz w:val="32"/>
          <w:szCs w:val="32"/>
          <w:highlight w:val="none"/>
          <w:lang w:val="zh-CN"/>
          <w14:textFill>
            <w14:solidFill>
              <w14:schemeClr w14:val="tx1"/>
            </w14:solidFill>
          </w14:textFill>
        </w:rPr>
        <w:t>第四篇 合同条款格式</w:t>
      </w:r>
      <w:bookmarkEnd w:id="368"/>
      <w:bookmarkEnd w:id="369"/>
      <w:bookmarkEnd w:id="370"/>
      <w:bookmarkEnd w:id="371"/>
      <w:bookmarkEnd w:id="372"/>
      <w:bookmarkEnd w:id="373"/>
      <w:bookmarkEnd w:id="374"/>
    </w:p>
    <w:p>
      <w:pPr>
        <w:ind w:left="247"/>
        <w:rPr>
          <w:rFonts w:ascii="宋体" w:hAnsi="宋体" w:eastAsia="宋体" w:cs="宋体"/>
          <w:color w:val="000000" w:themeColor="text1"/>
          <w:highlight w:val="none"/>
          <w:lang w:val="zh-CN"/>
          <w14:textFill>
            <w14:solidFill>
              <w14:schemeClr w14:val="tx1"/>
            </w14:solidFill>
          </w14:textFill>
        </w:rPr>
      </w:pPr>
      <w:bookmarkStart w:id="375" w:name="_Toc142508360"/>
      <w:bookmarkStart w:id="376" w:name="_Toc512353083"/>
      <w:bookmarkStart w:id="377" w:name="_Toc25564"/>
      <w:bookmarkStart w:id="378" w:name="_Toc24427_WPSOffice_Level1"/>
      <w:bookmarkStart w:id="379" w:name="_Toc447044603"/>
      <w:bookmarkStart w:id="380" w:name="_Toc447045090"/>
      <w:bookmarkStart w:id="381" w:name="_Toc447044479"/>
      <w:bookmarkStart w:id="382" w:name="_Toc30025"/>
      <w:r>
        <w:rPr>
          <w:rFonts w:hint="eastAsia" w:ascii="宋体" w:hAnsi="宋体" w:eastAsia="宋体" w:cs="宋体"/>
          <w:color w:val="000000" w:themeColor="text1"/>
          <w:szCs w:val="21"/>
          <w:highlight w:val="none"/>
          <w14:textFill>
            <w14:solidFill>
              <w14:schemeClr w14:val="tx1"/>
            </w14:solidFill>
          </w14:textFill>
        </w:rPr>
        <w:t>合同编号：</w:t>
      </w:r>
    </w:p>
    <w:p>
      <w:pPr>
        <w:spacing w:after="60" w:line="360" w:lineRule="auto"/>
        <w:ind w:left="247"/>
        <w:rPr>
          <w:rFonts w:hAnsi="宋体" w:cs="宋体"/>
          <w:b/>
          <w:color w:val="000000" w:themeColor="text1"/>
          <w:sz w:val="52"/>
          <w:szCs w:val="52"/>
          <w:highlight w:val="none"/>
          <w14:textFill>
            <w14:solidFill>
              <w14:schemeClr w14:val="tx1"/>
            </w14:solidFill>
          </w14:textFill>
        </w:rPr>
      </w:pPr>
    </w:p>
    <w:p>
      <w:pPr>
        <w:spacing w:after="60" w:line="360" w:lineRule="auto"/>
        <w:ind w:left="247"/>
        <w:jc w:val="center"/>
        <w:rPr>
          <w:rFonts w:hAnsi="宋体" w:cs="宋体"/>
          <w:b/>
          <w:color w:val="000000" w:themeColor="text1"/>
          <w:sz w:val="52"/>
          <w:szCs w:val="52"/>
          <w:highlight w:val="none"/>
          <w14:textFill>
            <w14:solidFill>
              <w14:schemeClr w14:val="tx1"/>
            </w14:solidFill>
          </w14:textFill>
        </w:rPr>
      </w:pPr>
      <w:r>
        <w:rPr>
          <w:rFonts w:hint="eastAsia" w:hAnsi="宋体" w:cs="宋体"/>
          <w:b/>
          <w:color w:val="000000" w:themeColor="text1"/>
          <w:sz w:val="52"/>
          <w:szCs w:val="52"/>
          <w:highlight w:val="none"/>
          <w14:textFill>
            <w14:solidFill>
              <w14:schemeClr w14:val="tx1"/>
            </w14:solidFill>
          </w14:textFill>
        </w:rPr>
        <w:t>东莞市水务集团有限公司2024年度食堂食材采购项目</w:t>
      </w:r>
    </w:p>
    <w:p>
      <w:pPr>
        <w:spacing w:after="60" w:line="360" w:lineRule="auto"/>
        <w:ind w:left="247"/>
        <w:jc w:val="center"/>
        <w:rPr>
          <w:rFonts w:hAnsi="宋体" w:cs="宋体"/>
          <w:b/>
          <w:color w:val="000000" w:themeColor="text1"/>
          <w:sz w:val="52"/>
          <w:szCs w:val="52"/>
          <w:highlight w:val="none"/>
          <w14:textFill>
            <w14:solidFill>
              <w14:schemeClr w14:val="tx1"/>
            </w14:solidFill>
          </w14:textFill>
        </w:rPr>
      </w:pPr>
      <w:r>
        <w:rPr>
          <w:rFonts w:hint="eastAsia" w:hAnsi="宋体" w:cs="宋体"/>
          <w:b/>
          <w:color w:val="000000" w:themeColor="text1"/>
          <w:sz w:val="52"/>
          <w:szCs w:val="52"/>
          <w:highlight w:val="none"/>
          <w14:textFill>
            <w14:solidFill>
              <w14:schemeClr w14:val="tx1"/>
            </w14:solidFill>
          </w14:textFill>
        </w:rPr>
        <w:t>合同书</w:t>
      </w:r>
    </w:p>
    <w:p>
      <w:pPr>
        <w:spacing w:after="60" w:line="360" w:lineRule="auto"/>
        <w:ind w:left="247"/>
        <w:jc w:val="center"/>
        <w:rPr>
          <w:rFonts w:hAnsi="宋体"/>
          <w:b/>
          <w:color w:val="000000" w:themeColor="text1"/>
          <w:sz w:val="32"/>
          <w:highlight w:val="none"/>
          <w14:textFill>
            <w14:solidFill>
              <w14:schemeClr w14:val="tx1"/>
            </w14:solidFill>
          </w14:textFill>
        </w:rPr>
      </w:pPr>
    </w:p>
    <w:p>
      <w:pPr>
        <w:pStyle w:val="18"/>
        <w:ind w:left="247"/>
        <w:jc w:val="both"/>
        <w:rPr>
          <w:rFonts w:hAnsi="宋体"/>
          <w:b w:val="0"/>
          <w:color w:val="000000" w:themeColor="text1"/>
          <w:sz w:val="32"/>
          <w:highlight w:val="none"/>
          <w14:textFill>
            <w14:solidFill>
              <w14:schemeClr w14:val="tx1"/>
            </w14:solidFill>
          </w14:textFill>
        </w:rPr>
      </w:pPr>
    </w:p>
    <w:p>
      <w:pPr>
        <w:spacing w:line="360" w:lineRule="auto"/>
        <w:ind w:left="-320" w:firstLine="1280" w:firstLineChars="400"/>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甲方：</w:t>
      </w:r>
      <w:r>
        <w:rPr>
          <w:rFonts w:hint="eastAsia" w:hAnsi="宋体"/>
          <w:color w:val="000000" w:themeColor="text1"/>
          <w:sz w:val="32"/>
          <w:szCs w:val="32"/>
          <w:highlight w:val="none"/>
          <w:u w:val="single"/>
          <w14:textFill>
            <w14:solidFill>
              <w14:schemeClr w14:val="tx1"/>
            </w14:solidFill>
          </w14:textFill>
        </w:rPr>
        <w:t xml:space="preserve"> </w:t>
      </w:r>
      <w:r>
        <w:rPr>
          <w:rFonts w:hAnsi="宋体"/>
          <w:color w:val="000000" w:themeColor="text1"/>
          <w:sz w:val="32"/>
          <w:szCs w:val="32"/>
          <w:highlight w:val="none"/>
          <w:u w:val="single"/>
          <w14:textFill>
            <w14:solidFill>
              <w14:schemeClr w14:val="tx1"/>
            </w14:solidFill>
          </w14:textFill>
        </w:rPr>
        <w:t xml:space="preserve">                         </w:t>
      </w:r>
    </w:p>
    <w:p>
      <w:pPr>
        <w:spacing w:line="360" w:lineRule="auto"/>
        <w:ind w:left="-320" w:firstLine="1280" w:firstLineChars="400"/>
        <w:rPr>
          <w:rFonts w:hAnsi="宋体"/>
          <w:color w:val="000000" w:themeColor="text1"/>
          <w:sz w:val="32"/>
          <w:szCs w:val="32"/>
          <w:highlight w:val="none"/>
          <w:u w:val="singl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乙方：</w:t>
      </w:r>
      <w:r>
        <w:rPr>
          <w:rFonts w:hint="eastAsia" w:hAnsi="宋体"/>
          <w:color w:val="000000" w:themeColor="text1"/>
          <w:sz w:val="32"/>
          <w:szCs w:val="32"/>
          <w:highlight w:val="none"/>
          <w:u w:val="single"/>
          <w14:textFill>
            <w14:solidFill>
              <w14:schemeClr w14:val="tx1"/>
            </w14:solidFill>
          </w14:textFill>
        </w:rPr>
        <w:t xml:space="preserve"> </w:t>
      </w:r>
      <w:r>
        <w:rPr>
          <w:rFonts w:hAnsi="宋体"/>
          <w:color w:val="000000" w:themeColor="text1"/>
          <w:sz w:val="32"/>
          <w:szCs w:val="32"/>
          <w:highlight w:val="none"/>
          <w:u w:val="single"/>
          <w14:textFill>
            <w14:solidFill>
              <w14:schemeClr w14:val="tx1"/>
            </w14:solidFill>
          </w14:textFill>
        </w:rPr>
        <w:t xml:space="preserve">                         </w:t>
      </w:r>
    </w:p>
    <w:p>
      <w:pPr>
        <w:pStyle w:val="2"/>
        <w:ind w:left="247"/>
        <w:rPr>
          <w:color w:val="000000" w:themeColor="text1"/>
          <w:highlight w:val="none"/>
          <w14:textFill>
            <w14:solidFill>
              <w14:schemeClr w14:val="tx1"/>
            </w14:solidFill>
          </w14:textFill>
        </w:rPr>
      </w:pPr>
    </w:p>
    <w:p>
      <w:pPr>
        <w:spacing w:line="360" w:lineRule="auto"/>
        <w:ind w:left="-320" w:firstLine="1280" w:firstLineChars="400"/>
        <w:jc w:val="center"/>
        <w:rPr>
          <w:rFonts w:hAnsi="宋体"/>
          <w:color w:val="000000" w:themeColor="text1"/>
          <w:sz w:val="32"/>
          <w:szCs w:val="32"/>
          <w:highlight w:val="none"/>
          <w14:textFill>
            <w14:solidFill>
              <w14:schemeClr w14:val="tx1"/>
            </w14:solidFill>
          </w14:textFill>
        </w:rPr>
      </w:pPr>
    </w:p>
    <w:p>
      <w:pPr>
        <w:spacing w:line="360" w:lineRule="auto"/>
        <w:ind w:left="247"/>
        <w:jc w:val="center"/>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签订日期：   年   月   日</w:t>
      </w:r>
    </w:p>
    <w:p>
      <w:pPr>
        <w:spacing w:line="360" w:lineRule="auto"/>
        <w:ind w:left="-320" w:firstLine="1280" w:firstLineChars="400"/>
        <w:rPr>
          <w:rFonts w:hAnsi="宋体"/>
          <w:color w:val="000000" w:themeColor="text1"/>
          <w:sz w:val="32"/>
          <w:szCs w:val="32"/>
          <w:highlight w:val="none"/>
          <w14:textFill>
            <w14:solidFill>
              <w14:schemeClr w14:val="tx1"/>
            </w14:solidFill>
          </w14:textFill>
        </w:rPr>
      </w:pPr>
    </w:p>
    <w:p>
      <w:pPr>
        <w:ind w:left="24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ind w:left="247"/>
        <w:rPr>
          <w:color w:val="000000" w:themeColor="text1"/>
          <w:highlight w:val="none"/>
          <w14:textFill>
            <w14:solidFill>
              <w14:schemeClr w14:val="tx1"/>
            </w14:solidFill>
          </w14:textFill>
        </w:rPr>
      </w:pPr>
    </w:p>
    <w:p>
      <w:pPr>
        <w:spacing w:line="520" w:lineRule="exact"/>
        <w:ind w:left="247"/>
        <w:jc w:val="center"/>
        <w:rPr>
          <w:rFonts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Cs/>
          <w:color w:val="000000" w:themeColor="text1"/>
          <w:kern w:val="0"/>
          <w:sz w:val="36"/>
          <w:szCs w:val="36"/>
          <w:highlight w:val="none"/>
          <w14:textFill>
            <w14:solidFill>
              <w14:schemeClr w14:val="tx1"/>
            </w14:solidFill>
          </w14:textFill>
        </w:rPr>
        <w:t>东莞市水务集团有限公司2024年度食堂食材采购项目合同</w:t>
      </w:r>
    </w:p>
    <w:p>
      <w:pPr>
        <w:autoSpaceDE w:val="0"/>
        <w:autoSpaceDN w:val="0"/>
        <w:adjustRightInd w:val="0"/>
        <w:spacing w:line="520" w:lineRule="exact"/>
        <w:ind w:left="247"/>
        <w:jc w:val="center"/>
        <w:rPr>
          <w:rFonts w:ascii="宋体" w:hAnsi="宋体" w:eastAsia="宋体" w:cs="宋体"/>
          <w:b/>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 xml:space="preserve">： </w:t>
      </w:r>
    </w:p>
    <w:p>
      <w:pPr>
        <w:autoSpaceDE w:val="0"/>
        <w:autoSpaceDN w:val="0"/>
        <w:adjustRightInd w:val="0"/>
        <w:spacing w:line="360" w:lineRule="auto"/>
        <w:ind w:left="247"/>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乙方：                           </w:t>
      </w:r>
    </w:p>
    <w:p>
      <w:pPr>
        <w:autoSpaceDE w:val="0"/>
        <w:autoSpaceDN w:val="0"/>
        <w:adjustRightInd w:val="0"/>
        <w:spacing w:line="360" w:lineRule="auto"/>
        <w:ind w:left="247"/>
        <w:jc w:val="left"/>
        <w:rPr>
          <w:rFonts w:ascii="宋体" w:hAnsi="宋体" w:eastAsia="宋体" w:cs="宋体"/>
          <w:b/>
          <w:color w:val="000000" w:themeColor="text1"/>
          <w:kern w:val="0"/>
          <w:szCs w:val="21"/>
          <w:highlight w:val="none"/>
          <w14:textFill>
            <w14:solidFill>
              <w14:schemeClr w14:val="tx1"/>
            </w14:solidFill>
          </w14:textFill>
        </w:rPr>
      </w:pPr>
    </w:p>
    <w:p>
      <w:pPr>
        <w:widowControl/>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根据《中华人民共和国招标投标法》、《中华人民共和国民法典》</w:t>
      </w:r>
      <w:r>
        <w:rPr>
          <w:rFonts w:hint="eastAsia" w:ascii="宋体" w:hAnsi="宋体" w:eastAsia="宋体" w:cs="宋体"/>
          <w:color w:val="000000" w:themeColor="text1"/>
          <w:kern w:val="0"/>
          <w:szCs w:val="21"/>
          <w:highlight w:val="none"/>
          <w:lang w:bidi="zh-CN"/>
          <w14:textFill>
            <w14:solidFill>
              <w14:schemeClr w14:val="tx1"/>
            </w14:solidFill>
          </w14:textFill>
        </w:rPr>
        <w:t>等有关法律法规及</w:t>
      </w:r>
      <w:r>
        <w:rPr>
          <w:rFonts w:hint="eastAsia" w:ascii="宋体" w:hAnsi="宋体" w:eastAsia="宋体" w:cs="宋体"/>
          <w:color w:val="000000" w:themeColor="text1"/>
          <w:kern w:val="0"/>
          <w:szCs w:val="21"/>
          <w:highlight w:val="none"/>
          <w:u w:val="single"/>
          <w14:textFill>
            <w14:solidFill>
              <w14:schemeClr w14:val="tx1"/>
            </w14:solidFill>
          </w14:textFill>
        </w:rPr>
        <w:t>东莞市水务集团有限公司2024年度食堂食材采购项目</w:t>
      </w:r>
      <w:r>
        <w:rPr>
          <w:rFonts w:hint="eastAsia" w:ascii="宋体" w:hAnsi="宋体" w:eastAsia="宋体" w:cs="宋体"/>
          <w:color w:val="000000" w:themeColor="text1"/>
          <w:kern w:val="0"/>
          <w:szCs w:val="21"/>
          <w:highlight w:val="none"/>
          <w14:textFill>
            <w14:solidFill>
              <w14:schemeClr w14:val="tx1"/>
            </w14:solidFill>
          </w14:textFill>
        </w:rPr>
        <w:t>（招标编号：广建咨询（东招）2024-0038号）招投标结果，甲乙双方本着平等互利和诚实信用的原则，协商一致同意签订本合同，并共同遵守各项条款。</w:t>
      </w:r>
    </w:p>
    <w:p>
      <w:pPr>
        <w:autoSpaceDE w:val="0"/>
        <w:autoSpaceDN w:val="0"/>
        <w:adjustRightInd w:val="0"/>
        <w:spacing w:line="360" w:lineRule="auto"/>
        <w:ind w:left="-320"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一、食品材料名称、规格、品牌</w:t>
      </w:r>
    </w:p>
    <w:p>
      <w:pPr>
        <w:spacing w:line="360" w:lineRule="auto"/>
        <w:ind w:left="-320"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根据建设、运营需要委托供应商提供食堂食材采购及配送服务，供货内容包括但不限于：</w:t>
      </w:r>
    </w:p>
    <w:p>
      <w:pPr>
        <w:numPr>
          <w:ilvl w:val="1"/>
          <w:numId w:val="0"/>
        </w:num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 A类（粮油干货类）：大米、食用油、调味品、干货、杂货、米粉面粉类等食品材料；B类（肉类）：生鲜猪、牛、羊、三鸟，鱼及冰冻水产、畜、禽肉类；C类（蔬果类）：生鲜蔬菜、水果等食品材料。未列入物资明细表内而甲方又需采购的食材，单价根据本合同第五条约定的定价原则确定价格。</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 乙方知悉并同意，甲方不确保本条第1.1项约定的各项食材的配送量，均根据实际需要确定。</w:t>
      </w:r>
    </w:p>
    <w:p>
      <w:pPr>
        <w:adjustRightInd w:val="0"/>
        <w:spacing w:line="360" w:lineRule="auto"/>
        <w:ind w:left="-320"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二、订货方式、送货时间、地点及凭证</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2.1订货方式：送货前一天，甲方以电话、书面、传真或电子邮箱的形式向乙方下达订货清单。</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2.2送货时间：以订单时间或双方协商为准；A、B、C类货品每天均需按配送订单送货，送货验收时间段为6：00-6：30；其他或临时送货，具体时间以订单或双方协商为准。</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2.3送货地点：</w:t>
      </w:r>
    </w:p>
    <w:tbl>
      <w:tblPr>
        <w:tblStyle w:val="38"/>
        <w:tblW w:w="10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275"/>
        <w:gridCol w:w="44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3" w:type="dxa"/>
            <w:vAlign w:val="center"/>
          </w:tcPr>
          <w:p>
            <w:pPr>
              <w:autoSpaceDE w:val="0"/>
              <w:autoSpaceDN w:val="0"/>
              <w:adjustRightInd w:val="0"/>
              <w:spacing w:line="360" w:lineRule="auto"/>
              <w:contextualSpacing/>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4275" w:type="dxa"/>
            <w:vAlign w:val="center"/>
          </w:tcPr>
          <w:p>
            <w:pPr>
              <w:autoSpaceDE w:val="0"/>
              <w:autoSpaceDN w:val="0"/>
              <w:adjustRightInd w:val="0"/>
              <w:spacing w:line="360" w:lineRule="auto"/>
              <w:contextualSpacing/>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食堂名称</w:t>
            </w:r>
          </w:p>
        </w:tc>
        <w:tc>
          <w:tcPr>
            <w:tcW w:w="4478" w:type="dxa"/>
            <w:vAlign w:val="center"/>
          </w:tcPr>
          <w:p>
            <w:pPr>
              <w:autoSpaceDE w:val="0"/>
              <w:autoSpaceDN w:val="0"/>
              <w:adjustRightInd w:val="0"/>
              <w:spacing w:line="360" w:lineRule="auto"/>
              <w:contextualSpacing/>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配送地址</w:t>
            </w:r>
          </w:p>
        </w:tc>
        <w:tc>
          <w:tcPr>
            <w:tcW w:w="1080" w:type="dxa"/>
            <w:vAlign w:val="center"/>
          </w:tcPr>
          <w:p>
            <w:pPr>
              <w:autoSpaceDE w:val="0"/>
              <w:autoSpaceDN w:val="0"/>
              <w:adjustRightInd w:val="0"/>
              <w:spacing w:line="360" w:lineRule="auto"/>
              <w:contextualSpacing/>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autoSpaceDE w:val="0"/>
              <w:autoSpaceDN w:val="0"/>
              <w:adjustRightInd w:val="0"/>
              <w:spacing w:line="360" w:lineRule="auto"/>
              <w:contextualSpacing/>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w:t>
            </w:r>
          </w:p>
        </w:tc>
        <w:tc>
          <w:tcPr>
            <w:tcW w:w="4275" w:type="dxa"/>
            <w:vAlign w:val="center"/>
          </w:tcPr>
          <w:p>
            <w:pPr>
              <w:autoSpaceDE w:val="0"/>
              <w:autoSpaceDN w:val="0"/>
              <w:adjustRightInd w:val="0"/>
              <w:spacing w:line="360" w:lineRule="auto"/>
              <w:contextualSpacing/>
              <w:jc w:val="center"/>
              <w:rPr>
                <w:rFonts w:ascii="宋体" w:hAnsi="宋体" w:eastAsia="宋体" w:cs="宋体"/>
                <w:b/>
                <w:color w:val="000000" w:themeColor="text1"/>
                <w:kern w:val="0"/>
                <w:szCs w:val="21"/>
                <w:highlight w:val="none"/>
                <w14:textFill>
                  <w14:solidFill>
                    <w14:schemeClr w14:val="tx1"/>
                  </w14:solidFill>
                </w14:textFill>
              </w:rPr>
            </w:pPr>
          </w:p>
        </w:tc>
        <w:tc>
          <w:tcPr>
            <w:tcW w:w="4478" w:type="dxa"/>
            <w:vAlign w:val="center"/>
          </w:tcPr>
          <w:p>
            <w:pPr>
              <w:autoSpaceDE w:val="0"/>
              <w:autoSpaceDN w:val="0"/>
              <w:adjustRightInd w:val="0"/>
              <w:spacing w:line="360" w:lineRule="auto"/>
              <w:contextualSpacing/>
              <w:jc w:val="center"/>
              <w:rPr>
                <w:rFonts w:ascii="宋体" w:hAnsi="宋体" w:eastAsia="宋体" w:cs="宋体"/>
                <w:b/>
                <w:color w:val="000000" w:themeColor="text1"/>
                <w:kern w:val="0"/>
                <w:szCs w:val="21"/>
                <w:highlight w:val="none"/>
                <w14:textFill>
                  <w14:solidFill>
                    <w14:schemeClr w14:val="tx1"/>
                  </w14:solidFill>
                </w14:textFill>
              </w:rPr>
            </w:pPr>
          </w:p>
        </w:tc>
        <w:tc>
          <w:tcPr>
            <w:tcW w:w="1080" w:type="dxa"/>
            <w:vAlign w:val="center"/>
          </w:tcPr>
          <w:p>
            <w:pPr>
              <w:autoSpaceDE w:val="0"/>
              <w:autoSpaceDN w:val="0"/>
              <w:adjustRightInd w:val="0"/>
              <w:spacing w:line="360" w:lineRule="auto"/>
              <w:ind w:left="247"/>
              <w:contextualSpacing/>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autoSpaceDE w:val="0"/>
              <w:autoSpaceDN w:val="0"/>
              <w:adjustRightInd w:val="0"/>
              <w:spacing w:line="360" w:lineRule="auto"/>
              <w:contextualSpacing/>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p>
        </w:tc>
        <w:tc>
          <w:tcPr>
            <w:tcW w:w="4275" w:type="dxa"/>
            <w:vAlign w:val="center"/>
          </w:tcPr>
          <w:p>
            <w:pPr>
              <w:autoSpaceDE w:val="0"/>
              <w:autoSpaceDN w:val="0"/>
              <w:adjustRightInd w:val="0"/>
              <w:spacing w:line="360" w:lineRule="auto"/>
              <w:contextualSpacing/>
              <w:jc w:val="center"/>
              <w:rPr>
                <w:rFonts w:ascii="宋体" w:hAnsi="宋体" w:eastAsia="宋体" w:cs="宋体"/>
                <w:bCs/>
                <w:color w:val="000000" w:themeColor="text1"/>
                <w:kern w:val="0"/>
                <w:szCs w:val="21"/>
                <w:highlight w:val="none"/>
                <w14:textFill>
                  <w14:solidFill>
                    <w14:schemeClr w14:val="tx1"/>
                  </w14:solidFill>
                </w14:textFill>
              </w:rPr>
            </w:pPr>
          </w:p>
        </w:tc>
        <w:tc>
          <w:tcPr>
            <w:tcW w:w="4478" w:type="dxa"/>
            <w:vAlign w:val="center"/>
          </w:tcPr>
          <w:p>
            <w:pPr>
              <w:autoSpaceDE w:val="0"/>
              <w:autoSpaceDN w:val="0"/>
              <w:adjustRightInd w:val="0"/>
              <w:spacing w:line="360" w:lineRule="auto"/>
              <w:contextualSpacing/>
              <w:jc w:val="center"/>
              <w:rPr>
                <w:rFonts w:ascii="宋体" w:hAnsi="宋体" w:eastAsia="宋体" w:cs="宋体"/>
                <w:b/>
                <w:color w:val="000000" w:themeColor="text1"/>
                <w:kern w:val="0"/>
                <w:szCs w:val="21"/>
                <w:highlight w:val="none"/>
                <w14:textFill>
                  <w14:solidFill>
                    <w14:schemeClr w14:val="tx1"/>
                  </w14:solidFill>
                </w14:textFill>
              </w:rPr>
            </w:pPr>
          </w:p>
        </w:tc>
        <w:tc>
          <w:tcPr>
            <w:tcW w:w="1080" w:type="dxa"/>
            <w:vAlign w:val="center"/>
          </w:tcPr>
          <w:p>
            <w:pPr>
              <w:autoSpaceDE w:val="0"/>
              <w:autoSpaceDN w:val="0"/>
              <w:adjustRightInd w:val="0"/>
              <w:spacing w:line="360" w:lineRule="auto"/>
              <w:ind w:left="247"/>
              <w:contextualSpacing/>
              <w:jc w:val="center"/>
              <w:rPr>
                <w:rFonts w:ascii="宋体" w:hAnsi="宋体" w:eastAsia="宋体" w:cs="宋体"/>
                <w:bCs/>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autoSpaceDE w:val="0"/>
              <w:autoSpaceDN w:val="0"/>
              <w:adjustRightInd w:val="0"/>
              <w:spacing w:line="360" w:lineRule="auto"/>
              <w:contextualSpacing/>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3</w:t>
            </w:r>
          </w:p>
        </w:tc>
        <w:tc>
          <w:tcPr>
            <w:tcW w:w="4275" w:type="dxa"/>
            <w:vAlign w:val="center"/>
          </w:tcPr>
          <w:p>
            <w:pPr>
              <w:autoSpaceDE w:val="0"/>
              <w:autoSpaceDN w:val="0"/>
              <w:adjustRightInd w:val="0"/>
              <w:spacing w:line="360" w:lineRule="auto"/>
              <w:contextualSpacing/>
              <w:jc w:val="center"/>
              <w:rPr>
                <w:rFonts w:ascii="宋体" w:hAnsi="宋体" w:eastAsia="宋体" w:cs="宋体"/>
                <w:bCs/>
                <w:color w:val="000000" w:themeColor="text1"/>
                <w:kern w:val="0"/>
                <w:szCs w:val="21"/>
                <w:highlight w:val="none"/>
                <w14:textFill>
                  <w14:solidFill>
                    <w14:schemeClr w14:val="tx1"/>
                  </w14:solidFill>
                </w14:textFill>
              </w:rPr>
            </w:pPr>
          </w:p>
        </w:tc>
        <w:tc>
          <w:tcPr>
            <w:tcW w:w="4478" w:type="dxa"/>
            <w:vAlign w:val="center"/>
          </w:tcPr>
          <w:p>
            <w:pPr>
              <w:autoSpaceDE w:val="0"/>
              <w:autoSpaceDN w:val="0"/>
              <w:adjustRightInd w:val="0"/>
              <w:spacing w:line="360" w:lineRule="auto"/>
              <w:contextualSpacing/>
              <w:jc w:val="center"/>
              <w:rPr>
                <w:rFonts w:ascii="宋体" w:hAnsi="宋体" w:eastAsia="宋体" w:cs="宋体"/>
                <w:bCs/>
                <w:color w:val="000000" w:themeColor="text1"/>
                <w:kern w:val="0"/>
                <w:szCs w:val="21"/>
                <w:highlight w:val="none"/>
                <w14:textFill>
                  <w14:solidFill>
                    <w14:schemeClr w14:val="tx1"/>
                  </w14:solidFill>
                </w14:textFill>
              </w:rPr>
            </w:pPr>
          </w:p>
        </w:tc>
        <w:tc>
          <w:tcPr>
            <w:tcW w:w="1080" w:type="dxa"/>
            <w:vAlign w:val="center"/>
          </w:tcPr>
          <w:p>
            <w:pPr>
              <w:autoSpaceDE w:val="0"/>
              <w:autoSpaceDN w:val="0"/>
              <w:adjustRightInd w:val="0"/>
              <w:spacing w:line="360" w:lineRule="auto"/>
              <w:ind w:left="247"/>
              <w:contextualSpacing/>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autoSpaceDE w:val="0"/>
              <w:autoSpaceDN w:val="0"/>
              <w:adjustRightInd w:val="0"/>
              <w:spacing w:line="360" w:lineRule="auto"/>
              <w:contextualSpacing/>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4</w:t>
            </w:r>
          </w:p>
        </w:tc>
        <w:tc>
          <w:tcPr>
            <w:tcW w:w="4275" w:type="dxa"/>
            <w:vAlign w:val="center"/>
          </w:tcPr>
          <w:p>
            <w:pPr>
              <w:autoSpaceDE w:val="0"/>
              <w:autoSpaceDN w:val="0"/>
              <w:adjustRightInd w:val="0"/>
              <w:spacing w:line="360" w:lineRule="auto"/>
              <w:contextualSpacing/>
              <w:jc w:val="center"/>
              <w:rPr>
                <w:rFonts w:ascii="宋体" w:hAnsi="宋体" w:eastAsia="宋体" w:cs="宋体"/>
                <w:bCs/>
                <w:color w:val="000000" w:themeColor="text1"/>
                <w:kern w:val="0"/>
                <w:szCs w:val="21"/>
                <w:highlight w:val="none"/>
                <w14:textFill>
                  <w14:solidFill>
                    <w14:schemeClr w14:val="tx1"/>
                  </w14:solidFill>
                </w14:textFill>
              </w:rPr>
            </w:pPr>
          </w:p>
        </w:tc>
        <w:tc>
          <w:tcPr>
            <w:tcW w:w="4478" w:type="dxa"/>
            <w:vAlign w:val="center"/>
          </w:tcPr>
          <w:p>
            <w:pPr>
              <w:autoSpaceDE w:val="0"/>
              <w:autoSpaceDN w:val="0"/>
              <w:adjustRightInd w:val="0"/>
              <w:spacing w:line="360" w:lineRule="auto"/>
              <w:contextualSpacing/>
              <w:jc w:val="center"/>
              <w:rPr>
                <w:rFonts w:ascii="宋体" w:hAnsi="宋体" w:eastAsia="宋体" w:cs="宋体"/>
                <w:bCs/>
                <w:color w:val="000000" w:themeColor="text1"/>
                <w:kern w:val="0"/>
                <w:szCs w:val="21"/>
                <w:highlight w:val="none"/>
                <w14:textFill>
                  <w14:solidFill>
                    <w14:schemeClr w14:val="tx1"/>
                  </w14:solidFill>
                </w14:textFill>
              </w:rPr>
            </w:pPr>
          </w:p>
        </w:tc>
        <w:tc>
          <w:tcPr>
            <w:tcW w:w="1080" w:type="dxa"/>
            <w:vAlign w:val="center"/>
          </w:tcPr>
          <w:p>
            <w:pPr>
              <w:autoSpaceDE w:val="0"/>
              <w:autoSpaceDN w:val="0"/>
              <w:adjustRightInd w:val="0"/>
              <w:spacing w:line="360" w:lineRule="auto"/>
              <w:ind w:left="247"/>
              <w:contextualSpacing/>
              <w:jc w:val="center"/>
              <w:rPr>
                <w:rFonts w:ascii="宋体" w:hAnsi="宋体" w:eastAsia="宋体" w:cs="宋体"/>
                <w:b/>
                <w:color w:val="000000" w:themeColor="text1"/>
                <w:kern w:val="0"/>
                <w:szCs w:val="21"/>
                <w:highlight w:val="none"/>
                <w14:textFill>
                  <w14:solidFill>
                    <w14:schemeClr w14:val="tx1"/>
                  </w14:solidFill>
                </w14:textFill>
              </w:rPr>
            </w:pPr>
          </w:p>
        </w:tc>
      </w:tr>
    </w:tbl>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备注：若在服务期内，甲方办公地点发生改变，服务地址以新办公地点地址为准。</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2.4送货凭证：乙方每次送货必须出具送货清单及合法的进货单据并以此作为送货凭证，送货清单一式三份（甲方两份、乙方一份）并加盖乙方公章或送货专用章。</w:t>
      </w:r>
    </w:p>
    <w:p>
      <w:pPr>
        <w:adjustRightInd w:val="0"/>
        <w:spacing w:line="360" w:lineRule="auto"/>
        <w:ind w:left="-320"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三、验收要求</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  乙方配送的食材需符合以下要求，同时甲方会根据以下要求进行验收。</w:t>
      </w:r>
    </w:p>
    <w:p>
      <w:pPr>
        <w:autoSpaceDE w:val="0"/>
        <w:autoSpaceDN w:val="0"/>
        <w:adjustRightInd w:val="0"/>
        <w:snapToGrid w:val="0"/>
        <w:spacing w:line="360" w:lineRule="auto"/>
        <w:ind w:left="-320" w:firstLine="422"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A类（粮油干货类）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1、粮食大米类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（1）由正规厂家出厂、颜色品质纯正，米粒形均匀、整齐、重量大没有碎米和爆腰。</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（2）有清香味和光泽，无米糠和其它杂质、无虫害、无异味、无霉味，用手摸时滑爽、干燥。</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（3）符合食品卫生标准，无毒、无污染。</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2、食用油类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（1）由知名正规厂家生产的植物油，非转基因类。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（2）色泽纯正，透明度好。</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3、调味品类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（1）由正规厂家生产、颜色品质纯正。</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4、干货、杂货、副食品类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（1）必须选用符合国家食品卫生法规相关标准的商品，选用无毒、无害、无污染、可溯源的食品。掺假、掺杂食品坚决不能使用。</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（2）副食品等级标准要相符，其包装盒或标签上须注明食品名称、生产厂家、厂址、生产日期、食品的主要原料成份和食品保质期等信息，注明不详或没有注明的商品不予验收。</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（3）副食品表面外观新鲜、完整，无霉变异味，无砂粒杂质，无虫尸鼠粪等不洁卫生问题。</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5、米粉面粉类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（1）米粉面粉类及其制品颜色品质要纯正，不掺假、掺杂。</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（2）符合食品卫生标准，粉质细腻干爽无异物、无毒、无污染。</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（3）制成品不能出现异味、霉变结块、虫尸鼠粪等不洁的卫生问题。</w:t>
      </w:r>
    </w:p>
    <w:p>
      <w:pPr>
        <w:autoSpaceDE w:val="0"/>
        <w:autoSpaceDN w:val="0"/>
        <w:adjustRightInd w:val="0"/>
        <w:snapToGrid w:val="0"/>
        <w:spacing w:line="360" w:lineRule="auto"/>
        <w:ind w:left="-320" w:firstLine="420" w:firstLineChars="200"/>
        <w:contextualSpacing/>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上述货品必须符合国家食品卫生法规相关标准，符合甲方使用要求，货品必须保证有三分之二以上保质期（如货品有保质期）。</w:t>
      </w:r>
    </w:p>
    <w:p>
      <w:pPr>
        <w:autoSpaceDE w:val="0"/>
        <w:autoSpaceDN w:val="0"/>
        <w:adjustRightInd w:val="0"/>
        <w:snapToGrid w:val="0"/>
        <w:spacing w:line="360" w:lineRule="auto"/>
        <w:ind w:left="-320" w:firstLine="422" w:firstLineChars="200"/>
        <w:contextualSpacing/>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B类（肉类）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1、猪肉类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（1）具有当天卫生监督部门发放的“动物检疫合格证明”，肉体印有检疫章。</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（2）表皮干爽、肌体结实、肉质紧密、肉色淡红新鲜，肥肉洁白而细腻。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（3）外观检测无异味、无寄生虫、无粘液、无渗出液体、指压反弹迅速、具有猪肉自然气味。</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（4）运输设备具备恒温保鲜（5℃度），存放容器保持清洁卫生，包装合理且材料无污染。</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2、牛肉类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（1）具有当天卫生监督部门发放的“动物检疫合格证明”，外观检测新鲜肉质柔软有光泽、无腐臭变质异味、无寄生虫、无粘液、无渗出液体。</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（2）牛肉色泽棕红，脂肪呈淡黄色或深黄色，肉质坚硬，弹性足。</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（3）运输设备具备恒温保鲜（5℃度），存放容器保持清洁卫生，包装合理且材料无污染。</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3、羊肉类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（1）具有当天卫生监督部门发放的“动物检疫合格证明”。</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（2）羊肉色泽暗红，纤维细而软，肌间少脂肪。</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（3）运输设备具备恒温保鲜（5℃度），存放容器保持清洁卫生，包装合理且材料无污染。</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4、水产品类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（1）必须鲜活。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（2）鲜鱼鳞片完整，有光泽无脱落，鳃口紧闭，眼球光亮透明，鱼鳃鲜红，鳍尾完整，确保新鲜。</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（3）身体饱满结实，无腐烂异味，肉质紧密有弹性，无离骨脱刺现象。</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（4）来源可靠放心，无毒、无害、无污染。</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5、三鸟类（已经屠杀完成）</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（1）具有当天卫生监督部门发放的“动物检疫合格证明”。</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（2）肉质新鲜柔软有光泽，质地紧密，脂肪呈白色或淡黄色，肉质细腻、无腐烂异味， 肉体结实，内脏清掏干净，肉质弹性足无明显渗出液体，总体无粘液。</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（3）运输设备具备恒温保鲜（5℃度），存放容器保持清洁卫生，包装合理，来源可靠放心，无毒、无害、无污染。</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6、零星冻品、加工副食品类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（1）必须选用符合国家食品卫生法规相关标准的商品，选用无毒、无害、无污染、可溯源的副食品。掺假、掺杂副食品坚决不能使用。</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（2）食品等级标准要相符，其包装盒或标签上须注明食品名称，生产厂家、厂址、生产日期、食品的主要原料成份和食品保质期等信息，注明不详或没有注明的商品不予验收。</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（3）冻肉类产品中间不能有过多冰块，重量必须和包装箱上标明的重量一致。</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（4）奶制品色泽乳白，口味鲜香，包装完整，无破损，验收每批在保质期二分之一以上，符合国家规定的质量卫生标准。</w:t>
      </w:r>
    </w:p>
    <w:p>
      <w:pPr>
        <w:autoSpaceDE w:val="0"/>
        <w:autoSpaceDN w:val="0"/>
        <w:adjustRightInd w:val="0"/>
        <w:snapToGrid w:val="0"/>
        <w:spacing w:line="360" w:lineRule="auto"/>
        <w:ind w:left="-320" w:firstLine="422" w:firstLineChars="200"/>
        <w:contextualSpacing/>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C类：蔬果类</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（1）应保持较好的色泽和新鲜度。</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（2）符合国家食品卫生标准，蔬菜不得有黄叶；不得腐烂和泥沙等现象。</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（3）无公害、农药残留不得超标，提供农药残留检测证明。</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 乙方必须履行招标文件要求的所有承诺内容，如乙方投标文件承诺标准高于招标文件要求的，乙方应按其投标承诺内容履行义务，甲方在合同有效期内定期对乙方进行评估考核。</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 经验收不符合《用户需求书》以及甲方要求的，甲方有权拒绝收货、要求退货或换货，乙方应及时将相应货物自行运回，并在甲方指定期限内重新提供相应食材，由此产生的费用由乙方承担。</w:t>
      </w:r>
    </w:p>
    <w:p>
      <w:pPr>
        <w:adjustRightInd w:val="0"/>
        <w:spacing w:line="360" w:lineRule="auto"/>
        <w:ind w:left="-320"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四、合同期限</w:t>
      </w:r>
    </w:p>
    <w:p>
      <w:pPr>
        <w:autoSpaceDE w:val="0"/>
        <w:autoSpaceDN w:val="0"/>
        <w:adjustRightIn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服务期限：自合同签订之日起一年。服务期限满后，双方经友好协商一致之后，可在保持原合同约定条款的情况下，签订补充协议延长服务资格期限，延长的服务资格期限原则上不超过三个月。乙方须与东莞市水务集团有限公司、</w:t>
      </w:r>
      <w:r>
        <w:rPr>
          <w:rFonts w:hint="eastAsia" w:ascii="宋体" w:hAnsi="宋体" w:eastAsia="宋体" w:cs="宋体"/>
          <w:color w:val="000000" w:themeColor="text1"/>
          <w:kern w:val="0"/>
          <w:szCs w:val="21"/>
          <w:highlight w:val="none"/>
          <w:lang w:val="zh-CN"/>
          <w14:textFill>
            <w14:solidFill>
              <w14:schemeClr w14:val="tx1"/>
            </w14:solidFill>
          </w14:textFill>
        </w:rPr>
        <w:t>东莞市水务集团实业发展有限公司、</w:t>
      </w:r>
      <w:r>
        <w:rPr>
          <w:rFonts w:hint="eastAsia" w:ascii="宋体" w:hAnsi="宋体" w:eastAsia="宋体" w:cs="宋体"/>
          <w:color w:val="000000" w:themeColor="text1"/>
          <w:kern w:val="0"/>
          <w:szCs w:val="21"/>
          <w:highlight w:val="none"/>
          <w14:textFill>
            <w14:solidFill>
              <w14:schemeClr w14:val="tx1"/>
            </w14:solidFill>
          </w14:textFill>
        </w:rPr>
        <w:t>东莞市水务集团科技发展有限公司、东莞市水务集团供水有限公司长安分公司签定农副产品食品材料配送合同，甲方不确保乙方农副产品、主副食品、其他食品材料实际产生配送量，每月份按实际产生量结算。</w:t>
      </w:r>
    </w:p>
    <w:p>
      <w:pPr>
        <w:adjustRightInd w:val="0"/>
        <w:spacing w:line="360" w:lineRule="auto"/>
        <w:ind w:left="-320"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五、合同价格</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w:t>
      </w:r>
      <w:r>
        <w:rPr>
          <w:rFonts w:hint="eastAsia" w:ascii="宋体" w:hAnsi="宋体" w:eastAsia="宋体" w:cs="宋体"/>
          <w:b/>
          <w:color w:val="000000" w:themeColor="text1"/>
          <w:kern w:val="0"/>
          <w:szCs w:val="21"/>
          <w:highlight w:val="none"/>
          <w14:textFill>
            <w14:solidFill>
              <w14:schemeClr w14:val="tx1"/>
            </w14:solidFill>
          </w14:textFill>
        </w:rPr>
        <w:t>定价原则</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5.1.1原则上以东莞市发展和改革局（</w:t>
      </w:r>
      <w:r>
        <w:rPr>
          <w:rFonts w:hint="eastAsia" w:ascii="宋体" w:hAnsi="宋体" w:eastAsia="宋体" w:cs="Times New Roman"/>
          <w:color w:val="000000" w:themeColor="text1"/>
          <w:szCs w:val="21"/>
          <w:highlight w:val="none"/>
          <w14:textFill>
            <w14:solidFill>
              <w14:schemeClr w14:val="tx1"/>
            </w14:solidFill>
          </w14:textFill>
        </w:rPr>
        <w:t>http://dgdp.dg.gov.cn/jggl/spjg/，</w:t>
      </w:r>
      <w:r>
        <w:rPr>
          <w:rFonts w:hint="eastAsia" w:ascii="宋体" w:hAnsi="宋体" w:eastAsia="宋体" w:cs="Times New Roman"/>
          <w:color w:val="000000" w:themeColor="text1"/>
          <w:szCs w:val="21"/>
          <w:highlight w:val="none"/>
          <w:lang w:val="zh-CN"/>
          <w14:textFill>
            <w14:solidFill>
              <w14:schemeClr w14:val="tx1"/>
            </w14:solidFill>
          </w14:textFill>
        </w:rPr>
        <w:t>网址仅供参考</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具体以东莞市发展和改革局官方网址发布的为准</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东莞市菜篮子价格监测表</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当月份最新公布本期</w:t>
      </w:r>
      <w:r>
        <w:rPr>
          <w:rFonts w:hint="eastAsia" w:hAnsi="宋体" w:eastAsia="宋体" w:cs="宋体"/>
          <w:color w:val="000000" w:themeColor="text1"/>
          <w:szCs w:val="21"/>
          <w:highlight w:val="none"/>
          <w14:textFill>
            <w14:solidFill>
              <w14:schemeClr w14:val="tx1"/>
            </w14:solidFill>
          </w14:textFill>
        </w:rPr>
        <w:t>（指甲方审批之日的最新期次）价格</w:t>
      </w:r>
      <w:r>
        <w:rPr>
          <w:rFonts w:hint="eastAsia" w:ascii="宋体" w:hAnsi="宋体" w:eastAsia="宋体" w:cs="宋体"/>
          <w:color w:val="000000" w:themeColor="text1"/>
          <w:kern w:val="0"/>
          <w:szCs w:val="21"/>
          <w:highlight w:val="none"/>
          <w14:textFill>
            <w14:solidFill>
              <w14:schemeClr w14:val="tx1"/>
            </w14:solidFill>
          </w14:textFill>
        </w:rPr>
        <w:t>作为基准价抽样审核；若东莞物价专栏无最近当月份公布或</w:t>
      </w:r>
      <w:r>
        <w:rPr>
          <w:rFonts w:hint="eastAsia" w:hAnsi="宋体" w:eastAsia="宋体" w:cs="宋体"/>
          <w:color w:val="000000" w:themeColor="text1"/>
          <w:szCs w:val="21"/>
          <w:highlight w:val="none"/>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所需的相同品种，则甲方将对本市区农副产品市场（莞城细村农贸市场或新光明市场或长安沙头综合市场）的市场零售价（与</w:t>
      </w:r>
      <w:r>
        <w:rPr>
          <w:rFonts w:ascii="宋体" w:hAnsi="宋体" w:eastAsia="宋体" w:cs="宋体"/>
          <w:color w:val="000000" w:themeColor="text1"/>
          <w:kern w:val="0"/>
          <w:szCs w:val="21"/>
          <w:highlight w:val="none"/>
          <w14:textFill>
            <w14:solidFill>
              <w14:schemeClr w14:val="tx1"/>
            </w14:solidFill>
          </w14:textFill>
        </w:rPr>
        <w:t>乙方</w:t>
      </w:r>
      <w:r>
        <w:rPr>
          <w:rFonts w:hint="eastAsia" w:ascii="宋体" w:hAnsi="宋体" w:eastAsia="宋体" w:cs="宋体"/>
          <w:color w:val="000000" w:themeColor="text1"/>
          <w:kern w:val="0"/>
          <w:szCs w:val="21"/>
          <w:highlight w:val="none"/>
          <w14:textFill>
            <w14:solidFill>
              <w14:schemeClr w14:val="tx1"/>
            </w14:solidFill>
          </w14:textFill>
        </w:rPr>
        <w:t>供货产品等级、质量相近的产品零售价）进行抽样调查，核定相同品种的市场零售价格作基准价。</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5.1.2临时委托采购：乙方必须按照甲方急需餐料物资品种、数量、送货时间、地点等在2小时内进行供货，若急需餐料物资不在供货物资清单表上，该项临时需求食品材料纳入下次供货清单内，并按上述定价原则确定供货价。</w:t>
      </w:r>
    </w:p>
    <w:p>
      <w:pPr>
        <w:widowControl/>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5.1.3食材定价为综合单价，包括货物的采购费、运至合同指定地点的运输费、装卸费、检验费、储存费、</w:t>
      </w:r>
      <w:r>
        <w:rPr>
          <w:rFonts w:hint="eastAsia" w:ascii="宋体" w:hAnsi="宋体" w:eastAsia="宋体" w:cs="宋体"/>
          <w:color w:val="000000" w:themeColor="text1"/>
          <w:kern w:val="0"/>
          <w:szCs w:val="21"/>
          <w:highlight w:val="none"/>
          <w:lang w:val="zh-CN"/>
          <w14:textFill>
            <w14:solidFill>
              <w14:schemeClr w14:val="tx1"/>
            </w14:solidFill>
          </w14:textFill>
        </w:rPr>
        <w:t>合理利润、</w:t>
      </w:r>
      <w:r>
        <w:rPr>
          <w:rFonts w:hint="eastAsia" w:ascii="宋体" w:hAnsi="宋体" w:eastAsia="宋体" w:cs="宋体"/>
          <w:color w:val="000000" w:themeColor="text1"/>
          <w:kern w:val="0"/>
          <w:szCs w:val="21"/>
          <w:highlight w:val="none"/>
          <w14:textFill>
            <w14:solidFill>
              <w14:schemeClr w14:val="tx1"/>
            </w14:solidFill>
          </w14:textFill>
        </w:rPr>
        <w:t>保险费、中标服务费及招标文件所要求的相关服务等全过程产生的成本和费用以及税费，并由乙方承担送货途中的风险，货物未被甲方签收前发生的毁损、灭失等风险均由乙方自行承担。</w:t>
      </w:r>
    </w:p>
    <w:p>
      <w:pPr>
        <w:adjustRightInd w:val="0"/>
        <w:spacing w:line="360" w:lineRule="auto"/>
        <w:ind w:left="-320"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5.2定价周期</w:t>
      </w:r>
    </w:p>
    <w:p>
      <w:pPr>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食品材料供货价格为浮动价格，A类（粮油干货类）、 B类（肉类）、 C类（蔬果类、其他类项）价格每半月更新一次，乙方每月12日前提交下半月报价给甲方审核，每月25日前提交下个月上半月报价给甲方审核。</w:t>
      </w:r>
    </w:p>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5.3价格调整</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核定价格后若供货时期市场出现部分类型餐料价格大幅浮动，升降在30%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 个工作日内给予函复，若在此期限内不予函复则以新定价格执行，除此之外，双方约定的供货物资价格在有效期内任何一方不得随意更改。</w:t>
      </w:r>
    </w:p>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六、支付方式</w:t>
      </w:r>
    </w:p>
    <w:p>
      <w:pPr>
        <w:autoSpaceDE w:val="0"/>
        <w:autoSpaceDN w:val="0"/>
        <w:adjustRightInd w:val="0"/>
        <w:spacing w:line="360" w:lineRule="auto"/>
        <w:ind w:left="-32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6.1本合同生效后15日内，乙方按本合同第十条第</w:t>
      </w:r>
      <w:r>
        <w:rPr>
          <w:rFonts w:ascii="宋体" w:hAnsi="宋体" w:eastAsia="宋体" w:cs="宋体"/>
          <w:color w:val="000000" w:themeColor="text1"/>
          <w:szCs w:val="21"/>
          <w:highlight w:val="none"/>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.7款要求购买食品安全责任险后，乙方按甲方的每次订单提交货物，由甲方收货验收并签字确认，并由甲方按月支付给乙方。</w:t>
      </w:r>
    </w:p>
    <w:p>
      <w:pPr>
        <w:autoSpaceDE w:val="0"/>
        <w:autoSpaceDN w:val="0"/>
        <w:adjustRightInd w:val="0"/>
        <w:spacing w:line="360" w:lineRule="auto"/>
        <w:ind w:left="-32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双方于每月10日（节假日顺延）对账核算上月采购货物明细，核对无误后，结算款项。乙方向甲方提交请款报告并根据甲方需求，按照应支付结算款项开具对应金额的合法有效的增值税普通发票，开票信息如下：</w:t>
      </w:r>
    </w:p>
    <w:p>
      <w:pPr>
        <w:autoSpaceDE w:val="0"/>
        <w:autoSpaceDN w:val="0"/>
        <w:adjustRightInd w:val="0"/>
        <w:spacing w:line="360" w:lineRule="auto"/>
        <w:ind w:left="-32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户名： </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纳税人识别号：</w:t>
      </w:r>
    </w:p>
    <w:p>
      <w:pPr>
        <w:autoSpaceDE w:val="0"/>
        <w:autoSpaceDN w:val="0"/>
        <w:adjustRightInd w:val="0"/>
        <w:spacing w:line="360" w:lineRule="auto"/>
        <w:ind w:left="-32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p>
      <w:pPr>
        <w:autoSpaceDE w:val="0"/>
        <w:autoSpaceDN w:val="0"/>
        <w:adjustRightInd w:val="0"/>
        <w:spacing w:line="360" w:lineRule="auto"/>
        <w:ind w:left="-32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开户行： </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地址： </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甲方于收到发票后15个工作日内向乙方一次性支付结算款项。乙方迟延提供发票或提供的发票不合格，甲方的付款时间可相应顺延，且不视为违约。由于乙方提供的发票不符合税法规定，给甲方造成的损失由乙方承担赔偿责任。</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6.3乙方的指定收款账户信息如下： </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账户名称：</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开户行：</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账号：</w:t>
      </w:r>
    </w:p>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七、履约担保</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7.1乙方应当根据招标文件的规定在签订本合同前向甲方提供履约担保，履约担保形式及金额由乙方从以下方式中任选一种：</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履约保证金（银行转账形式）金额为¥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（大写：人民币</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元整）；</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银行不可撤销履约保函金额为¥</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（大写：人民币</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元整）；</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担保公司履约担保书金额为¥</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（大写：人民币</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元整）；</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履约保证保险</w:t>
      </w:r>
      <w:r>
        <w:rPr>
          <w:rFonts w:hint="eastAsia" w:ascii="宋体" w:hAnsi="宋体" w:eastAsia="宋体" w:cs="宋体"/>
          <w:color w:val="000000" w:themeColor="text1"/>
          <w:kern w:val="0"/>
          <w:szCs w:val="21"/>
          <w:highlight w:val="none"/>
          <w14:textFill>
            <w14:solidFill>
              <w14:schemeClr w14:val="tx1"/>
            </w14:solidFill>
          </w14:textFill>
        </w:rPr>
        <w:t>金额为¥         （大写：人民币         元整）</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7.2履约担保用于补偿甲方因乙方不能完全履行其合同义务而蒙受的损失，如发生下列任一情况时，甲方除有权依合同追究乙方违约责任外，并按下列情况进行相应处理：</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7.2.1乙方将合同项下的权利义务全部转让给第三方，或未经甲方书面同意将部分权利义务转让给第三方的，甲方有权没收其履约担保。</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7.2.2在合同履行期间，乙方怠于履行合同义务，经甲方通知或要求</w:t>
      </w:r>
      <w:r>
        <w:rPr>
          <w:rFonts w:hint="eastAsia" w:ascii="宋体" w:hAnsi="宋体" w:eastAsia="宋体" w:cs="Times New Roman"/>
          <w:color w:val="000000" w:themeColor="text1"/>
          <w:kern w:val="0"/>
          <w:szCs w:val="21"/>
          <w:highlight w:val="none"/>
          <w14:textFill>
            <w14:solidFill>
              <w14:schemeClr w14:val="tx1"/>
            </w14:solidFill>
          </w14:textFill>
        </w:rPr>
        <w:t>承担违约金</w:t>
      </w:r>
      <w:r>
        <w:rPr>
          <w:rFonts w:hint="eastAsia" w:ascii="宋体" w:hAnsi="宋体" w:eastAsia="宋体" w:cs="宋体"/>
          <w:color w:val="000000" w:themeColor="text1"/>
          <w:kern w:val="0"/>
          <w:szCs w:val="21"/>
          <w:highlight w:val="none"/>
          <w14:textFill>
            <w14:solidFill>
              <w14:schemeClr w14:val="tx1"/>
            </w14:solidFill>
          </w14:textFill>
        </w:rPr>
        <w:t>后仍拒不改正的，甲方可依法没收或适当扣除其履约担保。</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7.2.3在合同履行期间，因乙方货物、服务质量问题造成损害、侵权损失（包括但不限于甲方（含其人员）经济损失、乙方所雇佣人员及第三人人身财产损失等）、拖欠原材料供应商货款或与其所雇用员工发生劳资纠纷、上访、闹事或其他影响甲方生产经营等情况而其未及时妥善处理的，甲方有权使用履约担保予以支付或作出相应处理，由此产生的法律后果由乙方承担。</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7.2.4</w:t>
      </w:r>
      <w:r>
        <w:rPr>
          <w:rFonts w:ascii="宋体" w:hAnsi="宋体" w:eastAsia="宋体" w:cs="Times New Roman"/>
          <w:color w:val="000000" w:themeColor="text1"/>
          <w:kern w:val="0"/>
          <w:szCs w:val="21"/>
          <w:highlight w:val="none"/>
          <w14:textFill>
            <w14:solidFill>
              <w14:schemeClr w14:val="tx1"/>
            </w14:solidFill>
          </w14:textFill>
        </w:rPr>
        <w:t>在合同履行期间，</w:t>
      </w:r>
      <w:r>
        <w:rPr>
          <w:rFonts w:hint="eastAsia" w:ascii="宋体" w:hAnsi="宋体" w:eastAsia="宋体" w:cs="宋体"/>
          <w:color w:val="000000" w:themeColor="text1"/>
          <w:kern w:val="0"/>
          <w:szCs w:val="21"/>
          <w:highlight w:val="none"/>
          <w14:textFill>
            <w14:solidFill>
              <w14:schemeClr w14:val="tx1"/>
            </w14:solidFill>
          </w14:textFill>
        </w:rPr>
        <w:t>乙方</w:t>
      </w:r>
      <w:r>
        <w:rPr>
          <w:rFonts w:ascii="宋体" w:hAnsi="宋体" w:eastAsia="宋体" w:cs="Times New Roman"/>
          <w:color w:val="000000" w:themeColor="text1"/>
          <w:kern w:val="0"/>
          <w:szCs w:val="21"/>
          <w:highlight w:val="none"/>
          <w14:textFill>
            <w14:solidFill>
              <w14:schemeClr w14:val="tx1"/>
            </w14:solidFill>
          </w14:textFill>
        </w:rPr>
        <w:t>违约产生的违约金、赔偿、罚款或其他应付费用等款项，</w:t>
      </w:r>
      <w:r>
        <w:rPr>
          <w:rFonts w:hint="eastAsia" w:ascii="宋体" w:hAnsi="宋体" w:eastAsia="宋体" w:cs="Times New Roman"/>
          <w:color w:val="000000" w:themeColor="text1"/>
          <w:kern w:val="0"/>
          <w:szCs w:val="21"/>
          <w:highlight w:val="none"/>
          <w14:textFill>
            <w14:solidFill>
              <w14:schemeClr w14:val="tx1"/>
            </w14:solidFill>
          </w14:textFill>
        </w:rPr>
        <w:t>甲方</w:t>
      </w:r>
      <w:r>
        <w:rPr>
          <w:rFonts w:ascii="宋体" w:hAnsi="宋体" w:eastAsia="宋体" w:cs="Times New Roman"/>
          <w:color w:val="000000" w:themeColor="text1"/>
          <w:kern w:val="0"/>
          <w:szCs w:val="21"/>
          <w:highlight w:val="none"/>
          <w14:textFill>
            <w14:solidFill>
              <w14:schemeClr w14:val="tx1"/>
            </w14:solidFill>
          </w14:textFill>
        </w:rPr>
        <w:t>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7.2.5合同期内，乙方不能及时完成合同某项义务的，甲方有权使用履约担保用于处理该项工作。</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7.2.6其他根据本合同约定或法律规定，甲方可</w:t>
      </w:r>
      <w:r>
        <w:rPr>
          <w:rFonts w:ascii="宋体" w:hAnsi="宋体" w:eastAsia="宋体" w:cs="Times New Roman"/>
          <w:color w:val="000000" w:themeColor="text1"/>
          <w:kern w:val="0"/>
          <w:szCs w:val="21"/>
          <w:highlight w:val="none"/>
          <w14:textFill>
            <w14:solidFill>
              <w14:schemeClr w14:val="tx1"/>
            </w14:solidFill>
          </w14:textFill>
        </w:rPr>
        <w:t>启用</w:t>
      </w:r>
      <w:r>
        <w:rPr>
          <w:rFonts w:hint="eastAsia" w:ascii="宋体" w:hAnsi="宋体" w:eastAsia="宋体" w:cs="宋体"/>
          <w:color w:val="000000" w:themeColor="text1"/>
          <w:kern w:val="0"/>
          <w:szCs w:val="21"/>
          <w:highlight w:val="none"/>
          <w14:textFill>
            <w14:solidFill>
              <w14:schemeClr w14:val="tx1"/>
            </w14:solidFill>
          </w14:textFill>
        </w:rPr>
        <w:t>履约担保的情形。</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7.3在乙方完成本合同下全部义务，且在合同期限届满并完成全部供货及相关服务义务后二十八（28）日内，甲方将履约担保余额无息退还乙方。</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7.4如乙方提供银行不可撤销履约保函或担保公司履约担保书</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宋体"/>
          <w:color w:val="000000" w:themeColor="text1"/>
          <w:kern w:val="0"/>
          <w:szCs w:val="21"/>
          <w:highlight w:val="none"/>
          <w14:textFill>
            <w14:solidFill>
              <w14:schemeClr w14:val="tx1"/>
            </w14:solidFill>
          </w14:textFill>
        </w:rPr>
        <w:t>作为履约担保的，银行不可撤销履约保函或担保公司履约担保书</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宋体"/>
          <w:color w:val="000000" w:themeColor="text1"/>
          <w:kern w:val="0"/>
          <w:szCs w:val="21"/>
          <w:highlight w:val="none"/>
          <w14:textFill>
            <w14:solidFill>
              <w14:schemeClr w14:val="tx1"/>
            </w14:solidFill>
          </w14:textFill>
        </w:rPr>
        <w:t>应从合同签订之日起至合同期限届满并完成全部供货及相关服务义务后二十八（28）日内保持有效。如银行不可撤销履约保函或担保公司履约担保书</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宋体"/>
          <w:color w:val="000000" w:themeColor="text1"/>
          <w:kern w:val="0"/>
          <w:szCs w:val="21"/>
          <w:highlight w:val="none"/>
          <w14:textFill>
            <w14:solidFill>
              <w14:schemeClr w14:val="tx1"/>
            </w14:solidFill>
          </w14:textFill>
        </w:rPr>
        <w:t>在规定有效期届满时而货物尚未全部最终验收合格的，乙方必须在银行不可撤销履约保函或担保公司履约担保书</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宋体"/>
          <w:color w:val="000000" w:themeColor="text1"/>
          <w:kern w:val="0"/>
          <w:szCs w:val="21"/>
          <w:highlight w:val="none"/>
          <w14:textFill>
            <w14:solidFill>
              <w14:schemeClr w14:val="tx1"/>
            </w14:solidFill>
          </w14:textFill>
        </w:rPr>
        <w:t>到期15日前无条件办理办妥符合甲方要求的延期手续或重新提供银行不可撤销履约保函或重新提供担保公司履约担保书或重新提供</w:t>
      </w:r>
      <w:r>
        <w:rPr>
          <w:rFonts w:hint="eastAsia" w:ascii="宋体" w:hAnsi="宋体" w:eastAsia="宋体" w:cs="Times New Roman"/>
          <w:color w:val="000000" w:themeColor="text1"/>
          <w:kern w:val="0"/>
          <w:szCs w:val="21"/>
          <w:highlight w:val="none"/>
          <w14:textFill>
            <w14:solidFill>
              <w14:schemeClr w14:val="tx1"/>
            </w14:solidFill>
          </w14:textFill>
        </w:rPr>
        <w:t>履约保证保险</w:t>
      </w:r>
      <w:r>
        <w:rPr>
          <w:rFonts w:hint="eastAsia" w:ascii="宋体" w:hAnsi="宋体" w:eastAsia="宋体" w:cs="宋体"/>
          <w:color w:val="000000" w:themeColor="text1"/>
          <w:kern w:val="0"/>
          <w:szCs w:val="21"/>
          <w:highlight w:val="none"/>
          <w14:textFill>
            <w14:solidFill>
              <w14:schemeClr w14:val="tx1"/>
            </w14:solidFill>
          </w14:textFill>
        </w:rPr>
        <w:t>；否则视为乙方违约，甲方有权在银行不可撤销履约保函或担保公司履约担保书</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宋体"/>
          <w:color w:val="000000" w:themeColor="text1"/>
          <w:kern w:val="0"/>
          <w:szCs w:val="21"/>
          <w:highlight w:val="none"/>
          <w14:textFill>
            <w14:solidFill>
              <w14:schemeClr w14:val="tx1"/>
            </w14:solidFill>
          </w14:textFill>
        </w:rPr>
        <w:t>到期前向出具履约担保的机构提取履约保证金。在银行不可撤销履约保函或担保公司履约担保书</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宋体"/>
          <w:color w:val="000000" w:themeColor="text1"/>
          <w:kern w:val="0"/>
          <w:szCs w:val="21"/>
          <w:highlight w:val="none"/>
          <w14:textFill>
            <w14:solidFill>
              <w14:schemeClr w14:val="tx1"/>
            </w14:solidFill>
          </w14:textFill>
        </w:rPr>
        <w:t>到期后乙方未按甲方要求重新提供的，甲方有权要求乙方以履约担保金额为限承担违约金</w:t>
      </w:r>
      <w:r>
        <w:rPr>
          <w:rFonts w:hint="eastAsia" w:ascii="宋体" w:hAnsi="宋体" w:eastAsia="宋体" w:cs="Times New Roman"/>
          <w:color w:val="000000" w:themeColor="text1"/>
          <w:kern w:val="0"/>
          <w:szCs w:val="21"/>
          <w:highlight w:val="none"/>
          <w14:textFill>
            <w14:solidFill>
              <w14:schemeClr w14:val="tx1"/>
            </w14:solidFill>
          </w14:textFill>
        </w:rPr>
        <w:t>，违约金可直接从未付采购合同费用中扣除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7.5在合同履行过程中，不论何种原因导致履约担保金数额不符合招标文件要求的，乙方应当在5日内予以补足。逾期不予补足的，甲方有权按需补足的金额要求乙方承担违约金，并要求限期补足。如乙方仍不补足的，甲方有权单方解除合同</w:t>
      </w:r>
      <w:r>
        <w:rPr>
          <w:rFonts w:hint="eastAsia" w:ascii="宋体" w:hAnsi="宋体" w:eastAsia="宋体" w:cs="Times New Roman"/>
          <w:color w:val="000000" w:themeColor="text1"/>
          <w:kern w:val="0"/>
          <w:szCs w:val="21"/>
          <w:highlight w:val="none"/>
          <w14:textFill>
            <w14:solidFill>
              <w14:schemeClr w14:val="tx1"/>
            </w14:solidFill>
          </w14:textFill>
        </w:rPr>
        <w:t>，违约金可直接从未付合同款或履约担保中扣除</w:t>
      </w:r>
      <w:r>
        <w:rPr>
          <w:rFonts w:hint="eastAsia" w:ascii="宋体" w:hAnsi="宋体" w:eastAsia="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八、考核管理</w:t>
      </w:r>
    </w:p>
    <w:p>
      <w:pPr>
        <w:autoSpaceDE w:val="0"/>
        <w:autoSpaceDN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甲方每月安排相关人员对乙方进行服务质量跟踪，两个月为一个考核期，并填写“XX公司食堂配送服务考核评分表”（附件1），考核成绩较差（低于80分）时由甲方下达整改意见书，以确保乙方的服务质量能满足甲方要求；如连续两次接收整改意见书仍未符合整改要求，甲方将有权单方解除相关配送合同，并没收履约担保，同时乙方应当承担违约责任。</w:t>
      </w:r>
    </w:p>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九、甲方的权利和义务</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9.1甲方应按合同条款的有关规定向乙方支付货款。</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9.2甲方安排相关人员配合乙方做好订货、收货、验货、结算等工作。</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9.3甲方有权对乙方供货质量、配送时间、服务态度等方面出现误差建立档案记录。</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乙方因供货物资质量问题导致甲方发生食品、安全事故，经市（区）级卫生防疫部门鉴定属乙方责任，甲方有权单方终止合同，乙方应承担事故相关的一切赔偿责任，并承担违约责任以及为鉴定质量所支出的一切费用。</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9.5在日常供货过程中，因乙方工作出现失误等原因而影响甲方生产或食堂供餐的正常运作，经甲方2次告知仍不整改或整改不到位的，甲方有权单方终止合同，没收乙方履约担保，并选择其他供货商的权利。</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9.6本项目确定的乙方与甲方签订农副产品食品材料配送合同，甲方不确保乙方农副产品、主副食品、其他食品材料实际产生配送量，每月份按实际产生量结算。</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9.7甲方有权要求乙方提供以往交易记录。</w:t>
      </w:r>
    </w:p>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十、乙方的权利和义务</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10.1乙方须按甲方订货内容按时按质按量配送到达约定地点。乙方每次送货应有相应的送货清单（盖有乙方的有效公章），且必须时提供合法的进货单据。</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10.2甲方对乙方供货质量、配送时间、服务态度等方面出现误差建立档案记录，乙方人员应予以签名确认。</w:t>
      </w:r>
    </w:p>
    <w:p>
      <w:pPr>
        <w:adjustRightInd w:val="0"/>
        <w:spacing w:line="360" w:lineRule="auto"/>
        <w:ind w:left="-320" w:firstLine="422" w:firstLineChars="201"/>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10.3乙方提供的食物货品应符合国家食品卫生法、食品安全法等有关法规和标准，并确保所配送包装商品的有效使用期或保质期达到该商品标注的有效使用期或保质期2/3及以上使用期的合格商品（鲜奶制品需保质期1/2及以上），不合格的餐料物资及商品必须包退包换，提供假冒伪劣商品，甲方保留追究乙方法律责任的权利。</w:t>
      </w:r>
    </w:p>
    <w:p>
      <w:pPr>
        <w:autoSpaceDE w:val="0"/>
        <w:autoSpaceDN w:val="0"/>
        <w:adjustRightInd w:val="0"/>
        <w:snapToGrid w:val="0"/>
        <w:spacing w:line="360" w:lineRule="auto"/>
        <w:ind w:left="-320" w:firstLine="420" w:firstLineChars="200"/>
        <w:contextualSpacing/>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10.4乙方应按照国家《餐饮服务食品安全监督管理办法》相关规定，按时段或批次向甲方提交卫生防疫合格证明或产品检验合格证明，并保证所提供餐料商品的卫生防疫合格证或产品检验合格证均是真实有效。其中A类食品材料根据甲方要求定期提供有效检验合格报告；B类、C类食品要提交所有相关检验、检测证明报告。凡国家有明文规定的必须提供产品检验报告交食堂存档，符合国家溯源制度规定。</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10.5乙方配送食品材料车辆应符合卫生防疫技术标准或要求，食品材料应分类储运或独立包装，确保在运输途中不受污染。</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10.6乙方应配合甲方做好食品材料供应溯源工作，乙方有义务对提供给甲方的食品材料来源信息予以存档、备查、生产厂可溯源。</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10.7乙方须为甲方就A类（粮油干货类），B类（肉类）及C类（蔬果类）货品免费提供一份以甲方为受益人、额度为￥       万元的保险（食品安全责任险），</w:t>
      </w:r>
      <w:r>
        <w:rPr>
          <w:rFonts w:hint="eastAsia" w:ascii="宋体" w:hAnsi="宋体" w:eastAsia="宋体" w:cs="宋体"/>
          <w:color w:val="000000" w:themeColor="text1"/>
          <w:szCs w:val="21"/>
          <w:highlight w:val="none"/>
          <w14:textFill>
            <w14:solidFill>
              <w14:schemeClr w14:val="tx1"/>
            </w14:solidFill>
          </w14:textFill>
        </w:rPr>
        <w:t>各受益人均享有同等受益权，</w:t>
      </w:r>
      <w:r>
        <w:rPr>
          <w:rFonts w:hint="eastAsia" w:ascii="宋体" w:hAnsi="宋体" w:eastAsia="宋体" w:cs="宋体"/>
          <w:color w:val="000000" w:themeColor="text1"/>
          <w:kern w:val="0"/>
          <w:szCs w:val="21"/>
          <w:highlight w:val="none"/>
          <w14:textFill>
            <w14:solidFill>
              <w14:schemeClr w14:val="tx1"/>
            </w14:solidFill>
          </w14:textFill>
        </w:rPr>
        <w:t>上述保险承保期限不短于配送时间一年，</w:t>
      </w:r>
      <w:r>
        <w:rPr>
          <w:rFonts w:hint="eastAsia" w:ascii="宋体" w:hAnsi="宋体" w:eastAsia="宋体" w:cs="宋体"/>
          <w:color w:val="000000" w:themeColor="text1"/>
          <w:szCs w:val="21"/>
          <w:highlight w:val="none"/>
          <w14:textFill>
            <w14:solidFill>
              <w14:schemeClr w14:val="tx1"/>
            </w14:solidFill>
          </w14:textFill>
        </w:rPr>
        <w:t>如配送服务合同延期，保险承保期需同步延期。</w:t>
      </w:r>
      <w:r>
        <w:rPr>
          <w:rFonts w:hint="eastAsia" w:ascii="宋体" w:hAnsi="宋体" w:eastAsia="宋体" w:cs="宋体"/>
          <w:color w:val="000000" w:themeColor="text1"/>
          <w:kern w:val="0"/>
          <w:szCs w:val="21"/>
          <w:highlight w:val="none"/>
          <w14:textFill>
            <w14:solidFill>
              <w14:schemeClr w14:val="tx1"/>
            </w14:solidFill>
          </w14:textFill>
        </w:rPr>
        <w:t>若因乙方原因造成甲方人员食物中毒等事故而索赔并超出相应保险赔偿额度，超出部分由乙方负责承担。</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10.8乙方进入甲方范围内必须遵守甲方有关规定，不得影响甲方的正常工作，由于乙方的过失造成甲方直接经济损失的，乙方应承担全部责任及赔偿甲方的一切损失。</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10.9乙方须有固定分割肉加工场所，具备空调作业环境，配套设备设施齐全，有相应加工作业流程及相关管理制度。</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10.10</w:t>
      </w:r>
      <w:r>
        <w:rPr>
          <w:rFonts w:hint="eastAsia" w:ascii="宋体" w:hAnsi="宋体" w:eastAsia="宋体" w:cs="宋体"/>
          <w:color w:val="000000" w:themeColor="text1"/>
          <w:kern w:val="0"/>
          <w:szCs w:val="21"/>
          <w:highlight w:val="none"/>
          <w:lang w:val="zh-CN"/>
          <w14:textFill>
            <w14:solidFill>
              <w14:schemeClr w14:val="tx1"/>
            </w14:solidFill>
          </w14:textFill>
        </w:rPr>
        <w:t>甲方如有临时决定的加餐，需要临时增加采购的，乙方应及时全力配合，并在甲方要求的期限内送达。</w:t>
      </w:r>
    </w:p>
    <w:p>
      <w:pPr>
        <w:autoSpaceDE w:val="0"/>
        <w:autoSpaceDN w:val="0"/>
        <w:adjustRightInd w:val="0"/>
        <w:spacing w:line="360" w:lineRule="auto"/>
        <w:ind w:left="-320" w:firstLine="420" w:firstLineChars="200"/>
        <w:jc w:val="left"/>
        <w:rPr>
          <w:rFonts w:ascii="宋体" w:hAnsi="Times New Roman" w:eastAsia="宋体" w:cs="Times New Roman"/>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ascii="宋体" w:hAnsi="宋体" w:eastAsia="宋体" w:cs="宋体"/>
          <w:color w:val="000000" w:themeColor="text1"/>
          <w:kern w:val="0"/>
          <w:szCs w:val="21"/>
          <w:highlight w:val="none"/>
          <w14:textFill>
            <w14:solidFill>
              <w14:schemeClr w14:val="tx1"/>
            </w14:solidFill>
          </w14:textFill>
        </w:rPr>
        <w:t>0.1</w:t>
      </w:r>
      <w:r>
        <w:rPr>
          <w:rFonts w:hint="eastAsia" w:ascii="宋体" w:hAnsi="宋体" w:eastAsia="宋体" w:cs="宋体"/>
          <w:color w:val="000000" w:themeColor="text1"/>
          <w:kern w:val="0"/>
          <w:szCs w:val="21"/>
          <w:highlight w:val="none"/>
          <w14:textFill>
            <w14:solidFill>
              <w14:schemeClr w14:val="tx1"/>
            </w14:solidFill>
          </w14:textFill>
        </w:rPr>
        <w:t xml:space="preserve">1乙方如需更换配送场所、食品冷藏冷冻库，需征得甲方书面同意，否则视为乙方违约。乙方配送场所地点：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，面积：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平方米；食品冷藏冷冻库地点：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，面积：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平方米。</w:t>
      </w:r>
    </w:p>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十一、保密条款</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甲乙双方保证对在履行本合同过程中所获悉的属于对方的商业秘密、技术秘密、相关资料所记载的信息，以及其他经营管理信息予以保密。未经一方同意，另一方不得向任何第三方泄露。无论本合同是否生效、被撤销、变更、解除或终止，双方仍须执行本保密条款，直至相关信息被依法公开为止。</w:t>
      </w:r>
    </w:p>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十二、违约处理</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12.1如果甲方或乙方违反本合同条款，守约方可向违约方提出书面通知，违约方接到通知须在5个工作日内给予书面回复，回复内容应包含承诺的整改或补救措施内容，并立即落实执行。如果守约方向违约方发出书面通知10个工作日后，违约方不予回复或没有补救措施，守约方可以终止本合同执行，要求赔偿损失，并支付累计已结算货款的10%的违约金。</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12.2乙方人员进入甲方管辖区域、工作范围，必须遵守甲方有关管理规章制度，未经许可不得自行操控甲方设备、设施以及影响甲方的生产和正常工作，若造成甲方事故或经济损失，乙方须负全部法律责任或赔偿甲方经济损失，并处予扣除全部履约担保。</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12.3合同在有效期内，因乙方提供食品材料质量问题造成甲方人员食物中毒事故，经市（或区）级卫生防疫部门鉴定属乙方责任的，或虽未造成中毒事故但给甲方造成经济损失的，乙方须承担全部法律责任并赔偿甲方全部经济损失（包括直接和间接经济损失），甲方有权单方终止本合同执行，并没收乙方全部履约担保。</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12.4</w:t>
      </w:r>
      <w:r>
        <w:rPr>
          <w:rFonts w:hint="eastAsia" w:ascii="宋体" w:hAnsi="宋体" w:eastAsia="宋体" w:cs="宋体"/>
          <w:color w:val="000000" w:themeColor="text1"/>
          <w:kern w:val="0"/>
          <w:szCs w:val="21"/>
          <w:highlight w:val="none"/>
          <w:lang w:val="zh-CN"/>
          <w14:textFill>
            <w14:solidFill>
              <w14:schemeClr w14:val="tx1"/>
            </w14:solidFill>
          </w14:textFill>
        </w:rPr>
        <w:t>若送货时间超过合同规定30分钟以上，甲方有权要求乙方支付当天订购货款总额5%的违约金。如果超时一个小时以上，甲方</w:t>
      </w:r>
      <w:r>
        <w:rPr>
          <w:rFonts w:hint="eastAsia" w:ascii="宋体" w:hAnsi="宋体" w:eastAsia="宋体" w:cs="宋体"/>
          <w:color w:val="000000" w:themeColor="text1"/>
          <w:kern w:val="0"/>
          <w:szCs w:val="21"/>
          <w:highlight w:val="none"/>
          <w14:textFill>
            <w14:solidFill>
              <w14:schemeClr w14:val="tx1"/>
            </w14:solidFill>
          </w14:textFill>
        </w:rPr>
        <w:t>有权</w:t>
      </w:r>
      <w:r>
        <w:rPr>
          <w:rFonts w:hint="eastAsia" w:ascii="宋体" w:hAnsi="宋体" w:eastAsia="宋体" w:cs="宋体"/>
          <w:color w:val="000000" w:themeColor="text1"/>
          <w:kern w:val="0"/>
          <w:szCs w:val="21"/>
          <w:highlight w:val="none"/>
          <w:lang w:val="zh-CN"/>
          <w14:textFill>
            <w14:solidFill>
              <w14:schemeClr w14:val="tx1"/>
            </w14:solidFill>
          </w14:textFill>
        </w:rPr>
        <w:t>自行采购并拒收乙方货物</w:t>
      </w:r>
      <w:r>
        <w:rPr>
          <w:rFonts w:hint="eastAsia" w:ascii="宋体" w:hAnsi="宋体" w:eastAsia="宋体" w:cs="宋体"/>
          <w:color w:val="000000" w:themeColor="text1"/>
          <w:kern w:val="0"/>
          <w:szCs w:val="21"/>
          <w:highlight w:val="none"/>
          <w14:textFill>
            <w14:solidFill>
              <w14:schemeClr w14:val="tx1"/>
            </w14:solidFill>
          </w14:textFill>
        </w:rPr>
        <w:t>及拒绝支付当日货款</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并对乙方处1000元罚款，于当月货款中扣除。</w:t>
      </w:r>
      <w:r>
        <w:rPr>
          <w:rFonts w:hint="eastAsia" w:ascii="宋体" w:hAnsi="宋体" w:eastAsia="宋体" w:cs="宋体"/>
          <w:color w:val="000000" w:themeColor="text1"/>
          <w:kern w:val="0"/>
          <w:szCs w:val="21"/>
          <w:highlight w:val="none"/>
          <w:lang w:val="zh-CN"/>
          <w14:textFill>
            <w14:solidFill>
              <w14:schemeClr w14:val="tx1"/>
            </w14:solidFill>
          </w14:textFill>
        </w:rPr>
        <w:t>每月累计逾期送货超过</w:t>
      </w:r>
      <w:r>
        <w:rPr>
          <w:rFonts w:hint="eastAsia" w:ascii="宋体" w:hAnsi="宋体" w:eastAsia="宋体" w:cs="宋体"/>
          <w:color w:val="000000" w:themeColor="text1"/>
          <w:kern w:val="0"/>
          <w:szCs w:val="21"/>
          <w:highlight w:val="none"/>
          <w14:textFill>
            <w14:solidFill>
              <w14:schemeClr w14:val="tx1"/>
            </w14:solidFill>
          </w14:textFill>
        </w:rPr>
        <w:t>两</w:t>
      </w:r>
      <w:r>
        <w:rPr>
          <w:rFonts w:hint="eastAsia" w:ascii="宋体" w:hAnsi="宋体" w:eastAsia="宋体" w:cs="宋体"/>
          <w:color w:val="000000" w:themeColor="text1"/>
          <w:kern w:val="0"/>
          <w:szCs w:val="21"/>
          <w:highlight w:val="none"/>
          <w:lang w:val="zh-CN"/>
          <w14:textFill>
            <w14:solidFill>
              <w14:schemeClr w14:val="tx1"/>
            </w14:solidFill>
          </w14:textFill>
        </w:rPr>
        <w:t>次</w:t>
      </w:r>
      <w:r>
        <w:rPr>
          <w:rFonts w:hint="eastAsia" w:ascii="宋体" w:hAnsi="宋体" w:eastAsia="宋体" w:cs="宋体"/>
          <w:color w:val="000000" w:themeColor="text1"/>
          <w:kern w:val="0"/>
          <w:szCs w:val="21"/>
          <w:highlight w:val="none"/>
          <w14:textFill>
            <w14:solidFill>
              <w14:schemeClr w14:val="tx1"/>
            </w14:solidFill>
          </w14:textFill>
        </w:rPr>
        <w:t>或以上</w:t>
      </w:r>
      <w:r>
        <w:rPr>
          <w:rFonts w:hint="eastAsia" w:ascii="宋体" w:hAnsi="宋体" w:eastAsia="宋体" w:cs="宋体"/>
          <w:color w:val="000000" w:themeColor="text1"/>
          <w:kern w:val="0"/>
          <w:szCs w:val="21"/>
          <w:highlight w:val="none"/>
          <w:lang w:val="zh-CN"/>
          <w14:textFill>
            <w14:solidFill>
              <w14:schemeClr w14:val="tx1"/>
            </w14:solidFill>
          </w14:textFill>
        </w:rPr>
        <w:t>的，甲方有权单方解除本合同。如给甲方造成损失的，</w:t>
      </w:r>
      <w:r>
        <w:rPr>
          <w:rFonts w:hint="eastAsia" w:ascii="宋体" w:hAnsi="宋体" w:eastAsia="宋体" w:cs="宋体"/>
          <w:color w:val="000000" w:themeColor="text1"/>
          <w:kern w:val="0"/>
          <w:szCs w:val="21"/>
          <w:highlight w:val="none"/>
          <w14:textFill>
            <w14:solidFill>
              <w14:schemeClr w14:val="tx1"/>
            </w14:solidFill>
          </w14:textFill>
        </w:rPr>
        <w:t>甲方有权根据损失从履约担保中扣除和要求</w:t>
      </w:r>
      <w:r>
        <w:rPr>
          <w:rFonts w:hint="eastAsia" w:ascii="宋体" w:hAnsi="宋体" w:eastAsia="宋体" w:cs="宋体"/>
          <w:color w:val="000000" w:themeColor="text1"/>
          <w:kern w:val="0"/>
          <w:szCs w:val="21"/>
          <w:highlight w:val="none"/>
          <w:lang w:val="zh-CN"/>
          <w14:textFill>
            <w14:solidFill>
              <w14:schemeClr w14:val="tx1"/>
            </w14:solidFill>
          </w14:textFill>
        </w:rPr>
        <w:t>乙方</w:t>
      </w:r>
      <w:r>
        <w:rPr>
          <w:rFonts w:hint="eastAsia" w:ascii="宋体" w:hAnsi="宋体" w:eastAsia="宋体" w:cs="宋体"/>
          <w:color w:val="000000" w:themeColor="text1"/>
          <w:kern w:val="0"/>
          <w:szCs w:val="21"/>
          <w:highlight w:val="none"/>
          <w14:textFill>
            <w14:solidFill>
              <w14:schemeClr w14:val="tx1"/>
            </w14:solidFill>
          </w14:textFill>
        </w:rPr>
        <w:t>支付造成损失的所有费用</w:t>
      </w:r>
      <w:r>
        <w:rPr>
          <w:rFonts w:hint="eastAsia" w:ascii="宋体" w:hAnsi="宋体" w:eastAsia="宋体" w:cs="宋体"/>
          <w:color w:val="000000" w:themeColor="text1"/>
          <w:kern w:val="0"/>
          <w:szCs w:val="21"/>
          <w:highlight w:val="none"/>
          <w:lang w:val="zh-CN"/>
          <w14:textFill>
            <w14:solidFill>
              <w14:schemeClr w14:val="tx1"/>
            </w14:solidFill>
          </w14:textFill>
        </w:rPr>
        <w:t>。</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12.5</w:t>
      </w:r>
      <w:r>
        <w:rPr>
          <w:rFonts w:hint="eastAsia" w:ascii="宋体" w:hAnsi="宋体" w:eastAsia="宋体" w:cs="宋体"/>
          <w:color w:val="000000" w:themeColor="text1"/>
          <w:kern w:val="0"/>
          <w:szCs w:val="21"/>
          <w:highlight w:val="none"/>
          <w:lang w:val="zh-CN"/>
          <w14:textFill>
            <w14:solidFill>
              <w14:schemeClr w14:val="tx1"/>
            </w14:solidFill>
          </w14:textFill>
        </w:rPr>
        <w:t>乙方提供货品，经甲方验收，出现重量不足（重量少于100克及以上的即为重量不足）或质量不好（被拒收或要求退换货的即视为质量不好）的情况，每月累计达</w:t>
      </w:r>
      <w:r>
        <w:rPr>
          <w:rFonts w:hint="eastAsia" w:ascii="宋体" w:hAnsi="宋体" w:eastAsia="宋体" w:cs="宋体"/>
          <w:color w:val="000000" w:themeColor="text1"/>
          <w:kern w:val="0"/>
          <w:szCs w:val="21"/>
          <w:highlight w:val="none"/>
          <w14:textFill>
            <w14:solidFill>
              <w14:schemeClr w14:val="tx1"/>
            </w14:solidFill>
          </w14:textFill>
        </w:rPr>
        <w:t>两</w:t>
      </w:r>
      <w:r>
        <w:rPr>
          <w:rFonts w:hint="eastAsia" w:ascii="宋体" w:hAnsi="宋体" w:eastAsia="宋体" w:cs="宋体"/>
          <w:color w:val="000000" w:themeColor="text1"/>
          <w:kern w:val="0"/>
          <w:szCs w:val="21"/>
          <w:highlight w:val="none"/>
          <w:lang w:val="zh-CN"/>
          <w14:textFill>
            <w14:solidFill>
              <w14:schemeClr w14:val="tx1"/>
            </w14:solidFill>
          </w14:textFill>
        </w:rPr>
        <w:t>次</w:t>
      </w:r>
      <w:r>
        <w:rPr>
          <w:rFonts w:hint="eastAsia" w:ascii="宋体" w:hAnsi="宋体" w:eastAsia="宋体" w:cs="宋体"/>
          <w:color w:val="000000" w:themeColor="text1"/>
          <w:kern w:val="0"/>
          <w:szCs w:val="21"/>
          <w:highlight w:val="none"/>
          <w14:textFill>
            <w14:solidFill>
              <w14:schemeClr w14:val="tx1"/>
            </w14:solidFill>
          </w14:textFill>
        </w:rPr>
        <w:t>及</w:t>
      </w:r>
      <w:r>
        <w:rPr>
          <w:rFonts w:hint="eastAsia" w:ascii="宋体" w:hAnsi="宋体" w:eastAsia="宋体" w:cs="宋体"/>
          <w:color w:val="000000" w:themeColor="text1"/>
          <w:kern w:val="0"/>
          <w:szCs w:val="21"/>
          <w:highlight w:val="none"/>
          <w:lang w:val="zh-CN"/>
          <w14:textFill>
            <w14:solidFill>
              <w14:schemeClr w14:val="tx1"/>
            </w14:solidFill>
          </w14:textFill>
        </w:rPr>
        <w:t>以上的，甲方有权单方解除本合同，并有权要求乙方</w:t>
      </w:r>
      <w:r>
        <w:rPr>
          <w:rFonts w:hint="eastAsia" w:ascii="宋体" w:hAnsi="宋体" w:eastAsia="宋体" w:cs="宋体"/>
          <w:color w:val="000000" w:themeColor="text1"/>
          <w:kern w:val="0"/>
          <w:szCs w:val="21"/>
          <w:highlight w:val="none"/>
          <w14:textFill>
            <w14:solidFill>
              <w14:schemeClr w14:val="tx1"/>
            </w14:solidFill>
          </w14:textFill>
        </w:rPr>
        <w:t>支付当月货款10%的违约金</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若因乙方提供的食物货品质量问题，导致甲方出现食物安全问题，甲方有权单方面解除本合同，乙方应承担全部法律责任和由此给甲方造成的全部损失。</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12.6合同在有效期内，因乙方货物、服务质量问题造成损害、侵权损失（包括但不限于甲方（含其人员）经济损失、乙方所雇佣人员及第三人人身财产损失等）、拖欠原材料供应商货款或与其所雇用员工发生劳资纠纷、上访、闹事或其他影响甲方生产经营等情况而其未及时妥善处理的，甲方有权单方终止合同执行，并没收全部履约担保，由此产生的一切法律后果及费用由乙方承担。</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12.7乙方应及时、足额向配送人员发放工资待遇以及其他劳动待遇等，不得无故拖欠或克扣，如乙方违反上述约定，并造成损失的，由乙方独立承担全部责任。如该行为对甲方工作造成影响的，甲方有权根据配送人员的诉求，从当月应支付的订货款中直接扣除，先行支付，如因此给甲方造成损失的，甲方有权要求乙方承担赔偿责任。情况严重的，甲方有权上报相关行政主管部门处理且有权单方解除本合同。</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12.8在合同履行期间，因乙方违约而产生的违约金、赔偿、罚款或其他应付费用等款项，甲方有权直接从未付货款中直接扣除或启用履约担保予以支付。</w:t>
      </w:r>
    </w:p>
    <w:p>
      <w:pPr>
        <w:autoSpaceDE w:val="0"/>
        <w:autoSpaceDN w:val="0"/>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十三、严禁转包或再分包</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乙方不得将本合同项下的食材配送服务转包或再分包给其他单位或个人。否则，甲方有权单方解除本合同并要求乙方承担当月订货款总额的20%的违约金，如因此造成甲方损失的，乙方还应予全额赔偿。</w:t>
      </w:r>
    </w:p>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十四、合同终止</w:t>
      </w:r>
    </w:p>
    <w:p>
      <w:pPr>
        <w:autoSpaceDE w:val="0"/>
        <w:autoSpaceDN w:val="0"/>
        <w:adjustRightInd w:val="0"/>
        <w:spacing w:line="360" w:lineRule="auto"/>
        <w:ind w:left="-320" w:firstLine="420"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14.1本合同服务期满且双方权利义务履行完毕后终止。</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14.2在合同有效期内，若发现乙方有转包（部分转包或全部转包）或对食品供应安全构成威胁，经查证后，甲方有权单方终止本合同执行、没收履约担保和使用其它备选供货商。</w:t>
      </w:r>
    </w:p>
    <w:p>
      <w:pPr>
        <w:widowControl/>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14.3在合同期满一年内双方没有发生违约行为，甲方完成支付乙方货款后，本合同自然终止。</w:t>
      </w:r>
    </w:p>
    <w:p>
      <w:pPr>
        <w:widowControl/>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14.4甲方或乙方存在其他违反双方约定可以终止合同的情形。 </w:t>
      </w:r>
    </w:p>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十五、争议处理</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15.1执行本合同发生争议，当事人双方应尽力协商解决；若协商不能解决，任何一方有权向甲方所在地有管辖权的人民法院提起诉讼。</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15.2发生争议时，乙方应保护好已完成的食堂食材配送服务记录，除出现下列情况外，双方必须继续履行合同，保持服务的连续性。</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（1）合同确已无法履行；</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（2）双方协议停止服务；</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（3）调解要求停止服务，且双方接受；</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（4）法院或仲裁机关要求停止服务；</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（5）甲方按约定另行委托第三方提供本合同项下服务的；</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（6）甲方按约定单方解除或者提前终止合同。</w:t>
      </w:r>
    </w:p>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十六、不可抗力</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因不可抗力事件（包括但不限于：地震、水灾或其他灾难，战争或暴乱，以及其他在受影响的一方合理控制范围以外且经该方合理努力后也不能防止的类似事件；国家宏观政策调控导致资源紧张视为不可抗力）导致本合同延迟履行或未能履行，甲乙双方互不承担责任，受不可抗力影响的一方应及时向另一方反映情况，以减轻给对方造成的损失。</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不可抗力是指合同双方在订立合同时不可预见，在项目实施过程中不可避免发生并不能克服的自然灾害和社会性突发事件，如海啸、瘟疫、暴动、战争和下述情形：</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（1）6级以上的地震；</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（2）8级以上的持续2天的台风；</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（3）250mm以上的持续24小时的大雨、暴雨；</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（4）50年以上未发生过、持续2天的高温天气；</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（5）因项目所在地政府抽象行政行为和具体行政行为导致的项目暂停、取消等，如政府决策、政策调整等原因。</w:t>
      </w:r>
    </w:p>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十七、需要双方明确的其他事项</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若市场供应原因，乙方无法按甲方的一些特别要求供货时，甲方有权向市场其他机构开展采购，甲方不负违约责任；乙方无权对甲方的行为提出异议。</w:t>
      </w:r>
    </w:p>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十八、合同生效</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18.1本合同经双方签字、盖章之日起生效。本合同一式四份，甲方两份、乙方一份、招标代理机构一份。</w:t>
      </w:r>
    </w:p>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18.2本合同和招标文件以及乙方的投标文件具有同等的法律和约束效力，如本合同与招标文件及乙方的投标文件有冲突，优先级为本合同&gt;招标文件&gt;投标文件；如本合同、招标文件以及乙方的投标文件自身内容有冲突，甲乙双方同意以有利于甲方的解释为准。</w:t>
      </w:r>
    </w:p>
    <w:p>
      <w:pPr>
        <w:adjustRightInd w:val="0"/>
        <w:spacing w:line="360" w:lineRule="auto"/>
        <w:ind w:left="-320"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十九、附件</w:t>
      </w:r>
    </w:p>
    <w:p>
      <w:pPr>
        <w:autoSpaceDE w:val="0"/>
        <w:autoSpaceDN w:val="0"/>
        <w:adjustRightInd w:val="0"/>
        <w:spacing w:line="360" w:lineRule="auto"/>
        <w:ind w:left="-32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XX公司食堂配送服务考核评分表</w:t>
      </w:r>
    </w:p>
    <w:p>
      <w:pPr>
        <w:spacing w:after="120"/>
        <w:ind w:left="-320" w:firstLine="420" w:firstLineChars="200"/>
        <w:rPr>
          <w:rFonts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2.廉洁协议书</w:t>
      </w:r>
    </w:p>
    <w:tbl>
      <w:tblPr>
        <w:tblStyle w:val="37"/>
        <w:tblW w:w="9344" w:type="dxa"/>
        <w:tblInd w:w="0" w:type="dxa"/>
        <w:tblLayout w:type="fixed"/>
        <w:tblCellMar>
          <w:top w:w="15" w:type="dxa"/>
          <w:left w:w="15" w:type="dxa"/>
          <w:bottom w:w="15" w:type="dxa"/>
          <w:right w:w="15" w:type="dxa"/>
        </w:tblCellMar>
      </w:tblPr>
      <w:tblGrid>
        <w:gridCol w:w="4919"/>
        <w:gridCol w:w="4425"/>
      </w:tblGrid>
      <w:tr>
        <w:tblPrEx>
          <w:tblCellMar>
            <w:top w:w="15" w:type="dxa"/>
            <w:left w:w="15" w:type="dxa"/>
            <w:bottom w:w="15" w:type="dxa"/>
            <w:right w:w="15" w:type="dxa"/>
          </w:tblCellMar>
        </w:tblPrEx>
        <w:trPr>
          <w:trHeight w:val="540" w:hRule="atLeast"/>
        </w:trPr>
        <w:tc>
          <w:tcPr>
            <w:tcW w:w="4919" w:type="dxa"/>
            <w:vAlign w:val="center"/>
          </w:tcPr>
          <w:p>
            <w:pPr>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甲方（公章）：</w:t>
            </w:r>
          </w:p>
        </w:tc>
        <w:tc>
          <w:tcPr>
            <w:tcW w:w="4425" w:type="dxa"/>
            <w:vAlign w:val="center"/>
          </w:tcPr>
          <w:p>
            <w:pPr>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乙方（公章）：</w:t>
            </w:r>
          </w:p>
        </w:tc>
      </w:tr>
      <w:tr>
        <w:tblPrEx>
          <w:tblCellMar>
            <w:top w:w="15" w:type="dxa"/>
            <w:left w:w="15" w:type="dxa"/>
            <w:bottom w:w="15" w:type="dxa"/>
            <w:right w:w="15" w:type="dxa"/>
          </w:tblCellMar>
        </w:tblPrEx>
        <w:trPr>
          <w:trHeight w:val="540" w:hRule="atLeast"/>
        </w:trPr>
        <w:tc>
          <w:tcPr>
            <w:tcW w:w="4919" w:type="dxa"/>
            <w:vAlign w:val="center"/>
          </w:tcPr>
          <w:p>
            <w:pPr>
              <w:adjustRightInd w:val="0"/>
              <w:spacing w:line="360" w:lineRule="auto"/>
              <w:ind w:left="-320" w:firstLine="422" w:firstLineChars="201"/>
              <w:jc w:val="left"/>
              <w:rPr>
                <w:rFonts w:ascii="宋体" w:hAnsi="宋体" w:eastAsia="宋体" w:cs="宋体"/>
                <w:color w:val="000000" w:themeColor="text1"/>
                <w:kern w:val="0"/>
                <w:szCs w:val="21"/>
                <w:highlight w:val="none"/>
                <w14:textFill>
                  <w14:solidFill>
                    <w14:schemeClr w14:val="tx1"/>
                  </w14:solidFill>
                </w14:textFill>
              </w:rPr>
            </w:pPr>
          </w:p>
        </w:tc>
        <w:tc>
          <w:tcPr>
            <w:tcW w:w="4425" w:type="dxa"/>
            <w:vAlign w:val="center"/>
          </w:tcPr>
          <w:p>
            <w:pPr>
              <w:adjustRightInd w:val="0"/>
              <w:spacing w:line="360" w:lineRule="auto"/>
              <w:ind w:left="-320" w:firstLine="422" w:firstLineChars="201"/>
              <w:jc w:val="left"/>
              <w:rPr>
                <w:rFonts w:ascii="宋体" w:hAnsi="宋体" w:eastAsia="宋体" w:cs="宋体"/>
                <w:color w:val="000000" w:themeColor="text1"/>
                <w:kern w:val="0"/>
                <w:szCs w:val="21"/>
                <w:highlight w:val="none"/>
                <w14:textFill>
                  <w14:solidFill>
                    <w14:schemeClr w14:val="tx1"/>
                  </w14:solidFill>
                </w14:textFill>
              </w:rPr>
            </w:pPr>
          </w:p>
        </w:tc>
      </w:tr>
      <w:tr>
        <w:tblPrEx>
          <w:tblCellMar>
            <w:top w:w="15" w:type="dxa"/>
            <w:left w:w="15" w:type="dxa"/>
            <w:bottom w:w="15" w:type="dxa"/>
            <w:right w:w="15" w:type="dxa"/>
          </w:tblCellMar>
        </w:tblPrEx>
        <w:trPr>
          <w:trHeight w:val="540" w:hRule="atLeast"/>
        </w:trPr>
        <w:tc>
          <w:tcPr>
            <w:tcW w:w="4919" w:type="dxa"/>
            <w:vAlign w:val="center"/>
          </w:tcPr>
          <w:p>
            <w:pPr>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w:t>
            </w:r>
          </w:p>
        </w:tc>
        <w:tc>
          <w:tcPr>
            <w:tcW w:w="4425" w:type="dxa"/>
            <w:vAlign w:val="center"/>
          </w:tcPr>
          <w:p>
            <w:pPr>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w:t>
            </w:r>
          </w:p>
        </w:tc>
      </w:tr>
      <w:tr>
        <w:tblPrEx>
          <w:tblCellMar>
            <w:top w:w="15" w:type="dxa"/>
            <w:left w:w="15" w:type="dxa"/>
            <w:bottom w:w="15" w:type="dxa"/>
            <w:right w:w="15" w:type="dxa"/>
          </w:tblCellMar>
        </w:tblPrEx>
        <w:trPr>
          <w:trHeight w:val="540" w:hRule="atLeast"/>
        </w:trPr>
        <w:tc>
          <w:tcPr>
            <w:tcW w:w="4919" w:type="dxa"/>
            <w:vAlign w:val="center"/>
          </w:tcPr>
          <w:p>
            <w:pPr>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授权代表（签字）：</w:t>
            </w:r>
          </w:p>
        </w:tc>
        <w:tc>
          <w:tcPr>
            <w:tcW w:w="4425" w:type="dxa"/>
            <w:vAlign w:val="center"/>
          </w:tcPr>
          <w:p>
            <w:pPr>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授权代表（签字）：</w:t>
            </w:r>
          </w:p>
        </w:tc>
      </w:tr>
    </w:tbl>
    <w:p>
      <w:pPr>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合同签订地点： </w:t>
      </w:r>
    </w:p>
    <w:p>
      <w:pPr>
        <w:adjustRightInd w:val="0"/>
        <w:spacing w:line="360" w:lineRule="auto"/>
        <w:ind w:left="-320" w:firstLine="422" w:firstLineChars="201"/>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合同签订时间：    年   月   日</w:t>
      </w:r>
    </w:p>
    <w:p>
      <w:pP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pPr>
        <w:spacing w:line="288" w:lineRule="auto"/>
        <w:ind w:left="24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附件1：</w:t>
      </w:r>
    </w:p>
    <w:p>
      <w:pPr>
        <w:ind w:left="247"/>
        <w:jc w:val="center"/>
        <w:rPr>
          <w:rFonts w:ascii="宋体" w:hAnsi="宋体" w:eastAsia="宋体" w:cs="宋体"/>
          <w:b/>
          <w:bCs/>
          <w:color w:val="000000" w:themeColor="text1"/>
          <w:sz w:val="22"/>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XX公司食堂配送服务考核评分表</w:t>
      </w:r>
    </w:p>
    <w:tbl>
      <w:tblPr>
        <w:tblStyle w:val="37"/>
        <w:tblpPr w:leftFromText="180" w:rightFromText="180" w:vertAnchor="text" w:horzAnchor="page" w:tblpX="982" w:tblpY="828"/>
        <w:tblOverlap w:val="never"/>
        <w:tblW w:w="1036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12"/>
        <w:gridCol w:w="510"/>
        <w:gridCol w:w="4868"/>
        <w:gridCol w:w="879"/>
        <w:gridCol w:w="775"/>
        <w:gridCol w:w="672"/>
        <w:gridCol w:w="672"/>
        <w:gridCol w:w="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2" w:type="dxa"/>
            <w:vMerge w:val="restart"/>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812" w:type="dxa"/>
            <w:vMerge w:val="restart"/>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考核指标</w:t>
            </w:r>
          </w:p>
        </w:tc>
        <w:tc>
          <w:tcPr>
            <w:tcW w:w="510" w:type="dxa"/>
            <w:vMerge w:val="restart"/>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分值</w:t>
            </w:r>
          </w:p>
        </w:tc>
        <w:tc>
          <w:tcPr>
            <w:tcW w:w="4868" w:type="dxa"/>
            <w:vMerge w:val="restart"/>
            <w:tcBorders>
              <w:tl2br w:val="nil"/>
              <w:tr2bl w:val="nil"/>
            </w:tcBorders>
            <w:vAlign w:val="center"/>
          </w:tcPr>
          <w:p>
            <w:pPr>
              <w:spacing w:line="480" w:lineRule="exact"/>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考核要素和评估内容及其标准</w:t>
            </w:r>
          </w:p>
        </w:tc>
        <w:tc>
          <w:tcPr>
            <w:tcW w:w="879"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优秀</w:t>
            </w:r>
          </w:p>
        </w:tc>
        <w:tc>
          <w:tcPr>
            <w:tcW w:w="775"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良好</w:t>
            </w:r>
          </w:p>
        </w:tc>
        <w:tc>
          <w:tcPr>
            <w:tcW w:w="672"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不合格</w:t>
            </w:r>
          </w:p>
        </w:tc>
        <w:tc>
          <w:tcPr>
            <w:tcW w:w="672" w:type="dxa"/>
            <w:vMerge w:val="restart"/>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扣分情况</w:t>
            </w:r>
          </w:p>
        </w:tc>
        <w:tc>
          <w:tcPr>
            <w:tcW w:w="686" w:type="dxa"/>
            <w:vMerge w:val="restart"/>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2" w:type="dxa"/>
            <w:vMerge w:val="continue"/>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c>
          <w:tcPr>
            <w:tcW w:w="812" w:type="dxa"/>
            <w:vMerge w:val="continue"/>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c>
          <w:tcPr>
            <w:tcW w:w="510" w:type="dxa"/>
            <w:vMerge w:val="continue"/>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c>
          <w:tcPr>
            <w:tcW w:w="4868" w:type="dxa"/>
            <w:vMerge w:val="continue"/>
            <w:tcBorders>
              <w:tl2br w:val="nil"/>
              <w:tr2bl w:val="nil"/>
            </w:tcBorders>
            <w:vAlign w:val="center"/>
          </w:tcPr>
          <w:p>
            <w:pPr>
              <w:spacing w:line="480" w:lineRule="exact"/>
              <w:ind w:left="247"/>
              <w:rPr>
                <w:rFonts w:ascii="宋体" w:hAnsi="宋体" w:eastAsia="宋体" w:cs="宋体"/>
                <w:color w:val="000000" w:themeColor="text1"/>
                <w:szCs w:val="21"/>
                <w:highlight w:val="none"/>
                <w14:textFill>
                  <w14:solidFill>
                    <w14:schemeClr w14:val="tx1"/>
                  </w14:solidFill>
                </w14:textFill>
              </w:rPr>
            </w:pPr>
          </w:p>
        </w:tc>
        <w:tc>
          <w:tcPr>
            <w:tcW w:w="879"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8-10分</w:t>
            </w:r>
          </w:p>
        </w:tc>
        <w:tc>
          <w:tcPr>
            <w:tcW w:w="775"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5-7分</w:t>
            </w:r>
          </w:p>
        </w:tc>
        <w:tc>
          <w:tcPr>
            <w:tcW w:w="672"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5分以下</w:t>
            </w:r>
          </w:p>
        </w:tc>
        <w:tc>
          <w:tcPr>
            <w:tcW w:w="672" w:type="dxa"/>
            <w:vMerge w:val="continue"/>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p>
        </w:tc>
        <w:tc>
          <w:tcPr>
            <w:tcW w:w="686" w:type="dxa"/>
            <w:vMerge w:val="continue"/>
            <w:tcBorders>
              <w:tl2br w:val="nil"/>
              <w:tr2bl w:val="nil"/>
            </w:tcBorders>
          </w:tcPr>
          <w:p>
            <w:pPr>
              <w:ind w:left="247"/>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9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81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送货时间</w:t>
            </w:r>
          </w:p>
        </w:tc>
        <w:tc>
          <w:tcPr>
            <w:tcW w:w="510"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868"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非不可抗拒情况下：本月内每次送货准时得 8-10 分；本月内2次不准时但能与食堂方及时沟通得 5-7分，不沟通或沟通不及时3次得 5 分以下。</w:t>
            </w:r>
          </w:p>
        </w:tc>
        <w:tc>
          <w:tcPr>
            <w:tcW w:w="879"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6" w:type="dxa"/>
            <w:tcBorders>
              <w:tl2br w:val="nil"/>
              <w:tr2bl w:val="nil"/>
            </w:tcBorders>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9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81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服务态度</w:t>
            </w:r>
          </w:p>
        </w:tc>
        <w:tc>
          <w:tcPr>
            <w:tcW w:w="510"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868"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工作人员工作认真，服务热情周到，运送搬装文明得8-10分；本月内发现因搬装等原因造成食物污染、破损2次得 5-7分；发生3次以上情况 5 分以下。</w:t>
            </w:r>
          </w:p>
        </w:tc>
        <w:tc>
          <w:tcPr>
            <w:tcW w:w="879"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6" w:type="dxa"/>
            <w:tcBorders>
              <w:tl2br w:val="nil"/>
              <w:tr2bl w:val="nil"/>
            </w:tcBorders>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9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81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差错情况</w:t>
            </w:r>
          </w:p>
        </w:tc>
        <w:tc>
          <w:tcPr>
            <w:tcW w:w="510"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868"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本月内每次送货无差错得 8-10 分；有2次差错但能及时补救得 5-7 分；4次出错且补救不及时 5 分以下。</w:t>
            </w:r>
          </w:p>
        </w:tc>
        <w:tc>
          <w:tcPr>
            <w:tcW w:w="879"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6" w:type="dxa"/>
            <w:tcBorders>
              <w:tl2br w:val="nil"/>
              <w:tr2bl w:val="nil"/>
            </w:tcBorders>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81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足斤足两</w:t>
            </w:r>
          </w:p>
        </w:tc>
        <w:tc>
          <w:tcPr>
            <w:tcW w:w="510"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868"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本月内送货没有出现短斤缺两现象得 8-10 分；2次出现短近缺两但能及时更正得 5-7 分；上述情况发生且不能及时更正3次得 5 分以下。</w:t>
            </w:r>
          </w:p>
        </w:tc>
        <w:tc>
          <w:tcPr>
            <w:tcW w:w="879"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6" w:type="dxa"/>
            <w:tcBorders>
              <w:tl2br w:val="nil"/>
              <w:tr2bl w:val="nil"/>
            </w:tcBorders>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49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81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价格与质量合理性</w:t>
            </w:r>
          </w:p>
        </w:tc>
        <w:tc>
          <w:tcPr>
            <w:tcW w:w="510"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868"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按照菜篮子价格与指定市场的同等价格品种的质量相比较,价格合理下浮得 8 -10分；对比市场价，价格有偏高20％，得 5-7 分；价格高于市场价30％，得 5 分以下。</w:t>
            </w:r>
          </w:p>
        </w:tc>
        <w:tc>
          <w:tcPr>
            <w:tcW w:w="879"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6" w:type="dxa"/>
            <w:tcBorders>
              <w:tl2br w:val="nil"/>
              <w:tr2bl w:val="nil"/>
            </w:tcBorders>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81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质量服务</w:t>
            </w:r>
          </w:p>
        </w:tc>
        <w:tc>
          <w:tcPr>
            <w:tcW w:w="510"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868"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所供商品经过挑选后利用率达到 98%得 8-10 分，本月内3次发现商品利用率在 97%-90%，得5-7 分；4次发现未经挑选并有腐烂情况的质量问题得 5 分以下。</w:t>
            </w:r>
          </w:p>
        </w:tc>
        <w:tc>
          <w:tcPr>
            <w:tcW w:w="879"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6" w:type="dxa"/>
            <w:tcBorders>
              <w:tl2br w:val="nil"/>
              <w:tr2bl w:val="nil"/>
            </w:tcBorders>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49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81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品牌意识</w:t>
            </w:r>
          </w:p>
        </w:tc>
        <w:tc>
          <w:tcPr>
            <w:tcW w:w="510"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868"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按食堂发出的订单品种采购，无擅自更换商品品种现象 8-10 分；本月内发现有3次以下擅自更换商品品种现象得5-7 分，发现3 次及以上擅自更换商品品种现象得 5 分以下。</w:t>
            </w:r>
          </w:p>
        </w:tc>
        <w:tc>
          <w:tcPr>
            <w:tcW w:w="879"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6" w:type="dxa"/>
            <w:tcBorders>
              <w:tl2br w:val="nil"/>
              <w:tr2bl w:val="nil"/>
            </w:tcBorders>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9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p>
        </w:tc>
        <w:tc>
          <w:tcPr>
            <w:tcW w:w="81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联系制度</w:t>
            </w:r>
          </w:p>
        </w:tc>
        <w:tc>
          <w:tcPr>
            <w:tcW w:w="510"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868"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更换商品前，与食堂联系并谈妥商品事项，得 8-10 分；本月内2次更改商品单方定价得 5-7 分；本月内3次出现更改商品单方定价得 5 分以下。</w:t>
            </w:r>
          </w:p>
        </w:tc>
        <w:tc>
          <w:tcPr>
            <w:tcW w:w="879"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6" w:type="dxa"/>
            <w:tcBorders>
              <w:tl2br w:val="nil"/>
              <w:tr2bl w:val="nil"/>
            </w:tcBorders>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9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p>
        </w:tc>
        <w:tc>
          <w:tcPr>
            <w:tcW w:w="81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跟踪随访</w:t>
            </w:r>
          </w:p>
        </w:tc>
        <w:tc>
          <w:tcPr>
            <w:tcW w:w="510"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868"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供货商能主动到食堂随访，倾听食堂意见，每月2次得8-10 分，供货商每月回访食堂1次得 5-0 分。</w:t>
            </w:r>
          </w:p>
        </w:tc>
        <w:tc>
          <w:tcPr>
            <w:tcW w:w="879"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6" w:type="dxa"/>
            <w:tcBorders>
              <w:tl2br w:val="nil"/>
              <w:tr2bl w:val="nil"/>
            </w:tcBorders>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9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81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检测资料</w:t>
            </w:r>
          </w:p>
        </w:tc>
        <w:tc>
          <w:tcPr>
            <w:tcW w:w="510" w:type="dxa"/>
            <w:tcBorders>
              <w:tl2br w:val="nil"/>
              <w:tr2bl w:val="nil"/>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868" w:type="dxa"/>
            <w:tcBorders>
              <w:tl2br w:val="nil"/>
              <w:tr2bl w:val="nil"/>
            </w:tcBorders>
            <w:vAlign w:val="center"/>
          </w:tcPr>
          <w:p>
            <w:pPr>
              <w:spacing w:line="4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本月内向食堂提供全部有关商品的检测资料得 8-10 分；遗漏2次但当月内可以及时补交的 得5分，遗漏 2 次以上没有在当月份补充的得 3分以下。</w:t>
            </w:r>
          </w:p>
        </w:tc>
        <w:tc>
          <w:tcPr>
            <w:tcW w:w="879"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6" w:type="dxa"/>
            <w:tcBorders>
              <w:tl2br w:val="nil"/>
              <w:tr2bl w:val="nil"/>
            </w:tcBorders>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92" w:type="dxa"/>
            <w:tcBorders>
              <w:tl2br w:val="nil"/>
              <w:tr2bl w:val="nil"/>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1322" w:type="dxa"/>
            <w:gridSpan w:val="2"/>
            <w:tcBorders>
              <w:tl2br w:val="nil"/>
              <w:tr2bl w:val="nil"/>
            </w:tcBorders>
            <w:vAlign w:val="center"/>
          </w:tcPr>
          <w:p>
            <w:pPr>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一票否决项</w:t>
            </w:r>
          </w:p>
        </w:tc>
        <w:tc>
          <w:tcPr>
            <w:tcW w:w="4868" w:type="dxa"/>
            <w:tcBorders>
              <w:tl2br w:val="nil"/>
              <w:tr2bl w:val="nil"/>
            </w:tcBorders>
            <w:vAlign w:val="center"/>
          </w:tcPr>
          <w:p>
            <w:pPr>
              <w:spacing w:line="480" w:lineRule="exact"/>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1、食堂发现假冒伪劣、腐败变质、三无产品；2、商品由他人代送，经整改无效；3、要求检测的商品未经检测，且未按要求限时整改。</w:t>
            </w:r>
          </w:p>
        </w:tc>
        <w:tc>
          <w:tcPr>
            <w:tcW w:w="879"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75"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672" w:type="dxa"/>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686" w:type="dxa"/>
            <w:tcBorders>
              <w:tl2br w:val="nil"/>
              <w:tr2bl w:val="nil"/>
            </w:tcBorders>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82" w:type="dxa"/>
            <w:gridSpan w:val="4"/>
            <w:tcBorders>
              <w:tl2br w:val="nil"/>
              <w:tr2bl w:val="nil"/>
            </w:tcBorders>
            <w:vAlign w:val="center"/>
          </w:tcPr>
          <w:p>
            <w:pPr>
              <w:spacing w:line="480" w:lineRule="exact"/>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考核得分</w:t>
            </w:r>
          </w:p>
        </w:tc>
        <w:tc>
          <w:tcPr>
            <w:tcW w:w="3684" w:type="dxa"/>
            <w:gridSpan w:val="5"/>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82" w:type="dxa"/>
            <w:gridSpan w:val="4"/>
            <w:tcBorders>
              <w:tl2br w:val="nil"/>
              <w:tr2bl w:val="nil"/>
            </w:tcBorders>
            <w:vAlign w:val="center"/>
          </w:tcPr>
          <w:p>
            <w:pPr>
              <w:spacing w:line="480" w:lineRule="exact"/>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考核结果</w:t>
            </w:r>
          </w:p>
        </w:tc>
        <w:tc>
          <w:tcPr>
            <w:tcW w:w="3684" w:type="dxa"/>
            <w:gridSpan w:val="5"/>
            <w:tcBorders>
              <w:tl2br w:val="nil"/>
              <w:tr2bl w:val="nil"/>
            </w:tcBorders>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bl>
    <w:p>
      <w:pPr>
        <w:ind w:left="24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考核月份：                                    </w:t>
      </w:r>
      <w:r>
        <w:rPr>
          <w:rFonts w:hint="eastAsia" w:ascii="宋体" w:hAnsi="宋体" w:eastAsia="宋体" w:cs="宋体"/>
          <w:color w:val="000000" w:themeColor="text1"/>
          <w:szCs w:val="21"/>
          <w:highlight w:val="none"/>
          <w14:textFill>
            <w14:solidFill>
              <w14:schemeClr w14:val="tx1"/>
            </w14:solidFill>
          </w14:textFill>
        </w:rPr>
        <w:t>考核日期：  年  月  日</w:t>
      </w:r>
    </w:p>
    <w:p>
      <w:pPr>
        <w:ind w:left="24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考核人：                                      审核人：</w:t>
      </w:r>
    </w:p>
    <w:p>
      <w:pP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pPr>
        <w:widowControl/>
        <w:ind w:left="247"/>
        <w:rPr>
          <w:rFonts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附件2：廉洁协议书</w:t>
      </w:r>
    </w:p>
    <w:p>
      <w:pPr>
        <w:spacing w:line="480" w:lineRule="auto"/>
        <w:ind w:left="247" w:right="31" w:rightChars="15"/>
        <w:jc w:val="center"/>
        <w:rPr>
          <w:rFonts w:ascii="宋体" w:hAnsi="宋体" w:eastAsia="宋体" w:cs="宋体"/>
          <w:b/>
          <w:color w:val="000000" w:themeColor="text1"/>
          <w:sz w:val="28"/>
          <w:szCs w:val="44"/>
          <w:highlight w:val="none"/>
          <w14:textFill>
            <w14:solidFill>
              <w14:schemeClr w14:val="tx1"/>
            </w14:solidFill>
          </w14:textFill>
        </w:rPr>
      </w:pPr>
      <w:r>
        <w:rPr>
          <w:rFonts w:hint="eastAsia" w:ascii="宋体" w:hAnsi="宋体" w:eastAsia="宋体" w:cs="宋体"/>
          <w:b/>
          <w:color w:val="000000" w:themeColor="text1"/>
          <w:sz w:val="28"/>
          <w:szCs w:val="44"/>
          <w:highlight w:val="none"/>
          <w14:textFill>
            <w14:solidFill>
              <w14:schemeClr w14:val="tx1"/>
            </w14:solidFill>
          </w14:textFill>
        </w:rPr>
        <w:t>廉洁协议书</w:t>
      </w:r>
    </w:p>
    <w:p>
      <w:pPr>
        <w:spacing w:line="480" w:lineRule="auto"/>
        <w:ind w:left="247"/>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项目名称：东莞市水务集团有限公司2024年度食堂食材采购项目(招标编号：广建咨询（东招）2024-0038号 )</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甲方（业主单位）：</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第一条  甲乙双方的权利和义务</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（一）严格遵守党和国家有关法律法规等有关廉洁从业规定。</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（二）严格执行本项目的合同文件，自觉按合同办事。</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（三）双方的业务活动坚持公开、公正、诚信、透明的原则（除法律认定的商业秘密和合同文件另有规定之外）不得损害国家和集体利益，违反工程建设管理及其他法律法规规章制度。</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（四）建立健全廉洁制度，开展廉洁教育，设立廉洁监督公示牌，公布举报电话，监督并认真查处违法违纪行为。</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（五）发现对方在业务活动中有违反廉洁规定的行为，有及时提醒对方纠正的权利和义务。</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（六）发现对方严重违反本协议义务条款的行为，有向其上级有关部门举报、建议给予处理并要求告知处理结果的权利。</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第二条  甲方的义务</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（一）甲方及其工作人员不得索要或接受乙方的礼金、有价证券和贵重物品，不得在乙方报销任何应由甲方或个人支付的费用。</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（二）甲方工作人员不得参加乙方安排的高消费宴请和娱乐活动；不得接受乙方提供的通讯工具、交通工具和高档办公用品。</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（三）甲方及其工作人员不得要求或者接受乙方为其住房装修、婚丧嫁娶活动、家属或亲友的工作安排以及出国出境、旅游等提供方便。</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（四）甲方工作人员不得向乙方介绍其家属或者亲友（包括家属或亲友开办的公司企业）从事于本项目涉及的经济业务活动。</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（五）甲方及其工作人员不得以任何理由向乙方推荐分包单位，不得要求乙方购买合同规定外的材料和设备。</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（六）甲方及其工作人员不得进行违反廉洁规定的其他活动。</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（七）甲方应对甲方工作人员进行廉洁监督管理，如甲方工作人员违反本协议第一、第二条，甲方应依据有关法律法规、党纪规定对其进行处理；涉嫌犯罪的，甲方应将其移交司法机关追究刑事责任。</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第三条  乙方义务</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（一）乙方不得以任何理由向甲方及其工作人员馈赠礼金、有价证券、贵重礼品，或报销应由甲方单位或个人支付的任何费用。</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（二）乙方及其工作人员不得以考察、参观、洽谈业务、签订合同等的借口邀请甲方及其工作人员参加高消费的宴请、娱乐和健身等活动。</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（三）乙方不得为甲方单位和个人购置或提供通讯工具、交通工具和高档办公用品等。</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（四）乙方及其工作人员不得为甲方工作人员购买、装修、维修私人住房、汽车等。</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（五）乙方及其工作人员不得为甲方工作人员的婚丧嫁娶、家属或亲友的工作安排，及出国出境提供方便以及报销任何私人消费的费用。</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（六）乙方及其工作人员不得进行影响甲方及其工作人员公正执行合同和履行职务的其他活动。</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第四条  违约责任</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（一）甲方违反本协议第一、第二条给乙方单位造成经济损失的，应予以赔偿。</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（二）乙方违反本协议第一、第三条给甲方单位造成经济损失的，应予以赔偿。</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第五条  监督检查</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甲乙双方的廉洁从业行为由双方或双方上级单位的纪检、监察负责监督，对本协议履行情况进行检查。</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第六条  举报信访受理</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（一）举报受理部门: 东莞市水务集团有限公司纪检监察部。</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（二）举报电话: ( 0769 ) 23076092</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（三）举报邮箱:jcsi@dgswit.cn.</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（四）信访地址: 广东省东莞市东城街道育华路 1 号</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第七条  其他</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本协议有效期为甲乙双方签字并加盖公章之日起至该工程/采购项目竣工验收完毕，质保期/服务期满后止。本协议一式</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份，甲、乙双方各执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份，甲、乙双方上级主管部门各执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甲方（盖章）：                                乙方（盖章）： </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                                  法定代表人：</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甲方代表：                                    乙方代表：</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签订日期：   年  月  日                       年  月  日</w:t>
      </w:r>
    </w:p>
    <w:p>
      <w:pPr>
        <w:pageBreakBefore/>
        <w:spacing w:before="120" w:beforeLines="50" w:after="120" w:afterLines="50" w:line="360" w:lineRule="auto"/>
        <w:ind w:left="-320" w:firstLine="640"/>
        <w:jc w:val="center"/>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383" w:name="设计变更通知单"/>
      <w:bookmarkEnd w:id="383"/>
      <w:bookmarkStart w:id="384" w:name="现场签证通知单"/>
      <w:bookmarkEnd w:id="384"/>
      <w:bookmarkStart w:id="385" w:name="_Toc161843190"/>
      <w:r>
        <w:rPr>
          <w:rFonts w:hint="eastAsia" w:ascii="宋体" w:hAnsi="宋体" w:eastAsia="宋体" w:cs="Times New Roman"/>
          <w:b/>
          <w:bCs/>
          <w:color w:val="000000" w:themeColor="text1"/>
          <w:sz w:val="32"/>
          <w:szCs w:val="32"/>
          <w:highlight w:val="none"/>
          <w:lang w:val="zh-CN"/>
          <w14:textFill>
            <w14:solidFill>
              <w14:schemeClr w14:val="tx1"/>
            </w14:solidFill>
          </w14:textFill>
        </w:rPr>
        <w:t>第五篇</w:t>
      </w:r>
      <w:r>
        <w:rPr>
          <w:rFonts w:ascii="宋体" w:hAnsi="宋体" w:eastAsia="宋体" w:cs="Times New Roman"/>
          <w:b/>
          <w:bCs/>
          <w:color w:val="000000" w:themeColor="text1"/>
          <w:sz w:val="32"/>
          <w:szCs w:val="32"/>
          <w:highlight w:val="none"/>
          <w:lang w:val="zh-CN"/>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相关保函格式</w:t>
      </w:r>
      <w:bookmarkEnd w:id="375"/>
      <w:bookmarkEnd w:id="376"/>
      <w:bookmarkEnd w:id="377"/>
      <w:bookmarkEnd w:id="378"/>
      <w:bookmarkEnd w:id="379"/>
      <w:bookmarkEnd w:id="380"/>
      <w:bookmarkEnd w:id="381"/>
      <w:bookmarkEnd w:id="382"/>
      <w:bookmarkEnd w:id="385"/>
      <w:bookmarkStart w:id="386" w:name="_Toc447045091"/>
      <w:bookmarkStart w:id="387" w:name="_Toc447044604"/>
      <w:bookmarkStart w:id="388" w:name="_Toc447044480"/>
    </w:p>
    <w:p>
      <w:pPr>
        <w:autoSpaceDE w:val="0"/>
        <w:autoSpaceDN w:val="0"/>
        <w:adjustRightInd w:val="0"/>
        <w:spacing w:after="120" w:afterLines="50" w:line="360" w:lineRule="auto"/>
        <w:ind w:left="247"/>
        <w:jc w:val="left"/>
        <w:rPr>
          <w:rFonts w:ascii="宋体" w:hAnsi="宋体" w:eastAsia="宋体" w:cs="Times New Roman"/>
          <w:b/>
          <w:color w:val="000000" w:themeColor="text1"/>
          <w:kern w:val="0"/>
          <w:sz w:val="28"/>
          <w:szCs w:val="28"/>
          <w:highlight w:val="none"/>
          <w14:textFill>
            <w14:solidFill>
              <w14:schemeClr w14:val="tx1"/>
            </w14:solidFill>
          </w14:textFill>
        </w:rPr>
      </w:pPr>
      <w:bookmarkStart w:id="389" w:name="_Toc26521_WPSOffice_Level2"/>
      <w:r>
        <w:rPr>
          <w:rFonts w:hint="eastAsia" w:ascii="宋体" w:hAnsi="宋体" w:eastAsia="宋体" w:cs="Times New Roman"/>
          <w:b/>
          <w:color w:val="000000" w:themeColor="text1"/>
          <w:kern w:val="0"/>
          <w:sz w:val="28"/>
          <w:szCs w:val="28"/>
          <w:highlight w:val="none"/>
          <w14:textFill>
            <w14:solidFill>
              <w14:schemeClr w14:val="tx1"/>
            </w14:solidFill>
          </w14:textFill>
        </w:rPr>
        <w:t>一、不可撤销银行履约保函格式</w:t>
      </w:r>
      <w:bookmarkEnd w:id="386"/>
      <w:bookmarkEnd w:id="387"/>
      <w:bookmarkEnd w:id="388"/>
      <w:bookmarkEnd w:id="389"/>
    </w:p>
    <w:p>
      <w:pPr>
        <w:autoSpaceDE w:val="0"/>
        <w:autoSpaceDN w:val="0"/>
        <w:adjustRightInd w:val="0"/>
        <w:ind w:left="247"/>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不可撤销银行履约保函</w:t>
      </w:r>
    </w:p>
    <w:p>
      <w:pPr>
        <w:widowControl/>
        <w:autoSpaceDE w:val="0"/>
        <w:autoSpaceDN w:val="0"/>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p>
    <w:p>
      <w:pPr>
        <w:autoSpaceDE w:val="0"/>
        <w:autoSpaceDN w:val="0"/>
        <w:adjustRightInd w:val="0"/>
        <w:spacing w:line="360" w:lineRule="auto"/>
        <w:ind w:left="-320" w:firstLine="63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银行编号：</w:t>
      </w:r>
    </w:p>
    <w:p>
      <w:pPr>
        <w:widowControl/>
        <w:autoSpaceDE w:val="0"/>
        <w:autoSpaceDN w:val="0"/>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pPr>
        <w:widowControl/>
        <w:autoSpaceDE w:val="0"/>
        <w:autoSpaceDN w:val="0"/>
        <w:adjustRightInd w:val="0"/>
        <w:spacing w:line="360" w:lineRule="auto"/>
        <w:ind w:left="-320"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申请人</w:t>
      </w:r>
      <w:r>
        <w:rPr>
          <w:rFonts w:ascii="宋体" w:hAnsi="宋体" w:eastAsia="宋体" w:cs="宋体"/>
          <w:color w:val="000000" w:themeColor="text1"/>
          <w:kern w:val="0"/>
          <w:szCs w:val="21"/>
          <w:highlight w:val="none"/>
          <w:u w:val="single"/>
          <w14:textFill>
            <w14:solidFill>
              <w14:schemeClr w14:val="tx1"/>
            </w14:solidFill>
          </w14:textFill>
        </w:rPr>
        <w:t xml:space="preserve">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pPr>
        <w:widowControl/>
        <w:autoSpaceDE w:val="0"/>
        <w:autoSpaceDN w:val="0"/>
        <w:adjustRightInd w:val="0"/>
        <w:spacing w:line="360" w:lineRule="auto"/>
        <w:ind w:left="-320"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RMB</w:t>
      </w:r>
      <w:r>
        <w:rPr>
          <w:rFonts w:ascii="宋体" w:hAnsi="宋体" w:eastAsia="宋体" w:cs="宋体"/>
          <w:color w:val="000000" w:themeColor="text1"/>
          <w:kern w:val="0"/>
          <w:szCs w:val="21"/>
          <w:highlight w:val="none"/>
          <w:u w:val="singl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的无条件、不可撤销银行履约保函，作为申请人履行上述合同的担保。</w:t>
      </w:r>
    </w:p>
    <w:p>
      <w:pPr>
        <w:widowControl/>
        <w:autoSpaceDE w:val="0"/>
        <w:autoSpaceDN w:val="0"/>
        <w:adjustRightInd w:val="0"/>
        <w:spacing w:line="360" w:lineRule="auto"/>
        <w:ind w:left="-320"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保函原件且提出因申请人没有履行上述合同规定，而要求我方承担保证责任后，在保函限额内向受益人支付不超过人民币（大写）_________（¥_______元）的款项。</w:t>
      </w:r>
    </w:p>
    <w:p>
      <w:pPr>
        <w:widowControl/>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pPr>
        <w:widowControl/>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left="-320"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本保函应自合同签订之日起至合同期限届满并完成全部供货及相关服务义务后二十八（28）日内保持有效。</w:t>
      </w:r>
    </w:p>
    <w:p>
      <w:pPr>
        <w:widowControl/>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p>
    <w:p>
      <w:pPr>
        <w:widowControl/>
        <w:autoSpaceDE w:val="0"/>
        <w:autoSpaceDN w:val="0"/>
        <w:adjustRightInd w:val="0"/>
        <w:spacing w:line="360" w:lineRule="auto"/>
        <w:ind w:left="-320" w:firstLine="2520" w:firstLineChars="1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银</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行：</w:t>
      </w:r>
      <w:r>
        <w:rPr>
          <w:rFonts w:ascii="宋体" w:hAnsi="宋体" w:eastAsia="宋体" w:cs="宋体"/>
          <w:color w:val="000000" w:themeColor="text1"/>
          <w:kern w:val="0"/>
          <w:szCs w:val="21"/>
          <w:highlight w:val="none"/>
          <w:u w:val="single"/>
          <w14:textFill>
            <w14:solidFill>
              <w14:schemeClr w14:val="tx1"/>
            </w14:solidFill>
          </w14:textFill>
        </w:rPr>
        <w:t xml:space="preserve">          银行全称          (盖章)   </w:t>
      </w:r>
    </w:p>
    <w:p>
      <w:pPr>
        <w:widowControl/>
        <w:autoSpaceDE w:val="0"/>
        <w:autoSpaceDN w:val="0"/>
        <w:adjustRightInd w:val="0"/>
        <w:spacing w:line="360" w:lineRule="auto"/>
        <w:ind w:left="-320" w:firstLine="2520" w:firstLineChars="1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ascii="宋体" w:hAnsi="宋体" w:eastAsia="宋体" w:cs="宋体"/>
          <w:color w:val="000000" w:themeColor="text1"/>
          <w:kern w:val="0"/>
          <w:szCs w:val="21"/>
          <w:highlight w:val="none"/>
          <w:u w:val="single"/>
          <w14:textFill>
            <w14:solidFill>
              <w14:schemeClr w14:val="tx1"/>
            </w14:solidFill>
          </w14:textFill>
        </w:rPr>
        <w:t xml:space="preserve">       (职务)         </w:t>
      </w:r>
    </w:p>
    <w:p>
      <w:pPr>
        <w:widowControl/>
        <w:autoSpaceDE w:val="0"/>
        <w:autoSpaceDN w:val="0"/>
        <w:adjustRightInd w:val="0"/>
        <w:spacing w:line="360" w:lineRule="auto"/>
        <w:ind w:left="-320"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(姓名)         </w:t>
      </w:r>
    </w:p>
    <w:p>
      <w:pPr>
        <w:widowControl/>
        <w:autoSpaceDE w:val="0"/>
        <w:autoSpaceDN w:val="0"/>
        <w:adjustRightInd w:val="0"/>
        <w:spacing w:line="360" w:lineRule="auto"/>
        <w:ind w:left="-320"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(签章)         </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pPr>
        <w:widowControl/>
        <w:autoSpaceDE w:val="0"/>
        <w:autoSpaceDN w:val="0"/>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p>
    <w:p>
      <w:pPr>
        <w:widowControl/>
        <w:autoSpaceDE w:val="0"/>
        <w:autoSpaceDN w:val="0"/>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p>
    <w:p>
      <w:pPr>
        <w:autoSpaceDE w:val="0"/>
        <w:autoSpaceDN w:val="0"/>
        <w:adjustRightInd w:val="0"/>
        <w:spacing w:line="360" w:lineRule="auto"/>
        <w:ind w:left="247" w:right="368" w:rightChars="175"/>
        <w:jc w:val="left"/>
        <w:rPr>
          <w:rFonts w:ascii="宋体" w:hAnsi="宋体" w:eastAsia="宋体" w:cs="Times New Roman"/>
          <w:color w:val="000000" w:themeColor="text1"/>
          <w:kern w:val="0"/>
          <w:szCs w:val="21"/>
          <w:highlight w:val="none"/>
          <w14:textFill>
            <w14:solidFill>
              <w14:schemeClr w14:val="tx1"/>
            </w14:solidFill>
          </w14:textFill>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autoSpaceDE w:val="0"/>
        <w:autoSpaceDN w:val="0"/>
        <w:adjustRightInd w:val="0"/>
        <w:spacing w:after="120" w:afterLines="50" w:line="360" w:lineRule="auto"/>
        <w:ind w:left="247"/>
        <w:jc w:val="left"/>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t>二、履约保证保险凭证格式</w:t>
      </w:r>
    </w:p>
    <w:p>
      <w:pPr>
        <w:autoSpaceDE w:val="0"/>
        <w:autoSpaceDN w:val="0"/>
        <w:adjustRightInd w:val="0"/>
        <w:ind w:left="247"/>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履约保证保险凭证</w:t>
      </w:r>
    </w:p>
    <w:p>
      <w:pPr>
        <w:autoSpaceDE w:val="0"/>
        <w:autoSpaceDN w:val="0"/>
        <w:adjustRightInd w:val="0"/>
        <w:spacing w:line="360" w:lineRule="auto"/>
        <w:ind w:left="-320"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pPr>
        <w:autoSpaceDE w:val="0"/>
        <w:autoSpaceDN w:val="0"/>
        <w:adjustRightInd w:val="0"/>
        <w:spacing w:line="360" w:lineRule="auto"/>
        <w:ind w:left="-320"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编号：</w:t>
      </w:r>
    </w:p>
    <w:p>
      <w:pPr>
        <w:autoSpaceDE w:val="0"/>
        <w:autoSpaceDN w:val="0"/>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（下称“受益人”）： </w:t>
      </w:r>
    </w:p>
    <w:p>
      <w:pPr>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p>
    <w:p>
      <w:pPr>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（下称“申请人”）已与贵方签订了</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14:textFill>
            <w14:solidFill>
              <w14:schemeClr w14:val="tx1"/>
            </w14:solidFill>
          </w14:textFill>
        </w:rPr>
        <w:t>。我方已接受申请人的请求，并出具《履约保证保险》保险单。</w:t>
      </w:r>
      <w:r>
        <w:rPr>
          <w:rFonts w:ascii="宋体" w:hAnsi="宋体" w:eastAsia="宋体" w:cs="宋体"/>
          <w:color w:val="000000" w:themeColor="text1"/>
          <w:kern w:val="0"/>
          <w:szCs w:val="21"/>
          <w:highlight w:val="none"/>
          <w14:textFill>
            <w14:solidFill>
              <w14:schemeClr w14:val="tx1"/>
            </w14:solidFill>
          </w14:textFill>
        </w:rPr>
        <w:t xml:space="preserve"> </w:t>
      </w:r>
    </w:p>
    <w:p>
      <w:pPr>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一、保证保险金额 </w:t>
      </w:r>
    </w:p>
    <w:p>
      <w:pPr>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 （</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p>
    <w:p>
      <w:pPr>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二、保证保险的责任范围 </w:t>
      </w:r>
    </w:p>
    <w:p>
      <w:pPr>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在保险期间内，申请人因自身原因未按照与贵方签订的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14:textFill>
            <w14:solidFill>
              <w14:schemeClr w14:val="tx1"/>
            </w14:solidFill>
          </w14:textFill>
        </w:rPr>
        <w:t xml:space="preserve">履行相关义务，给贵方造成损失的，贵方可向我方提出索赔，我方按照保险合同的约定承担损失赔偿责任。 </w:t>
      </w:r>
    </w:p>
    <w:p>
      <w:pPr>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三、代偿的安排 </w:t>
      </w:r>
    </w:p>
    <w:p>
      <w:pPr>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四、生效时间 </w:t>
      </w:r>
    </w:p>
    <w:p>
      <w:pPr>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本保险凭证自我方法定代表人（或其授权代理人）签字并加盖保险承保章之日起生效。 </w:t>
      </w:r>
    </w:p>
    <w:p>
      <w:pPr>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五、其他</w:t>
      </w:r>
    </w:p>
    <w:p>
      <w:pPr>
        <w:autoSpaceDE w:val="0"/>
        <w:autoSpaceDN w:val="0"/>
        <w:adjustRightInd w:val="0"/>
        <w:spacing w:line="360" w:lineRule="auto"/>
        <w:ind w:left="-320"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14:textFill>
            <w14:solidFill>
              <w14:schemeClr w14:val="tx1"/>
            </w14:solidFill>
          </w14:textFill>
        </w:rPr>
        <w:t>履约保证保险</w:t>
      </w:r>
      <w:r>
        <w:rPr>
          <w:rFonts w:hint="eastAsia" w:ascii="宋体" w:hAnsi="宋体" w:eastAsia="宋体"/>
          <w:color w:val="000000" w:themeColor="text1"/>
          <w:szCs w:val="21"/>
          <w:highlight w:val="none"/>
          <w14:textFill>
            <w14:solidFill>
              <w14:schemeClr w14:val="tx1"/>
            </w14:solidFill>
          </w14:textFill>
        </w:rPr>
        <w:t>应自</w:t>
      </w:r>
      <w:r>
        <w:rPr>
          <w:rFonts w:hint="eastAsia" w:ascii="宋体" w:hAnsi="宋体" w:eastAsia="宋体" w:cs="Times New Roman"/>
          <w:color w:val="000000" w:themeColor="text1"/>
          <w:kern w:val="0"/>
          <w:szCs w:val="21"/>
          <w:highlight w:val="none"/>
          <w14:textFill>
            <w14:solidFill>
              <w14:schemeClr w14:val="tx1"/>
            </w14:solidFill>
          </w14:textFill>
        </w:rPr>
        <w:t>合同签订之日起至合同期限届满并完成全部供货及相关服务义务后二十八（28）日内保持有效。</w:t>
      </w:r>
    </w:p>
    <w:p>
      <w:pPr>
        <w:ind w:left="247"/>
        <w:rPr>
          <w:color w:val="000000" w:themeColor="text1"/>
          <w:highlight w:val="none"/>
          <w14:textFill>
            <w14:solidFill>
              <w14:schemeClr w14:val="tx1"/>
            </w14:solidFill>
          </w14:textFill>
        </w:rPr>
      </w:pPr>
    </w:p>
    <w:p>
      <w:pPr>
        <w:autoSpaceDE w:val="0"/>
        <w:autoSpaceDN w:val="0"/>
        <w:adjustRightInd w:val="0"/>
        <w:spacing w:line="360" w:lineRule="auto"/>
        <w:ind w:left="-320"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w:t>
      </w:r>
      <w:r>
        <w:rPr>
          <w:rFonts w:ascii="宋体" w:hAnsi="宋体" w:eastAsia="宋体" w:cs="宋体"/>
          <w:color w:val="000000" w:themeColor="text1"/>
          <w:kern w:val="0"/>
          <w:szCs w:val="21"/>
          <w:highlight w:val="none"/>
          <w14:textFill>
            <w14:solidFill>
              <w14:schemeClr w14:val="tx1"/>
            </w14:solidFill>
          </w14:textFill>
        </w:rPr>
        <w:t xml:space="preserve">XXX </w:t>
      </w:r>
      <w:r>
        <w:rPr>
          <w:rFonts w:hint="eastAsia" w:ascii="宋体" w:hAnsi="宋体" w:eastAsia="宋体" w:cs="宋体"/>
          <w:color w:val="000000" w:themeColor="text1"/>
          <w:kern w:val="0"/>
          <w:szCs w:val="21"/>
          <w:highlight w:val="none"/>
          <w14:textFill>
            <w14:solidFill>
              <w14:schemeClr w14:val="tx1"/>
            </w14:solidFill>
          </w14:textFill>
        </w:rPr>
        <w:t>保险有限公司履约保证保险（</w:t>
      </w:r>
      <w:r>
        <w:rPr>
          <w:rFonts w:ascii="宋体" w:hAnsi="宋体" w:eastAsia="宋体" w:cs="宋体"/>
          <w:color w:val="000000" w:themeColor="text1"/>
          <w:kern w:val="0"/>
          <w:szCs w:val="21"/>
          <w:highlight w:val="none"/>
          <w14:textFill>
            <w14:solidFill>
              <w14:schemeClr w14:val="tx1"/>
            </w14:solidFill>
          </w14:textFill>
        </w:rPr>
        <w:t xml:space="preserve">X </w:t>
      </w:r>
      <w:r>
        <w:rPr>
          <w:rFonts w:hint="eastAsia" w:ascii="宋体" w:hAnsi="宋体" w:eastAsia="宋体" w:cs="宋体"/>
          <w:color w:val="000000" w:themeColor="text1"/>
          <w:kern w:val="0"/>
          <w:szCs w:val="21"/>
          <w:highlight w:val="none"/>
          <w14:textFill>
            <w14:solidFill>
              <w14:schemeClr w14:val="tx1"/>
            </w14:solidFill>
          </w14:textFill>
        </w:rPr>
        <w:t xml:space="preserve">款）条款》及保单 </w:t>
      </w:r>
    </w:p>
    <w:p>
      <w:pPr>
        <w:autoSpaceDE w:val="0"/>
        <w:autoSpaceDN w:val="0"/>
        <w:adjustRightInd w:val="0"/>
        <w:spacing w:line="360" w:lineRule="auto"/>
        <w:ind w:left="-320"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pPr>
        <w:autoSpaceDE w:val="0"/>
        <w:autoSpaceDN w:val="0"/>
        <w:adjustRightInd w:val="0"/>
        <w:spacing w:line="360" w:lineRule="auto"/>
        <w:ind w:left="-320"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保险人：（盖章）</w:t>
      </w:r>
    </w:p>
    <w:p>
      <w:pPr>
        <w:autoSpaceDE w:val="0"/>
        <w:autoSpaceDN w:val="0"/>
        <w:adjustRightInd w:val="0"/>
        <w:spacing w:line="360" w:lineRule="auto"/>
        <w:ind w:left="-320" w:firstLine="437"/>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法定代表人或授权代理人：</w:t>
      </w:r>
      <w:r>
        <w:rPr>
          <w:rFonts w:ascii="宋体" w:hAnsi="宋体" w:eastAsia="宋体" w:cs="宋体"/>
          <w:color w:val="000000" w:themeColor="text1"/>
          <w:kern w:val="0"/>
          <w:szCs w:val="21"/>
          <w:highlight w:val="none"/>
          <w14:textFill>
            <w14:solidFill>
              <w14:schemeClr w14:val="tx1"/>
            </w14:solidFill>
          </w14:textFill>
        </w:rPr>
        <w:t xml:space="preserve">________ </w:t>
      </w:r>
    </w:p>
    <w:p>
      <w:pPr>
        <w:autoSpaceDE w:val="0"/>
        <w:autoSpaceDN w:val="0"/>
        <w:adjustRightInd w:val="0"/>
        <w:spacing w:line="360" w:lineRule="auto"/>
        <w:ind w:left="-320" w:firstLine="437"/>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pPr>
        <w:ind w:left="247"/>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br w:type="page"/>
      </w:r>
    </w:p>
    <w:p>
      <w:pPr>
        <w:autoSpaceDE w:val="0"/>
        <w:autoSpaceDN w:val="0"/>
        <w:adjustRightInd w:val="0"/>
        <w:spacing w:after="120" w:afterLines="50" w:line="360" w:lineRule="auto"/>
        <w:ind w:left="247"/>
        <w:jc w:val="lef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t>三、担保公司履约担保书格式</w:t>
      </w:r>
    </w:p>
    <w:p>
      <w:pPr>
        <w:autoSpaceDE w:val="0"/>
        <w:autoSpaceDN w:val="0"/>
        <w:adjustRightInd w:val="0"/>
        <w:ind w:left="247"/>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担保公司履约担保书</w:t>
      </w:r>
    </w:p>
    <w:p>
      <w:pPr>
        <w:widowControl/>
        <w:spacing w:before="100" w:beforeAutospacing="1" w:after="100" w:afterAutospacing="1"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（下称“受益人”）</w:t>
      </w:r>
    </w:p>
    <w:p>
      <w:pPr>
        <w:spacing w:line="360" w:lineRule="auto"/>
        <w:ind w:left="-320" w:firstLine="437"/>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鉴于</w:t>
      </w:r>
      <w:r>
        <w:rPr>
          <w:rFonts w:hint="eastAsia" w:ascii="宋体" w:hAnsi="宋体" w:eastAsia="宋体" w:cs="宋体"/>
          <w:color w:val="000000" w:themeColor="text1"/>
          <w:szCs w:val="21"/>
          <w:highlight w:val="none"/>
          <w:u w:val="single"/>
          <w14:textFill>
            <w14:solidFill>
              <w14:schemeClr w14:val="tx1"/>
            </w14:solidFill>
          </w14:textFill>
        </w:rPr>
        <w:t xml:space="preserve">  （申请人的名称与地址）  </w:t>
      </w:r>
      <w:r>
        <w:rPr>
          <w:rFonts w:hint="eastAsia" w:ascii="宋体" w:hAnsi="宋体" w:eastAsia="宋体" w:cs="宋体"/>
          <w:color w:val="000000" w:themeColor="text1"/>
          <w:szCs w:val="21"/>
          <w:highlight w:val="none"/>
          <w14:textFill>
            <w14:solidFill>
              <w14:schemeClr w14:val="tx1"/>
            </w14:solidFill>
          </w14:textFill>
        </w:rPr>
        <w:t>（下称“申请人”），已保证按拟签订的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宋体"/>
          <w:color w:val="000000" w:themeColor="text1"/>
          <w:szCs w:val="21"/>
          <w:highlight w:val="none"/>
          <w14:textFill>
            <w14:solidFill>
              <w14:schemeClr w14:val="tx1"/>
            </w14:solidFill>
          </w14:textFill>
        </w:rPr>
        <w:t>合同（招标文件）中规定的义务履行合同。</w:t>
      </w:r>
    </w:p>
    <w:p>
      <w:pPr>
        <w:spacing w:line="360" w:lineRule="auto"/>
        <w:ind w:left="-320" w:firstLine="436" w:firstLineChars="208"/>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根据上述合同（招标文件）规定，申请人应向受益人提供一份金额为</w:t>
      </w:r>
      <w:r>
        <w:rPr>
          <w:rFonts w:ascii="宋体" w:hAnsi="宋体" w:eastAsia="宋体" w:cs="Times New Roman"/>
          <w:color w:val="000000" w:themeColor="text1"/>
          <w:kern w:val="0"/>
          <w:szCs w:val="21"/>
          <w:highlight w:val="none"/>
          <w14:textFill>
            <w14:solidFill>
              <w14:schemeClr w14:val="tx1"/>
            </w14:solidFill>
          </w14:textFill>
        </w:rPr>
        <w:t>人民币</w:t>
      </w:r>
      <w:r>
        <w:rPr>
          <w:rFonts w:hint="eastAsia" w:ascii="宋体" w:hAnsi="宋体" w:eastAsia="宋体" w:cs="宋体"/>
          <w:color w:val="000000" w:themeColor="text1"/>
          <w:kern w:val="0"/>
          <w:szCs w:val="21"/>
          <w:highlight w:val="none"/>
          <w14:textFill>
            <w14:solidFill>
              <w14:schemeClr w14:val="tx1"/>
            </w14:solidFill>
          </w14:textFill>
        </w:rPr>
        <w:t>（大写）</w:t>
      </w:r>
      <w:r>
        <w:rPr>
          <w:rFonts w:ascii="宋体" w:hAnsi="宋体" w:eastAsia="宋体" w:cs="Times New Roman"/>
          <w:color w:val="000000" w:themeColor="text1"/>
          <w:kern w:val="0"/>
          <w:szCs w:val="21"/>
          <w:highlight w:val="none"/>
          <w:u w:val="single"/>
          <w14:textFill>
            <w14:solidFill>
              <w14:schemeClr w14:val="tx1"/>
            </w14:solidFill>
          </w14:textFill>
        </w:rPr>
        <w:t xml:space="preserve">     （RMB元）</w:t>
      </w:r>
      <w:r>
        <w:rPr>
          <w:rFonts w:hint="eastAsia" w:ascii="宋体" w:hAnsi="宋体" w:eastAsia="宋体" w:cs="宋体"/>
          <w:color w:val="000000" w:themeColor="text1"/>
          <w:szCs w:val="21"/>
          <w:highlight w:val="none"/>
          <w14:textFill>
            <w14:solidFill>
              <w14:schemeClr w14:val="tx1"/>
            </w14:solidFill>
          </w14:textFill>
        </w:rPr>
        <w:t>的无条件、</w:t>
      </w:r>
      <w:r>
        <w:rPr>
          <w:rFonts w:hint="eastAsia" w:ascii="宋体" w:hAnsi="宋体" w:eastAsia="宋体" w:cs="宋体"/>
          <w:bCs/>
          <w:color w:val="000000" w:themeColor="text1"/>
          <w:szCs w:val="21"/>
          <w:highlight w:val="none"/>
          <w14:textFill>
            <w14:solidFill>
              <w14:schemeClr w14:val="tx1"/>
            </w14:solidFill>
          </w14:textFill>
        </w:rPr>
        <w:t>不可撤销</w:t>
      </w:r>
      <w:r>
        <w:rPr>
          <w:rFonts w:hint="eastAsia" w:ascii="宋体" w:hAnsi="宋体" w:eastAsia="宋体" w:cs="宋体"/>
          <w:color w:val="000000" w:themeColor="text1"/>
          <w:szCs w:val="21"/>
          <w:highlight w:val="none"/>
          <w14:textFill>
            <w14:solidFill>
              <w14:schemeClr w14:val="tx1"/>
            </w14:solidFill>
          </w14:textFill>
        </w:rPr>
        <w:t>履约担保，作为申请人履行上述合同的担保，</w:t>
      </w:r>
      <w:r>
        <w:rPr>
          <w:rFonts w:hint="eastAsia" w:ascii="宋体" w:hAnsi="宋体" w:eastAsia="宋体" w:cs="宋体"/>
          <w:color w:val="000000" w:themeColor="text1"/>
          <w:szCs w:val="21"/>
          <w:highlight w:val="none"/>
          <w:lang w:eastAsia="zh-Hans"/>
          <w14:textFill>
            <w14:solidFill>
              <w14:schemeClr w14:val="tx1"/>
            </w14:solidFill>
          </w14:textFill>
        </w:rPr>
        <w:t>我方</w:t>
      </w:r>
      <w:r>
        <w:rPr>
          <w:rFonts w:hint="eastAsia" w:ascii="宋体" w:hAnsi="宋体" w:eastAsia="宋体" w:cs="宋体"/>
          <w:color w:val="000000" w:themeColor="text1"/>
          <w:szCs w:val="21"/>
          <w:highlight w:val="none"/>
          <w:u w:val="single"/>
          <w14:textFill>
            <w14:solidFill>
              <w14:schemeClr w14:val="tx1"/>
            </w14:solidFill>
          </w14:textFill>
        </w:rPr>
        <w:t xml:space="preserve">     （担保公司名称）在</w:t>
      </w:r>
      <w:r>
        <w:rPr>
          <w:rFonts w:hint="eastAsia" w:ascii="宋体" w:hAnsi="宋体" w:eastAsia="宋体" w:cs="宋体"/>
          <w:color w:val="000000" w:themeColor="text1"/>
          <w:szCs w:val="21"/>
          <w:highlight w:val="none"/>
          <w:u w:val="single"/>
          <w:lang w:eastAsia="zh-Hans"/>
          <w14:textFill>
            <w14:solidFill>
              <w14:schemeClr w14:val="tx1"/>
            </w14:solidFill>
          </w14:textFill>
        </w:rPr>
        <w:t>本合同项下的保证责任为连带责任保证</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left="-320" w:firstLine="437"/>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w:t>
      </w:r>
      <w:r>
        <w:rPr>
          <w:rFonts w:hint="eastAsia" w:ascii="宋体" w:hAnsi="宋体" w:eastAsia="宋体" w:cs="宋体"/>
          <w:color w:val="000000" w:themeColor="text1"/>
          <w:szCs w:val="21"/>
          <w:highlight w:val="none"/>
          <w:u w:val="single"/>
          <w14:textFill>
            <w14:solidFill>
              <w14:schemeClr w14:val="tx1"/>
            </w14:solidFill>
          </w14:textFill>
        </w:rPr>
        <w:t xml:space="preserve">  （担保公司名称）  </w:t>
      </w:r>
      <w:r>
        <w:rPr>
          <w:rFonts w:hint="eastAsia" w:ascii="宋体" w:hAnsi="宋体" w:eastAsia="宋体" w:cs="宋体"/>
          <w:color w:val="000000" w:themeColor="text1"/>
          <w:szCs w:val="21"/>
          <w:highlight w:val="none"/>
          <w14:textFill>
            <w14:solidFill>
              <w14:schemeClr w14:val="tx1"/>
            </w14:solidFill>
          </w14:textFill>
        </w:rPr>
        <w:t>，受申请人的委托，无条件和不可撤销地在受益人出具本担保书原件且提出因申请人没有履行上述合同规定，在担保书限额内向受益人支付不超过人民币（大写）_________（</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_______元）的款项。</w:t>
      </w:r>
    </w:p>
    <w:p>
      <w:pPr>
        <w:spacing w:line="360" w:lineRule="auto"/>
        <w:ind w:left="-320" w:firstLine="437"/>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我方还同意，任何受益人与申请人之间可能对合同条款的修改、规范或其他合同文件的变动补充，都不能免除我方按本担保函所承担的责任。因此，有关上述变动、补充和修改无须通知或征得我方同意。</w:t>
      </w:r>
    </w:p>
    <w:p>
      <w:pPr>
        <w:spacing w:line="360" w:lineRule="auto"/>
        <w:ind w:left="-320" w:firstLine="437"/>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本担保书应自</w:t>
      </w:r>
      <w:r>
        <w:rPr>
          <w:rFonts w:hint="eastAsia" w:ascii="宋体" w:hAnsi="宋体" w:eastAsia="宋体" w:cs="宋体"/>
          <w:color w:val="000000" w:themeColor="text1"/>
          <w:kern w:val="0"/>
          <w:szCs w:val="21"/>
          <w:highlight w:val="none"/>
          <w14:textFill>
            <w14:solidFill>
              <w14:schemeClr w14:val="tx1"/>
            </w14:solidFill>
          </w14:textFill>
        </w:rPr>
        <w:t>合同签订之日起至合同期限届满并完成全部供货及相关服务义务后二十八（28）日内保持有效。</w:t>
      </w:r>
    </w:p>
    <w:p>
      <w:pPr>
        <w:spacing w:line="360" w:lineRule="auto"/>
        <w:ind w:left="247"/>
        <w:contextualSpacing/>
        <w:rPr>
          <w:rFonts w:ascii="宋体" w:hAnsi="宋体" w:eastAsia="宋体" w:cs="宋体"/>
          <w:color w:val="000000" w:themeColor="text1"/>
          <w:szCs w:val="21"/>
          <w:highlight w:val="none"/>
          <w14:textFill>
            <w14:solidFill>
              <w14:schemeClr w14:val="tx1"/>
            </w14:solidFill>
          </w14:textFill>
        </w:rPr>
      </w:pPr>
    </w:p>
    <w:p>
      <w:pPr>
        <w:spacing w:line="360" w:lineRule="auto"/>
        <w:ind w:left="-320" w:firstLine="3990" w:firstLineChars="19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法定代表人或其授权的代理人：（签字或盖私章）</w:t>
      </w:r>
    </w:p>
    <w:p>
      <w:pPr>
        <w:spacing w:line="360" w:lineRule="auto"/>
        <w:ind w:left="-320" w:firstLine="3990" w:firstLineChars="19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担保公司盖章：</w:t>
      </w:r>
    </w:p>
    <w:p>
      <w:pPr>
        <w:spacing w:line="360" w:lineRule="auto"/>
        <w:ind w:left="-320" w:firstLine="3990" w:firstLineChars="19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p>
    <w:p>
      <w:pPr>
        <w:spacing w:line="360" w:lineRule="auto"/>
        <w:ind w:left="-320" w:firstLine="3990" w:firstLineChars="19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p>
    <w:p>
      <w:pPr>
        <w:spacing w:line="360" w:lineRule="auto"/>
        <w:ind w:left="-320" w:firstLine="3990" w:firstLineChars="1900"/>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    年   月   日</w:t>
      </w:r>
    </w:p>
    <w:p>
      <w:pPr>
        <w:ind w:left="247"/>
        <w:rPr>
          <w:color w:val="000000" w:themeColor="text1"/>
          <w:highlight w:val="none"/>
          <w14:textFill>
            <w14:solidFill>
              <w14:schemeClr w14:val="tx1"/>
            </w14:solidFill>
          </w14:textFill>
        </w:rPr>
      </w:pPr>
    </w:p>
    <w:p>
      <w:pPr>
        <w:ind w:left="247"/>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br w:type="page"/>
      </w:r>
    </w:p>
    <w:p>
      <w:pPr>
        <w:pageBreakBefore/>
        <w:tabs>
          <w:tab w:val="left" w:pos="1080"/>
        </w:tabs>
        <w:autoSpaceDE w:val="0"/>
        <w:autoSpaceDN w:val="0"/>
        <w:adjustRightInd w:val="0"/>
        <w:spacing w:line="360" w:lineRule="auto"/>
        <w:ind w:left="247"/>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390" w:name="_Toc161843191"/>
      <w:bookmarkStart w:id="391" w:name="_Toc9840"/>
      <w:bookmarkStart w:id="392" w:name="_Toc142508361"/>
      <w:bookmarkStart w:id="393" w:name="_Toc32761_WPSOffice_Level1"/>
      <w:bookmarkStart w:id="394" w:name="_Toc486167708"/>
      <w:bookmarkStart w:id="395" w:name="_Toc450662895"/>
      <w:bookmarkStart w:id="396" w:name="_Toc15817"/>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第六篇 投标文件格式</w:t>
      </w:r>
      <w:bookmarkEnd w:id="390"/>
      <w:bookmarkEnd w:id="391"/>
      <w:bookmarkEnd w:id="392"/>
      <w:bookmarkEnd w:id="393"/>
      <w:bookmarkEnd w:id="394"/>
      <w:bookmarkEnd w:id="395"/>
      <w:bookmarkEnd w:id="396"/>
    </w:p>
    <w:p>
      <w:pPr>
        <w:ind w:left="247"/>
        <w:rPr>
          <w:rFonts w:ascii="宋体" w:hAnsi="宋体" w:eastAsia="宋体" w:cs="宋体"/>
          <w:color w:val="000000" w:themeColor="text1"/>
          <w:sz w:val="84"/>
          <w:highlight w:val="none"/>
          <w14:textFill>
            <w14:solidFill>
              <w14:schemeClr w14:val="tx1"/>
            </w14:solidFill>
          </w14:textFill>
        </w:rPr>
      </w:pPr>
      <w:bookmarkStart w:id="397" w:name="_Toc102860067"/>
      <w:bookmarkStart w:id="398" w:name="_Toc21133_WPSOffice_Level2"/>
      <w:bookmarkStart w:id="399" w:name="_Toc140596921"/>
      <w:bookmarkStart w:id="400" w:name="_Toc94107202"/>
      <w:bookmarkStart w:id="401" w:name="_Toc104991868"/>
      <w:bookmarkStart w:id="402" w:name="_Toc1977721"/>
      <w:bookmarkStart w:id="403" w:name="_Toc102860411"/>
      <w:bookmarkStart w:id="404" w:name="_Toc142508362"/>
      <w:bookmarkStart w:id="405" w:name="_Toc486167709"/>
      <w:bookmarkStart w:id="406" w:name="_Toc533708121"/>
      <w:r>
        <w:rPr>
          <w:rFonts w:hint="eastAsia" w:ascii="宋体" w:hAnsi="宋体" w:eastAsia="宋体" w:cs="宋体"/>
          <w:b/>
          <w:color w:val="000000" w:themeColor="text1"/>
          <w:kern w:val="0"/>
          <w:sz w:val="32"/>
          <w:szCs w:val="32"/>
          <w:highlight w:val="none"/>
          <w14:textFill>
            <w14:solidFill>
              <w14:schemeClr w14:val="tx1"/>
            </w14:solidFill>
          </w14:textFill>
        </w:rPr>
        <w:br w:type="page"/>
      </w:r>
    </w:p>
    <w:p>
      <w:pPr>
        <w:pStyle w:val="21"/>
        <w:spacing w:line="360" w:lineRule="auto"/>
        <w:jc w:val="center"/>
        <w:rPr>
          <w:rFonts w:ascii="宋体" w:hAnsi="宋体" w:cs="宋体"/>
          <w:color w:val="000000" w:themeColor="text1"/>
          <w:sz w:val="84"/>
          <w:highlight w:val="none"/>
          <w14:textFill>
            <w14:solidFill>
              <w14:schemeClr w14:val="tx1"/>
            </w14:solidFill>
          </w14:textFill>
        </w:rPr>
      </w:pPr>
    </w:p>
    <w:p>
      <w:pPr>
        <w:pStyle w:val="21"/>
        <w:spacing w:line="360" w:lineRule="auto"/>
        <w:jc w:val="center"/>
        <w:rPr>
          <w:rFonts w:ascii="宋体" w:hAnsi="宋体" w:cs="宋体"/>
          <w:color w:val="000000" w:themeColor="text1"/>
          <w:sz w:val="84"/>
          <w:highlight w:val="none"/>
          <w14:textFill>
            <w14:solidFill>
              <w14:schemeClr w14:val="tx1"/>
            </w14:solidFill>
          </w14:textFill>
        </w:rPr>
      </w:pPr>
      <w:r>
        <w:rPr>
          <w:rFonts w:hint="eastAsia" w:ascii="宋体" w:hAnsi="宋体" w:cs="宋体"/>
          <w:color w:val="000000" w:themeColor="text1"/>
          <w:sz w:val="84"/>
          <w:highlight w:val="none"/>
          <w14:textFill>
            <w14:solidFill>
              <w14:schemeClr w14:val="tx1"/>
            </w14:solidFill>
          </w14:textFill>
        </w:rPr>
        <w:t>投 标 文 件</w:t>
      </w: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ind w:firstLine="1500" w:firstLineChars="500"/>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招标编号：</w:t>
      </w:r>
      <w:r>
        <w:rPr>
          <w:rFonts w:hint="eastAsia" w:ascii="宋体" w:hAnsi="宋体" w:cs="宋体"/>
          <w:color w:val="000000" w:themeColor="text1"/>
          <w:sz w:val="30"/>
          <w:highlight w:val="none"/>
          <w:u w:val="single"/>
          <w14:textFill>
            <w14:solidFill>
              <w14:schemeClr w14:val="tx1"/>
            </w14:solidFill>
          </w14:textFill>
        </w:rPr>
        <w:t xml:space="preserve">                        </w:t>
      </w:r>
    </w:p>
    <w:p>
      <w:pPr>
        <w:pStyle w:val="21"/>
        <w:spacing w:line="360" w:lineRule="auto"/>
        <w:ind w:firstLine="1500" w:firstLineChars="500"/>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项目名称：</w:t>
      </w:r>
      <w:r>
        <w:rPr>
          <w:rFonts w:hint="eastAsia" w:ascii="宋体" w:hAnsi="宋体" w:cs="宋体"/>
          <w:color w:val="000000" w:themeColor="text1"/>
          <w:sz w:val="30"/>
          <w:highlight w:val="none"/>
          <w:u w:val="single"/>
          <w14:textFill>
            <w14:solidFill>
              <w14:schemeClr w14:val="tx1"/>
            </w14:solidFill>
          </w14:textFill>
        </w:rPr>
        <w:t xml:space="preserve">                        </w:t>
      </w:r>
    </w:p>
    <w:p>
      <w:pPr>
        <w:pStyle w:val="21"/>
        <w:spacing w:line="360" w:lineRule="auto"/>
        <w:ind w:firstLine="1500" w:firstLineChars="500"/>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投标文件内容：</w:t>
      </w:r>
      <w:r>
        <w:rPr>
          <w:rFonts w:hint="eastAsia" w:ascii="宋体" w:hAnsi="宋体" w:cs="宋体"/>
          <w:color w:val="000000" w:themeColor="text1"/>
          <w:sz w:val="30"/>
          <w:highlight w:val="none"/>
          <w:u w:val="single"/>
          <w14:textFill>
            <w14:solidFill>
              <w14:schemeClr w14:val="tx1"/>
            </w14:solidFill>
          </w14:textFill>
        </w:rPr>
        <w:t xml:space="preserve"> 投标文件商务部分 </w:t>
      </w:r>
    </w:p>
    <w:p>
      <w:pPr>
        <w:pStyle w:val="21"/>
        <w:spacing w:line="360" w:lineRule="auto"/>
        <w:ind w:firstLine="1500" w:firstLineChars="500"/>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招标人：</w:t>
      </w:r>
      <w:r>
        <w:rPr>
          <w:rFonts w:hint="eastAsia" w:ascii="宋体" w:hAnsi="宋体" w:cs="宋体"/>
          <w:color w:val="000000" w:themeColor="text1"/>
          <w:sz w:val="30"/>
          <w:highlight w:val="none"/>
          <w:u w:val="single"/>
          <w14:textFill>
            <w14:solidFill>
              <w14:schemeClr w14:val="tx1"/>
            </w14:solidFill>
          </w14:textFill>
        </w:rPr>
        <w:t xml:space="preserve">                        </w:t>
      </w:r>
    </w:p>
    <w:p>
      <w:pPr>
        <w:pStyle w:val="21"/>
        <w:spacing w:line="360" w:lineRule="auto"/>
        <w:ind w:firstLine="1500" w:firstLineChars="500"/>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投标人：</w:t>
      </w:r>
      <w:r>
        <w:rPr>
          <w:rFonts w:hint="eastAsia" w:ascii="宋体" w:hAnsi="宋体" w:cs="宋体"/>
          <w:color w:val="000000" w:themeColor="text1"/>
          <w:sz w:val="30"/>
          <w:highlight w:val="none"/>
          <w:u w:val="single"/>
          <w14:textFill>
            <w14:solidFill>
              <w14:schemeClr w14:val="tx1"/>
            </w14:solidFill>
          </w14:textFill>
        </w:rPr>
        <w:t xml:space="preserve">                        </w:t>
      </w:r>
    </w:p>
    <w:p>
      <w:pPr>
        <w:pStyle w:val="21"/>
        <w:spacing w:line="360" w:lineRule="auto"/>
        <w:ind w:firstLine="1500" w:firstLineChars="500"/>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日  期：</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年</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月</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日</w:t>
      </w: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Bdr>
          <w:bottom w:val="single" w:color="auto" w:sz="6" w:space="0"/>
        </w:pBdr>
        <w:spacing w:line="480" w:lineRule="auto"/>
        <w:ind w:left="-320" w:firstLine="472" w:firstLineChars="224"/>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投标文件商务评审部分索引表</w:t>
      </w:r>
    </w:p>
    <w:tbl>
      <w:tblPr>
        <w:tblStyle w:val="37"/>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80"/>
        <w:gridCol w:w="2597"/>
        <w:gridCol w:w="2426"/>
        <w:gridCol w:w="39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80"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2597"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2426"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招标文件上的满分值</w:t>
            </w:r>
          </w:p>
        </w:tc>
        <w:tc>
          <w:tcPr>
            <w:tcW w:w="3965" w:type="dxa"/>
            <w:tcBorders>
              <w:left w:val="single" w:color="auto" w:sz="4" w:space="0"/>
            </w:tcBorders>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80"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2597"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2426"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3965" w:type="dxa"/>
            <w:tcBorders>
              <w:left w:val="single" w:color="auto" w:sz="4" w:space="0"/>
            </w:tcBorders>
            <w:vAlign w:val="center"/>
          </w:tcPr>
          <w:p>
            <w:pPr>
              <w:adjustRightInd w:val="0"/>
              <w:snapToGrid w:val="0"/>
              <w:spacing w:line="360" w:lineRule="auto"/>
              <w:ind w:left="247"/>
              <w:rPr>
                <w:rFonts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80" w:type="dxa"/>
            <w:vAlign w:val="center"/>
          </w:tcPr>
          <w:p>
            <w:pPr>
              <w:ind w:left="247"/>
              <w:rPr>
                <w:rFonts w:ascii="宋体" w:hAnsi="宋体" w:eastAsia="宋体" w:cs="宋体"/>
                <w:bCs/>
                <w:color w:val="000000" w:themeColor="text1"/>
                <w:szCs w:val="21"/>
                <w:highlight w:val="none"/>
                <w14:textFill>
                  <w14:solidFill>
                    <w14:schemeClr w14:val="tx1"/>
                  </w14:solidFill>
                </w14:textFill>
              </w:rPr>
            </w:pPr>
          </w:p>
        </w:tc>
        <w:tc>
          <w:tcPr>
            <w:tcW w:w="2597" w:type="dxa"/>
            <w:vAlign w:val="center"/>
          </w:tcPr>
          <w:p>
            <w:pPr>
              <w:ind w:left="247"/>
              <w:rPr>
                <w:rFonts w:ascii="宋体" w:hAnsi="宋体" w:eastAsia="宋体" w:cs="宋体"/>
                <w:bCs/>
                <w:color w:val="000000" w:themeColor="text1"/>
                <w:szCs w:val="21"/>
                <w:highlight w:val="none"/>
                <w14:textFill>
                  <w14:solidFill>
                    <w14:schemeClr w14:val="tx1"/>
                  </w14:solidFill>
                </w14:textFill>
              </w:rPr>
            </w:pPr>
          </w:p>
        </w:tc>
        <w:tc>
          <w:tcPr>
            <w:tcW w:w="2426" w:type="dxa"/>
            <w:vAlign w:val="center"/>
          </w:tcPr>
          <w:p>
            <w:pPr>
              <w:ind w:left="247"/>
              <w:rPr>
                <w:rFonts w:ascii="宋体" w:hAnsi="宋体" w:eastAsia="宋体" w:cs="宋体"/>
                <w:bCs/>
                <w:color w:val="000000" w:themeColor="text1"/>
                <w:szCs w:val="21"/>
                <w:highlight w:val="none"/>
                <w14:textFill>
                  <w14:solidFill>
                    <w14:schemeClr w14:val="tx1"/>
                  </w14:solidFill>
                </w14:textFill>
              </w:rPr>
            </w:pPr>
          </w:p>
        </w:tc>
        <w:tc>
          <w:tcPr>
            <w:tcW w:w="3965" w:type="dxa"/>
            <w:tcBorders>
              <w:left w:val="single" w:color="auto" w:sz="4" w:space="0"/>
            </w:tcBorders>
            <w:vAlign w:val="center"/>
          </w:tcPr>
          <w:p>
            <w:pPr>
              <w:adjustRightInd w:val="0"/>
              <w:snapToGrid w:val="0"/>
              <w:spacing w:line="360" w:lineRule="auto"/>
              <w:ind w:left="-320" w:firstLine="105" w:firstLineChars="50"/>
              <w:rPr>
                <w:rFonts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80"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2597" w:type="dxa"/>
            <w:vAlign w:val="center"/>
          </w:tcPr>
          <w:p>
            <w:pPr>
              <w:adjustRightInd w:val="0"/>
              <w:snapToGrid w:val="0"/>
              <w:spacing w:line="360" w:lineRule="auto"/>
              <w:ind w:left="247"/>
              <w:rPr>
                <w:rFonts w:ascii="宋体" w:hAnsi="宋体" w:eastAsia="宋体" w:cs="宋体"/>
                <w:bCs/>
                <w:color w:val="000000" w:themeColor="text1"/>
                <w:szCs w:val="21"/>
                <w:highlight w:val="none"/>
                <w14:textFill>
                  <w14:solidFill>
                    <w14:schemeClr w14:val="tx1"/>
                  </w14:solidFill>
                </w14:textFill>
              </w:rPr>
            </w:pPr>
          </w:p>
        </w:tc>
        <w:tc>
          <w:tcPr>
            <w:tcW w:w="2426"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3965" w:type="dxa"/>
            <w:tcBorders>
              <w:left w:val="single" w:color="auto" w:sz="4" w:space="0"/>
            </w:tcBorders>
            <w:vAlign w:val="center"/>
          </w:tcPr>
          <w:p>
            <w:pPr>
              <w:spacing w:line="360" w:lineRule="auto"/>
              <w:ind w:left="-320" w:firstLine="8" w:firstLineChars="4"/>
              <w:rPr>
                <w:rFonts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80"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2597"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ind w:left="247"/>
              <w:rPr>
                <w:rFonts w:ascii="宋体" w:hAnsi="宋体" w:eastAsia="宋体" w:cs="宋体"/>
                <w:bCs/>
                <w:color w:val="000000" w:themeColor="text1"/>
                <w:szCs w:val="21"/>
                <w:highlight w:val="none"/>
                <w14:textFill>
                  <w14:solidFill>
                    <w14:schemeClr w14:val="tx1"/>
                  </w14:solidFill>
                </w14:textFill>
              </w:rPr>
            </w:pPr>
          </w:p>
        </w:tc>
        <w:tc>
          <w:tcPr>
            <w:tcW w:w="2426"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3965"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ind w:left="247"/>
              <w:rPr>
                <w:rFonts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3977" w:type="dxa"/>
            <w:gridSpan w:val="2"/>
            <w:tcBorders>
              <w:bottom w:val="single" w:color="auto" w:sz="4" w:space="0"/>
            </w:tcBorders>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2426" w:type="dxa"/>
            <w:tcBorders>
              <w:bottom w:val="single" w:color="auto" w:sz="4" w:space="0"/>
            </w:tcBorders>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3965" w:type="dxa"/>
            <w:tcBorders>
              <w:left w:val="single" w:color="auto" w:sz="4" w:space="0"/>
              <w:bottom w:val="single" w:color="auto" w:sz="4" w:space="0"/>
            </w:tcBorders>
            <w:vAlign w:val="center"/>
          </w:tcPr>
          <w:p>
            <w:pPr>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r>
    </w:tbl>
    <w:p>
      <w:pPr>
        <w:ind w:left="247"/>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pPr>
        <w:pageBreakBefore/>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407" w:name="_Toc161843192"/>
      <w:bookmarkStart w:id="408" w:name="_Toc23782"/>
      <w:bookmarkStart w:id="409" w:name="_Toc13281"/>
      <w:bookmarkStart w:id="410" w:name="_Toc27679"/>
      <w:r>
        <w:rPr>
          <w:rFonts w:hint="eastAsia" w:ascii="宋体" w:hAnsi="宋体" w:eastAsia="宋体" w:cs="宋体"/>
          <w:b/>
          <w:color w:val="000000" w:themeColor="text1"/>
          <w:kern w:val="0"/>
          <w:sz w:val="32"/>
          <w:szCs w:val="32"/>
          <w:highlight w:val="none"/>
          <w14:textFill>
            <w14:solidFill>
              <w14:schemeClr w14:val="tx1"/>
            </w14:solidFill>
          </w14:textFill>
        </w:rPr>
        <w:t>一、投标函格式</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autoSpaceDE w:val="0"/>
        <w:autoSpaceDN w:val="0"/>
        <w:adjustRightInd w:val="0"/>
        <w:spacing w:line="360" w:lineRule="auto"/>
        <w:ind w:left="247"/>
        <w:jc w:val="center"/>
        <w:rPr>
          <w:rFonts w:ascii="宋体" w:hAnsi="宋体" w:eastAsia="宋体" w:cs="宋体"/>
          <w:b/>
          <w:bCs/>
          <w:color w:val="000000" w:themeColor="text1"/>
          <w:sz w:val="30"/>
          <w:szCs w:val="30"/>
          <w:highlight w:val="none"/>
          <w14:textFill>
            <w14:solidFill>
              <w14:schemeClr w14:val="tx1"/>
            </w14:solidFill>
          </w14:textFill>
        </w:rPr>
      </w:pPr>
      <w:bookmarkStart w:id="411" w:name="_Toc16695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 标 函</w:t>
      </w:r>
      <w:bookmarkEnd w:id="411"/>
    </w:p>
    <w:p>
      <w:pPr>
        <w:autoSpaceDE w:val="0"/>
        <w:autoSpaceDN w:val="0"/>
        <w:adjustRightInd w:val="0"/>
        <w:spacing w:line="360" w:lineRule="auto"/>
        <w:ind w:left="24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14:textFill>
            <w14:solidFill>
              <w14:schemeClr w14:val="tx1"/>
            </w14:solidFill>
          </w14:textFill>
        </w:rPr>
        <w:t>东莞市水务集团有限公司</w:t>
      </w:r>
    </w:p>
    <w:p>
      <w:pPr>
        <w:autoSpaceDE w:val="0"/>
        <w:autoSpaceDN w:val="0"/>
        <w:adjustRightInd w:val="0"/>
        <w:spacing w:line="360" w:lineRule="auto"/>
        <w:ind w:left="247"/>
        <w:rPr>
          <w:rFonts w:ascii="宋体" w:hAnsi="宋体" w:eastAsia="宋体" w:cs="宋体"/>
          <w:color w:val="000000" w:themeColor="text1"/>
          <w:szCs w:val="21"/>
          <w:highlight w:val="none"/>
          <w14:textFill>
            <w14:solidFill>
              <w14:schemeClr w14:val="tx1"/>
            </w14:solidFill>
          </w14:textFill>
        </w:rPr>
      </w:pPr>
    </w:p>
    <w:p>
      <w:pPr>
        <w:wordWrap w:val="0"/>
        <w:autoSpaceDE w:val="0"/>
        <w:autoSpaceDN w:val="0"/>
        <w:adjustRightInd w:val="0"/>
        <w:spacing w:line="360" w:lineRule="auto"/>
        <w:ind w:left="-320"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根据贵方为</w:t>
      </w:r>
      <w:r>
        <w:rPr>
          <w:rFonts w:hint="eastAsia" w:ascii="宋体" w:hAnsi="宋体" w:eastAsia="宋体" w:cs="宋体"/>
          <w:color w:val="000000" w:themeColor="text1"/>
          <w:kern w:val="0"/>
          <w:szCs w:val="21"/>
          <w:highlight w:val="none"/>
          <w:u w:val="single"/>
          <w14:textFill>
            <w14:solidFill>
              <w14:schemeClr w14:val="tx1"/>
            </w14:solidFill>
          </w14:textFill>
        </w:rPr>
        <w:t>东莞市水务集团有限公司2024年度食堂食材采购项目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广建咨询（东招）2024-0038号</w:t>
      </w:r>
      <w:r>
        <w:rPr>
          <w:rFonts w:hint="eastAsia" w:ascii="宋体" w:hAnsi="宋体" w:eastAsia="宋体" w:cs="宋体"/>
          <w:color w:val="000000" w:themeColor="text1"/>
          <w:szCs w:val="21"/>
          <w:highlight w:val="none"/>
          <w:lang w:val="zh-CN"/>
          <w14:textFill>
            <w14:solidFill>
              <w14:schemeClr w14:val="tx1"/>
            </w14:solidFill>
          </w14:textFill>
        </w:rPr>
        <w:t>)的投标邀请，我方（投标人名称）作为投标人正式授权</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授权代表全名，职务）代表我方进行有关本次投标的一切事宜。</w:t>
      </w:r>
    </w:p>
    <w:p>
      <w:pPr>
        <w:autoSpaceDE w:val="0"/>
        <w:autoSpaceDN w:val="0"/>
        <w:adjustRightInd w:val="0"/>
        <w:spacing w:line="360" w:lineRule="auto"/>
        <w:ind w:left="-320"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在此提交的投标文件，包括如下等内容，并已单独密封封装：</w:t>
      </w:r>
    </w:p>
    <w:p>
      <w:pPr>
        <w:autoSpaceDE w:val="0"/>
        <w:autoSpaceDN w:val="0"/>
        <w:adjustRightInd w:val="0"/>
        <w:spacing w:line="360" w:lineRule="auto"/>
        <w:ind w:left="-320"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份】（含投标文件电子文件）；</w:t>
      </w:r>
    </w:p>
    <w:p>
      <w:pPr>
        <w:autoSpaceDE w:val="0"/>
        <w:autoSpaceDN w:val="0"/>
        <w:adjustRightInd w:val="0"/>
        <w:spacing w:line="360" w:lineRule="auto"/>
        <w:ind w:left="-320"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（二）投标文件【正本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份，副本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w:t>
      </w:r>
    </w:p>
    <w:p>
      <w:pPr>
        <w:autoSpaceDE w:val="0"/>
        <w:autoSpaceDN w:val="0"/>
        <w:adjustRightInd w:val="0"/>
        <w:spacing w:line="360" w:lineRule="auto"/>
        <w:ind w:left="-320"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我方已完全明白招标文件的所有条款要求，并重申以下几点：</w:t>
      </w:r>
    </w:p>
    <w:p>
      <w:pPr>
        <w:autoSpaceDE w:val="0"/>
        <w:autoSpaceDN w:val="0"/>
        <w:adjustRightInd w:val="0"/>
        <w:spacing w:line="360" w:lineRule="auto"/>
        <w:ind w:left="-320"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w:t>
      </w:r>
      <w:r>
        <w:rPr>
          <w:rFonts w:hint="eastAsia" w:ascii="宋体" w:hAnsi="宋体" w:eastAsia="宋体" w:cs="Times New Roman"/>
          <w:color w:val="000000" w:themeColor="text1"/>
          <w:szCs w:val="21"/>
          <w:highlight w:val="none"/>
          <w:lang w:val="zh-CN"/>
          <w14:textFill>
            <w14:solidFill>
              <w14:schemeClr w14:val="tx1"/>
            </w14:solidFill>
          </w14:textFill>
        </w:rPr>
        <w:t>决定</w:t>
      </w:r>
      <w:r>
        <w:rPr>
          <w:rFonts w:hint="eastAsia" w:ascii="宋体" w:hAnsi="宋体" w:eastAsia="宋体" w:cs="宋体"/>
          <w:color w:val="000000" w:themeColor="text1"/>
          <w:szCs w:val="21"/>
          <w:highlight w:val="none"/>
          <w:lang w:val="zh-CN"/>
          <w14:textFill>
            <w14:solidFill>
              <w14:schemeClr w14:val="tx1"/>
            </w14:solidFill>
          </w14:textFill>
        </w:rPr>
        <w:t>参加招标编号为</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广建咨询（东招）2024-0038号</w:t>
      </w:r>
      <w:r>
        <w:rPr>
          <w:rFonts w:hint="eastAsia" w:ascii="宋体" w:hAnsi="宋体" w:eastAsia="宋体" w:cs="宋体"/>
          <w:color w:val="000000" w:themeColor="text1"/>
          <w:szCs w:val="21"/>
          <w:highlight w:val="none"/>
          <w:lang w:val="zh-CN"/>
          <w14:textFill>
            <w14:solidFill>
              <w14:schemeClr w14:val="tx1"/>
            </w14:solidFill>
          </w14:textFill>
        </w:rPr>
        <w:t>的投标；</w:t>
      </w:r>
    </w:p>
    <w:p>
      <w:pPr>
        <w:autoSpaceDE w:val="0"/>
        <w:autoSpaceDN w:val="0"/>
        <w:adjustRightInd w:val="0"/>
        <w:spacing w:line="360" w:lineRule="auto"/>
        <w:ind w:left="-320"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（二）本投标文件的有效期自递交投标文件截止时间届满后90日有效，如中标，有效期将延至合同终止日为止；</w:t>
      </w:r>
    </w:p>
    <w:p>
      <w:pPr>
        <w:autoSpaceDE w:val="0"/>
        <w:autoSpaceDN w:val="0"/>
        <w:adjustRightInd w:val="0"/>
        <w:spacing w:line="360" w:lineRule="auto"/>
        <w:ind w:left="-320"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320"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（四）我方明白并愿意在规定的递交投标文件截止时间和日期之后，投标有效期之内撤回投标，则不予退还我方投标保证金；</w:t>
      </w:r>
    </w:p>
    <w:p>
      <w:pPr>
        <w:autoSpaceDE w:val="0"/>
        <w:autoSpaceDN w:val="0"/>
        <w:adjustRightInd w:val="0"/>
        <w:spacing w:line="360" w:lineRule="auto"/>
        <w:ind w:left="-320"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（五）我方同意按照贵方可能提出的要求而提供与投标有关的任何其它数据或信息；</w:t>
      </w:r>
    </w:p>
    <w:p>
      <w:pPr>
        <w:autoSpaceDE w:val="0"/>
        <w:autoSpaceDN w:val="0"/>
        <w:adjustRightInd w:val="0"/>
        <w:spacing w:line="360" w:lineRule="auto"/>
        <w:ind w:left="-320"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（六）我方理解贵方不一定接受最低报价或任何贵方可能收到的报价；</w:t>
      </w:r>
    </w:p>
    <w:p>
      <w:pPr>
        <w:autoSpaceDE w:val="0"/>
        <w:autoSpaceDN w:val="0"/>
        <w:adjustRightInd w:val="0"/>
        <w:spacing w:line="360" w:lineRule="auto"/>
        <w:ind w:left="-320"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320"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320"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320"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（十）若我方中标后，核查出投标文件内容前后不一致，我方愿按最高标准的承诺履约义务；</w:t>
      </w:r>
    </w:p>
    <w:p>
      <w:pPr>
        <w:autoSpaceDE w:val="0"/>
        <w:autoSpaceDN w:val="0"/>
        <w:adjustRightInd w:val="0"/>
        <w:spacing w:line="360" w:lineRule="auto"/>
        <w:ind w:left="-320"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000000" w:themeColor="text1"/>
          <w:szCs w:val="21"/>
          <w:highlight w:val="none"/>
          <w:u w:val="single"/>
          <w:lang w:val="zh-CN"/>
          <w14:textFill>
            <w14:solidFill>
              <w14:schemeClr w14:val="tx1"/>
            </w14:solidFill>
          </w14:textFill>
        </w:rPr>
      </w:pPr>
    </w:p>
    <w:p>
      <w:pPr>
        <w:autoSpaceDE w:val="0"/>
        <w:autoSpaceDN w:val="0"/>
        <w:adjustRightInd w:val="0"/>
        <w:spacing w:line="360" w:lineRule="auto"/>
        <w:ind w:left="-320" w:firstLine="420" w:firstLineChars="200"/>
        <w:rPr>
          <w:rFonts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  　址：</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邮政编码：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pPr>
        <w:autoSpaceDE w:val="0"/>
        <w:autoSpaceDN w:val="0"/>
        <w:adjustRightInd w:val="0"/>
        <w:spacing w:line="360" w:lineRule="auto"/>
        <w:ind w:left="-320"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电　　话：</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代表姓名：</w:t>
      </w:r>
      <w:r>
        <w:rPr>
          <w:rFonts w:hint="eastAsia" w:ascii="宋体" w:hAnsi="宋体" w:eastAsia="宋体" w:cs="宋体"/>
          <w:color w:val="000000" w:themeColor="text1"/>
          <w:szCs w:val="21"/>
          <w:highlight w:val="none"/>
          <w:u w:val="single"/>
          <w:lang w:val="zh-CN"/>
          <w14:textFill>
            <w14:solidFill>
              <w14:schemeClr w14:val="tx1"/>
            </w14:solidFill>
          </w14:textFill>
        </w:rPr>
        <w:t>　　　　　　　　　　　</w:t>
      </w:r>
    </w:p>
    <w:p>
      <w:pPr>
        <w:autoSpaceDE w:val="0"/>
        <w:autoSpaceDN w:val="0"/>
        <w:adjustRightInd w:val="0"/>
        <w:spacing w:line="360" w:lineRule="auto"/>
        <w:ind w:left="-320"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传　　真：</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 xml:space="preserve">        职　　务：</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pPr>
        <w:autoSpaceDE w:val="0"/>
        <w:autoSpaceDN w:val="0"/>
        <w:adjustRightInd w:val="0"/>
        <w:spacing w:line="360" w:lineRule="auto"/>
        <w:ind w:left="-320"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电子邮箱：</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p>
    <w:p>
      <w:pPr>
        <w:autoSpaceDE w:val="0"/>
        <w:autoSpaceDN w:val="0"/>
        <w:adjustRightInd w:val="0"/>
        <w:spacing w:line="360" w:lineRule="auto"/>
        <w:ind w:left="-320" w:firstLine="4960" w:firstLineChars="2362"/>
        <w:rPr>
          <w:rFonts w:ascii="宋体" w:hAnsi="宋体" w:eastAsia="宋体" w:cs="宋体"/>
          <w:color w:val="000000" w:themeColor="text1"/>
          <w:szCs w:val="21"/>
          <w:highlight w:val="none"/>
          <w:lang w:val="zh-CN"/>
          <w14:textFill>
            <w14:solidFill>
              <w14:schemeClr w14:val="tx1"/>
            </w14:solidFill>
          </w14:textFill>
        </w:rPr>
      </w:pPr>
    </w:p>
    <w:p>
      <w:pPr>
        <w:autoSpaceDE w:val="0"/>
        <w:autoSpaceDN w:val="0"/>
        <w:adjustRightInd w:val="0"/>
        <w:spacing w:line="360" w:lineRule="auto"/>
        <w:ind w:left="-320"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20"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pPr>
        <w:autoSpaceDE w:val="0"/>
        <w:autoSpaceDN w:val="0"/>
        <w:adjustRightInd w:val="0"/>
        <w:spacing w:line="360" w:lineRule="auto"/>
        <w:ind w:left="-320" w:firstLine="4960" w:firstLineChars="2362"/>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pPr>
        <w:pageBreakBefore/>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412" w:name="_Toc102860412"/>
      <w:bookmarkStart w:id="413" w:name="_Toc140596922"/>
      <w:bookmarkStart w:id="414" w:name="_Toc3104"/>
      <w:bookmarkStart w:id="415" w:name="_Toc94107203"/>
      <w:bookmarkStart w:id="416" w:name="_Toc104991869"/>
      <w:bookmarkStart w:id="417" w:name="_Toc161843193"/>
      <w:bookmarkStart w:id="418" w:name="_Toc12417"/>
      <w:bookmarkStart w:id="419" w:name="_Toc533708122"/>
      <w:bookmarkStart w:id="420" w:name="_Toc28613_WPSOffice_Level2"/>
      <w:bookmarkStart w:id="421" w:name="_Toc142508363"/>
      <w:bookmarkStart w:id="422" w:name="_Toc102860068"/>
      <w:bookmarkStart w:id="423" w:name="_Toc1977722"/>
      <w:bookmarkStart w:id="424" w:name="_Toc30995"/>
      <w:bookmarkStart w:id="425" w:name="_Toc486167710"/>
      <w:r>
        <w:rPr>
          <w:rFonts w:hint="eastAsia" w:ascii="宋体" w:hAnsi="宋体" w:eastAsia="宋体" w:cs="宋体"/>
          <w:b/>
          <w:color w:val="000000" w:themeColor="text1"/>
          <w:kern w:val="0"/>
          <w:sz w:val="32"/>
          <w:szCs w:val="32"/>
          <w:highlight w:val="none"/>
          <w14:textFill>
            <w14:solidFill>
              <w14:schemeClr w14:val="tx1"/>
            </w14:solidFill>
          </w14:textFill>
        </w:rPr>
        <w:t>二、投标承诺书格式</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autoSpaceDE w:val="0"/>
        <w:autoSpaceDN w:val="0"/>
        <w:adjustRightInd w:val="0"/>
        <w:spacing w:line="360" w:lineRule="auto"/>
        <w:ind w:left="247"/>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投标承诺书</w:t>
      </w:r>
    </w:p>
    <w:p>
      <w:pPr>
        <w:widowControl/>
        <w:autoSpaceDE w:val="0"/>
        <w:autoSpaceDN w:val="0"/>
        <w:adjustRightInd w:val="0"/>
        <w:spacing w:line="360" w:lineRule="auto"/>
        <w:ind w:left="-320"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pPr>
        <w:widowControl/>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（投标人名称）已完整阅读了</w:t>
      </w:r>
      <w:r>
        <w:rPr>
          <w:rFonts w:hint="eastAsia" w:ascii="宋体" w:hAnsi="宋体" w:eastAsia="宋体" w:cs="Times New Roman"/>
          <w:color w:val="000000" w:themeColor="text1"/>
          <w:kern w:val="0"/>
          <w:szCs w:val="21"/>
          <w:highlight w:val="none"/>
          <w:u w:val="single"/>
          <w14:textFill>
            <w14:solidFill>
              <w14:schemeClr w14:val="tx1"/>
            </w14:solidFill>
          </w14:textFill>
        </w:rPr>
        <w:t>东莞市水务集团有限公司2024年度食堂食材采购项目</w:t>
      </w:r>
      <w:r>
        <w:rPr>
          <w:rFonts w:hint="eastAsia" w:ascii="宋体" w:hAnsi="宋体" w:eastAsia="宋体" w:cs="Times New Roman"/>
          <w:color w:val="000000" w:themeColor="text1"/>
          <w:kern w:val="0"/>
          <w:szCs w:val="21"/>
          <w:highlight w:val="none"/>
          <w14:textFill>
            <w14:solidFill>
              <w14:schemeClr w14:val="tx1"/>
            </w14:solidFill>
          </w14:textFill>
        </w:rPr>
        <w:t>（招标编号：广建咨询（东招）2024-0038号）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000000" w:themeColor="text1"/>
          <w:kern w:val="0"/>
          <w:szCs w:val="21"/>
          <w:highlight w:val="none"/>
          <w14:textFill>
            <w14:solidFill>
              <w14:schemeClr w14:val="tx1"/>
            </w14:solidFill>
          </w14:textFill>
        </w:rPr>
        <w:cr/>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承诺，若我方存在通过弄虚作假、虚假响应招标文件要求等手段骗取中标的，招标人有权或协助主管部门认定我方严重失信的不良行为，纳入相关</w:t>
      </w:r>
      <w:r>
        <w:rPr>
          <w:rFonts w:ascii="宋体" w:hAnsi="宋体" w:eastAsia="宋体" w:cs="宋体"/>
          <w:color w:val="000000" w:themeColor="text1"/>
          <w:kern w:val="0"/>
          <w:szCs w:val="21"/>
          <w:highlight w:val="none"/>
          <w14:textFill>
            <w14:solidFill>
              <w14:schemeClr w14:val="tx1"/>
            </w14:solidFill>
          </w14:textFill>
        </w:rPr>
        <w:t>企业信用“黑名单”</w:t>
      </w:r>
      <w:r>
        <w:rPr>
          <w:rFonts w:hint="eastAsia" w:ascii="宋体" w:hAnsi="宋体" w:eastAsia="宋体" w:cs="宋体"/>
          <w:color w:val="000000" w:themeColor="text1"/>
          <w:kern w:val="0"/>
          <w:szCs w:val="21"/>
          <w:highlight w:val="none"/>
          <w14:textFill>
            <w14:solidFill>
              <w14:schemeClr w14:val="tx1"/>
            </w14:solidFill>
          </w14:textFill>
        </w:rPr>
        <w:t>，限制我方参与依法必须招标项目的投标，并</w:t>
      </w:r>
      <w:r>
        <w:rPr>
          <w:rFonts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14:textFill>
            <w14:solidFill>
              <w14:schemeClr w14:val="tx1"/>
            </w14:solidFill>
          </w14:textFill>
        </w:rPr>
        <w:t>行政主管部门报送</w:t>
      </w:r>
      <w:r>
        <w:rPr>
          <w:rFonts w:ascii="宋体" w:hAnsi="宋体" w:eastAsia="宋体" w:cs="宋体"/>
          <w:color w:val="000000" w:themeColor="text1"/>
          <w:kern w:val="0"/>
          <w:szCs w:val="21"/>
          <w:highlight w:val="none"/>
          <w14:textFill>
            <w14:solidFill>
              <w14:schemeClr w14:val="tx1"/>
            </w14:solidFill>
          </w14:textFill>
        </w:rPr>
        <w:t>结果。</w:t>
      </w:r>
      <w:r>
        <w:rPr>
          <w:rFonts w:hint="eastAsia" w:ascii="宋体" w:hAnsi="宋体" w:eastAsia="宋体" w:cs="宋体"/>
          <w:color w:val="000000" w:themeColor="text1"/>
          <w:kern w:val="0"/>
          <w:szCs w:val="21"/>
          <w:highlight w:val="none"/>
          <w14:textFill>
            <w14:solidFill>
              <w14:schemeClr w14:val="tx1"/>
            </w14:solidFill>
          </w14:textFill>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若我方在投标或履行本合同过程中存在提供虚假材料、虚假响应招标文件要求等弄虚作假行为，或未能根据招标文件投标人须知第2</w:t>
      </w:r>
      <w:r>
        <w:rPr>
          <w:rFonts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14:textFill>
            <w14:solidFill>
              <w14:schemeClr w14:val="tx1"/>
            </w14:solidFill>
          </w14:textFill>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left="-320"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left="247"/>
        <w:jc w:val="left"/>
        <w:rPr>
          <w:rFonts w:ascii="宋体" w:hAnsi="宋体" w:eastAsia="宋体" w:cs="Times New Roman"/>
          <w:color w:val="000000" w:themeColor="text1"/>
          <w:kern w:val="0"/>
          <w:sz w:val="24"/>
          <w:szCs w:val="24"/>
          <w:highlight w:val="none"/>
          <w14:textFill>
            <w14:solidFill>
              <w14:schemeClr w14:val="tx1"/>
            </w14:solidFill>
          </w14:textFill>
        </w:rPr>
      </w:pPr>
    </w:p>
    <w:p>
      <w:pPr>
        <w:autoSpaceDE w:val="0"/>
        <w:autoSpaceDN w:val="0"/>
        <w:adjustRightInd w:val="0"/>
        <w:spacing w:line="360" w:lineRule="auto"/>
        <w:ind w:left="247"/>
        <w:jc w:val="left"/>
        <w:rPr>
          <w:rFonts w:ascii="宋体" w:hAnsi="宋体" w:eastAsia="宋体" w:cs="Times New Roman"/>
          <w:color w:val="000000" w:themeColor="text1"/>
          <w:kern w:val="0"/>
          <w:sz w:val="24"/>
          <w:szCs w:val="24"/>
          <w:highlight w:val="none"/>
          <w14:textFill>
            <w14:solidFill>
              <w14:schemeClr w14:val="tx1"/>
            </w14:solidFill>
          </w14:textFill>
        </w:rPr>
      </w:pPr>
    </w:p>
    <w:p>
      <w:pPr>
        <w:autoSpaceDE w:val="0"/>
        <w:autoSpaceDN w:val="0"/>
        <w:adjustRightInd w:val="0"/>
        <w:spacing w:line="360" w:lineRule="auto"/>
        <w:ind w:left="-320" w:firstLine="504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pPr>
        <w:autoSpaceDE w:val="0"/>
        <w:autoSpaceDN w:val="0"/>
        <w:adjustRightInd w:val="0"/>
        <w:spacing w:line="360" w:lineRule="auto"/>
        <w:ind w:left="-320" w:firstLine="504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法定代表人或其授权代表签名（或盖私章）：</w:t>
      </w:r>
    </w:p>
    <w:p>
      <w:pPr>
        <w:autoSpaceDE w:val="0"/>
        <w:autoSpaceDN w:val="0"/>
        <w:adjustRightInd w:val="0"/>
        <w:spacing w:line="360" w:lineRule="auto"/>
        <w:ind w:left="-320" w:firstLine="504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pPr>
        <w:autoSpaceDE w:val="0"/>
        <w:autoSpaceDN w:val="0"/>
        <w:adjustRightInd w:val="0"/>
        <w:spacing w:line="360" w:lineRule="auto"/>
        <w:ind w:left="-320"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spacing w:line="360" w:lineRule="auto"/>
        <w:ind w:left="247"/>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spacing w:line="360" w:lineRule="auto"/>
        <w:ind w:left="247"/>
        <w:jc w:val="left"/>
        <w:rPr>
          <w:rFonts w:ascii="宋体" w:hAnsi="宋体" w:eastAsia="宋体" w:cs="宋体"/>
          <w:color w:val="000000" w:themeColor="text1"/>
          <w:kern w:val="0"/>
          <w:sz w:val="24"/>
          <w:szCs w:val="24"/>
          <w:highlight w:val="none"/>
          <w14:textFill>
            <w14:solidFill>
              <w14:schemeClr w14:val="tx1"/>
            </w14:solidFill>
          </w14:textFill>
        </w:rPr>
      </w:pPr>
      <w:bookmarkStart w:id="426" w:name="_Toc326768876"/>
      <w:bookmarkStart w:id="427" w:name="_Toc316896755"/>
      <w:bookmarkStart w:id="428" w:name="_Toc311032584"/>
    </w:p>
    <w:p>
      <w:pPr>
        <w:ind w:left="247"/>
        <w:rPr>
          <w:rFonts w:ascii="宋体" w:hAnsi="宋体" w:eastAsia="宋体" w:cs="宋体"/>
          <w:b/>
          <w:color w:val="000000" w:themeColor="text1"/>
          <w:kern w:val="0"/>
          <w:sz w:val="32"/>
          <w:szCs w:val="32"/>
          <w:highlight w:val="none"/>
          <w14:textFill>
            <w14:solidFill>
              <w14:schemeClr w14:val="tx1"/>
            </w14:solidFill>
          </w14:textFill>
        </w:rPr>
      </w:pPr>
      <w:bookmarkStart w:id="429" w:name="_Toc102860415"/>
      <w:bookmarkStart w:id="430" w:name="_Toc104991872"/>
      <w:bookmarkStart w:id="431" w:name="_Toc94107206"/>
      <w:bookmarkStart w:id="432" w:name="_Toc7024_WPSOffice_Level2"/>
      <w:bookmarkStart w:id="433" w:name="_Toc18346"/>
      <w:bookmarkStart w:id="434" w:name="_Toc140596925"/>
      <w:bookmarkStart w:id="435" w:name="_Toc1140"/>
      <w:bookmarkStart w:id="436" w:name="_Toc102860071"/>
      <w:bookmarkStart w:id="437" w:name="_Toc486167711"/>
      <w:bookmarkStart w:id="438" w:name="_Toc142508366"/>
      <w:bookmarkStart w:id="439" w:name="_Toc533708123"/>
      <w:bookmarkStart w:id="440" w:name="_Toc13416"/>
      <w:bookmarkStart w:id="441" w:name="_Toc1977723"/>
      <w:r>
        <w:rPr>
          <w:rFonts w:hint="eastAsia" w:ascii="宋体" w:hAnsi="宋体" w:eastAsia="宋体" w:cs="宋体"/>
          <w:b/>
          <w:color w:val="000000" w:themeColor="text1"/>
          <w:kern w:val="0"/>
          <w:sz w:val="32"/>
          <w:szCs w:val="32"/>
          <w:highlight w:val="none"/>
          <w14:textFill>
            <w14:solidFill>
              <w14:schemeClr w14:val="tx1"/>
            </w14:solidFill>
          </w14:textFill>
        </w:rPr>
        <w:br w:type="page"/>
      </w:r>
    </w:p>
    <w:p>
      <w:pPr>
        <w:pageBreakBefore/>
        <w:autoSpaceDE w:val="0"/>
        <w:autoSpaceDN w:val="0"/>
        <w:adjustRightInd w:val="0"/>
        <w:spacing w:line="360" w:lineRule="auto"/>
        <w:ind w:left="24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442" w:name="_Toc5075"/>
      <w:bookmarkStart w:id="443" w:name="_Toc102860069"/>
      <w:bookmarkStart w:id="444" w:name="_Toc161843194"/>
      <w:bookmarkStart w:id="445" w:name="_Toc86764083"/>
      <w:bookmarkStart w:id="446" w:name="_Toc102860413"/>
      <w:bookmarkStart w:id="447" w:name="_Toc82182546"/>
      <w:bookmarkStart w:id="448" w:name="_Toc140596923"/>
      <w:bookmarkStart w:id="449" w:name="_Toc24336"/>
      <w:bookmarkStart w:id="450" w:name="_Toc94107204"/>
      <w:bookmarkStart w:id="451" w:name="_Toc142508364"/>
      <w:bookmarkStart w:id="452" w:name="_Toc29910"/>
      <w:bookmarkStart w:id="453" w:name="_Toc104991870"/>
      <w:r>
        <w:rPr>
          <w:rFonts w:hint="eastAsia" w:ascii="宋体" w:hAnsi="Calibri" w:eastAsia="宋体" w:cs="宋体"/>
          <w:b/>
          <w:color w:val="000000" w:themeColor="text1"/>
          <w:kern w:val="0"/>
          <w:sz w:val="32"/>
          <w:szCs w:val="32"/>
          <w:highlight w:val="none"/>
          <w14:textFill>
            <w14:solidFill>
              <w14:schemeClr w14:val="tx1"/>
            </w14:solidFill>
          </w14:textFill>
        </w:rPr>
        <w:t>三、供货</w:t>
      </w:r>
      <w:r>
        <w:rPr>
          <w:rFonts w:hint="eastAsia" w:ascii="宋体" w:hAnsi="宋体" w:eastAsia="宋体" w:cs="宋体"/>
          <w:b/>
          <w:color w:val="000000" w:themeColor="text1"/>
          <w:kern w:val="0"/>
          <w:sz w:val="32"/>
          <w:szCs w:val="32"/>
          <w:highlight w:val="none"/>
          <w14:textFill>
            <w14:solidFill>
              <w14:schemeClr w14:val="tx1"/>
            </w14:solidFill>
          </w14:textFill>
        </w:rPr>
        <w:t>及/或提供服务过程承诺函格式</w:t>
      </w:r>
      <w:bookmarkEnd w:id="442"/>
      <w:bookmarkEnd w:id="443"/>
      <w:bookmarkEnd w:id="444"/>
      <w:bookmarkEnd w:id="445"/>
      <w:bookmarkEnd w:id="446"/>
      <w:bookmarkEnd w:id="447"/>
      <w:bookmarkEnd w:id="448"/>
      <w:bookmarkEnd w:id="449"/>
      <w:bookmarkEnd w:id="450"/>
      <w:bookmarkEnd w:id="451"/>
      <w:bookmarkEnd w:id="452"/>
      <w:bookmarkEnd w:id="453"/>
    </w:p>
    <w:p>
      <w:pPr>
        <w:autoSpaceDE w:val="0"/>
        <w:autoSpaceDN w:val="0"/>
        <w:adjustRightInd w:val="0"/>
        <w:spacing w:line="360" w:lineRule="auto"/>
        <w:ind w:left="247"/>
        <w:jc w:val="center"/>
        <w:rPr>
          <w:rFonts w:ascii="宋体" w:hAnsi="宋体" w:eastAsia="宋体" w:cs="宋体"/>
          <w:b/>
          <w:color w:val="000000" w:themeColor="text1"/>
          <w:kern w:val="44"/>
          <w:sz w:val="30"/>
          <w:szCs w:val="30"/>
          <w:highlight w:val="none"/>
          <w14:textFill>
            <w14:solidFill>
              <w14:schemeClr w14:val="tx1"/>
            </w14:solidFill>
          </w14:textFill>
        </w:rPr>
      </w:pPr>
      <w:r>
        <w:rPr>
          <w:rFonts w:hint="eastAsia" w:ascii="宋体" w:hAnsi="宋体" w:eastAsia="宋体" w:cs="宋体"/>
          <w:b/>
          <w:color w:val="000000" w:themeColor="text1"/>
          <w:kern w:val="44"/>
          <w:sz w:val="30"/>
          <w:szCs w:val="30"/>
          <w:highlight w:val="none"/>
          <w14:textFill>
            <w14:solidFill>
              <w14:schemeClr w14:val="tx1"/>
            </w14:solidFill>
          </w14:textFill>
        </w:rPr>
        <w:t>供货及/或提供服务过程承诺函</w:t>
      </w:r>
    </w:p>
    <w:p>
      <w:pPr>
        <w:autoSpaceDE w:val="0"/>
        <w:autoSpaceDN w:val="0"/>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致东莞市水务集团有限公司：</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（投标人名称）为招标人公开招标的</w:t>
      </w:r>
      <w:r>
        <w:rPr>
          <w:rFonts w:hint="eastAsia" w:ascii="宋体" w:hAnsi="宋体" w:eastAsia="宋体" w:cs="Times New Roman"/>
          <w:color w:val="000000" w:themeColor="text1"/>
          <w:kern w:val="0"/>
          <w:szCs w:val="21"/>
          <w:highlight w:val="none"/>
          <w14:textFill>
            <w14:solidFill>
              <w14:schemeClr w14:val="tx1"/>
            </w14:solidFill>
          </w14:textFill>
        </w:rPr>
        <w:t>东莞市水务集团有限公司2024年度食堂食材采购项目</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广建咨询（东招）2024-0038号</w:t>
      </w:r>
      <w:r>
        <w:rPr>
          <w:rFonts w:hint="eastAsia" w:ascii="宋体" w:hAnsi="宋体" w:eastAsia="宋体" w:cs="宋体"/>
          <w:color w:val="000000" w:themeColor="text1"/>
          <w:kern w:val="0"/>
          <w:szCs w:val="21"/>
          <w:highlight w:val="none"/>
          <w14:textFill>
            <w14:solidFill>
              <w14:schemeClr w14:val="tx1"/>
            </w14:solidFill>
          </w14:textFill>
        </w:rPr>
        <w:t>)的投标单位，为确保供货及/或提供服务过程中的人身、财产安全，我方承诺，如我方获得中标资格，将严格按照下列要求开展工作。</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10、因我方原因，造成我方损失，由我方自负，给招标人造成财产损失和人员伤害，我方承担全部责任，并全额赔偿招标人。</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11、非因招标人原因，造成我方损失的，招标人无需承担任何责任，由我方自行承担全部责任。</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left="-3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left="-320" w:firstLine="50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pPr>
        <w:autoSpaceDE w:val="0"/>
        <w:autoSpaceDN w:val="0"/>
        <w:adjustRightInd w:val="0"/>
        <w:spacing w:line="360" w:lineRule="auto"/>
        <w:ind w:left="-320" w:firstLine="504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pPr>
        <w:autoSpaceDE w:val="0"/>
        <w:autoSpaceDN w:val="0"/>
        <w:adjustRightInd w:val="0"/>
        <w:spacing w:line="360" w:lineRule="auto"/>
        <w:ind w:left="-320" w:firstLine="504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pPr>
        <w:autoSpaceDE w:val="0"/>
        <w:autoSpaceDN w:val="0"/>
        <w:adjustRightInd w:val="0"/>
        <w:spacing w:line="360" w:lineRule="auto"/>
        <w:ind w:left="-320" w:right="420" w:firstLine="5040" w:firstLineChars="24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pPr>
        <w:ind w:left="247"/>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pPr>
        <w:pageBreakBefore/>
        <w:autoSpaceDE w:val="0"/>
        <w:autoSpaceDN w:val="0"/>
        <w:adjustRightInd w:val="0"/>
        <w:spacing w:line="360" w:lineRule="auto"/>
        <w:ind w:left="24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454" w:name="_Toc161843195"/>
      <w:r>
        <w:rPr>
          <w:rFonts w:hint="eastAsia" w:ascii="宋体" w:hAnsi="宋体" w:eastAsia="宋体" w:cs="宋体"/>
          <w:b/>
          <w:color w:val="000000" w:themeColor="text1"/>
          <w:kern w:val="0"/>
          <w:sz w:val="32"/>
          <w:szCs w:val="32"/>
          <w:highlight w:val="none"/>
          <w14:textFill>
            <w14:solidFill>
              <w14:schemeClr w14:val="tx1"/>
            </w14:solidFill>
          </w14:textFill>
        </w:rPr>
        <w:t>四、投标报价表格式</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54"/>
    </w:p>
    <w:p>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bookmarkStart w:id="455" w:name="_Toc102860416"/>
      <w:bookmarkStart w:id="456" w:name="_Toc1294"/>
      <w:bookmarkStart w:id="457" w:name="_Toc140596926"/>
      <w:bookmarkStart w:id="458" w:name="_Toc15425"/>
      <w:bookmarkStart w:id="459" w:name="_Toc24175"/>
      <w:bookmarkStart w:id="460" w:name="_Toc142508367"/>
      <w:bookmarkStart w:id="461" w:name="_Toc2395_WPSOffice_Level3"/>
      <w:bookmarkStart w:id="462" w:name="_Toc102860072"/>
      <w:bookmarkStart w:id="463" w:name="_Toc94107207"/>
      <w:bookmarkStart w:id="464" w:name="_Toc104991873"/>
      <w:r>
        <w:rPr>
          <w:rFonts w:hint="eastAsia" w:ascii="宋体" w:hAnsi="宋体" w:eastAsia="宋体" w:cs="宋体"/>
          <w:b/>
          <w:color w:val="000000" w:themeColor="text1"/>
          <w:kern w:val="0"/>
          <w:sz w:val="30"/>
          <w:szCs w:val="30"/>
          <w:highlight w:val="none"/>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.1 </w:t>
      </w:r>
      <w:r>
        <w:rPr>
          <w:rFonts w:hint="eastAsia" w:ascii="宋体" w:hAnsi="宋体" w:eastAsia="宋体" w:cs="宋体"/>
          <w:b/>
          <w:color w:val="000000" w:themeColor="text1"/>
          <w:kern w:val="0"/>
          <w:sz w:val="30"/>
          <w:szCs w:val="30"/>
          <w:highlight w:val="none"/>
          <w14:textFill>
            <w14:solidFill>
              <w14:schemeClr w14:val="tx1"/>
            </w14:solidFill>
          </w14:textFill>
        </w:rPr>
        <w:t>投标报价表</w:t>
      </w:r>
      <w:bookmarkEnd w:id="455"/>
      <w:bookmarkEnd w:id="456"/>
      <w:bookmarkEnd w:id="457"/>
      <w:bookmarkEnd w:id="458"/>
      <w:bookmarkEnd w:id="459"/>
      <w:bookmarkEnd w:id="460"/>
      <w:bookmarkEnd w:id="461"/>
      <w:bookmarkEnd w:id="462"/>
      <w:bookmarkEnd w:id="463"/>
      <w:bookmarkEnd w:id="464"/>
    </w:p>
    <w:p>
      <w:pPr>
        <w:spacing w:line="360" w:lineRule="auto"/>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投标报价表</w:t>
      </w:r>
    </w:p>
    <w:p>
      <w:pPr>
        <w:spacing w:line="360" w:lineRule="auto"/>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14:textFill>
            <w14:solidFill>
              <w14:schemeClr w14:val="tx1"/>
            </w14:solidFill>
          </w14:textFill>
        </w:rPr>
        <w:t>东莞市水务集团有限公司2024年度食堂食材采购项目</w:t>
      </w:r>
    </w:p>
    <w:p>
      <w:pPr>
        <w:spacing w:line="360" w:lineRule="auto"/>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14:textFill>
            <w14:solidFill>
              <w14:schemeClr w14:val="tx1"/>
            </w14:solidFill>
          </w14:textFill>
        </w:rPr>
        <w:t>广建咨询（东招）2024-0038号</w:t>
      </w:r>
    </w:p>
    <w:tbl>
      <w:tblPr>
        <w:tblStyle w:val="37"/>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6331"/>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69" w:type="dxa"/>
            <w:vAlign w:val="center"/>
          </w:tcPr>
          <w:p>
            <w:pPr>
              <w:tabs>
                <w:tab w:val="left" w:pos="654"/>
                <w:tab w:val="left" w:pos="1734"/>
                <w:tab w:val="left" w:pos="2814"/>
                <w:tab w:val="left" w:pos="3894"/>
                <w:tab w:val="left" w:pos="5334"/>
                <w:tab w:val="left" w:pos="6414"/>
                <w:tab w:val="left" w:pos="7254"/>
                <w:tab w:val="left" w:pos="8574"/>
                <w:tab w:val="left" w:pos="9654"/>
              </w:tabs>
              <w:ind w:left="247"/>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6331" w:type="dxa"/>
            <w:vAlign w:val="center"/>
          </w:tcPr>
          <w:p>
            <w:pPr>
              <w:tabs>
                <w:tab w:val="left" w:pos="654"/>
                <w:tab w:val="left" w:pos="1734"/>
                <w:tab w:val="left" w:pos="2814"/>
                <w:tab w:val="left" w:pos="3894"/>
                <w:tab w:val="left" w:pos="5334"/>
                <w:tab w:val="left" w:pos="6414"/>
                <w:tab w:val="left" w:pos="7254"/>
                <w:tab w:val="left" w:pos="8574"/>
                <w:tab w:val="left" w:pos="9654"/>
              </w:tabs>
              <w:ind w:left="247"/>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p>
        </w:tc>
        <w:tc>
          <w:tcPr>
            <w:tcW w:w="316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9" w:type="dxa"/>
            <w:vAlign w:val="center"/>
          </w:tcPr>
          <w:p>
            <w:pPr>
              <w:tabs>
                <w:tab w:val="left" w:pos="654"/>
                <w:tab w:val="left" w:pos="1734"/>
                <w:tab w:val="left" w:pos="2814"/>
                <w:tab w:val="left" w:pos="3894"/>
                <w:tab w:val="left" w:pos="5334"/>
                <w:tab w:val="left" w:pos="6414"/>
                <w:tab w:val="left" w:pos="7254"/>
                <w:tab w:val="left" w:pos="8574"/>
                <w:tab w:val="left" w:pos="9654"/>
              </w:tabs>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6331"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东莞市水务集团有限公司2024年度食堂食材采购项目</w:t>
            </w:r>
          </w:p>
        </w:tc>
        <w:tc>
          <w:tcPr>
            <w:tcW w:w="3168" w:type="dxa"/>
            <w:vAlign w:val="center"/>
          </w:tcPr>
          <w:p>
            <w:pPr>
              <w:tabs>
                <w:tab w:val="left" w:pos="360"/>
              </w:tabs>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自合同签订之日起一年</w:t>
            </w:r>
          </w:p>
        </w:tc>
      </w:tr>
    </w:tbl>
    <w:p>
      <w:pPr>
        <w:spacing w:line="353" w:lineRule="auto"/>
        <w:ind w:left="247"/>
        <w:rPr>
          <w:rFonts w:ascii="宋体" w:hAnsi="宋体" w:eastAsia="宋体" w:cs="宋体"/>
          <w:color w:val="000000" w:themeColor="text1"/>
          <w:highlight w:val="none"/>
          <w14:textFill>
            <w14:solidFill>
              <w14:schemeClr w14:val="tx1"/>
            </w14:solidFill>
          </w14:textFill>
        </w:rPr>
      </w:pPr>
    </w:p>
    <w:p>
      <w:pPr>
        <w:spacing w:line="360" w:lineRule="auto"/>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p>
      <w:pPr>
        <w:spacing w:line="360" w:lineRule="auto"/>
        <w:ind w:firstLine="422" w:firstLineChars="20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 本项目采用以下方式确定供货价格（定价原则）：</w:t>
      </w:r>
    </w:p>
    <w:p>
      <w:pPr>
        <w:spacing w:line="360" w:lineRule="auto"/>
        <w:ind w:firstLine="422" w:firstLineChars="20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原则上以东莞市发展和改革局（http://dgdp.dg.gov.cn/jggl/spjg/，网址仅供参考，具体以东莞市发展和改革局官方网址发布的为准）“东莞市菜篮子价格监测表”当月份最新公布本期（指招标人或招标人权属子公司或招标人权属子公司的分公司审批之日的最新期次）价格作为基准价抽样审核；若东莞物价专栏无最近当月份公布或招标人或招标人权属子公司或招标人权属子公司的分公司所需的相同品种，则招标人或招标人权属子公司或招标人权属子公司的分公司将对本市区农副产品市场（莞城细村农贸市场或新光明市场或长安沙头综合市场）的市场零售价（与中标人供货产品等级、质量相近的产品零售价）进行抽样调查，核定相同品种的市场零售价格作基准价。</w:t>
      </w:r>
    </w:p>
    <w:p>
      <w:pPr>
        <w:spacing w:line="360" w:lineRule="auto"/>
        <w:ind w:firstLine="422" w:firstLineChars="20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临时委托采购：中标人必须按照招标人或招标人权属子公司或招标人权属子公司的分公司急需餐料物资品种、数量、送货时间、地点等在2小时内进行供货，若急需餐料物资不在供货物资清单表上，该项临时需求食品材料纳入下次供货清单内，并按上述定价原则确定供货价。</w:t>
      </w:r>
    </w:p>
    <w:p>
      <w:pPr>
        <w:spacing w:line="360" w:lineRule="auto"/>
        <w:ind w:firstLine="422" w:firstLineChars="20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 定价周期：</w:t>
      </w:r>
    </w:p>
    <w:p>
      <w:pPr>
        <w:spacing w:line="360" w:lineRule="auto"/>
        <w:ind w:firstLine="422" w:firstLineChars="20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 A类（粮油干货类）、 B类（肉类）、 C类（蔬果类、其他类项）价格每半月更新一次，中标人每月12日前提交下半月报价给招标人或招标人权属子公司或招标人权属子公司的分公司审核，每月25日前提交下个月上半月报价给招标人或招标人权属子公司或招标人权属子公司的分公司审核。</w:t>
      </w:r>
    </w:p>
    <w:p>
      <w:pPr>
        <w:spacing w:line="360" w:lineRule="auto"/>
        <w:ind w:firstLine="422" w:firstLineChars="20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所供货品规格、型号报价与实际配送的规格型号相符合。核定价格后若供货时期市场出现部分类型餐料价格大幅浮动，升降在30%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函复，若在此期限内不予函复则以新定价格执行，除此之外，双方约定的供货物资价格在有效期内任何一方不得随意更改。</w:t>
      </w:r>
    </w:p>
    <w:p>
      <w:pPr>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b/>
          <w:bCs/>
          <w:color w:val="000000" w:themeColor="text1"/>
          <w:highlight w:val="none"/>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本表一式二份，一份随唱标信封一起提交，一份编入投标文件商务文件。</w:t>
      </w:r>
    </w:p>
    <w:p>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p>
    <w:p>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p>
    <w:p>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pPr>
        <w:autoSpaceDE w:val="0"/>
        <w:autoSpaceDN w:val="0"/>
        <w:adjustRightInd w:val="0"/>
        <w:spacing w:line="360" w:lineRule="auto"/>
        <w:ind w:firstLine="4960" w:firstLineChars="2362"/>
        <w:rPr>
          <w:color w:val="000000" w:themeColor="text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日期：   年   月   日</w:t>
      </w:r>
      <w:r>
        <w:rPr>
          <w:color w:val="000000" w:themeColor="text1"/>
          <w:highlight w:val="none"/>
          <w:lang w:val="zh-CN"/>
          <w14:textFill>
            <w14:solidFill>
              <w14:schemeClr w14:val="tx1"/>
            </w14:solidFill>
          </w14:textFill>
        </w:rPr>
        <w:br w:type="page"/>
      </w:r>
      <w:bookmarkStart w:id="465" w:name="_Toc1977725"/>
      <w:bookmarkStart w:id="466" w:name="_Toc142508369"/>
      <w:bookmarkStart w:id="467" w:name="_Toc140596928"/>
      <w:bookmarkStart w:id="468" w:name="_Toc23083"/>
      <w:bookmarkStart w:id="469" w:name="_Toc102860074"/>
      <w:bookmarkStart w:id="470" w:name="_Toc94107209"/>
      <w:bookmarkStart w:id="471" w:name="_Toc6190"/>
      <w:bookmarkStart w:id="472" w:name="_Toc26516"/>
      <w:bookmarkStart w:id="473" w:name="_Toc102860418"/>
      <w:bookmarkStart w:id="474" w:name="_Toc104991875"/>
      <w:bookmarkStart w:id="475" w:name="_Toc533708124"/>
      <w:bookmarkStart w:id="476" w:name="_Toc20759_WPSOffice_Level2"/>
      <w:bookmarkStart w:id="477" w:name="_Toc486167712"/>
    </w:p>
    <w:p>
      <w:pPr>
        <w:pStyle w:val="2"/>
        <w:ind w:left="247" w:right="2247"/>
        <w:jc w:val="both"/>
        <w:rPr>
          <w:rFonts w:cs="宋体"/>
          <w:b/>
          <w:color w:val="000000" w:themeColor="text1"/>
          <w:sz w:val="32"/>
          <w:szCs w:val="32"/>
          <w:highlight w:val="none"/>
          <w14:textFill>
            <w14:solidFill>
              <w14:schemeClr w14:val="tx1"/>
            </w14:solidFill>
          </w14:textFill>
        </w:rPr>
      </w:pPr>
      <w:bookmarkStart w:id="478" w:name="_Toc161843196"/>
      <w:r>
        <w:rPr>
          <w:rFonts w:hint="eastAsia" w:cs="宋体"/>
          <w:b/>
          <w:color w:val="000000" w:themeColor="text1"/>
          <w:sz w:val="32"/>
          <w:szCs w:val="32"/>
          <w:highlight w:val="none"/>
          <w14:textFill>
            <w14:solidFill>
              <w14:schemeClr w14:val="tx1"/>
            </w14:solidFill>
          </w14:textFill>
        </w:rPr>
        <w:t>五、投标人资格证明文件</w:t>
      </w:r>
      <w:bookmarkEnd w:id="465"/>
      <w:bookmarkEnd w:id="466"/>
      <w:bookmarkEnd w:id="467"/>
      <w:bookmarkEnd w:id="468"/>
      <w:bookmarkEnd w:id="469"/>
      <w:bookmarkEnd w:id="470"/>
      <w:bookmarkEnd w:id="471"/>
      <w:bookmarkEnd w:id="472"/>
      <w:bookmarkEnd w:id="473"/>
      <w:bookmarkEnd w:id="474"/>
      <w:bookmarkEnd w:id="478"/>
    </w:p>
    <w:p>
      <w:pPr>
        <w:ind w:left="247"/>
        <w:rPr>
          <w:rFonts w:ascii="宋体" w:hAnsi="宋体" w:eastAsia="宋体" w:cs="宋体"/>
          <w:b/>
          <w:color w:val="000000" w:themeColor="text1"/>
          <w:kern w:val="0"/>
          <w:sz w:val="30"/>
          <w:szCs w:val="30"/>
          <w:highlight w:val="none"/>
          <w14:textFill>
            <w14:solidFill>
              <w14:schemeClr w14:val="tx1"/>
            </w14:solidFill>
          </w14:textFill>
        </w:rPr>
      </w:pPr>
      <w:bookmarkStart w:id="479" w:name="_Toc17358"/>
      <w:bookmarkStart w:id="480" w:name="_Toc142508370"/>
      <w:bookmarkStart w:id="481" w:name="_Toc104991876"/>
      <w:bookmarkStart w:id="482" w:name="_Toc29874"/>
      <w:bookmarkStart w:id="483" w:name="_Toc25267"/>
      <w:bookmarkStart w:id="484" w:name="_Toc102860075"/>
      <w:bookmarkStart w:id="485" w:name="_Toc102860419"/>
      <w:bookmarkStart w:id="486" w:name="_Toc140596929"/>
      <w:bookmarkStart w:id="487" w:name="_Toc94107210"/>
      <w:bookmarkStart w:id="488" w:name="_Toc1977726"/>
      <w:r>
        <w:rPr>
          <w:rFonts w:hint="eastAsia" w:ascii="宋体" w:hAnsi="宋体" w:eastAsia="宋体" w:cs="宋体"/>
          <w:b/>
          <w:color w:val="000000" w:themeColor="text1"/>
          <w:kern w:val="0"/>
          <w:sz w:val="30"/>
          <w:szCs w:val="30"/>
          <w:highlight w:val="none"/>
          <w14:textFill>
            <w14:solidFill>
              <w14:schemeClr w14:val="tx1"/>
            </w14:solidFill>
          </w14:textFill>
        </w:rPr>
        <w:t>5.1 多证合一营业执照（或事业单位法人证书）复印件</w:t>
      </w:r>
      <w:bookmarkEnd w:id="479"/>
      <w:bookmarkEnd w:id="480"/>
      <w:bookmarkEnd w:id="481"/>
      <w:bookmarkEnd w:id="482"/>
      <w:bookmarkEnd w:id="483"/>
      <w:bookmarkEnd w:id="484"/>
      <w:bookmarkEnd w:id="485"/>
      <w:bookmarkEnd w:id="486"/>
      <w:bookmarkEnd w:id="487"/>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tabs>
          <w:tab w:val="left" w:pos="567"/>
        </w:tabs>
        <w:autoSpaceDE w:val="0"/>
        <w:autoSpaceDN w:val="0"/>
        <w:adjustRightInd w:val="0"/>
        <w:spacing w:line="360" w:lineRule="auto"/>
        <w:ind w:left="-320" w:firstLine="316" w:firstLineChars="150"/>
        <w:jc w:val="left"/>
        <w:outlineLvl w:val="2"/>
        <w:rPr>
          <w:rFonts w:ascii="宋体" w:hAnsi="宋体" w:eastAsia="宋体" w:cs="宋体"/>
          <w:b/>
          <w:color w:val="000000" w:themeColor="text1"/>
          <w:kern w:val="0"/>
          <w:szCs w:val="21"/>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p>
    <w:p>
      <w:pPr>
        <w:ind w:left="247"/>
        <w:rPr>
          <w:rFonts w:ascii="宋体" w:hAnsi="宋体" w:eastAsia="宋体" w:cs="宋体"/>
          <w:b/>
          <w:color w:val="000000" w:themeColor="text1"/>
          <w:kern w:val="0"/>
          <w:sz w:val="30"/>
          <w:szCs w:val="30"/>
          <w:highlight w:val="none"/>
          <w14:textFill>
            <w14:solidFill>
              <w14:schemeClr w14:val="tx1"/>
            </w14:solidFill>
          </w14:textFill>
        </w:rPr>
      </w:pPr>
      <w:bookmarkStart w:id="489" w:name="_Toc25013"/>
      <w:bookmarkStart w:id="490" w:name="_Toc102860420"/>
      <w:bookmarkStart w:id="491" w:name="_Toc102860076"/>
      <w:bookmarkStart w:id="492" w:name="_Toc104991877"/>
      <w:bookmarkStart w:id="493" w:name="_Toc94107211"/>
      <w:bookmarkStart w:id="494" w:name="_Toc7756"/>
      <w:bookmarkStart w:id="495" w:name="_Toc27861"/>
      <w:bookmarkStart w:id="496" w:name="_Toc142508371"/>
      <w:bookmarkStart w:id="497" w:name="_Toc140596930"/>
      <w:r>
        <w:rPr>
          <w:rFonts w:hint="eastAsia" w:ascii="宋体" w:hAnsi="宋体" w:eastAsia="宋体" w:cs="宋体"/>
          <w:b/>
          <w:color w:val="000000" w:themeColor="text1"/>
          <w:kern w:val="0"/>
          <w:sz w:val="30"/>
          <w:szCs w:val="30"/>
          <w:highlight w:val="none"/>
          <w14:textFill>
            <w14:solidFill>
              <w14:schemeClr w14:val="tx1"/>
            </w14:solidFill>
          </w14:textFill>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89"/>
      <w:bookmarkEnd w:id="490"/>
      <w:bookmarkEnd w:id="491"/>
      <w:bookmarkEnd w:id="492"/>
      <w:bookmarkEnd w:id="493"/>
      <w:bookmarkEnd w:id="494"/>
      <w:bookmarkEnd w:id="495"/>
      <w:bookmarkEnd w:id="496"/>
      <w:bookmarkEnd w:id="497"/>
    </w:p>
    <w:p>
      <w:pPr>
        <w:ind w:left="247"/>
        <w:rPr>
          <w:rFonts w:ascii="宋体" w:hAnsi="宋体" w:eastAsia="宋体" w:cs="宋体"/>
          <w:b/>
          <w:color w:val="000000" w:themeColor="text1"/>
          <w:kern w:val="0"/>
          <w:sz w:val="30"/>
          <w:szCs w:val="30"/>
          <w:highlight w:val="none"/>
          <w14:textFill>
            <w14:solidFill>
              <w14:schemeClr w14:val="tx1"/>
            </w14:solidFill>
          </w14:textFill>
        </w:rPr>
      </w:pPr>
      <w:bookmarkStart w:id="498" w:name="_Toc17499"/>
      <w:bookmarkStart w:id="499" w:name="_Toc142508372"/>
      <w:bookmarkStart w:id="500" w:name="_Toc9132"/>
      <w:bookmarkStart w:id="501" w:name="_Toc94107212"/>
      <w:bookmarkStart w:id="502" w:name="_Toc140596931"/>
      <w:bookmarkStart w:id="503" w:name="_Toc104991878"/>
      <w:bookmarkStart w:id="504" w:name="_Toc7441"/>
      <w:bookmarkStart w:id="505" w:name="_Toc102860421"/>
      <w:bookmarkStart w:id="506" w:name="_Toc102860077"/>
      <w:r>
        <w:rPr>
          <w:rFonts w:hint="eastAsia" w:ascii="宋体" w:hAnsi="宋体" w:eastAsia="宋体" w:cs="宋体"/>
          <w:b/>
          <w:color w:val="000000" w:themeColor="text1"/>
          <w:kern w:val="0"/>
          <w:sz w:val="30"/>
          <w:szCs w:val="30"/>
          <w:highlight w:val="none"/>
          <w14:textFill>
            <w14:solidFill>
              <w14:schemeClr w14:val="tx1"/>
            </w14:solidFill>
          </w14:textFill>
        </w:rPr>
        <w:br w:type="page"/>
      </w:r>
    </w:p>
    <w:p>
      <w:pPr>
        <w:ind w:left="247"/>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5.3</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法定代表人身份证明书原件、法定代表人授权书原件格式（法定代表人投标时只需提供法定代表人身份证明书，委托他人为投标代表或签署投标文件时需同时提供法定代表人授权书）</w:t>
      </w:r>
      <w:bookmarkEnd w:id="498"/>
      <w:bookmarkEnd w:id="499"/>
      <w:bookmarkEnd w:id="500"/>
      <w:bookmarkEnd w:id="501"/>
      <w:bookmarkEnd w:id="502"/>
      <w:bookmarkEnd w:id="503"/>
      <w:bookmarkEnd w:id="504"/>
      <w:bookmarkEnd w:id="505"/>
      <w:bookmarkEnd w:id="506"/>
    </w:p>
    <w:p>
      <w:pPr>
        <w:spacing w:before="120" w:after="120" w:line="360" w:lineRule="auto"/>
        <w:ind w:left="-320" w:firstLine="426" w:firstLineChars="202"/>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（1）法定代表人身份证明书格式</w:t>
      </w:r>
      <w:bookmarkEnd w:id="475"/>
      <w:bookmarkEnd w:id="476"/>
      <w:bookmarkEnd w:id="477"/>
      <w:bookmarkEnd w:id="488"/>
    </w:p>
    <w:p>
      <w:pPr>
        <w:spacing w:before="120" w:after="120" w:line="360" w:lineRule="auto"/>
        <w:ind w:left="-320" w:firstLine="608" w:firstLineChars="202"/>
        <w:jc w:val="center"/>
        <w:rPr>
          <w:rFonts w:ascii="宋体" w:hAnsi="宋体" w:eastAsia="宋体" w:cs="宋体"/>
          <w:b/>
          <w:color w:val="000000" w:themeColor="text1"/>
          <w:sz w:val="30"/>
          <w:szCs w:val="30"/>
          <w:highlight w:val="none"/>
          <w14:textFill>
            <w14:solidFill>
              <w14:schemeClr w14:val="tx1"/>
            </w14:solidFill>
          </w14:textFill>
        </w:rPr>
      </w:pPr>
    </w:p>
    <w:p>
      <w:pPr>
        <w:spacing w:before="120" w:after="120" w:line="360" w:lineRule="auto"/>
        <w:ind w:left="-320" w:firstLine="608" w:firstLineChars="202"/>
        <w:jc w:val="center"/>
        <w:rPr>
          <w:rFonts w:ascii="宋体" w:hAnsi="宋体" w:eastAsia="宋体" w:cs="宋体"/>
          <w:b/>
          <w:bCs/>
          <w:color w:val="000000" w:themeColor="text1"/>
          <w:sz w:val="30"/>
          <w:szCs w:val="30"/>
          <w:highlight w:val="none"/>
          <w14:textFill>
            <w14:solidFill>
              <w14:schemeClr w14:val="tx1"/>
            </w14:solidFill>
          </w14:textFill>
        </w:rPr>
      </w:pPr>
      <w:bookmarkStart w:id="507" w:name="_Toc11033_WPSOffice_Level3"/>
      <w:r>
        <w:rPr>
          <w:rFonts w:hint="eastAsia" w:ascii="宋体" w:hAnsi="宋体" w:eastAsia="宋体" w:cs="宋体"/>
          <w:b/>
          <w:color w:val="000000" w:themeColor="text1"/>
          <w:sz w:val="30"/>
          <w:szCs w:val="30"/>
          <w:highlight w:val="none"/>
          <w14:textFill>
            <w14:solidFill>
              <w14:schemeClr w14:val="tx1"/>
            </w14:solidFill>
          </w14:textFill>
        </w:rPr>
        <w:t>法定代</w:t>
      </w:r>
      <w:bookmarkStart w:id="508" w:name="_Toc45995270"/>
      <w:bookmarkStart w:id="509" w:name="_Toc36971359"/>
      <w:r>
        <w:rPr>
          <w:rFonts w:hint="eastAsia" w:ascii="宋体" w:hAnsi="宋体" w:eastAsia="宋体" w:cs="宋体"/>
          <w:b/>
          <w:color w:val="000000" w:themeColor="text1"/>
          <w:sz w:val="30"/>
          <w:szCs w:val="30"/>
          <w:highlight w:val="none"/>
          <w14:textFill>
            <w14:solidFill>
              <w14:schemeClr w14:val="tx1"/>
            </w14:solidFill>
          </w14:textFill>
        </w:rPr>
        <w:t>表人身份证明书</w:t>
      </w:r>
      <w:bookmarkEnd w:id="507"/>
    </w:p>
    <w:bookmarkEnd w:id="508"/>
    <w:bookmarkEnd w:id="509"/>
    <w:p>
      <w:pPr>
        <w:spacing w:before="120" w:after="120" w:line="360" w:lineRule="auto"/>
        <w:ind w:left="-320"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先生／女士：现任我单位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职务，为法定代表人，特此证明。</w:t>
      </w:r>
    </w:p>
    <w:p>
      <w:pPr>
        <w:spacing w:before="120" w:after="120" w:line="360" w:lineRule="auto"/>
        <w:ind w:left="-320"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有效日期：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签发日期：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pPr>
        <w:spacing w:before="120" w:after="120" w:line="360" w:lineRule="auto"/>
        <w:ind w:left="-320"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附：代表人性别：</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 年龄：</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身份证号码：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pPr>
        <w:spacing w:before="120" w:after="120" w:line="360" w:lineRule="auto"/>
        <w:ind w:left="-320"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营业执照号码：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经济性质： </w:t>
      </w:r>
    </w:p>
    <w:p>
      <w:pPr>
        <w:spacing w:before="120" w:after="120" w:line="360" w:lineRule="auto"/>
        <w:ind w:left="-320"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主营（产）：</w:t>
      </w:r>
    </w:p>
    <w:p>
      <w:pPr>
        <w:spacing w:before="120" w:after="120" w:line="360" w:lineRule="auto"/>
        <w:ind w:left="-320"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兼营（产）：</w:t>
      </w:r>
    </w:p>
    <w:p>
      <w:pPr>
        <w:spacing w:before="120" w:after="120" w:line="360" w:lineRule="auto"/>
        <w:ind w:left="-320"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附 法定代表人身份证复印件 </w:t>
      </w:r>
    </w:p>
    <w:p>
      <w:pPr>
        <w:spacing w:before="120" w:after="120" w:line="360" w:lineRule="auto"/>
        <w:ind w:left="340" w:leftChars="162" w:firstLine="47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pPr>
        <w:autoSpaceDE w:val="0"/>
        <w:autoSpaceDN w:val="0"/>
        <w:adjustRightInd w:val="0"/>
        <w:spacing w:line="360" w:lineRule="auto"/>
        <w:ind w:left="-320" w:right="1010" w:rightChars="481" w:firstLine="6090" w:firstLineChars="29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pPr>
        <w:autoSpaceDE w:val="0"/>
        <w:autoSpaceDN w:val="0"/>
        <w:adjustRightInd w:val="0"/>
        <w:ind w:left="247"/>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109220</wp:posOffset>
                </wp:positionV>
                <wp:extent cx="2790825" cy="1962150"/>
                <wp:effectExtent l="0" t="0" r="9525" b="0"/>
                <wp:wrapNone/>
                <wp:docPr id="7"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a:effectLst/>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文本框 6" o:spid="_x0000_s1026" o:spt="202" type="#_x0000_t202" style="position:absolute;left:0pt;margin-left:4.85pt;margin-top:8.6pt;height:154.5pt;width:219.75pt;z-index:251662336;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lRBbGEcCAACWBAAADgAAAGRycy9lMm9Eb2MueG1srVTN&#10;btswDL4P2DsIuq9OgqRtjDpF16LDgO4H6PYAiizHwiRRo5TY3QNsb9DTLrvvufIco+S0C7Jh6GE+&#10;GKJJfSS/j/TZeW8N2ygMGlzFx0cjzpSTUGu3qvjHD9cvTjkLUbhaGHCq4ncq8PPF82dnnS/VBFow&#10;tUJGIC6Una94G6MviyLIVlkRjsArR84G0IpIJq6KGkVH6NYUk9HouOgAa48gVQj09Wpw8h0iPgUQ&#10;mkZLdQVybZWLAyoqIyK1FFrtA1/kaptGyfiuaYKKzFScOo35TUnovEzvYnEmyhUK32q5K0E8pYSD&#10;nqzQjpI+Ql2JKNga9R9QVkuEAE08kmCLoZHMCHUxHh1wc9sKr3IvRHXwj6SH/wcr327eI9N1xU84&#10;c8KS4Nv7b9vvP7c/vrLjRE/nQ0lRt57iYv8Sehqa3GrwNyA/BebgshVupS4QoWuVqKm8cbpZ7F0d&#10;cEICWXZvoKY8Yh0hA/UN2sQdscEInaS5e5RG9ZFJ+jg5mY9OJzPOJPnG8+PJeJbFK0T5cN1jiK8U&#10;WJYOFUfSPsOLzU2IqRxRPoSkbAGMrq+1MdnA1fLSINsImpPr/OQODsKMY13F5zMq5N8Qo/z8DcLq&#10;SOtjtK346X6QcQlR5ZHd1ZvoS4wN3MV+2e/kWEJ9R0QiDONMy0yHFvALZx2NcsXD57VAxZl57UiM&#10;+Xg6TbOfjensZEIG7nuW+x7hJEFVPHI2HC/jsC9rj3rVUqZBfgcXJGCjM7Wp1KGqnew0rpnx3Wql&#10;fdi3c9Tv38n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j1YWXYAAAACAEAAA8AAAAAAAAAAQAg&#10;AAAAIgAAAGRycy9kb3ducmV2LnhtbFBLAQIUABQAAAAIAIdO4kCVEFsYRwIAAJYEAAAOAAAAAAAA&#10;AAEAIAAAACcBAABkcnMvZTJvRG9jLnhtbFBLBQYAAAAABgAGAFkBAADg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3128645</wp:posOffset>
                </wp:positionH>
                <wp:positionV relativeFrom="paragraph">
                  <wp:posOffset>109220</wp:posOffset>
                </wp:positionV>
                <wp:extent cx="2790825" cy="1962150"/>
                <wp:effectExtent l="0" t="0" r="9525" b="0"/>
                <wp:wrapNone/>
                <wp:docPr id="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a:effectLst/>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46.35pt;margin-top:8.6pt;height:154.5pt;width:219.75pt;z-index:251661312;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FXlTWBHAgAAlgQAAA4AAABkcnMvZTJvRG9jLnhtbK1U&#10;zW7bMAy+D9g7CLqvToKkbYw6Rdeiw4DuB+j2AIosx8IkUaOU2N0DbG/Q0y6777nyHKPktAuyYehh&#10;PhiiSX0kv4/02XlvDdsoDBpcxcdHI86Uk1Brt6r4xw/XL045C1G4WhhwquJ3KvDzxfNnZ50v1QRa&#10;MLVCRiAulJ2veBujL4siyFZZEY7AK0fOBtCKSCauihpFR+jWFJPR6LjoAGuPIFUI9PVqcPIdIj4F&#10;EJpGS3UFcm2ViwMqKiMitRRa7QNf5GqbRsn4rmmCisxUnDqN+U1J6LxM72JxJsoVCt9quStBPKWE&#10;g56s0I6SPkJdiSjYGvUfUFZLhABNPJJgi6GRzAh1MR4dcHPbCq9yL0R18I+kh/8HK99u3iPTdcWP&#10;OXPCkuDb+2/b7z+3P76yWaKn86GkqFtPcbF/CT0NTW41+BuQnwJzcNkKt1IXiNC1StRU3jjdLPau&#10;DjghgSy7N1BTHrGOkIH6Bm3ijthghE7S3D1Ko/rIJH2cnMxHp5MZZ5J84/nxZDzL4hWifLjuMcRX&#10;CixLh4ojaZ/hxeYmxFSOKB9CUrYARtfX2phs4Gp5aZBtBM3JdX5yBwdhxrGu4vMZFfJviFF+/gZh&#10;daT1MdpW/HQ/yLiEqPLI7upN9CXGBu5iv+x3ciyhviMiEYZxpmWmQwv4hbOORrni4fNaoOLMvHYk&#10;xnw8nabZz8Z0djIhA/c9y32PcJKgKh45G46XcdiXtUe9ainTIL+DCxKw0ZnaVOpQ1U52GtfM+G61&#10;0j7s2znq9+9k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UEWTR2QAAAAoBAAAPAAAAAAAAAAEA&#10;IAAAACIAAABkcnMvZG93bnJldi54bWxQSwECFAAUAAAACACHTuJAVeVNYEcCAACWBAAADgAAAAAA&#10;AAABACAAAAAoAQAAZHJzL2Uyb0RvYy54bWxQSwUGAAAAAAYABgBZAQAA4Q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109220</wp:posOffset>
                </wp:positionV>
                <wp:extent cx="2790825" cy="1962150"/>
                <wp:effectExtent l="0" t="0" r="9525" b="0"/>
                <wp:wrapNone/>
                <wp:docPr id="5"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a:effectLst/>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4.85pt;margin-top:8.6pt;height:154.5pt;width:219.75pt;z-index:251660288;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6gMa2UcCAACWBAAADgAAAGRycy9lMm9Eb2MueG1srVTN&#10;btswDL4P2DsIuq9OgqRtjDpF16LDgO4H6PYAiizHwiRRo5TY3QNsb9DTLrvvufoco+Q0C7Jh6GE+&#10;GKJJffz4kfTZeW8N2ygMGlzFx0cjzpSTUGu3qvjHD9cvTjkLUbhaGHCq4ncq8PPF82dnnS/VBFow&#10;tUJGIC6Una94G6MviyLIVlkRjsArR84G0IpIJq6KGkVH6NYUk9HouOgAa48gVQj09Wpw8i0iPgUQ&#10;mkZLdQVybZWLAyoqIyKVFFrtA19ktk2jZHzXNEFFZipOlcb8piR0XqZ3sTgT5QqFb7XcUhBPoXBQ&#10;kxXaUdId1JWIgq1R/wFltUQI0MQjCbYYCsmKUBXj0YE2t63wKtdCUge/Ez38P1j5dvMema4rPuPM&#10;CUsNf7j/9vD958OPr2ya5Ol8KCnq1lNc7F9CT0OTSw3+BuSnwBxctsKt1AUidK0SNdEbp5vF3tUB&#10;JySQZfcGasoj1hEyUN+gTdqRGozQqTV3u9aoPjJJHycn89HphDhK8o3nx5PxLDevEOXjdY8hvlJg&#10;WTpUHKn3GV5sbkJMdET5GJKyBTC6vtbGZANXy0uDbCNoTq7zkys4CDOOdRWfz4jIvyFG+fkbhNWR&#10;1sdoW/HT/SDjEqLKI7vlm+RLig3axX7Zb9uxhPqOhEQYxpmWmQ4t4BfOOhrliofPa4GKM/PaUTPm&#10;4+k0zX42prOTCRm471nue4STBFXxyNlwvIzDvqw96lVLmYb2O7igBjY6S5uoDqy2badxzYpvVyvt&#10;w76do37/Th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j1YWXYAAAACAEAAA8AAAAAAAAAAQAg&#10;AAAAIgAAAGRycy9kb3ducmV2LnhtbFBLAQIUABQAAAAIAIdO4kDqAxrZRwIAAJYEAAAOAAAAAAAA&#10;AAEAIAAAACcBAABkcnMvZTJvRG9jLnhtbFBLBQYAAAAABgAGAFkBAADgBQ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ind w:left="247"/>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ind w:left="247"/>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ind w:left="247"/>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ind w:left="247"/>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ind w:left="247"/>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ind w:left="247"/>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ind w:left="247"/>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ind w:left="247"/>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ind w:left="247"/>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ind w:left="247"/>
        <w:jc w:val="left"/>
        <w:rPr>
          <w:rFonts w:ascii="宋体" w:hAnsi="宋体" w:eastAsia="宋体" w:cs="宋体"/>
          <w:b/>
          <w:color w:val="000000" w:themeColor="text1"/>
          <w:kern w:val="0"/>
          <w:szCs w:val="21"/>
          <w:highlight w:val="none"/>
          <w14:textFill>
            <w14:solidFill>
              <w14:schemeClr w14:val="tx1"/>
            </w14:solidFill>
          </w14:textFill>
        </w:rPr>
      </w:pPr>
    </w:p>
    <w:p>
      <w:pPr>
        <w:autoSpaceDE w:val="0"/>
        <w:autoSpaceDN w:val="0"/>
        <w:adjustRightInd w:val="0"/>
        <w:ind w:left="247"/>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注：法定代表人身份证须在有效期限内。</w:t>
      </w:r>
    </w:p>
    <w:p>
      <w:pPr>
        <w:autoSpaceDE w:val="0"/>
        <w:autoSpaceDN w:val="0"/>
        <w:adjustRightInd w:val="0"/>
        <w:ind w:left="247"/>
        <w:jc w:val="left"/>
        <w:rPr>
          <w:rFonts w:ascii="宋体" w:hAnsi="宋体" w:eastAsia="宋体" w:cs="宋体"/>
          <w:color w:val="000000" w:themeColor="text1"/>
          <w:kern w:val="0"/>
          <w:szCs w:val="21"/>
          <w:highlight w:val="none"/>
          <w14:textFill>
            <w14:solidFill>
              <w14:schemeClr w14:val="tx1"/>
            </w14:solidFill>
          </w14:textFill>
        </w:rPr>
      </w:pPr>
    </w:p>
    <w:p>
      <w:pPr>
        <w:spacing w:before="120" w:after="120" w:line="360" w:lineRule="auto"/>
        <w:ind w:left="-320" w:firstLine="424" w:firstLineChars="202"/>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End w:id="426"/>
      <w:bookmarkEnd w:id="427"/>
      <w:bookmarkEnd w:id="428"/>
      <w:bookmarkStart w:id="510" w:name="_Toc6240_WPSOffice_Level2"/>
      <w:bookmarkStart w:id="511" w:name="_Toc533708125"/>
      <w:bookmarkStart w:id="512" w:name="_Toc1977727"/>
      <w:bookmarkStart w:id="513" w:name="_Toc486167713"/>
      <w:r>
        <w:rPr>
          <w:rFonts w:hint="eastAsia" w:ascii="宋体" w:hAnsi="宋体" w:eastAsia="宋体" w:cs="宋体"/>
          <w:b/>
          <w:color w:val="000000" w:themeColor="text1"/>
          <w:szCs w:val="24"/>
          <w:highlight w:val="none"/>
          <w14:textFill>
            <w14:solidFill>
              <w14:schemeClr w14:val="tx1"/>
            </w14:solidFill>
          </w14:textFill>
        </w:rPr>
        <w:t>（2）法定代表人授权书格式</w:t>
      </w:r>
      <w:bookmarkEnd w:id="510"/>
      <w:bookmarkEnd w:id="511"/>
      <w:bookmarkEnd w:id="512"/>
      <w:bookmarkEnd w:id="513"/>
    </w:p>
    <w:p>
      <w:pPr>
        <w:autoSpaceDE w:val="0"/>
        <w:autoSpaceDN w:val="0"/>
        <w:adjustRightInd w:val="0"/>
        <w:spacing w:line="360" w:lineRule="auto"/>
        <w:ind w:left="247"/>
        <w:jc w:val="center"/>
        <w:rPr>
          <w:rFonts w:ascii="宋体" w:hAnsi="宋体" w:eastAsia="宋体" w:cs="宋体"/>
          <w:b/>
          <w:bCs/>
          <w:color w:val="000000" w:themeColor="text1"/>
          <w:sz w:val="30"/>
          <w:szCs w:val="30"/>
          <w:highlight w:val="none"/>
          <w:lang w:val="zh-CN"/>
          <w14:textFill>
            <w14:solidFill>
              <w14:schemeClr w14:val="tx1"/>
            </w14:solidFill>
          </w14:textFill>
        </w:rPr>
      </w:pPr>
    </w:p>
    <w:p>
      <w:pPr>
        <w:autoSpaceDE w:val="0"/>
        <w:autoSpaceDN w:val="0"/>
        <w:adjustRightInd w:val="0"/>
        <w:spacing w:line="360" w:lineRule="auto"/>
        <w:ind w:left="247"/>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514" w:name="_Toc29146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法定代表人授权书</w:t>
      </w:r>
      <w:bookmarkEnd w:id="514"/>
    </w:p>
    <w:p>
      <w:pPr>
        <w:autoSpaceDE w:val="0"/>
        <w:autoSpaceDN w:val="0"/>
        <w:adjustRightInd w:val="0"/>
        <w:spacing w:line="360" w:lineRule="auto"/>
        <w:ind w:left="247"/>
        <w:jc w:val="center"/>
        <w:rPr>
          <w:rFonts w:ascii="宋体" w:hAnsi="宋体" w:eastAsia="宋体" w:cs="宋体"/>
          <w:color w:val="000000" w:themeColor="text1"/>
          <w:szCs w:val="28"/>
          <w:highlight w:val="none"/>
          <w:lang w:val="zh-CN"/>
          <w14:textFill>
            <w14:solidFill>
              <w14:schemeClr w14:val="tx1"/>
            </w14:solidFill>
          </w14:textFill>
        </w:rPr>
      </w:pPr>
    </w:p>
    <w:p>
      <w:pPr>
        <w:spacing w:before="120" w:after="120" w:line="360" w:lineRule="auto"/>
        <w:ind w:left="24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致：东莞市水务集团有限公司</w:t>
      </w:r>
    </w:p>
    <w:p>
      <w:pPr>
        <w:spacing w:before="120" w:after="120" w:line="360" w:lineRule="auto"/>
        <w:ind w:left="-320"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本授权书声明：注册于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（投标人地址）的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（法定代表人姓名、职务、身份证号码）代表本公司授权在下面签字或盖私章的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（被授权人的姓名、职务、身份证号码）为本公司的合法代表人，签署</w:t>
      </w:r>
      <w:r>
        <w:rPr>
          <w:rFonts w:hint="eastAsia" w:ascii="宋体" w:hAnsi="宋体" w:eastAsia="宋体" w:cs="宋体"/>
          <w:color w:val="000000" w:themeColor="text1"/>
          <w:szCs w:val="21"/>
          <w:highlight w:val="none"/>
          <w:u w:val="single"/>
          <w14:textFill>
            <w14:solidFill>
              <w14:schemeClr w14:val="tx1"/>
            </w14:solidFill>
          </w14:textFill>
        </w:rPr>
        <w:t>东莞市水务集团有限公司2024年度食堂食材采购项目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广建咨询（东招）2024-0038号</w:t>
      </w:r>
      <w:r>
        <w:rPr>
          <w:rFonts w:hint="eastAsia" w:ascii="宋体" w:hAnsi="宋体" w:eastAsia="宋体" w:cs="宋体"/>
          <w:color w:val="000000" w:themeColor="text1"/>
          <w:szCs w:val="21"/>
          <w:highlight w:val="none"/>
          <w:lang w:val="zh-CN"/>
          <w14:textFill>
            <w14:solidFill>
              <w14:schemeClr w14:val="tx1"/>
            </w14:solidFill>
          </w14:textFill>
        </w:rPr>
        <w:t>）的投标文件，</w:t>
      </w:r>
      <w:r>
        <w:rPr>
          <w:rFonts w:hint="eastAsia" w:ascii="宋体" w:hAnsi="宋体" w:eastAsia="宋体" w:cs="宋体"/>
          <w:color w:val="000000" w:themeColor="text1"/>
          <w:szCs w:val="21"/>
          <w:highlight w:val="none"/>
          <w14:textFill>
            <w14:solidFill>
              <w14:schemeClr w14:val="tx1"/>
            </w14:solidFill>
          </w14:textFill>
        </w:rPr>
        <w:t>代表我公司</w:t>
      </w:r>
      <w:r>
        <w:rPr>
          <w:rFonts w:hint="eastAsia" w:ascii="宋体" w:hAnsi="宋体" w:eastAsia="宋体" w:cs="宋体"/>
          <w:color w:val="000000" w:themeColor="text1"/>
          <w:szCs w:val="24"/>
          <w:highlight w:val="none"/>
          <w:lang w:val="zh-CN"/>
          <w14:textFill>
            <w14:solidFill>
              <w14:schemeClr w14:val="tx1"/>
            </w14:solidFill>
          </w14:textFill>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000000" w:themeColor="text1"/>
          <w:szCs w:val="21"/>
          <w:highlight w:val="none"/>
          <w14:textFill>
            <w14:solidFill>
              <w14:schemeClr w14:val="tx1"/>
            </w14:solidFill>
          </w14:textFill>
        </w:rPr>
        <w:t>我承认代理人全权代表我所签署的本项目投标文件的内容及</w:t>
      </w:r>
      <w:r>
        <w:rPr>
          <w:rFonts w:hint="eastAsia" w:ascii="宋体" w:hAnsi="宋体" w:eastAsia="宋体" w:cs="宋体"/>
          <w:color w:val="000000" w:themeColor="text1"/>
          <w:szCs w:val="24"/>
          <w:highlight w:val="none"/>
          <w:lang w:val="zh-CN"/>
          <w14:textFill>
            <w14:solidFill>
              <w14:schemeClr w14:val="tx1"/>
            </w14:solidFill>
          </w14:textFill>
        </w:rPr>
        <w:t>所进行的上述活动。</w:t>
      </w:r>
    </w:p>
    <w:p>
      <w:pPr>
        <w:spacing w:before="120" w:after="120" w:line="360" w:lineRule="auto"/>
        <w:ind w:left="-32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szCs w:val="24"/>
          <w:highlight w:val="none"/>
          <w:lang w:val="zh-CN"/>
          <w14:textFill>
            <w14:solidFill>
              <w14:schemeClr w14:val="tx1"/>
            </w14:solidFill>
          </w14:textFill>
        </w:rPr>
        <w:t>特此声明。</w:t>
      </w:r>
    </w:p>
    <w:p>
      <w:pPr>
        <w:spacing w:before="120" w:after="120" w:line="360" w:lineRule="auto"/>
        <w:ind w:left="348" w:leftChars="136" w:hanging="62"/>
        <w:rPr>
          <w:rFonts w:ascii="宋体" w:hAnsi="宋体" w:eastAsia="宋体" w:cs="宋体"/>
          <w:color w:val="000000" w:themeColor="text1"/>
          <w:szCs w:val="24"/>
          <w:highlight w:val="none"/>
          <w14:textFill>
            <w14:solidFill>
              <w14:schemeClr w14:val="tx1"/>
            </w14:solidFill>
          </w14:textFill>
        </w:rPr>
      </w:pPr>
    </w:p>
    <w:p>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  标  人：（加盖投标人法人公章）</w:t>
      </w:r>
    </w:p>
    <w:p>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投标人地址：</w:t>
      </w:r>
    </w:p>
    <w:p>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法定代表人（签名或盖私章）：</w:t>
      </w:r>
    </w:p>
    <w:p>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被授权人（签名或盖私章）：</w:t>
      </w:r>
    </w:p>
    <w:p>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被授权人联系手机：</w:t>
      </w:r>
    </w:p>
    <w:p>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电 子 邮 箱：</w:t>
      </w: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color w:val="000000" w:themeColor="text1"/>
          <w:szCs w:val="24"/>
          <w:highlight w:val="none"/>
          <w14:textFill>
            <w14:solidFill>
              <w14:schemeClr w14:val="tx1"/>
            </w14:solidFill>
          </w14:textFill>
        </w:rPr>
        <w:t>附 法定代表人、被授权人身份证复印件</w:t>
      </w: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69850</wp:posOffset>
                </wp:positionV>
                <wp:extent cx="2790825" cy="1762125"/>
                <wp:effectExtent l="0" t="0" r="9525" b="9525"/>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65.1pt;margin-top:5.5pt;height:138.75pt;width:219.75pt;z-index:251665408;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KfapJpFAgAAlgQAAA4AAABkcnMvZTJvRG9jLnhtbK1U&#10;zW4TMRC+I/EOlu90k5C2adRNVRIVIZUfqfAAjtebtbA9ZuxktzwAfQNOXLjzXH0Oxt5tCQWhHtjD&#10;yrMz/mbm+2b29Kyzhu0UBg2u5OODEWfKSai025T8w/uLZzPOQhSuEgacKvm1Cvxs8fTJaevnagIN&#10;mEohIxAX5q0veROjnxdFkI2yIhyAV46cNaAVkUzcFBWKltCtKSaj0VHRAlYeQaoQ6Ouqd/IBER8D&#10;CHWtpVqB3FrlYo+KyohILYVG+8AXudq6VjK+reugIjMlp05jflMSOq/Tu1icivkGhW+0HEoQjynh&#10;QU9WaEdJ76FWIgq2Rf0HlNUSIUAdDyTYom8kM0JdjEcPuLlqhFe5F6I6+HvSw/+DlW9275DpquRT&#10;zpywJPjt15vbbz9uv39hzxM9rQ9zirryFBe7F9DR0ORWg78E+TEwB8tGuI06R4S2UaKi8sbpZrF3&#10;tccJCWTdvoaK8ohthAzU1WgTd8QGI3SS5vpeGtVFJunj5PhkNJsccibJNz4+mozJSDnE/O66xxBf&#10;KrAsHUqOpH2GF7vLEPvQu5CULYDR1YU2Jhu4WS8Nsp2gObnIz4D+W5hxrC35ySHl/jfEKD9/g7A6&#10;0voYbUs+2w8yLiGqPLJDvYm+xFjPXezW3SDHGqprIhKhH2daZjo0gJ85a2mUSx4+bQUqzswrR2Kc&#10;jKfTNPvZmB4eT8jAfc963yOcJKiSR8764zL2+7L1qDcNZerld3BOAtY6U5tK7asaZKdxzeIMq5X2&#10;Yd/OUb9+J4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EQPedkAAAAKAQAADwAAAAAAAAABACAA&#10;AAAiAAAAZHJzL2Rvd25yZXYueG1sUEsBAhQAFAAAAAgAh07iQKfapJpFAgAAlgQAAA4AAAAAAAAA&#10;AQAgAAAAKAEAAGRycy9lMm9Eb2MueG1sUEsFBgAAAAAGAAYAWQEAAN8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69850</wp:posOffset>
                </wp:positionV>
                <wp:extent cx="2790825" cy="1762125"/>
                <wp:effectExtent l="0" t="0" r="9525" b="952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4.35pt;margin-top:5.5pt;height:138.75pt;width:219.75pt;z-index:251663360;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WORsS0UCAACWBAAADgAAAGRycy9lMm9Eb2MueG1srVTN&#10;btQwEL4j8Q6W7zS7Yfu32mxVWhUhlR+p8ABex9lY2B4z9m5SHoC+AScu3HmuPgdjJy1LQagHcog8&#10;mfE3M983k8VJbw3bKgwaXMWnexPOlJNQa7eu+If3F8+OOAtRuFoYcKri1yrwk+XTJ4vOz1UJLZha&#10;ISMQF+adr3gbo58XRZCtsiLsgVeOnA2gFZFMXBc1io7QrSnKyeSg6ABrjyBVCPT1fHDyEREfAwhN&#10;o6U6B7mxysUBFZURkVoKrfaBL3O1TaNkfNs0QUVmKk6dxvymJHRepXexXIj5GoVvtRxLEI8p4UFP&#10;VmhHSe+hzkUUbIP6DyirJUKAJu5JsMXQSGaEuphOHnBz1Qqvci9EdfD3pIf/ByvfbN8h03XFn3Pm&#10;hCXBb7/e3H77cfv9CysTPZ0Pc4q68hQX+xfQ09DkVoO/BPkxMAdnrXBrdYoIXatETeVN081i5+qA&#10;ExLIqnsNNeURmwgZqG/QJu6IDUboJM31vTSqj0zSx/LweHJU7nMmyTc9PCinZKQcYn533WOILxVY&#10;lg4VR9I+w4vtZYhD6F1IyhbA6PpCG5MNXK/ODLKtoDm5yM+I/luYcayr+PE+5f43xCQ/f4OwOtL6&#10;GG0rfrQbZFxCVHlkx3oTfYmxgbvYr/pRjhXU10QkwjDOtMx0aAE/c9bRKFc8fNoIVJyZV47EOJ7O&#10;Zmn2szHbPyzJwF3PatcjnCSoikfOhuNZHPZl41GvW8o0yO/glARsdKY2lTpUNcpO45rFGVcr7cOu&#10;naN+/U6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iu+XY2AAAAAkBAAAPAAAAAAAAAAEAIAAA&#10;ACIAAABkcnMvZG93bnJldi54bWxQSwECFAAUAAAACACHTuJAWORsS0UCAACWBAAADgAAAAAAAAAB&#10;ACAAAAAnAQAAZHJzL2Uyb0RvYy54bWxQSwUGAAAAAAYABgBZAQAA3g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3366770</wp:posOffset>
                </wp:positionH>
                <wp:positionV relativeFrom="paragraph">
                  <wp:posOffset>102235</wp:posOffset>
                </wp:positionV>
                <wp:extent cx="2743200" cy="177165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265.1pt;margin-top:8.05pt;height:139.5pt;width:216pt;z-index:251666432;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eNZqVLAgAAlgQAAA4AAABkcnMvZTJvRG9jLnhtbK1U&#10;zW4TMRC+I/EOlu90k5A0bdRNVRIVIZUfqfAAjtebtbA9ZuxktzwAfQNOXLjzXHkOxt60hAJSD+xh&#10;5dkZfzPfNzN7dt5Zw7YKgwZX8uHRgDPlJFTarUv+4f3lsxPOQhSuEgacKvmNCvx8/vTJWetnagQN&#10;mEohIxAXZq0veROjnxVFkI2yIhyBV46cNaAVkUxcFxWKltCtKUaDwXHRAlYeQaoQ6Ouyd/I9Ij4G&#10;EOpaS7UEubHKxR4VlRGRKIVG+8Dnudq6VjK+reugIjMlJ6YxvykJnVfpXczPxGyNwjda7ksQjynh&#10;AScrtKOk91BLEQXboP4DymqJEKCORxJs0RPJihCL4eCBNteN8CpzIamDvxc9/D9Y+Wb7DpmuSj7i&#10;zAlLDd99vd19+7H7/oUNkzytDzOKuvYUF7sX0NHQZKrBX4H8GJiDRSPcWl0gQtsoUVF5+WZxcLXH&#10;CQlk1b6GivKITYQM1NVok3akBiN0as3NfWtUF5mkj6Pp+DlND2eSfMPpdHg8yc0rxOzuuscQXyqw&#10;LB1KjtT7DC+2VyESEQq9C0nZAhhdXWpjsoHr1cIg2wqak8v8JO505bcw41hb8tPJaNIr8E+IQX7+&#10;BmF1pPUx2pb85DDIuFSHyiO7rzfJlxTrtYvdqtu3YwXVDQmJ0I8zLTMdGsDPnLU0yiUPnzYCFWfm&#10;laNmnA7H4zT72RhPpiMy8NCzOvQIJwmq5JGz/riI/b5sPOp1Q5n69ju4oAbWOkubSu2rItGSQeOa&#10;5duvVtqHQztH/fqdz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YHyI9kAAAAKAQAADwAAAAAA&#10;AAABACAAAAAiAAAAZHJzL2Rvd25yZXYueG1sUEsBAhQAFAAAAAgAh07iQDeNZqVLAgAAlgQAAA4A&#10;AAAAAAAAAQAgAAAAKAEAAGRycy9lMm9Eb2MueG1sUEsFBgAAAAAGAAYAWQEAAOU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309245</wp:posOffset>
                </wp:positionH>
                <wp:positionV relativeFrom="paragraph">
                  <wp:posOffset>102235</wp:posOffset>
                </wp:positionV>
                <wp:extent cx="2743200" cy="17716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4384;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B5cOi0sCAACWBAAADgAAAGRycy9lMm9Eb2MueG1srVTN&#10;bhMxEL4j8Q6W73STkDRt1E1VUhUhlR+p8ACO15u1sD1m7GS3PAB9A05cuPNceQ7G3rSsCoce2IPl&#10;8Yw/z/fNzJ6dd9awncKgwZV8fDTiTDkJlXabkn/6ePXihLMQhauEAadKfqsCP18+f3bW+oWaQAOm&#10;UsgIxIVF60vexOgXRRFko6wIR+CVI2cNaEUkEzdFhaIldGuKyWh0XLSAlUeQKgQ6veyd/ICITwGE&#10;utZSXYLcWuVij4rKiEiUQqN94MucbV0rGd/XdVCRmZIT05hXeoT267QWyzOx2KDwjZaHFMRTUnjE&#10;yQrt6NEHqEsRBdui/gvKaokQoI5HEmzRE8mKEIvx6JE2N43wKnMhqYN/ED38P1j5bvcBma6oEzhz&#10;wlLB99/v9j9+7X9+Y+MkT+vDgqJuPMXF7hV0KTRRDf4a5OfAHKwa4TbqAhHaRomK0ss3i8HVHick&#10;kHX7Fip6R2wjZKCuRpsASQ1G6FSa24fSqC4ySYeT+fQldQ9nknzj+Xx8PMvFK8Ti/rrHEF8rsCxt&#10;So5U+wwvdtchEhEKvQ/J6YPR1ZU2Jhu4Wa8Msp2gPrnKX+JOV8IwzDjWlvx0Npn1Cgx9YQgxyt+/&#10;IKyOND5G25KfDIOMS3mo3LKHfJN8SbFeu9itu0M51lDdkpAIfTvTMNOmAfzKWUutXPLwZStQcWbe&#10;OCrG6Xg6Tb2fjelsPiEDh5710COcJKiSR8767Sr287L1qDcNvdSX38EFFbDWWdqUap8ViZYMatcs&#10;32G00jwM7Rz153ey/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LFRAn2AAAAAkBAAAPAAAAAAAA&#10;AAEAIAAAACIAAABkcnMvZG93bnJldi54bWxQSwECFAAUAAAACACHTuJAB5cOi0sCAACWBAAADgAA&#10;AAAAAAABACAAAAAnAQAAZHJzL2Uyb0RvYy54bWxQSwUGAAAAAAYABgBZAQAA5A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left="-320"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left="-320" w:right="781" w:rightChars="372" w:firstLine="422" w:firstLineChars="200"/>
        <w:textAlignment w:val="bottom"/>
        <w:rPr>
          <w:rFonts w:ascii="宋体" w:hAnsi="宋体" w:eastAsia="宋体" w:cs="宋体"/>
          <w:b/>
          <w:color w:val="000000" w:themeColor="text1"/>
          <w:szCs w:val="24"/>
          <w:highlight w:val="none"/>
          <w14:textFill>
            <w14:solidFill>
              <w14:schemeClr w14:val="tx1"/>
            </w14:solidFill>
          </w14:textFill>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000000" w:themeColor="text1"/>
          <w:szCs w:val="24"/>
          <w:highlight w:val="none"/>
          <w14:textFill>
            <w14:solidFill>
              <w14:schemeClr w14:val="tx1"/>
            </w14:solidFill>
          </w14:textFill>
        </w:rPr>
        <w:t>注：上述所附身份证应在有效期限内。</w:t>
      </w:r>
    </w:p>
    <w:p>
      <w:pPr>
        <w:ind w:left="247"/>
        <w:rPr>
          <w:rFonts w:ascii="宋体" w:hAnsi="宋体" w:eastAsia="宋体" w:cs="宋体"/>
          <w:b/>
          <w:color w:val="000000" w:themeColor="text1"/>
          <w:kern w:val="0"/>
          <w:sz w:val="30"/>
          <w:szCs w:val="30"/>
          <w:highlight w:val="none"/>
          <w14:textFill>
            <w14:solidFill>
              <w14:schemeClr w14:val="tx1"/>
            </w14:solidFill>
          </w14:textFill>
        </w:rPr>
      </w:pPr>
      <w:bookmarkStart w:id="515" w:name="_Toc12400"/>
      <w:bookmarkStart w:id="516" w:name="_Toc32328"/>
      <w:bookmarkStart w:id="517" w:name="_Toc15716"/>
      <w:bookmarkStart w:id="518" w:name="_Toc1977730"/>
      <w:bookmarkStart w:id="519" w:name="_Toc142508373"/>
      <w:bookmarkStart w:id="520" w:name="_Toc104991880"/>
      <w:bookmarkStart w:id="521" w:name="_Toc140596933"/>
      <w:bookmarkStart w:id="522" w:name="_Toc94107214"/>
      <w:r>
        <w:rPr>
          <w:rFonts w:hint="eastAsia" w:ascii="宋体" w:hAnsi="宋体" w:eastAsia="宋体" w:cs="宋体"/>
          <w:b/>
          <w:color w:val="000000" w:themeColor="text1"/>
          <w:kern w:val="0"/>
          <w:sz w:val="30"/>
          <w:szCs w:val="30"/>
          <w:highlight w:val="none"/>
          <w14:textFill>
            <w14:solidFill>
              <w14:schemeClr w14:val="tx1"/>
            </w14:solidFill>
          </w14:textFill>
        </w:rPr>
        <w:t>5.4</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食品药品监督管理部门或市场监督管理部门颁发并在有效期内的食品经营许可证复印件</w:t>
      </w:r>
    </w:p>
    <w:p>
      <w:pPr>
        <w:ind w:left="247"/>
        <w:rPr>
          <w:rFonts w:hAnsi="宋体" w:cs="宋体"/>
          <w:b/>
          <w:color w:val="000000" w:themeColor="text1"/>
          <w:sz w:val="30"/>
          <w:szCs w:val="30"/>
          <w:highlight w:val="none"/>
          <w14:textFill>
            <w14:solidFill>
              <w14:schemeClr w14:val="tx1"/>
            </w14:solidFill>
          </w14:textFill>
        </w:rPr>
      </w:pPr>
      <w:r>
        <w:rPr>
          <w:rFonts w:hAnsi="宋体" w:cs="宋体"/>
          <w:b/>
          <w:color w:val="000000" w:themeColor="text1"/>
          <w:sz w:val="30"/>
          <w:szCs w:val="30"/>
          <w:highlight w:val="none"/>
          <w14:textFill>
            <w14:solidFill>
              <w14:schemeClr w14:val="tx1"/>
            </w14:solidFill>
          </w14:textFill>
        </w:rPr>
        <w:br w:type="page"/>
      </w:r>
    </w:p>
    <w:p>
      <w:pPr>
        <w:ind w:left="247"/>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5.5资格业绩【投标人提供一份2021年1月1日以来已完成或正在服务的饭堂、食堂食品或者食材供应链配送服务项目业绩（合同签订日期为2021年1月1日或以后）】</w:t>
      </w:r>
      <w:bookmarkEnd w:id="515"/>
      <w:bookmarkEnd w:id="516"/>
      <w:bookmarkEnd w:id="517"/>
    </w:p>
    <w:p>
      <w:pPr>
        <w:spacing w:line="360" w:lineRule="auto"/>
        <w:ind w:left="247"/>
        <w:rPr>
          <w:rFonts w:ascii="宋体" w:hAnsi="宋体" w:eastAsia="宋体" w:cs="宋体"/>
          <w:b/>
          <w:color w:val="000000" w:themeColor="text1"/>
          <w:szCs w:val="21"/>
          <w:highlight w:val="none"/>
          <w:lang w:val="zh-CN"/>
          <w14:textFill>
            <w14:solidFill>
              <w14:schemeClr w14:val="tx1"/>
            </w14:solidFill>
          </w14:textFill>
        </w:rPr>
      </w:pPr>
    </w:p>
    <w:tbl>
      <w:tblPr>
        <w:tblStyle w:val="37"/>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46"/>
        <w:gridCol w:w="1085"/>
        <w:gridCol w:w="1087"/>
        <w:gridCol w:w="1087"/>
        <w:gridCol w:w="1087"/>
        <w:gridCol w:w="1270"/>
        <w:gridCol w:w="1087"/>
        <w:gridCol w:w="1089"/>
        <w:gridCol w:w="1088"/>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746"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085"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1087"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项目规模</w:t>
            </w:r>
          </w:p>
        </w:tc>
        <w:tc>
          <w:tcPr>
            <w:tcW w:w="1087"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合同主要服务内容</w:t>
            </w:r>
          </w:p>
        </w:tc>
        <w:tc>
          <w:tcPr>
            <w:tcW w:w="1087"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合同期限</w:t>
            </w:r>
          </w:p>
        </w:tc>
        <w:tc>
          <w:tcPr>
            <w:tcW w:w="1270"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签约日期</w:t>
            </w:r>
          </w:p>
        </w:tc>
        <w:tc>
          <w:tcPr>
            <w:tcW w:w="1087"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服务完成情况</w:t>
            </w:r>
          </w:p>
        </w:tc>
        <w:tc>
          <w:tcPr>
            <w:tcW w:w="1089"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服务质量情况</w:t>
            </w:r>
          </w:p>
        </w:tc>
        <w:tc>
          <w:tcPr>
            <w:tcW w:w="1088"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业主联系人及电话</w:t>
            </w:r>
          </w:p>
        </w:tc>
        <w:tc>
          <w:tcPr>
            <w:tcW w:w="897"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4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085"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27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89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4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085"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27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89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4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085"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27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89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4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1085"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27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08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89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bl>
    <w:p>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p>
    <w:p>
      <w:pPr>
        <w:spacing w:line="360" w:lineRule="auto"/>
        <w:ind w:left="424" w:hanging="424" w:hangingChars="201"/>
        <w:jc w:val="left"/>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资格业绩证明材料提交要求：</w:t>
      </w:r>
    </w:p>
    <w:p>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（1）业绩须附合同复印件加盖投标人公章；</w:t>
      </w:r>
    </w:p>
    <w:p>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（2）合同必须能反映评分条件（合同签订日期为</w:t>
      </w:r>
      <w:r>
        <w:rPr>
          <w:rFonts w:hint="eastAsia" w:ascii="宋体" w:hAnsi="宋体" w:eastAsia="宋体" w:cs="宋体"/>
          <w:color w:val="000000" w:themeColor="text1"/>
          <w:szCs w:val="21"/>
          <w:highlight w:val="none"/>
          <w14:textFill>
            <w14:solidFill>
              <w14:schemeClr w14:val="tx1"/>
            </w14:solidFill>
          </w14:textFill>
        </w:rPr>
        <w:t>2021</w:t>
      </w:r>
      <w:r>
        <w:rPr>
          <w:rFonts w:hint="eastAsia" w:ascii="宋体" w:hAnsi="宋体" w:eastAsia="宋体" w:cs="宋体"/>
          <w:color w:val="000000" w:themeColor="text1"/>
          <w:szCs w:val="21"/>
          <w:highlight w:val="none"/>
          <w:lang w:val="zh-CN"/>
          <w14:textFill>
            <w14:solidFill>
              <w14:schemeClr w14:val="tx1"/>
            </w14:solidFill>
          </w14:textFill>
        </w:rPr>
        <w:t>年1月1日或以后，合同服务内容必须为食品或者食材配送服务），否则，需同时提供合同买方出具的书面补充说明文件复印件作为证明文件（需加盖合同买方公章）；</w:t>
      </w:r>
    </w:p>
    <w:p>
      <w:pPr>
        <w:spacing w:line="360" w:lineRule="auto"/>
        <w:ind w:left="424" w:hanging="424" w:hangingChars="201"/>
        <w:jc w:val="left"/>
        <w:rPr>
          <w:rFonts w:ascii="宋体" w:hAnsi="宋体" w:eastAsia="宋体" w:cs="宋体"/>
          <w:b/>
          <w:color w:val="000000" w:themeColor="text1"/>
          <w:kern w:val="0"/>
          <w:sz w:val="30"/>
          <w:szCs w:val="30"/>
          <w:highlight w:val="none"/>
          <w14:textFill>
            <w14:solidFill>
              <w14:schemeClr w14:val="tx1"/>
            </w14:solidFill>
          </w14:textFill>
        </w:rPr>
      </w:pPr>
      <w:bookmarkStart w:id="523" w:name="_Toc24862"/>
      <w:bookmarkStart w:id="524" w:name="_Toc20010"/>
      <w:bookmarkStart w:id="525" w:name="_Toc12931"/>
      <w:r>
        <w:rPr>
          <w:rFonts w:hint="eastAsia" w:ascii="宋体" w:hAnsi="宋体" w:eastAsia="宋体" w:cs="宋体"/>
          <w:b/>
          <w:color w:val="000000" w:themeColor="text1"/>
          <w:szCs w:val="21"/>
          <w:highlight w:val="none"/>
          <w:lang w:val="zh-CN"/>
          <w14:textFill>
            <w14:solidFill>
              <w14:schemeClr w14:val="tx1"/>
            </w14:solidFill>
          </w14:textFill>
        </w:rPr>
        <w:t>（3）</w:t>
      </w:r>
      <w:bookmarkEnd w:id="523"/>
      <w:bookmarkEnd w:id="524"/>
      <w:bookmarkEnd w:id="525"/>
      <w:r>
        <w:rPr>
          <w:rFonts w:hint="eastAsia" w:ascii="宋体" w:hAnsi="宋体" w:eastAsia="宋体" w:cs="宋体"/>
          <w:b/>
          <w:color w:val="000000" w:themeColor="text1"/>
          <w:szCs w:val="21"/>
          <w:highlight w:val="none"/>
          <w:lang w:val="zh-CN"/>
          <w14:textFill>
            <w14:solidFill>
              <w14:schemeClr w14:val="tx1"/>
            </w14:solidFill>
          </w14:textFill>
        </w:rPr>
        <w:t>未按上述要求在此格式下提供证明材料的业绩，或在此格式下所附材料无法证明符合资格要求的业绩，按无效投标文件处理。</w:t>
      </w:r>
    </w:p>
    <w:p>
      <w:pPr>
        <w:ind w:left="247"/>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p>
    <w:p>
      <w:pPr>
        <w:ind w:left="247"/>
        <w:rPr>
          <w:rFonts w:ascii="宋体" w:hAnsi="宋体" w:eastAsia="宋体" w:cs="宋体"/>
          <w:b/>
          <w:color w:val="000000" w:themeColor="text1"/>
          <w:kern w:val="0"/>
          <w:sz w:val="30"/>
          <w:szCs w:val="30"/>
          <w:highlight w:val="none"/>
          <w14:textFill>
            <w14:solidFill>
              <w14:schemeClr w14:val="tx1"/>
            </w14:solidFill>
          </w14:textFill>
        </w:rPr>
      </w:pPr>
      <w:bookmarkStart w:id="526" w:name="_Toc8121"/>
      <w:bookmarkStart w:id="527" w:name="_Toc7508"/>
      <w:bookmarkStart w:id="528" w:name="_Toc21843"/>
      <w:r>
        <w:rPr>
          <w:rFonts w:hint="eastAsia" w:ascii="宋体" w:hAnsi="宋体" w:eastAsia="宋体" w:cs="宋体"/>
          <w:b/>
          <w:color w:val="000000" w:themeColor="text1"/>
          <w:kern w:val="0"/>
          <w:sz w:val="30"/>
          <w:szCs w:val="30"/>
          <w:highlight w:val="none"/>
          <w14:textFill>
            <w14:solidFill>
              <w14:schemeClr w14:val="tx1"/>
            </w14:solidFill>
          </w14:textFill>
        </w:rPr>
        <w:t>5.6 最近3年投标人牵涉的其他（失信和违法）处罚说明格式</w:t>
      </w:r>
      <w:bookmarkEnd w:id="518"/>
      <w:bookmarkEnd w:id="519"/>
      <w:bookmarkEnd w:id="520"/>
      <w:bookmarkEnd w:id="521"/>
      <w:bookmarkEnd w:id="522"/>
      <w:bookmarkEnd w:id="526"/>
      <w:bookmarkEnd w:id="527"/>
      <w:bookmarkEnd w:id="528"/>
    </w:p>
    <w:p>
      <w:pPr>
        <w:autoSpaceDE w:val="0"/>
        <w:autoSpaceDN w:val="0"/>
        <w:adjustRightInd w:val="0"/>
        <w:spacing w:line="360" w:lineRule="auto"/>
        <w:ind w:left="247"/>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w:t>
      </w:r>
      <w:r>
        <w:rPr>
          <w:rFonts w:hint="eastAsia" w:ascii="宋体" w:hAnsi="宋体" w:eastAsia="宋体" w:cs="宋体"/>
          <w:b/>
          <w:bCs/>
          <w:color w:val="000000" w:themeColor="text1"/>
          <w:sz w:val="32"/>
          <w:szCs w:val="32"/>
          <w:highlight w:val="none"/>
          <w:lang w:val="zh-CN"/>
          <w14:textFill>
            <w14:solidFill>
              <w14:schemeClr w14:val="tx1"/>
            </w14:solidFill>
          </w14:textFill>
        </w:rPr>
        <w:t>处罚说明</w:t>
      </w:r>
    </w:p>
    <w:tbl>
      <w:tblPr>
        <w:tblStyle w:val="37"/>
        <w:tblW w:w="10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3"/>
        <w:gridCol w:w="1642"/>
        <w:gridCol w:w="2628"/>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933"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事项名称</w:t>
            </w:r>
          </w:p>
        </w:tc>
        <w:tc>
          <w:tcPr>
            <w:tcW w:w="1642"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62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47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933"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642"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62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147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933"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642"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62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147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933"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是否被认定为政府采购严重违法失信行为记录名单</w:t>
            </w:r>
          </w:p>
        </w:tc>
        <w:tc>
          <w:tcPr>
            <w:tcW w:w="1642"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62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147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r>
    </w:tbl>
    <w:p>
      <w:pPr>
        <w:autoSpaceDE w:val="0"/>
        <w:autoSpaceDN w:val="0"/>
        <w:adjustRightInd w:val="0"/>
        <w:spacing w:line="360" w:lineRule="auto"/>
        <w:ind w:left="247"/>
        <w:jc w:val="left"/>
        <w:rPr>
          <w:rFonts w:ascii="宋体" w:hAnsi="宋体" w:eastAsia="宋体" w:cs="宋体"/>
          <w:color w:val="000000" w:themeColor="text1"/>
          <w:kern w:val="0"/>
          <w:szCs w:val="21"/>
          <w:highlight w:val="none"/>
          <w14:textFill>
            <w14:solidFill>
              <w14:schemeClr w14:val="tx1"/>
            </w14:solidFill>
          </w14:textFill>
        </w:rPr>
      </w:pPr>
    </w:p>
    <w:p>
      <w:pPr>
        <w:autoSpaceDE w:val="0"/>
        <w:autoSpaceDN w:val="0"/>
        <w:adjustRightInd w:val="0"/>
        <w:spacing w:line="360" w:lineRule="auto"/>
        <w:ind w:left="247"/>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ind w:left="247"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p>
    <w:p>
      <w:pPr>
        <w:autoSpaceDE w:val="0"/>
        <w:autoSpaceDN w:val="0"/>
        <w:adjustRightInd w:val="0"/>
        <w:spacing w:line="360" w:lineRule="auto"/>
        <w:ind w:left="247"/>
        <w:jc w:val="center"/>
        <w:rPr>
          <w:rFonts w:ascii="宋体" w:hAnsi="宋体" w:eastAsia="宋体" w:cs="宋体"/>
          <w:color w:val="000000" w:themeColor="text1"/>
          <w:kern w:val="0"/>
          <w:sz w:val="24"/>
          <w:szCs w:val="24"/>
          <w:highlight w:val="none"/>
          <w14:textFill>
            <w14:solidFill>
              <w14:schemeClr w14:val="tx1"/>
            </w14:solidFill>
          </w14:textFill>
        </w:rPr>
      </w:pPr>
    </w:p>
    <w:p>
      <w:pPr>
        <w:spacing w:line="360" w:lineRule="auto"/>
        <w:ind w:left="-320"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pPr>
        <w:spacing w:line="360" w:lineRule="auto"/>
        <w:ind w:left="-320"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pPr>
        <w:spacing w:line="360" w:lineRule="auto"/>
        <w:ind w:left="-320"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pPr>
        <w:spacing w:line="360" w:lineRule="auto"/>
        <w:ind w:left="-320" w:right="368" w:rightChars="175" w:firstLine="5460" w:firstLineChars="260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pPr>
        <w:autoSpaceDE w:val="0"/>
        <w:autoSpaceDN w:val="0"/>
        <w:adjustRightInd w:val="0"/>
        <w:spacing w:line="360" w:lineRule="auto"/>
        <w:ind w:left="-320" w:right="781" w:rightChars="372" w:firstLine="2811" w:firstLineChars="1339"/>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  期：   年  月  日</w:t>
      </w:r>
    </w:p>
    <w:p>
      <w:pPr>
        <w:ind w:left="247"/>
        <w:rPr>
          <w:rFonts w:ascii="宋体" w:hAnsi="宋体" w:eastAsia="宋体" w:cs="宋体"/>
          <w:color w:val="000000" w:themeColor="text1"/>
          <w:szCs w:val="24"/>
          <w:highlight w:val="none"/>
          <w:lang w:val="zh-CN"/>
          <w14:textFill>
            <w14:solidFill>
              <w14:schemeClr w14:val="tx1"/>
            </w14:solidFill>
          </w14:textFill>
        </w:rPr>
      </w:pPr>
      <w:bookmarkStart w:id="529" w:name="_Toc102860423"/>
      <w:bookmarkStart w:id="530" w:name="_Toc1977731"/>
      <w:bookmarkStart w:id="531" w:name="_Toc30939"/>
      <w:bookmarkStart w:id="532" w:name="_Toc142508374"/>
      <w:bookmarkStart w:id="533" w:name="_Toc140596934"/>
      <w:bookmarkStart w:id="534" w:name="_Toc6412"/>
      <w:bookmarkStart w:id="535" w:name="_Toc486167714"/>
      <w:bookmarkStart w:id="536" w:name="_Toc94107215"/>
      <w:bookmarkStart w:id="537" w:name="_Toc533708126"/>
      <w:bookmarkStart w:id="538" w:name="_Toc102860079"/>
      <w:bookmarkStart w:id="539" w:name="_Toc2031_WPSOffice_Level2"/>
      <w:bookmarkStart w:id="540" w:name="_Toc104991881"/>
      <w:r>
        <w:rPr>
          <w:rFonts w:ascii="宋体" w:hAnsi="宋体" w:eastAsia="宋体" w:cs="宋体"/>
          <w:color w:val="000000" w:themeColor="text1"/>
          <w:szCs w:val="24"/>
          <w:highlight w:val="none"/>
          <w:lang w:val="zh-CN"/>
          <w14:textFill>
            <w14:solidFill>
              <w14:schemeClr w14:val="tx1"/>
            </w14:solidFill>
          </w14:textFill>
        </w:rPr>
        <w:br w:type="page"/>
      </w:r>
    </w:p>
    <w:p>
      <w:pPr>
        <w:tabs>
          <w:tab w:val="left" w:pos="567"/>
        </w:tabs>
        <w:autoSpaceDE w:val="0"/>
        <w:autoSpaceDN w:val="0"/>
        <w:adjustRightInd w:val="0"/>
        <w:spacing w:line="360" w:lineRule="auto"/>
        <w:ind w:left="247"/>
        <w:jc w:val="left"/>
        <w:outlineLvl w:val="2"/>
        <w:rPr>
          <w:rFonts w:ascii="宋体" w:hAnsi="宋体" w:eastAsia="宋体" w:cs="Times New Roman"/>
          <w:color w:val="000000" w:themeColor="text1"/>
          <w:kern w:val="0"/>
          <w:szCs w:val="21"/>
          <w:highlight w:val="none"/>
          <w:u w:val="single"/>
          <w14:textFill>
            <w14:solidFill>
              <w14:schemeClr w14:val="tx1"/>
            </w14:solidFill>
          </w14:textFill>
        </w:rPr>
      </w:pPr>
      <w:bookmarkStart w:id="541" w:name="_Toc17508"/>
      <w:bookmarkStart w:id="542" w:name="_Toc161843197"/>
      <w:r>
        <w:rPr>
          <w:rFonts w:hint="eastAsia" w:ascii="宋体" w:hAnsi="宋体" w:eastAsia="宋体" w:cs="宋体"/>
          <w:b/>
          <w:color w:val="000000" w:themeColor="text1"/>
          <w:kern w:val="0"/>
          <w:sz w:val="32"/>
          <w:szCs w:val="32"/>
          <w:highlight w:val="none"/>
          <w14:textFill>
            <w14:solidFill>
              <w14:schemeClr w14:val="tx1"/>
            </w14:solidFill>
          </w14:textFill>
        </w:rPr>
        <w:t>六、投标人基本情况一览表</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autoSpaceDE w:val="0"/>
        <w:autoSpaceDN w:val="0"/>
        <w:adjustRightInd w:val="0"/>
        <w:spacing w:line="360" w:lineRule="auto"/>
        <w:ind w:left="247"/>
        <w:jc w:val="center"/>
        <w:rPr>
          <w:rFonts w:ascii="宋体" w:hAnsi="宋体" w:eastAsia="宋体" w:cs="宋体"/>
          <w:b/>
          <w:bCs/>
          <w:color w:val="000000" w:themeColor="text1"/>
          <w:sz w:val="30"/>
          <w:szCs w:val="30"/>
          <w:highlight w:val="none"/>
          <w14:textFill>
            <w14:solidFill>
              <w14:schemeClr w14:val="tx1"/>
            </w14:solidFill>
          </w14:textFill>
        </w:rPr>
      </w:pPr>
      <w:bookmarkStart w:id="543" w:name="_Toc2773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投标人基本情况一览表</w:t>
      </w:r>
      <w:bookmarkEnd w:id="543"/>
    </w:p>
    <w:p>
      <w:pPr>
        <w:autoSpaceDE w:val="0"/>
        <w:autoSpaceDN w:val="0"/>
        <w:adjustRightInd w:val="0"/>
        <w:spacing w:line="360" w:lineRule="auto"/>
        <w:ind w:left="-320"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1．名称及概况：</w:t>
      </w:r>
    </w:p>
    <w:p>
      <w:pPr>
        <w:autoSpaceDE w:val="0"/>
        <w:autoSpaceDN w:val="0"/>
        <w:adjustRightInd w:val="0"/>
        <w:spacing w:line="360" w:lineRule="auto"/>
        <w:ind w:left="-320"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（1）投标人名称：________________________________________</w:t>
      </w:r>
    </w:p>
    <w:p>
      <w:pPr>
        <w:autoSpaceDE w:val="0"/>
        <w:autoSpaceDN w:val="0"/>
        <w:adjustRightInd w:val="0"/>
        <w:spacing w:line="360" w:lineRule="auto"/>
        <w:ind w:left="-320"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（2）总部地址：__________________________________________</w:t>
      </w:r>
    </w:p>
    <w:p>
      <w:pPr>
        <w:autoSpaceDE w:val="0"/>
        <w:autoSpaceDN w:val="0"/>
        <w:adjustRightInd w:val="0"/>
        <w:spacing w:line="360" w:lineRule="auto"/>
        <w:ind w:left="-320" w:firstLine="66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邮政编码：__________________________________________</w:t>
      </w:r>
    </w:p>
    <w:p>
      <w:pPr>
        <w:autoSpaceDE w:val="0"/>
        <w:autoSpaceDN w:val="0"/>
        <w:adjustRightInd w:val="0"/>
        <w:spacing w:line="360" w:lineRule="auto"/>
        <w:ind w:left="-320"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电话号码：__________________________________________ </w:t>
      </w:r>
    </w:p>
    <w:p>
      <w:pPr>
        <w:autoSpaceDE w:val="0"/>
        <w:autoSpaceDN w:val="0"/>
        <w:adjustRightInd w:val="0"/>
        <w:spacing w:line="360" w:lineRule="auto"/>
        <w:ind w:left="-320"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传真号码：__________________________________________ </w:t>
      </w:r>
    </w:p>
    <w:p>
      <w:pPr>
        <w:autoSpaceDE w:val="0"/>
        <w:autoSpaceDN w:val="0"/>
        <w:adjustRightInd w:val="0"/>
        <w:spacing w:line="360" w:lineRule="auto"/>
        <w:ind w:left="-320"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（3）成立和／或注册日期：________________________________</w:t>
      </w:r>
    </w:p>
    <w:p>
      <w:pPr>
        <w:autoSpaceDE w:val="0"/>
        <w:autoSpaceDN w:val="0"/>
        <w:adjustRightInd w:val="0"/>
        <w:spacing w:line="360" w:lineRule="auto"/>
        <w:ind w:left="-320"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（4）法人代表：__________________________________________</w:t>
      </w:r>
    </w:p>
    <w:p>
      <w:pPr>
        <w:autoSpaceDE w:val="0"/>
        <w:autoSpaceDN w:val="0"/>
        <w:adjustRightInd w:val="0"/>
        <w:spacing w:line="360" w:lineRule="auto"/>
        <w:ind w:left="-320"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（5）开户银行：__________________________________________</w:t>
      </w:r>
    </w:p>
    <w:p>
      <w:pPr>
        <w:autoSpaceDE w:val="0"/>
        <w:autoSpaceDN w:val="0"/>
        <w:adjustRightInd w:val="0"/>
        <w:spacing w:line="360" w:lineRule="auto"/>
        <w:ind w:left="-320"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（6）开户账号：__________________________________________</w:t>
      </w:r>
    </w:p>
    <w:p>
      <w:pPr>
        <w:autoSpaceDE w:val="0"/>
        <w:autoSpaceDN w:val="0"/>
        <w:adjustRightInd w:val="0"/>
        <w:spacing w:line="360" w:lineRule="auto"/>
        <w:ind w:left="-320"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（7）注册资金：__________________________________________</w:t>
      </w:r>
    </w:p>
    <w:p>
      <w:pPr>
        <w:autoSpaceDE w:val="0"/>
        <w:autoSpaceDN w:val="0"/>
        <w:adjustRightInd w:val="0"/>
        <w:spacing w:line="360" w:lineRule="auto"/>
        <w:ind w:left="-320"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（8）主要负责人姓名：____________________________________</w:t>
      </w:r>
    </w:p>
    <w:p>
      <w:pPr>
        <w:autoSpaceDE w:val="0"/>
        <w:autoSpaceDN w:val="0"/>
        <w:adjustRightInd w:val="0"/>
        <w:spacing w:line="360" w:lineRule="auto"/>
        <w:ind w:left="-320"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（9）项目主要联系人（姓名、职务、通讯）：_________________   </w:t>
      </w:r>
    </w:p>
    <w:p>
      <w:pPr>
        <w:autoSpaceDE w:val="0"/>
        <w:autoSpaceDN w:val="0"/>
        <w:adjustRightInd w:val="0"/>
        <w:spacing w:line="360" w:lineRule="auto"/>
        <w:ind w:left="-320"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（10）在中国的代表的姓名和地址（如有）：__________________</w:t>
      </w:r>
    </w:p>
    <w:p>
      <w:pPr>
        <w:autoSpaceDE w:val="0"/>
        <w:autoSpaceDN w:val="0"/>
        <w:adjustRightInd w:val="0"/>
        <w:spacing w:line="360" w:lineRule="auto"/>
        <w:ind w:left="-320"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2．供征询之银行的名称和地址：____________________________</w:t>
      </w:r>
    </w:p>
    <w:p>
      <w:pPr>
        <w:autoSpaceDE w:val="0"/>
        <w:autoSpaceDN w:val="0"/>
        <w:adjustRightInd w:val="0"/>
        <w:spacing w:line="360" w:lineRule="auto"/>
        <w:ind w:left="247"/>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3．公司所隶属之国际集团名称（如果是）____________________</w:t>
      </w:r>
    </w:p>
    <w:p>
      <w:pPr>
        <w:autoSpaceDE w:val="0"/>
        <w:autoSpaceDN w:val="0"/>
        <w:adjustRightInd w:val="0"/>
        <w:spacing w:line="360" w:lineRule="auto"/>
        <w:ind w:left="-320"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 提交资料（包括但不限于组织架构、公司简介等）：</w:t>
      </w:r>
    </w:p>
    <w:p>
      <w:pPr>
        <w:autoSpaceDE w:val="0"/>
        <w:autoSpaceDN w:val="0"/>
        <w:adjustRightInd w:val="0"/>
        <w:spacing w:line="360" w:lineRule="auto"/>
        <w:ind w:left="-320"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（1）公司简介；</w:t>
      </w:r>
    </w:p>
    <w:p>
      <w:pPr>
        <w:autoSpaceDE w:val="0"/>
        <w:autoSpaceDN w:val="0"/>
        <w:adjustRightInd w:val="0"/>
        <w:spacing w:line="360" w:lineRule="auto"/>
        <w:ind w:left="-320"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pPr>
        <w:autoSpaceDE w:val="0"/>
        <w:autoSpaceDN w:val="0"/>
        <w:adjustRightInd w:val="0"/>
        <w:spacing w:line="360" w:lineRule="auto"/>
        <w:ind w:left="-320"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（2）公司组织架构；</w:t>
      </w:r>
    </w:p>
    <w:p>
      <w:pPr>
        <w:autoSpaceDE w:val="0"/>
        <w:autoSpaceDN w:val="0"/>
        <w:adjustRightInd w:val="0"/>
        <w:spacing w:line="360" w:lineRule="auto"/>
        <w:ind w:left="-320"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pPr>
        <w:autoSpaceDE w:val="0"/>
        <w:autoSpaceDN w:val="0"/>
        <w:adjustRightInd w:val="0"/>
        <w:spacing w:line="360" w:lineRule="auto"/>
        <w:ind w:left="836" w:leftChars="137" w:hanging="548" w:hangingChars="261"/>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left="-32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兹证明上述说明是真实、正确的，并提供了全部能提供的资料和数据，我们同意遵照贵方要求出示有关证明文件。</w:t>
      </w:r>
    </w:p>
    <w:p>
      <w:pPr>
        <w:autoSpaceDE w:val="0"/>
        <w:autoSpaceDN w:val="0"/>
        <w:adjustRightInd w:val="0"/>
        <w:spacing w:line="360" w:lineRule="auto"/>
        <w:ind w:left="-320" w:firstLine="420" w:firstLineChars="200"/>
        <w:rPr>
          <w:rFonts w:ascii="宋体" w:hAnsi="宋体" w:eastAsia="宋体" w:cs="宋体"/>
          <w:color w:val="000000" w:themeColor="text1"/>
          <w:szCs w:val="24"/>
          <w:highlight w:val="none"/>
          <w14:textFill>
            <w14:solidFill>
              <w14:schemeClr w14:val="tx1"/>
            </w14:solidFill>
          </w14:textFill>
        </w:rPr>
      </w:pPr>
    </w:p>
    <w:p>
      <w:pPr>
        <w:autoSpaceDE w:val="0"/>
        <w:autoSpaceDN w:val="0"/>
        <w:adjustRightInd w:val="0"/>
        <w:spacing w:line="360" w:lineRule="auto"/>
        <w:ind w:left="247" w:right="368" w:rightChars="175"/>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pPr>
        <w:autoSpaceDE w:val="0"/>
        <w:autoSpaceDN w:val="0"/>
        <w:adjustRightInd w:val="0"/>
        <w:spacing w:line="360" w:lineRule="auto"/>
        <w:ind w:left="-320" w:right="368" w:rightChars="175" w:firstLine="6237"/>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544" w:name="_Toc161843198"/>
      <w:bookmarkStart w:id="545" w:name="_Toc102860424"/>
      <w:bookmarkStart w:id="546" w:name="_Toc102860080"/>
      <w:bookmarkStart w:id="547" w:name="_Toc4023"/>
      <w:bookmarkStart w:id="548" w:name="_Toc10443"/>
      <w:bookmarkStart w:id="549" w:name="_Toc94107216"/>
      <w:bookmarkStart w:id="550" w:name="_Toc29014"/>
      <w:bookmarkStart w:id="551" w:name="_Toc142508375"/>
      <w:bookmarkStart w:id="552" w:name="_Toc140596935"/>
      <w:bookmarkStart w:id="553" w:name="_Toc104991882"/>
      <w:bookmarkStart w:id="554" w:name="_Toc533708128"/>
      <w:bookmarkStart w:id="555" w:name="_Toc486167715"/>
      <w:bookmarkStart w:id="556" w:name="_Toc9051_WPSOffice_Level2"/>
      <w:bookmarkStart w:id="557" w:name="_Toc1977733"/>
      <w:r>
        <w:rPr>
          <w:rFonts w:hint="eastAsia" w:ascii="宋体" w:hAnsi="宋体" w:eastAsia="宋体" w:cs="宋体"/>
          <w:b/>
          <w:color w:val="000000" w:themeColor="text1"/>
          <w:sz w:val="32"/>
          <w:szCs w:val="32"/>
          <w:highlight w:val="none"/>
          <w14:textFill>
            <w14:solidFill>
              <w14:schemeClr w14:val="tx1"/>
            </w14:solidFill>
          </w14:textFill>
        </w:rPr>
        <w:t>七</w:t>
      </w:r>
      <w:r>
        <w:rPr>
          <w:rFonts w:hint="eastAsia" w:ascii="宋体" w:hAnsi="宋体" w:eastAsia="宋体" w:cs="宋体"/>
          <w:b/>
          <w:color w:val="000000" w:themeColor="text1"/>
          <w:sz w:val="32"/>
          <w:szCs w:val="32"/>
          <w:highlight w:val="none"/>
          <w:lang w:val="zh-CN"/>
          <w14:textFill>
            <w14:solidFill>
              <w14:schemeClr w14:val="tx1"/>
            </w14:solidFill>
          </w14:textFill>
        </w:rPr>
        <w:t>、投标人财务状况表格式</w:t>
      </w:r>
      <w:bookmarkEnd w:id="544"/>
      <w:bookmarkEnd w:id="545"/>
      <w:bookmarkEnd w:id="546"/>
      <w:bookmarkEnd w:id="547"/>
      <w:bookmarkEnd w:id="548"/>
      <w:bookmarkEnd w:id="549"/>
      <w:bookmarkEnd w:id="550"/>
      <w:bookmarkEnd w:id="551"/>
      <w:bookmarkEnd w:id="552"/>
      <w:bookmarkEnd w:id="553"/>
    </w:p>
    <w:p>
      <w:pPr>
        <w:autoSpaceDE w:val="0"/>
        <w:autoSpaceDN w:val="0"/>
        <w:adjustRightInd w:val="0"/>
        <w:spacing w:line="360" w:lineRule="auto"/>
        <w:ind w:left="247"/>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投标人财务状况表 </w:t>
      </w:r>
    </w:p>
    <w:p>
      <w:pPr>
        <w:autoSpaceDE w:val="0"/>
        <w:autoSpaceDN w:val="0"/>
        <w:adjustRightInd w:val="0"/>
        <w:spacing w:line="360" w:lineRule="auto"/>
        <w:ind w:left="247"/>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[价格单位：（人民币）元]</w:t>
      </w:r>
    </w:p>
    <w:tbl>
      <w:tblPr>
        <w:tblStyle w:val="37"/>
        <w:tblW w:w="106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2111"/>
        <w:gridCol w:w="2118"/>
        <w:gridCol w:w="2947"/>
        <w:gridCol w:w="2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65"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度</w:t>
            </w:r>
          </w:p>
        </w:tc>
        <w:tc>
          <w:tcPr>
            <w:tcW w:w="2111"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总资产（元）</w:t>
            </w:r>
          </w:p>
        </w:tc>
        <w:tc>
          <w:tcPr>
            <w:tcW w:w="211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净资产（元）</w:t>
            </w:r>
          </w:p>
        </w:tc>
        <w:tc>
          <w:tcPr>
            <w:tcW w:w="2947"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年营业额（元）</w:t>
            </w:r>
          </w:p>
        </w:tc>
        <w:tc>
          <w:tcPr>
            <w:tcW w:w="223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65"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202</w:t>
            </w:r>
            <w:r>
              <w:rPr>
                <w:rFonts w:ascii="宋体" w:hAnsi="宋体" w:eastAsia="宋体" w:cs="宋体"/>
                <w:color w:val="000000" w:themeColor="text1"/>
                <w:kern w:val="0"/>
                <w:szCs w:val="21"/>
                <w:highlight w:val="none"/>
                <w14:textFill>
                  <w14:solidFill>
                    <w14:schemeClr w14:val="tx1"/>
                  </w14:solidFill>
                </w14:textFill>
              </w:rPr>
              <w:t>0</w:t>
            </w:r>
          </w:p>
        </w:tc>
        <w:tc>
          <w:tcPr>
            <w:tcW w:w="2111"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11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947"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23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65"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202</w:t>
            </w:r>
            <w:r>
              <w:rPr>
                <w:rFonts w:ascii="宋体" w:hAnsi="宋体" w:eastAsia="宋体" w:cs="宋体"/>
                <w:color w:val="000000" w:themeColor="text1"/>
                <w:kern w:val="0"/>
                <w:szCs w:val="21"/>
                <w:highlight w:val="none"/>
                <w14:textFill>
                  <w14:solidFill>
                    <w14:schemeClr w14:val="tx1"/>
                  </w14:solidFill>
                </w14:textFill>
              </w:rPr>
              <w:t>1</w:t>
            </w:r>
          </w:p>
        </w:tc>
        <w:tc>
          <w:tcPr>
            <w:tcW w:w="2111"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11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947" w:type="dxa"/>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23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65"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202</w:t>
            </w:r>
            <w:r>
              <w:rPr>
                <w:rFonts w:ascii="宋体" w:hAnsi="宋体" w:eastAsia="宋体" w:cs="宋体"/>
                <w:color w:val="000000" w:themeColor="text1"/>
                <w:kern w:val="0"/>
                <w:szCs w:val="21"/>
                <w:highlight w:val="none"/>
                <w14:textFill>
                  <w14:solidFill>
                    <w14:schemeClr w14:val="tx1"/>
                  </w14:solidFill>
                </w14:textFill>
              </w:rPr>
              <w:t>2</w:t>
            </w:r>
          </w:p>
        </w:tc>
        <w:tc>
          <w:tcPr>
            <w:tcW w:w="2111"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11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947" w:type="dxa"/>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23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494" w:type="dxa"/>
            <w:gridSpan w:val="3"/>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总计</w:t>
            </w:r>
          </w:p>
        </w:tc>
        <w:tc>
          <w:tcPr>
            <w:tcW w:w="2947" w:type="dxa"/>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238" w:type="dxa"/>
            <w:vAlign w:val="center"/>
          </w:tcPr>
          <w:p>
            <w:pPr>
              <w:autoSpaceDE w:val="0"/>
              <w:autoSpaceDN w:val="0"/>
              <w:adjustRightInd w:val="0"/>
              <w:spacing w:line="360" w:lineRule="auto"/>
              <w:ind w:left="247"/>
              <w:jc w:val="center"/>
              <w:rPr>
                <w:rFonts w:ascii="宋体" w:hAnsi="宋体" w:eastAsia="宋体" w:cs="宋体"/>
                <w:color w:val="000000" w:themeColor="text1"/>
                <w:kern w:val="0"/>
                <w:szCs w:val="21"/>
                <w:highlight w:val="none"/>
                <w14:textFill>
                  <w14:solidFill>
                    <w14:schemeClr w14:val="tx1"/>
                  </w14:solidFill>
                </w14:textFill>
              </w:rPr>
            </w:pPr>
          </w:p>
        </w:tc>
      </w:tr>
    </w:tbl>
    <w:p>
      <w:pPr>
        <w:spacing w:line="360" w:lineRule="auto"/>
        <w:ind w:left="247"/>
        <w:rPr>
          <w:rFonts w:ascii="宋体" w:hAnsi="宋体" w:eastAsia="宋体" w:cs="宋体"/>
          <w:color w:val="000000" w:themeColor="text1"/>
          <w:kern w:val="0"/>
          <w:szCs w:val="21"/>
          <w:highlight w:val="none"/>
          <w14:textFill>
            <w14:solidFill>
              <w14:schemeClr w14:val="tx1"/>
            </w14:solidFill>
          </w14:textFill>
        </w:rPr>
      </w:pPr>
    </w:p>
    <w:p>
      <w:pPr>
        <w:spacing w:line="360" w:lineRule="auto"/>
        <w:ind w:left="24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left="-320" w:firstLine="5409" w:firstLineChars="2576"/>
        <w:rPr>
          <w:rFonts w:ascii="宋体" w:hAnsi="宋体" w:eastAsia="宋体" w:cs="宋体"/>
          <w:color w:val="000000" w:themeColor="text1"/>
          <w:szCs w:val="24"/>
          <w:highlight w:val="none"/>
          <w:lang w:val="zh-CN"/>
          <w14:textFill>
            <w14:solidFill>
              <w14:schemeClr w14:val="tx1"/>
            </w14:solidFill>
          </w14:textFill>
        </w:rPr>
      </w:pPr>
    </w:p>
    <w:p>
      <w:pPr>
        <w:autoSpaceDE w:val="0"/>
        <w:autoSpaceDN w:val="0"/>
        <w:adjustRightInd w:val="0"/>
        <w:spacing w:line="360" w:lineRule="auto"/>
        <w:ind w:left="-320" w:firstLine="5409" w:firstLineChars="2576"/>
        <w:rPr>
          <w:rFonts w:ascii="宋体" w:hAnsi="宋体" w:eastAsia="宋体" w:cs="宋体"/>
          <w:color w:val="000000" w:themeColor="text1"/>
          <w:szCs w:val="24"/>
          <w:highlight w:val="none"/>
          <w:lang w:val="zh-CN"/>
          <w14:textFill>
            <w14:solidFill>
              <w14:schemeClr w14:val="tx1"/>
            </w14:solidFill>
          </w14:textFill>
        </w:rPr>
      </w:pPr>
    </w:p>
    <w:p>
      <w:pPr>
        <w:autoSpaceDE w:val="0"/>
        <w:autoSpaceDN w:val="0"/>
        <w:adjustRightInd w:val="0"/>
        <w:spacing w:line="360" w:lineRule="auto"/>
        <w:ind w:left="-320" w:firstLine="5409" w:firstLineChars="2576"/>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w:t>
      </w:r>
      <w:r>
        <w:rPr>
          <w:rFonts w:hint="eastAsia" w:ascii="宋体" w:hAnsi="宋体" w:eastAsia="宋体" w:cs="宋体"/>
          <w:color w:val="000000" w:themeColor="text1"/>
          <w:szCs w:val="24"/>
          <w:highlight w:val="none"/>
          <w14:textFill>
            <w14:solidFill>
              <w14:schemeClr w14:val="tx1"/>
            </w14:solidFill>
          </w14:textFill>
        </w:rPr>
        <w:t>法人</w:t>
      </w:r>
      <w:r>
        <w:rPr>
          <w:rFonts w:hint="eastAsia" w:ascii="宋体" w:hAnsi="宋体" w:eastAsia="宋体" w:cs="宋体"/>
          <w:color w:val="000000" w:themeColor="text1"/>
          <w:szCs w:val="24"/>
          <w:highlight w:val="none"/>
          <w:lang w:val="zh-CN"/>
          <w14:textFill>
            <w14:solidFill>
              <w14:schemeClr w14:val="tx1"/>
            </w14:solidFill>
          </w14:textFill>
        </w:rPr>
        <w:t>公章）</w:t>
      </w:r>
    </w:p>
    <w:p>
      <w:pPr>
        <w:autoSpaceDE w:val="0"/>
        <w:autoSpaceDN w:val="0"/>
        <w:adjustRightInd w:val="0"/>
        <w:spacing w:line="360" w:lineRule="auto"/>
        <w:ind w:left="-320" w:firstLine="6249" w:firstLineChars="2976"/>
        <w:rPr>
          <w:rFonts w:ascii="宋体" w:hAnsi="宋体" w:eastAsia="宋体" w:cs="宋体"/>
          <w:b/>
          <w:bCs/>
          <w:color w:val="000000" w:themeColor="text1"/>
          <w:kern w:val="0"/>
          <w:szCs w:val="21"/>
          <w:highlight w:val="none"/>
          <w14:textFill>
            <w14:solidFill>
              <w14:schemeClr w14:val="tx1"/>
            </w14:solidFill>
          </w14:textFill>
        </w:rPr>
        <w:sectPr>
          <w:footerReference r:id="rId7" w:type="default"/>
          <w:pgSz w:w="11907" w:h="16840"/>
          <w:pgMar w:top="720" w:right="720" w:bottom="720" w:left="720" w:header="720" w:footer="720" w:gutter="0"/>
          <w:cols w:space="720" w:num="1"/>
          <w:titlePg/>
          <w:docGrid w:linePitch="326" w:charSpace="0"/>
        </w:sectPr>
      </w:pPr>
      <w:r>
        <w:rPr>
          <w:rFonts w:hint="eastAsia" w:ascii="宋体" w:hAnsi="宋体" w:eastAsia="宋体" w:cs="宋体"/>
          <w:color w:val="000000" w:themeColor="text1"/>
          <w:szCs w:val="24"/>
          <w:highlight w:val="none"/>
          <w:lang w:val="zh-CN"/>
          <w14:textFill>
            <w14:solidFill>
              <w14:schemeClr w14:val="tx1"/>
            </w14:solidFill>
          </w14:textFill>
        </w:rPr>
        <w:t>日期：</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日</w:t>
      </w:r>
    </w:p>
    <w:bookmarkEnd w:id="554"/>
    <w:bookmarkEnd w:id="555"/>
    <w:bookmarkEnd w:id="556"/>
    <w:bookmarkEnd w:id="557"/>
    <w:p>
      <w:pPr>
        <w:tabs>
          <w:tab w:val="left" w:pos="567"/>
        </w:tabs>
        <w:autoSpaceDE w:val="0"/>
        <w:autoSpaceDN w:val="0"/>
        <w:adjustRightInd w:val="0"/>
        <w:spacing w:line="360" w:lineRule="auto"/>
        <w:ind w:left="247"/>
        <w:jc w:val="left"/>
        <w:outlineLvl w:val="2"/>
        <w:rPr>
          <w:rFonts w:ascii="宋体" w:hAnsi="宋体" w:eastAsia="宋体" w:cs="宋体"/>
          <w:b/>
          <w:color w:val="000000" w:themeColor="text1"/>
          <w:kern w:val="0"/>
          <w:sz w:val="32"/>
          <w:szCs w:val="32"/>
          <w:highlight w:val="none"/>
          <w:lang w:val="zh-CN"/>
          <w14:textFill>
            <w14:solidFill>
              <w14:schemeClr w14:val="tx1"/>
            </w14:solidFill>
          </w14:textFill>
        </w:rPr>
      </w:pPr>
      <w:bookmarkStart w:id="558" w:name="_Toc104991883"/>
      <w:bookmarkStart w:id="559" w:name="_Toc140596936"/>
      <w:bookmarkStart w:id="560" w:name="_Toc102860081"/>
      <w:bookmarkStart w:id="561" w:name="_Toc739_WPSOffice_Level2"/>
      <w:bookmarkStart w:id="562" w:name="_Toc486167716"/>
      <w:bookmarkStart w:id="563" w:name="_Toc533708130"/>
      <w:bookmarkStart w:id="564" w:name="_Toc161843199"/>
      <w:bookmarkStart w:id="565" w:name="_Toc17995"/>
      <w:bookmarkStart w:id="566" w:name="_Toc333"/>
      <w:bookmarkStart w:id="567" w:name="_Toc142508376"/>
      <w:bookmarkStart w:id="568" w:name="_Toc94107217"/>
      <w:bookmarkStart w:id="569" w:name="_Toc102860425"/>
      <w:bookmarkStart w:id="570" w:name="_Toc26821"/>
      <w:bookmarkStart w:id="571" w:name="_Toc1977736"/>
      <w:r>
        <w:rPr>
          <w:rFonts w:hint="eastAsia" w:ascii="宋体" w:hAnsi="宋体" w:eastAsia="宋体" w:cs="宋体"/>
          <w:b/>
          <w:color w:val="000000" w:themeColor="text1"/>
          <w:kern w:val="0"/>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autoSpaceDE w:val="0"/>
        <w:autoSpaceDN w:val="0"/>
        <w:adjustRightInd w:val="0"/>
        <w:spacing w:line="360" w:lineRule="auto"/>
        <w:ind w:left="247"/>
        <w:jc w:val="center"/>
        <w:rPr>
          <w:rFonts w:ascii="宋体" w:hAnsi="宋体" w:eastAsia="宋体" w:cs="宋体"/>
          <w:b/>
          <w:bCs/>
          <w:color w:val="000000" w:themeColor="text1"/>
          <w:kern w:val="0"/>
          <w:sz w:val="28"/>
          <w:szCs w:val="30"/>
          <w:highlight w:val="none"/>
          <w:lang w:val="zh-CN"/>
          <w14:textFill>
            <w14:solidFill>
              <w14:schemeClr w14:val="tx1"/>
            </w14:solidFill>
          </w14:textFill>
        </w:rPr>
      </w:pPr>
      <w:bookmarkStart w:id="572" w:name="_Toc26412_WPSOffice_Level3"/>
      <w:r>
        <w:rPr>
          <w:rFonts w:hint="eastAsia" w:ascii="宋体" w:hAnsi="宋体" w:eastAsia="宋体" w:cs="宋体"/>
          <w:b/>
          <w:bCs/>
          <w:color w:val="000000" w:themeColor="text1"/>
          <w:kern w:val="0"/>
          <w:sz w:val="28"/>
          <w:szCs w:val="30"/>
          <w:highlight w:val="none"/>
          <w:lang w:val="zh-CN"/>
          <w14:textFill>
            <w14:solidFill>
              <w14:schemeClr w14:val="tx1"/>
            </w14:solidFill>
          </w14:textFill>
        </w:rPr>
        <w:t>东莞市水务集团有限公司2024年度食堂食材采购项目合同条款偏离表</w:t>
      </w:r>
      <w:bookmarkEnd w:id="572"/>
    </w:p>
    <w:tbl>
      <w:tblPr>
        <w:tblStyle w:val="37"/>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570"/>
        <w:gridCol w:w="3368"/>
        <w:gridCol w:w="1483"/>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125" w:type="dxa"/>
            <w:vMerge w:val="restart"/>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938" w:type="dxa"/>
            <w:gridSpan w:val="2"/>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招标文件要求</w:t>
            </w:r>
          </w:p>
        </w:tc>
        <w:tc>
          <w:tcPr>
            <w:tcW w:w="4305" w:type="dxa"/>
            <w:gridSpan w:val="2"/>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125" w:type="dxa"/>
            <w:vMerge w:val="continue"/>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条款号</w:t>
            </w:r>
          </w:p>
        </w:tc>
        <w:tc>
          <w:tcPr>
            <w:tcW w:w="3368"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简要内容</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偏离情况</w:t>
            </w: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一</w:t>
            </w:r>
          </w:p>
        </w:tc>
        <w:tc>
          <w:tcPr>
            <w:tcW w:w="3368" w:type="dxa"/>
            <w:vAlign w:val="center"/>
          </w:tcPr>
          <w:p>
            <w:pPr>
              <w:autoSpaceDE w:val="0"/>
              <w:autoSpaceDN w:val="0"/>
              <w:adjustRightInd w:val="0"/>
              <w:spacing w:line="400" w:lineRule="exact"/>
              <w:ind w:left="247"/>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食品材料名称、规格、品牌</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二</w:t>
            </w:r>
          </w:p>
        </w:tc>
        <w:tc>
          <w:tcPr>
            <w:tcW w:w="3368" w:type="dxa"/>
            <w:vAlign w:val="center"/>
          </w:tcPr>
          <w:p>
            <w:pPr>
              <w:autoSpaceDE w:val="0"/>
              <w:autoSpaceDN w:val="0"/>
              <w:adjustRightInd w:val="0"/>
              <w:spacing w:line="400" w:lineRule="exact"/>
              <w:ind w:left="247"/>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订货方式、送货时间、地点及凭证</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三</w:t>
            </w:r>
          </w:p>
        </w:tc>
        <w:tc>
          <w:tcPr>
            <w:tcW w:w="3368" w:type="dxa"/>
            <w:vAlign w:val="center"/>
          </w:tcPr>
          <w:p>
            <w:pPr>
              <w:autoSpaceDE w:val="0"/>
              <w:autoSpaceDN w:val="0"/>
              <w:adjustRightInd w:val="0"/>
              <w:spacing w:line="400" w:lineRule="exact"/>
              <w:ind w:left="247"/>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验收要求</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四</w:t>
            </w:r>
          </w:p>
        </w:tc>
        <w:tc>
          <w:tcPr>
            <w:tcW w:w="3368" w:type="dxa"/>
            <w:vAlign w:val="center"/>
          </w:tcPr>
          <w:p>
            <w:pPr>
              <w:autoSpaceDE w:val="0"/>
              <w:autoSpaceDN w:val="0"/>
              <w:adjustRightInd w:val="0"/>
              <w:spacing w:line="400" w:lineRule="exact"/>
              <w:ind w:left="247"/>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合同期限</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w:t>
            </w:r>
          </w:p>
        </w:tc>
        <w:tc>
          <w:tcPr>
            <w:tcW w:w="3368" w:type="dxa"/>
            <w:vAlign w:val="center"/>
          </w:tcPr>
          <w:p>
            <w:pPr>
              <w:autoSpaceDE w:val="0"/>
              <w:autoSpaceDN w:val="0"/>
              <w:adjustRightInd w:val="0"/>
              <w:spacing w:line="400" w:lineRule="exact"/>
              <w:ind w:left="247"/>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合同价格</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六</w:t>
            </w:r>
          </w:p>
        </w:tc>
        <w:tc>
          <w:tcPr>
            <w:tcW w:w="3368" w:type="dxa"/>
            <w:vAlign w:val="center"/>
          </w:tcPr>
          <w:p>
            <w:pPr>
              <w:autoSpaceDE w:val="0"/>
              <w:autoSpaceDN w:val="0"/>
              <w:adjustRightInd w:val="0"/>
              <w:spacing w:line="400" w:lineRule="exact"/>
              <w:ind w:left="247"/>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支付方式</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七</w:t>
            </w:r>
          </w:p>
        </w:tc>
        <w:tc>
          <w:tcPr>
            <w:tcW w:w="3368" w:type="dxa"/>
            <w:vAlign w:val="center"/>
          </w:tcPr>
          <w:p>
            <w:pPr>
              <w:autoSpaceDE w:val="0"/>
              <w:autoSpaceDN w:val="0"/>
              <w:adjustRightInd w:val="0"/>
              <w:spacing w:line="400" w:lineRule="exact"/>
              <w:ind w:left="247"/>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履约担保</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八</w:t>
            </w:r>
          </w:p>
        </w:tc>
        <w:tc>
          <w:tcPr>
            <w:tcW w:w="3368" w:type="dxa"/>
            <w:vAlign w:val="center"/>
          </w:tcPr>
          <w:p>
            <w:pPr>
              <w:autoSpaceDE w:val="0"/>
              <w:autoSpaceDN w:val="0"/>
              <w:adjustRightInd w:val="0"/>
              <w:spacing w:line="400" w:lineRule="exact"/>
              <w:ind w:left="247"/>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考核管理</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九</w:t>
            </w:r>
          </w:p>
        </w:tc>
        <w:tc>
          <w:tcPr>
            <w:tcW w:w="3368" w:type="dxa"/>
            <w:vAlign w:val="center"/>
          </w:tcPr>
          <w:p>
            <w:pPr>
              <w:autoSpaceDE w:val="0"/>
              <w:autoSpaceDN w:val="0"/>
              <w:adjustRightInd w:val="0"/>
              <w:spacing w:line="400" w:lineRule="exact"/>
              <w:ind w:left="247"/>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甲方的权利和义务</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w:t>
            </w:r>
          </w:p>
        </w:tc>
        <w:tc>
          <w:tcPr>
            <w:tcW w:w="3368"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乙方的权利和义务</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十一</w:t>
            </w:r>
          </w:p>
        </w:tc>
        <w:tc>
          <w:tcPr>
            <w:tcW w:w="3368"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保密条款</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十二</w:t>
            </w:r>
          </w:p>
        </w:tc>
        <w:tc>
          <w:tcPr>
            <w:tcW w:w="3368"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违约处理</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十三</w:t>
            </w:r>
          </w:p>
        </w:tc>
        <w:tc>
          <w:tcPr>
            <w:tcW w:w="3368"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严禁转包或再分包</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十四</w:t>
            </w:r>
          </w:p>
        </w:tc>
        <w:tc>
          <w:tcPr>
            <w:tcW w:w="3368"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合同终止</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十五</w:t>
            </w:r>
          </w:p>
        </w:tc>
        <w:tc>
          <w:tcPr>
            <w:tcW w:w="3368"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争议处理</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十六</w:t>
            </w:r>
          </w:p>
        </w:tc>
        <w:tc>
          <w:tcPr>
            <w:tcW w:w="3368"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不可抗力</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十七</w:t>
            </w:r>
          </w:p>
        </w:tc>
        <w:tc>
          <w:tcPr>
            <w:tcW w:w="3368"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需要双方明确的其他事项</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十八</w:t>
            </w:r>
          </w:p>
        </w:tc>
        <w:tc>
          <w:tcPr>
            <w:tcW w:w="3368"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合同生效</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w:t>
            </w:r>
            <w:r>
              <w:rPr>
                <w:rFonts w:hint="eastAsia" w:ascii="宋体" w:hAnsi="宋体" w:eastAsia="宋体" w:cs="宋体"/>
                <w:color w:val="000000" w:themeColor="text1"/>
                <w:kern w:val="0"/>
                <w:szCs w:val="21"/>
                <w:highlight w:val="none"/>
                <w:lang w:val="zh-CN"/>
                <w14:textFill>
                  <w14:solidFill>
                    <w14:schemeClr w14:val="tx1"/>
                  </w14:solidFill>
                </w14:textFill>
              </w:rPr>
              <w:t>1</w:t>
            </w:r>
          </w:p>
        </w:tc>
        <w:tc>
          <w:tcPr>
            <w:tcW w:w="3368"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XX公司食堂配送服务考核评分表</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w:t>
            </w:r>
          </w:p>
        </w:tc>
        <w:tc>
          <w:tcPr>
            <w:tcW w:w="1570"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附件2</w:t>
            </w:r>
          </w:p>
        </w:tc>
        <w:tc>
          <w:tcPr>
            <w:tcW w:w="3368"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廉洁协议书</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w:t>
            </w:r>
          </w:p>
        </w:tc>
        <w:tc>
          <w:tcPr>
            <w:tcW w:w="157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w:t>
            </w:r>
          </w:p>
        </w:tc>
        <w:tc>
          <w:tcPr>
            <w:tcW w:w="3368"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不可撤销银行履约保函</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w:t>
            </w:r>
          </w:p>
        </w:tc>
        <w:tc>
          <w:tcPr>
            <w:tcW w:w="157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w:t>
            </w:r>
          </w:p>
        </w:tc>
        <w:tc>
          <w:tcPr>
            <w:tcW w:w="3368"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履约保证保险凭证</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5"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w:t>
            </w:r>
          </w:p>
        </w:tc>
        <w:tc>
          <w:tcPr>
            <w:tcW w:w="157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w:t>
            </w:r>
          </w:p>
        </w:tc>
        <w:tc>
          <w:tcPr>
            <w:tcW w:w="3368"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担保公司履约担保书</w:t>
            </w:r>
          </w:p>
        </w:tc>
        <w:tc>
          <w:tcPr>
            <w:tcW w:w="1483"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c>
          <w:tcPr>
            <w:tcW w:w="2822" w:type="dxa"/>
            <w:vAlign w:val="center"/>
          </w:tcPr>
          <w:p>
            <w:pPr>
              <w:autoSpaceDE w:val="0"/>
              <w:autoSpaceDN w:val="0"/>
              <w:adjustRightInd w:val="0"/>
              <w:spacing w:line="400" w:lineRule="exact"/>
              <w:ind w:left="247"/>
              <w:jc w:val="center"/>
              <w:rPr>
                <w:rFonts w:ascii="宋体" w:hAnsi="宋体" w:eastAsia="宋体" w:cs="宋体"/>
                <w:color w:val="000000" w:themeColor="text1"/>
                <w:kern w:val="0"/>
                <w:szCs w:val="21"/>
                <w:highlight w:val="none"/>
                <w14:textFill>
                  <w14:solidFill>
                    <w14:schemeClr w14:val="tx1"/>
                  </w14:solidFill>
                </w14:textFill>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000000" w:themeColor="text1"/>
          <w:kern w:val="0"/>
          <w:szCs w:val="21"/>
          <w:highlight w:val="none"/>
          <w14:textFill>
            <w14:solidFill>
              <w14:schemeClr w14:val="tx1"/>
            </w14:solidFill>
          </w14:textFill>
        </w:rPr>
        <w:t>。</w:t>
      </w:r>
    </w:p>
    <w:p>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pPr>
        <w:spacing w:line="360" w:lineRule="auto"/>
        <w:ind w:left="-320" w:right="368" w:rightChars="175" w:firstLine="5355" w:firstLineChars="25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pPr>
        <w:autoSpaceDE w:val="0"/>
        <w:autoSpaceDN w:val="0"/>
        <w:adjustRightInd w:val="0"/>
        <w:spacing w:line="360" w:lineRule="auto"/>
        <w:ind w:left="-320" w:firstLine="5355" w:firstLineChars="2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pPr>
        <w:tabs>
          <w:tab w:val="left" w:pos="567"/>
        </w:tabs>
        <w:autoSpaceDE w:val="0"/>
        <w:autoSpaceDN w:val="0"/>
        <w:adjustRightInd w:val="0"/>
        <w:spacing w:line="360" w:lineRule="auto"/>
        <w:ind w:left="247"/>
        <w:jc w:val="left"/>
        <w:outlineLvl w:val="2"/>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宋体"/>
          <w:b/>
          <w:bCs/>
          <w:color w:val="000000" w:themeColor="text1"/>
          <w:kern w:val="0"/>
          <w:sz w:val="30"/>
          <w:szCs w:val="30"/>
          <w:highlight w:val="none"/>
          <w:lang w:val="zh-CN"/>
          <w14:textFill>
            <w14:solidFill>
              <w14:schemeClr w14:val="tx1"/>
            </w14:solidFill>
          </w14:textFill>
        </w:rPr>
        <w:br w:type="page"/>
      </w:r>
      <w:bookmarkStart w:id="573" w:name="_Toc104991884"/>
      <w:bookmarkStart w:id="574" w:name="_Toc161843200"/>
      <w:bookmarkStart w:id="575" w:name="_Toc94107218"/>
      <w:bookmarkStart w:id="576" w:name="_Toc13179"/>
      <w:bookmarkStart w:id="577" w:name="_Toc140596937"/>
      <w:bookmarkStart w:id="578" w:name="_Toc102860426"/>
      <w:bookmarkStart w:id="579" w:name="_Toc29505"/>
      <w:bookmarkStart w:id="580" w:name="_Toc102860082"/>
      <w:bookmarkStart w:id="581" w:name="_Toc142508377"/>
      <w:bookmarkStart w:id="582" w:name="_Toc5473"/>
      <w:bookmarkStart w:id="583" w:name="_Toc27980_WPSOffice_Level2"/>
      <w:bookmarkStart w:id="584" w:name="_Toc486167717"/>
      <w:r>
        <w:rPr>
          <w:rFonts w:hint="eastAsia" w:ascii="宋体" w:hAnsi="宋体" w:eastAsia="宋体" w:cs="宋体"/>
          <w:b/>
          <w:color w:val="000000" w:themeColor="text1"/>
          <w:kern w:val="0"/>
          <w:sz w:val="32"/>
          <w:szCs w:val="32"/>
          <w:highlight w:val="none"/>
          <w14:textFill>
            <w14:solidFill>
              <w14:schemeClr w14:val="tx1"/>
            </w14:solidFill>
          </w14:textFill>
        </w:rPr>
        <w:t>九、业绩表格式</w:t>
      </w:r>
      <w:bookmarkEnd w:id="573"/>
      <w:bookmarkEnd w:id="574"/>
      <w:bookmarkEnd w:id="575"/>
      <w:bookmarkEnd w:id="576"/>
      <w:bookmarkEnd w:id="577"/>
      <w:bookmarkEnd w:id="578"/>
      <w:bookmarkEnd w:id="579"/>
      <w:bookmarkEnd w:id="580"/>
      <w:bookmarkEnd w:id="581"/>
      <w:bookmarkEnd w:id="582"/>
    </w:p>
    <w:p>
      <w:pPr>
        <w:ind w:left="247"/>
        <w:rPr>
          <w:color w:val="000000" w:themeColor="text1"/>
          <w:highlight w:val="none"/>
          <w:lang w:val="zh-CN"/>
          <w14:textFill>
            <w14:solidFill>
              <w14:schemeClr w14:val="tx1"/>
            </w14:solidFill>
          </w14:textFill>
        </w:rPr>
      </w:pPr>
    </w:p>
    <w:p>
      <w:pPr>
        <w:autoSpaceDE w:val="0"/>
        <w:autoSpaceDN w:val="0"/>
        <w:adjustRightInd w:val="0"/>
        <w:spacing w:line="360" w:lineRule="auto"/>
        <w:ind w:left="247"/>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投标人202</w:t>
      </w:r>
      <w:r>
        <w:rPr>
          <w:rFonts w:hint="eastAsia" w:ascii="宋体" w:hAnsi="宋体" w:eastAsia="宋体" w:cs="Times New Roman"/>
          <w:b/>
          <w:bCs/>
          <w:color w:val="000000" w:themeColor="text1"/>
          <w:sz w:val="30"/>
          <w:szCs w:val="30"/>
          <w:highlight w:val="none"/>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年1月1日（合同签订日期为202</w:t>
      </w:r>
      <w:r>
        <w:rPr>
          <w:rFonts w:hint="eastAsia" w:ascii="宋体" w:hAnsi="宋体" w:eastAsia="宋体" w:cs="Times New Roman"/>
          <w:b/>
          <w:bCs/>
          <w:color w:val="000000" w:themeColor="text1"/>
          <w:sz w:val="30"/>
          <w:szCs w:val="30"/>
          <w:highlight w:val="none"/>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年1月1日或以后）至今已完成或正在服务的饭堂、食堂食品或食材供应链配送服务项目业绩表</w:t>
      </w:r>
    </w:p>
    <w:p>
      <w:pPr>
        <w:ind w:left="247"/>
        <w:rPr>
          <w:color w:val="000000" w:themeColor="text1"/>
          <w:highlight w:val="none"/>
          <w:lang w:val="zh-CN"/>
          <w14:textFill>
            <w14:solidFill>
              <w14:schemeClr w14:val="tx1"/>
            </w14:solidFill>
          </w14:textFill>
        </w:rPr>
      </w:pPr>
    </w:p>
    <w:tbl>
      <w:tblPr>
        <w:tblStyle w:val="37"/>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7"/>
        <w:gridCol w:w="706"/>
        <w:gridCol w:w="706"/>
        <w:gridCol w:w="1105"/>
        <w:gridCol w:w="1546"/>
        <w:gridCol w:w="958"/>
        <w:gridCol w:w="707"/>
        <w:gridCol w:w="707"/>
        <w:gridCol w:w="833"/>
        <w:gridCol w:w="833"/>
        <w:gridCol w:w="958"/>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807" w:hRule="exact"/>
          <w:jc w:val="center"/>
        </w:trPr>
        <w:tc>
          <w:tcPr>
            <w:tcW w:w="577"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706"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706"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项目规模</w:t>
            </w:r>
          </w:p>
        </w:tc>
        <w:tc>
          <w:tcPr>
            <w:tcW w:w="1105"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合同金额（万元）</w:t>
            </w:r>
          </w:p>
        </w:tc>
        <w:tc>
          <w:tcPr>
            <w:tcW w:w="1546"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年度配送服务项目总金额（万元）</w:t>
            </w:r>
          </w:p>
        </w:tc>
        <w:tc>
          <w:tcPr>
            <w:tcW w:w="958"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合同主要服务内容</w:t>
            </w:r>
          </w:p>
        </w:tc>
        <w:tc>
          <w:tcPr>
            <w:tcW w:w="707"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合同期限</w:t>
            </w:r>
          </w:p>
        </w:tc>
        <w:tc>
          <w:tcPr>
            <w:tcW w:w="707"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签约日期</w:t>
            </w:r>
          </w:p>
        </w:tc>
        <w:tc>
          <w:tcPr>
            <w:tcW w:w="833"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服务完成情况</w:t>
            </w:r>
          </w:p>
        </w:tc>
        <w:tc>
          <w:tcPr>
            <w:tcW w:w="833"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服务质量情况</w:t>
            </w:r>
          </w:p>
        </w:tc>
        <w:tc>
          <w:tcPr>
            <w:tcW w:w="958"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业主联系人及电话</w:t>
            </w:r>
          </w:p>
        </w:tc>
        <w:tc>
          <w:tcPr>
            <w:tcW w:w="578"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07" w:hRule="exact"/>
          <w:jc w:val="center"/>
        </w:trPr>
        <w:tc>
          <w:tcPr>
            <w:tcW w:w="57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105"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54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95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833" w:type="dxa"/>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833"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95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57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86" w:hRule="exact"/>
          <w:jc w:val="center"/>
        </w:trPr>
        <w:tc>
          <w:tcPr>
            <w:tcW w:w="57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105"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54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95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833" w:type="dxa"/>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833"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95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57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87" w:hRule="exact"/>
          <w:jc w:val="center"/>
        </w:trPr>
        <w:tc>
          <w:tcPr>
            <w:tcW w:w="57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105"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54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95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833" w:type="dxa"/>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833"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95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57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24" w:hRule="exact"/>
          <w:jc w:val="center"/>
        </w:trPr>
        <w:tc>
          <w:tcPr>
            <w:tcW w:w="57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105"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546"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95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707"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833" w:type="dxa"/>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833"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95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578"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bl>
    <w:p>
      <w:pPr>
        <w:autoSpaceDE w:val="0"/>
        <w:autoSpaceDN w:val="0"/>
        <w:adjustRightInd w:val="0"/>
        <w:snapToGrid w:val="0"/>
        <w:spacing w:line="360" w:lineRule="auto"/>
        <w:ind w:left="247"/>
        <w:jc w:val="left"/>
        <w:rPr>
          <w:rFonts w:ascii="宋体" w:hAnsi="宋体" w:eastAsia="宋体" w:cs="Times New Roman"/>
          <w:color w:val="000000" w:themeColor="text1"/>
          <w:szCs w:val="24"/>
          <w:highlight w:val="none"/>
          <w:lang w:val="zh-CN"/>
          <w14:textFill>
            <w14:solidFill>
              <w14:schemeClr w14:val="tx1"/>
            </w14:solidFill>
          </w14:textFill>
        </w:rPr>
      </w:pPr>
    </w:p>
    <w:p>
      <w:pPr>
        <w:autoSpaceDE w:val="0"/>
        <w:autoSpaceDN w:val="0"/>
        <w:adjustRightInd w:val="0"/>
        <w:snapToGrid w:val="0"/>
        <w:spacing w:line="360" w:lineRule="auto"/>
        <w:ind w:left="247"/>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业绩按单项</w:t>
      </w:r>
      <w:r>
        <w:rPr>
          <w:rFonts w:hint="eastAsia" w:ascii="宋体" w:hAnsi="宋体" w:eastAsia="宋体" w:cs="Times New Roman"/>
          <w:color w:val="000000" w:themeColor="text1"/>
          <w:szCs w:val="24"/>
          <w:highlight w:val="none"/>
          <w:lang w:val="zh-CN"/>
          <w14:textFill>
            <w14:solidFill>
              <w14:schemeClr w14:val="tx1"/>
            </w14:solidFill>
          </w14:textFill>
        </w:rPr>
        <w:t>合同年度配送服务</w:t>
      </w:r>
      <w:r>
        <w:rPr>
          <w:rFonts w:hint="eastAsia" w:ascii="宋体" w:hAnsi="宋体" w:eastAsia="宋体" w:cs="宋体"/>
          <w:color w:val="000000" w:themeColor="text1"/>
          <w:szCs w:val="21"/>
          <w:highlight w:val="none"/>
          <w14:textFill>
            <w14:solidFill>
              <w14:schemeClr w14:val="tx1"/>
            </w14:solidFill>
          </w14:textFill>
        </w:rPr>
        <w:t>项目总金额</w:t>
      </w:r>
      <w:r>
        <w:rPr>
          <w:rFonts w:ascii="宋体" w:hAnsi="宋体" w:eastAsia="宋体" w:cs="Times New Roman"/>
          <w:color w:val="000000" w:themeColor="text1"/>
          <w:szCs w:val="24"/>
          <w:highlight w:val="none"/>
          <w:lang w:val="zh-CN"/>
          <w14:textFill>
            <w14:solidFill>
              <w14:schemeClr w14:val="tx1"/>
            </w14:solidFill>
          </w14:textFill>
        </w:rPr>
        <w:t>从高到低的方式排列</w:t>
      </w: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b/>
          <w:bCs/>
          <w:color w:val="000000" w:themeColor="text1"/>
          <w:szCs w:val="24"/>
          <w:highlight w:val="none"/>
          <w:lang w:val="zh-CN"/>
          <w14:textFill>
            <w14:solidFill>
              <w14:schemeClr w14:val="tx1"/>
            </w14:solidFill>
          </w14:textFill>
        </w:rPr>
        <w:t>同一个单项合同的业绩可以同时在资格业绩和评分业绩重复放置。</w:t>
      </w:r>
    </w:p>
    <w:p>
      <w:pPr>
        <w:autoSpaceDE w:val="0"/>
        <w:autoSpaceDN w:val="0"/>
        <w:adjustRightInd w:val="0"/>
        <w:snapToGrid w:val="0"/>
        <w:spacing w:line="360" w:lineRule="auto"/>
        <w:ind w:left="481" w:leftChars="-41" w:hanging="567" w:hangingChars="27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业绩须附合同复印件加盖投标人公章；</w:t>
      </w:r>
    </w:p>
    <w:p>
      <w:pPr>
        <w:autoSpaceDE w:val="0"/>
        <w:autoSpaceDN w:val="0"/>
        <w:adjustRightInd w:val="0"/>
        <w:snapToGrid w:val="0"/>
        <w:spacing w:line="360" w:lineRule="auto"/>
        <w:ind w:left="481" w:leftChars="-41" w:hanging="567" w:hangingChars="27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合同必须能反映评分条件（合同签订日期为2021年1月1日或以后，合同服务内容必须为食品或者食材配送服务，合同金额），否则，需同时提供对应金额的发票或合同买方出具的书面补充说明文件复印件作为证明文件（需加盖合同买方公章）；</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若业绩为框架式协议或资格入围无明确金额的合同，必须同时提供合同期限内已服务发票金额统计表和发票复印件；</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若单项合同服务期限为一年的，“年度配送服务项目总金额”为单项合同服务期内总金额；若单项合同服务期限超过一年的，“年度配送服务项目总金额”为单项合同总金额按照合同期限折算成平均每年度的金额，即（单项合同总金额/合同服务期月数）×12。</w:t>
      </w:r>
    </w:p>
    <w:p>
      <w:pPr>
        <w:autoSpaceDE w:val="0"/>
        <w:autoSpaceDN w:val="0"/>
        <w:adjustRightInd w:val="0"/>
        <w:snapToGrid w:val="0"/>
        <w:spacing w:line="360" w:lineRule="auto"/>
        <w:ind w:left="483" w:leftChars="-41" w:hanging="569"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w:t>
      </w:r>
      <w:r>
        <w:rPr>
          <w:rFonts w:hint="eastAsia" w:ascii="宋体" w:hAnsi="宋体" w:eastAsia="宋体" w:cs="Times New Roman"/>
          <w:b/>
          <w:bCs/>
          <w:color w:val="000000" w:themeColor="text1"/>
          <w:szCs w:val="24"/>
          <w:highlight w:val="none"/>
          <w14:textFill>
            <w14:solidFill>
              <w14:schemeClr w14:val="tx1"/>
            </w14:solidFill>
          </w14:textFill>
        </w:rPr>
        <w:t>6</w:t>
      </w:r>
      <w:r>
        <w:rPr>
          <w:rFonts w:hint="eastAsia" w:ascii="宋体" w:hAnsi="宋体" w:eastAsia="宋体" w:cs="Times New Roman"/>
          <w:b/>
          <w:bCs/>
          <w:color w:val="000000" w:themeColor="text1"/>
          <w:szCs w:val="24"/>
          <w:highlight w:val="none"/>
          <w:lang w:val="zh-CN"/>
          <w14:textFill>
            <w14:solidFill>
              <w14:schemeClr w14:val="tx1"/>
            </w14:solidFill>
          </w14:textFill>
        </w:rPr>
        <w:t>）未按上述要求在此格式下提供证明材料的业绩，或在此格式下所附材料无法证明填报项目符合本项评分要求的业绩，在评标时将不</w:t>
      </w:r>
      <w:r>
        <w:rPr>
          <w:rFonts w:hint="eastAsia" w:ascii="宋体" w:hAnsi="宋体" w:eastAsia="宋体" w:cs="Times New Roman"/>
          <w:b/>
          <w:bCs/>
          <w:color w:val="000000" w:themeColor="text1"/>
          <w:szCs w:val="24"/>
          <w:highlight w:val="none"/>
          <w14:textFill>
            <w14:solidFill>
              <w14:schemeClr w14:val="tx1"/>
            </w14:solidFill>
          </w14:textFill>
        </w:rPr>
        <w:t>予</w:t>
      </w:r>
      <w:r>
        <w:rPr>
          <w:rFonts w:hint="eastAsia" w:ascii="宋体" w:hAnsi="宋体" w:eastAsia="宋体" w:cs="Times New Roman"/>
          <w:b/>
          <w:bCs/>
          <w:color w:val="000000" w:themeColor="text1"/>
          <w:szCs w:val="24"/>
          <w:highlight w:val="none"/>
          <w:lang w:val="zh-CN"/>
          <w14:textFill>
            <w14:solidFill>
              <w14:schemeClr w14:val="tx1"/>
            </w14:solidFill>
          </w14:textFill>
        </w:rPr>
        <w:t>考虑</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7）招标人有权对上述业绩进行核查，若发现弄虚作假，有权按照评标委员会推荐的中标候选人名单排序依次确定其他中标候选人为中标人或重新招标，并不予退还投标保证金，若合同履行过程中发现弄虚作假，将没收履约担保，并将上报行政管理部门，从严处理。</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（8）在接到招标人通知之日起3个工作日内，投标人必须提供上述合同及其证明材料的原件供招标人核对其真实性。</w:t>
      </w:r>
    </w:p>
    <w:p>
      <w:pPr>
        <w:autoSpaceDE w:val="0"/>
        <w:autoSpaceDN w:val="0"/>
        <w:adjustRightInd w:val="0"/>
        <w:spacing w:line="360" w:lineRule="auto"/>
        <w:ind w:left="-320"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pPr>
        <w:autoSpaceDE w:val="0"/>
        <w:autoSpaceDN w:val="0"/>
        <w:adjustRightInd w:val="0"/>
        <w:spacing w:line="360" w:lineRule="auto"/>
        <w:ind w:left="-320"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pPr>
        <w:ind w:left="247"/>
        <w:rPr>
          <w:color w:val="000000" w:themeColor="text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pStyle w:val="18"/>
        <w:ind w:left="247"/>
        <w:jc w:val="both"/>
        <w:rPr>
          <w:rFonts w:hAnsi="宋体" w:cs="宋体"/>
          <w:color w:val="000000" w:themeColor="text1"/>
          <w:sz w:val="21"/>
          <w:highlight w:val="none"/>
          <w14:textFill>
            <w14:solidFill>
              <w14:schemeClr w14:val="tx1"/>
            </w14:solidFill>
          </w14:textFill>
        </w:rPr>
      </w:pPr>
    </w:p>
    <w:p>
      <w:pPr>
        <w:ind w:left="247"/>
        <w:rPr>
          <w:rFonts w:hAnsi="宋体" w:cs="宋体"/>
          <w:b/>
          <w:color w:val="000000" w:themeColor="text1"/>
          <w:sz w:val="32"/>
          <w:szCs w:val="32"/>
          <w:highlight w:val="none"/>
          <w14:textFill>
            <w14:solidFill>
              <w14:schemeClr w14:val="tx1"/>
            </w14:solidFill>
          </w14:textFill>
        </w:rPr>
      </w:pPr>
      <w:bookmarkStart w:id="585" w:name="_Toc12972"/>
      <w:r>
        <w:rPr>
          <w:rFonts w:hint="eastAsia" w:hAnsi="宋体" w:cs="宋体"/>
          <w:b/>
          <w:color w:val="000000" w:themeColor="text1"/>
          <w:sz w:val="32"/>
          <w:szCs w:val="32"/>
          <w:highlight w:val="none"/>
          <w14:textFill>
            <w14:solidFill>
              <w14:schemeClr w14:val="tx1"/>
            </w14:solidFill>
          </w14:textFill>
        </w:rPr>
        <w:br w:type="page"/>
      </w:r>
    </w:p>
    <w:p>
      <w:pPr>
        <w:spacing w:line="360" w:lineRule="auto"/>
        <w:ind w:left="247"/>
        <w:rPr>
          <w:rFonts w:ascii="宋体" w:hAnsi="宋体" w:eastAsia="宋体" w:cs="宋体"/>
          <w:b/>
          <w:bCs/>
          <w:color w:val="000000" w:themeColor="text1"/>
          <w:sz w:val="30"/>
          <w:szCs w:val="30"/>
          <w:highlight w:val="none"/>
          <w:lang w:val="zh-CN"/>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附表：已服务发票金额统计表</w:t>
      </w:r>
    </w:p>
    <w:tbl>
      <w:tblPr>
        <w:tblStyle w:val="3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135"/>
        <w:gridCol w:w="1274"/>
        <w:gridCol w:w="155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5208" w:type="dxa"/>
            <w:gridSpan w:val="4"/>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合同约定的服务期</w:t>
            </w:r>
          </w:p>
        </w:tc>
        <w:tc>
          <w:tcPr>
            <w:tcW w:w="5208" w:type="dxa"/>
            <w:gridSpan w:val="4"/>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发票抬头（</w:t>
            </w:r>
            <w:r>
              <w:rPr>
                <w:rFonts w:hint="eastAsia" w:ascii="宋体" w:hAnsi="宋体" w:cs="宋体"/>
                <w:color w:val="000000" w:themeColor="text1"/>
                <w:highlight w:val="none"/>
                <w14:textFill>
                  <w14:solidFill>
                    <w14:schemeClr w14:val="tx1"/>
                  </w14:solidFill>
                </w14:textFill>
              </w:rPr>
              <w:t>合同甲方）</w:t>
            </w:r>
          </w:p>
        </w:tc>
        <w:tc>
          <w:tcPr>
            <w:tcW w:w="5208" w:type="dxa"/>
            <w:gridSpan w:val="4"/>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3202"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发票名目</w:t>
            </w:r>
          </w:p>
        </w:tc>
        <w:tc>
          <w:tcPr>
            <w:tcW w:w="1135"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发票金额</w:t>
            </w:r>
          </w:p>
        </w:tc>
        <w:tc>
          <w:tcPr>
            <w:tcW w:w="1274"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发票号码</w:t>
            </w:r>
          </w:p>
        </w:tc>
        <w:tc>
          <w:tcPr>
            <w:tcW w:w="1558"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发票所属时期</w:t>
            </w:r>
          </w:p>
        </w:tc>
        <w:tc>
          <w:tcPr>
            <w:tcW w:w="1241"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3202"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135"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74"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558"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41"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3202"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135"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74"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558"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41"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3202"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135"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74"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558"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41"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3202"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135"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74"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558"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41"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发票金额合计</w:t>
            </w:r>
          </w:p>
        </w:tc>
        <w:tc>
          <w:tcPr>
            <w:tcW w:w="1135"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74"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558"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41" w:type="dxa"/>
            <w:vAlign w:val="center"/>
          </w:tcPr>
          <w:p>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bl>
    <w:p>
      <w:pPr>
        <w:snapToGrid w:val="0"/>
        <w:spacing w:line="360" w:lineRule="auto"/>
        <w:ind w:left="491" w:leftChars="-57" w:hanging="611" w:hangingChars="291"/>
        <w:rPr>
          <w:rFonts w:ascii="宋体" w:hAnsi="宋体" w:eastAsia="宋体" w:cs="宋体"/>
          <w:color w:val="000000" w:themeColor="text1"/>
          <w:highlight w:val="none"/>
          <w14:textFill>
            <w14:solidFill>
              <w14:schemeClr w14:val="tx1"/>
            </w14:solidFill>
          </w14:textFill>
        </w:rPr>
      </w:pPr>
    </w:p>
    <w:p>
      <w:pPr>
        <w:snapToGrid w:val="0"/>
        <w:spacing w:line="360" w:lineRule="auto"/>
        <w:ind w:left="491" w:leftChars="-57" w:hanging="611" w:hangingChars="291"/>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p>
      <w:pPr>
        <w:snapToGrid w:val="0"/>
        <w:spacing w:line="360" w:lineRule="auto"/>
        <w:ind w:left="396" w:leftChars="-58" w:hanging="518" w:hangingChars="247"/>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（1）投标人提供框架式协议或资格入围无明确金额的合同时，须同时提供本统计表及服务发票复印件，本统计表及服务发票复印件应后附于合同复印件；</w:t>
      </w:r>
    </w:p>
    <w:p>
      <w:pPr>
        <w:snapToGrid w:val="0"/>
        <w:spacing w:line="360" w:lineRule="auto"/>
        <w:ind w:left="396" w:leftChars="-58" w:hanging="518" w:hangingChars="247"/>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（2）发票抬头应为合同服务购买方，销售方应为投标人，且发票名目、所属时期应与合同约定内容一致，否则不计分；</w:t>
      </w:r>
      <w:bookmarkStart w:id="586" w:name="_Toc22445"/>
      <w:bookmarkStart w:id="587" w:name="_Toc2780"/>
    </w:p>
    <w:p>
      <w:pPr>
        <w:snapToGrid w:val="0"/>
        <w:spacing w:line="360" w:lineRule="auto"/>
        <w:ind w:left="396" w:leftChars="-58" w:hanging="518" w:hangingChars="247"/>
        <w:rPr>
          <w:rFonts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bookmarkEnd w:id="586"/>
      <w:bookmarkEnd w:id="587"/>
      <w:r>
        <w:rPr>
          <w:rFonts w:hint="eastAsia" w:ascii="宋体" w:hAnsi="宋体" w:eastAsia="宋体" w:cs="宋体"/>
          <w:color w:val="000000" w:themeColor="text1"/>
          <w:highlight w:val="none"/>
          <w14:textFill>
            <w14:solidFill>
              <w14:schemeClr w14:val="tx1"/>
            </w14:solidFill>
          </w14:textFill>
        </w:rPr>
        <w:t>发票合计金额视为投标人所提供该单项</w:t>
      </w:r>
      <w:r>
        <w:rPr>
          <w:rFonts w:hint="eastAsia" w:ascii="宋体" w:hAnsi="宋体" w:eastAsia="宋体" w:cs="宋体"/>
          <w:color w:val="000000" w:themeColor="text1"/>
          <w:highlight w:val="none"/>
          <w:lang w:val="pt-BR"/>
          <w14:textFill>
            <w14:solidFill>
              <w14:schemeClr w14:val="tx1"/>
            </w14:solidFill>
          </w14:textFill>
        </w:rPr>
        <w:t>饭堂、食堂食品或者食材供应链配送服务项目</w:t>
      </w:r>
      <w:r>
        <w:rPr>
          <w:rFonts w:hint="eastAsia" w:ascii="宋体" w:hAnsi="宋体" w:eastAsia="宋体" w:cs="宋体"/>
          <w:color w:val="000000" w:themeColor="text1"/>
          <w:highlight w:val="none"/>
          <w14:textFill>
            <w14:solidFill>
              <w14:schemeClr w14:val="tx1"/>
            </w14:solidFill>
          </w14:textFill>
        </w:rPr>
        <w:t>实际总金额，评审时将按照“年度配送服务项目总金额”进行评审。</w:t>
      </w:r>
    </w:p>
    <w:p>
      <w:pPr>
        <w:ind w:left="247"/>
        <w:rPr>
          <w:rFonts w:hAnsi="宋体" w:cs="宋体"/>
          <w:b/>
          <w:color w:val="000000" w:themeColor="text1"/>
          <w:sz w:val="32"/>
          <w:szCs w:val="32"/>
          <w:highlight w:val="none"/>
          <w14:textFill>
            <w14:solidFill>
              <w14:schemeClr w14:val="tx1"/>
            </w14:solidFill>
          </w14:textFill>
        </w:rPr>
      </w:pPr>
    </w:p>
    <w:p>
      <w:pPr>
        <w:ind w:left="247"/>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br w:type="page"/>
      </w:r>
    </w:p>
    <w:bookmarkEnd w:id="583"/>
    <w:bookmarkEnd w:id="584"/>
    <w:bookmarkEnd w:id="585"/>
    <w:p>
      <w:pPr>
        <w:ind w:left="247"/>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bookmarkStart w:id="588" w:name="_Toc161843201"/>
      <w:bookmarkStart w:id="589" w:name="_Toc18413"/>
      <w:bookmarkStart w:id="590" w:name="_Toc18175_WPSOffice_Level2"/>
      <w:bookmarkStart w:id="591" w:name="_Toc94107220"/>
      <w:bookmarkStart w:id="592" w:name="_Toc31965"/>
      <w:bookmarkStart w:id="593" w:name="_Toc104991885"/>
      <w:bookmarkStart w:id="594" w:name="_Toc102860427"/>
      <w:bookmarkStart w:id="595" w:name="_Toc140596938"/>
      <w:bookmarkStart w:id="596" w:name="_Toc1977737"/>
      <w:bookmarkStart w:id="597" w:name="_Toc142508378"/>
      <w:bookmarkStart w:id="598" w:name="_Toc102860083"/>
      <w:bookmarkStart w:id="599" w:name="_Toc533708132"/>
      <w:bookmarkStart w:id="600" w:name="_Toc19890"/>
      <w:bookmarkStart w:id="601" w:name="_Toc486167719"/>
      <w:r>
        <w:rPr>
          <w:rFonts w:hint="eastAsia" w:ascii="宋体" w:hAnsi="宋体" w:eastAsia="宋体" w:cs="宋体"/>
          <w:b/>
          <w:color w:val="000000" w:themeColor="text1"/>
          <w:kern w:val="0"/>
          <w:sz w:val="32"/>
          <w:szCs w:val="32"/>
          <w:highlight w:val="none"/>
          <w14:textFill>
            <w14:solidFill>
              <w14:schemeClr w14:val="tx1"/>
            </w14:solidFill>
          </w14:textFill>
        </w:rPr>
        <w:t>十、</w:t>
      </w:r>
      <w:bookmarkEnd w:id="588"/>
      <w:r>
        <w:rPr>
          <w:rFonts w:hint="eastAsia" w:ascii="宋体" w:hAnsi="宋体" w:eastAsia="宋体" w:cs="宋体"/>
          <w:b/>
          <w:color w:val="000000" w:themeColor="text1"/>
          <w:kern w:val="0"/>
          <w:sz w:val="32"/>
          <w:szCs w:val="32"/>
          <w:highlight w:val="none"/>
          <w14:textFill>
            <w14:solidFill>
              <w14:schemeClr w14:val="tx1"/>
            </w14:solidFill>
          </w14:textFill>
        </w:rPr>
        <w:t>拟投入本项目的配送场所面积</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br w:type="page"/>
      </w:r>
    </w:p>
    <w:p>
      <w:pPr>
        <w:pStyle w:val="2"/>
        <w:ind w:left="247"/>
        <w:jc w:val="left"/>
        <w:rPr>
          <w:rFonts w:hAnsi="宋体" w:cs="宋体"/>
          <w:b/>
          <w:color w:val="000000" w:themeColor="text1"/>
          <w:sz w:val="32"/>
          <w:szCs w:val="32"/>
          <w:highlight w:val="none"/>
          <w:lang w:val="zh-CN"/>
          <w14:textFill>
            <w14:solidFill>
              <w14:schemeClr w14:val="tx1"/>
            </w14:solidFill>
          </w14:textFill>
        </w:rPr>
      </w:pPr>
      <w:bookmarkStart w:id="602" w:name="_Toc161843202"/>
      <w:bookmarkStart w:id="603" w:name="_Toc22292"/>
      <w:bookmarkStart w:id="604" w:name="_Toc12060"/>
      <w:r>
        <w:rPr>
          <w:rFonts w:hint="eastAsia" w:hAnsi="宋体" w:cs="宋体"/>
          <w:b/>
          <w:color w:val="000000" w:themeColor="text1"/>
          <w:sz w:val="32"/>
          <w:szCs w:val="32"/>
          <w:highlight w:val="none"/>
          <w14:textFill>
            <w14:solidFill>
              <w14:schemeClr w14:val="tx1"/>
            </w14:solidFill>
          </w14:textFill>
        </w:rPr>
        <w:t>十一、拟投入本项目的人员及车辆情况</w:t>
      </w:r>
      <w:r>
        <w:rPr>
          <w:rFonts w:hint="eastAsia" w:hAnsi="宋体" w:cs="宋体"/>
          <w:b/>
          <w:color w:val="000000" w:themeColor="text1"/>
          <w:sz w:val="32"/>
          <w:szCs w:val="32"/>
          <w:highlight w:val="none"/>
          <w:lang w:val="zh-CN"/>
          <w14:textFill>
            <w14:solidFill>
              <w14:schemeClr w14:val="tx1"/>
            </w14:solidFill>
          </w14:textFill>
        </w:rPr>
        <w:t>【投标人自行编写，应包括拟投入本项目的人员、车辆配置情况表及项目负责人（专业技术人员）简历表】）</w:t>
      </w:r>
      <w:bookmarkEnd w:id="602"/>
      <w:bookmarkEnd w:id="603"/>
      <w:bookmarkEnd w:id="604"/>
    </w:p>
    <w:p>
      <w:pPr>
        <w:ind w:left="247"/>
        <w:rPr>
          <w:rFonts w:ascii="宋体" w:hAnsi="宋体" w:eastAsia="宋体" w:cs="宋体"/>
          <w:b/>
          <w:color w:val="000000" w:themeColor="text1"/>
          <w:kern w:val="0"/>
          <w:sz w:val="32"/>
          <w:szCs w:val="32"/>
          <w:highlight w:val="none"/>
          <w14:textFill>
            <w14:solidFill>
              <w14:schemeClr w14:val="tx1"/>
            </w14:solidFill>
          </w14:textFill>
        </w:rPr>
      </w:pPr>
    </w:p>
    <w:p>
      <w:pPr>
        <w:ind w:firstLine="3855" w:firstLineChars="1200"/>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人员配置情况表</w:t>
      </w:r>
    </w:p>
    <w:tbl>
      <w:tblPr>
        <w:tblStyle w:val="37"/>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66"/>
        <w:gridCol w:w="865"/>
        <w:gridCol w:w="865"/>
        <w:gridCol w:w="865"/>
        <w:gridCol w:w="1439"/>
        <w:gridCol w:w="1439"/>
        <w:gridCol w:w="2298"/>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66"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866"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姓名</w:t>
            </w:r>
          </w:p>
        </w:tc>
        <w:tc>
          <w:tcPr>
            <w:tcW w:w="865"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性别</w:t>
            </w:r>
          </w:p>
        </w:tc>
        <w:tc>
          <w:tcPr>
            <w:tcW w:w="865"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年龄</w:t>
            </w:r>
          </w:p>
        </w:tc>
        <w:tc>
          <w:tcPr>
            <w:tcW w:w="865"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学历</w:t>
            </w:r>
          </w:p>
        </w:tc>
        <w:tc>
          <w:tcPr>
            <w:tcW w:w="1439"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资格证书</w:t>
            </w:r>
          </w:p>
        </w:tc>
        <w:tc>
          <w:tcPr>
            <w:tcW w:w="1439"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拟任职务</w:t>
            </w:r>
          </w:p>
        </w:tc>
        <w:tc>
          <w:tcPr>
            <w:tcW w:w="2298"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从事本行业年限</w:t>
            </w:r>
          </w:p>
        </w:tc>
        <w:tc>
          <w:tcPr>
            <w:tcW w:w="865"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bl>
    <w:p>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pPr>
        <w:spacing w:line="360" w:lineRule="auto"/>
        <w:ind w:left="210" w:left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（1）此表格式供参照，投标人可以根据本表格式内容自行划表填写。</w:t>
      </w:r>
    </w:p>
    <w:p>
      <w:pPr>
        <w:spacing w:line="360" w:lineRule="auto"/>
        <w:ind w:left="422" w:leftChars="101" w:hanging="210" w:hangingChars="1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（2）应附有资格证书（或注册/执业/岗位证书/技术职称）、以及社会保障部门（或税务部门）出具的</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b/>
          <w:bCs/>
          <w:color w:val="000000" w:themeColor="text1"/>
          <w:szCs w:val="21"/>
          <w:highlight w:val="none"/>
          <w14:textFill>
            <w14:solidFill>
              <w14:schemeClr w14:val="tx1"/>
            </w14:solidFill>
          </w14:textFill>
        </w:rPr>
        <w:t>2023年12月至2024年02月</w:t>
      </w:r>
      <w:r>
        <w:rPr>
          <w:rFonts w:hint="eastAsia" w:ascii="宋体" w:hAnsi="宋体" w:eastAsia="宋体" w:cs="宋体"/>
          <w:color w:val="000000" w:themeColor="text1"/>
          <w:szCs w:val="21"/>
          <w:highlight w:val="none"/>
          <w:lang w:val="zh-CN"/>
          <w14:textFill>
            <w14:solidFill>
              <w14:schemeClr w14:val="tx1"/>
            </w14:solidFill>
          </w14:textFill>
        </w:rPr>
        <w:t>为其缴纳的社保证明复印件加盖投标人公章。</w:t>
      </w:r>
    </w:p>
    <w:p>
      <w:pPr>
        <w:spacing w:line="360" w:lineRule="auto"/>
        <w:ind w:left="420" w:leftChars="100" w:hanging="210" w:hanging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拟投入本项目的项目负责人、专业技术人员还需提供简历表，上述第2项的证明材料按简历表格式附件要求放置。</w:t>
      </w:r>
    </w:p>
    <w:p>
      <w:pPr>
        <w:spacing w:line="360" w:lineRule="auto"/>
        <w:ind w:left="247"/>
        <w:rPr>
          <w:rFonts w:ascii="宋体" w:hAnsi="宋体" w:eastAsia="宋体" w:cs="宋体"/>
          <w:color w:val="000000" w:themeColor="text1"/>
          <w:szCs w:val="21"/>
          <w:highlight w:val="none"/>
          <w14:textFill>
            <w14:solidFill>
              <w14:schemeClr w14:val="tx1"/>
            </w14:solidFill>
          </w14:textFill>
        </w:rPr>
      </w:pPr>
    </w:p>
    <w:p>
      <w:pPr>
        <w:spacing w:line="360" w:lineRule="auto"/>
        <w:ind w:left="-320" w:firstLine="3780" w:firstLineChars="18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投标人名称（并加盖法人公章）：</w:t>
      </w:r>
    </w:p>
    <w:p>
      <w:pPr>
        <w:spacing w:line="360" w:lineRule="auto"/>
        <w:ind w:left="-320" w:right="17" w:firstLine="3780" w:firstLineChars="18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　　　期：</w:t>
      </w:r>
    </w:p>
    <w:p>
      <w:pPr>
        <w:ind w:left="247"/>
        <w:rPr>
          <w:rFonts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br w:type="page"/>
      </w:r>
    </w:p>
    <w:p>
      <w:pPr>
        <w:ind w:firstLine="3855" w:firstLineChars="1200"/>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车辆配置情况表</w:t>
      </w:r>
    </w:p>
    <w:tbl>
      <w:tblPr>
        <w:tblStyle w:val="37"/>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32"/>
        <w:gridCol w:w="1882"/>
        <w:gridCol w:w="1132"/>
        <w:gridCol w:w="1882"/>
        <w:gridCol w:w="207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33" w:type="dxa"/>
            <w:vAlign w:val="center"/>
          </w:tcPr>
          <w:p>
            <w:pPr>
              <w:spacing w:line="360" w:lineRule="auto"/>
              <w:ind w:left="247"/>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1132" w:type="dxa"/>
            <w:vAlign w:val="center"/>
          </w:tcPr>
          <w:p>
            <w:pPr>
              <w:spacing w:line="360" w:lineRule="auto"/>
              <w:ind w:left="247"/>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名称</w:t>
            </w:r>
          </w:p>
        </w:tc>
        <w:tc>
          <w:tcPr>
            <w:tcW w:w="1882" w:type="dxa"/>
            <w:vAlign w:val="center"/>
          </w:tcPr>
          <w:p>
            <w:pPr>
              <w:spacing w:line="360" w:lineRule="auto"/>
              <w:ind w:left="247"/>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规格型号</w:t>
            </w:r>
          </w:p>
        </w:tc>
        <w:tc>
          <w:tcPr>
            <w:tcW w:w="1132" w:type="dxa"/>
            <w:vAlign w:val="center"/>
          </w:tcPr>
          <w:p>
            <w:pPr>
              <w:spacing w:line="360" w:lineRule="auto"/>
              <w:ind w:left="247"/>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数量</w:t>
            </w:r>
          </w:p>
        </w:tc>
        <w:tc>
          <w:tcPr>
            <w:tcW w:w="1882" w:type="dxa"/>
            <w:vAlign w:val="center"/>
          </w:tcPr>
          <w:p>
            <w:pPr>
              <w:spacing w:line="360" w:lineRule="auto"/>
              <w:ind w:left="247"/>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使用年限</w:t>
            </w:r>
          </w:p>
        </w:tc>
        <w:tc>
          <w:tcPr>
            <w:tcW w:w="2071" w:type="dxa"/>
            <w:vAlign w:val="center"/>
          </w:tcPr>
          <w:p>
            <w:pPr>
              <w:spacing w:line="360" w:lineRule="auto"/>
              <w:ind w:left="247"/>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自有/租赁</w:t>
            </w:r>
          </w:p>
        </w:tc>
        <w:tc>
          <w:tcPr>
            <w:tcW w:w="1132" w:type="dxa"/>
            <w:vAlign w:val="center"/>
          </w:tcPr>
          <w:p>
            <w:pPr>
              <w:spacing w:line="360" w:lineRule="auto"/>
              <w:ind w:left="247"/>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3"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071"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33"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071"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3"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071"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3"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071"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3"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071"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3"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071"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3"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071"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3"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071"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3"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071"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33"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8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071"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32"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bl>
    <w:p>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（1）此表格式供参照，投标人可以根据本表格式内容自行划表填写。</w:t>
      </w:r>
    </w:p>
    <w:p>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若是自有车辆的须提供在有效期内的车辆行驶证复印件；若为租赁车辆的须提供租赁合同复印件及在有效期内的车辆行驶证复印件。</w:t>
      </w:r>
    </w:p>
    <w:p>
      <w:pPr>
        <w:spacing w:line="360" w:lineRule="auto"/>
        <w:ind w:left="247"/>
        <w:rPr>
          <w:rFonts w:ascii="宋体" w:hAnsi="宋体" w:eastAsia="宋体" w:cs="宋体"/>
          <w:color w:val="000000" w:themeColor="text1"/>
          <w:highlight w:val="none"/>
          <w:lang w:val="pt-BR"/>
          <w14:textFill>
            <w14:solidFill>
              <w14:schemeClr w14:val="tx1"/>
            </w14:solidFill>
          </w14:textFill>
        </w:rPr>
      </w:pPr>
      <w:r>
        <w:rPr>
          <w:rFonts w:hint="eastAsia" w:ascii="宋体" w:hAnsi="宋体" w:eastAsia="宋体" w:cs="宋体"/>
          <w:color w:val="000000" w:themeColor="text1"/>
          <w:highlight w:val="none"/>
          <w:lang w:val="pt-BR"/>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pt-BR"/>
          <w14:textFill>
            <w14:solidFill>
              <w14:schemeClr w14:val="tx1"/>
            </w14:solidFill>
          </w14:textFill>
        </w:rPr>
        <w:t>）车辆是否为投标人自有的，以车辆行驶证上的“所有人”为准；</w:t>
      </w:r>
    </w:p>
    <w:p>
      <w:pPr>
        <w:spacing w:line="360" w:lineRule="auto"/>
        <w:ind w:left="247"/>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pt-BR"/>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pt-BR"/>
          <w14:textFill>
            <w14:solidFill>
              <w14:schemeClr w14:val="tx1"/>
            </w14:solidFill>
          </w14:textFill>
        </w:rPr>
        <w:t>）车辆是否为冷链（或冷藏或冷冻）车辆以机动车登记证书上所标注的车辆类型（或购车发票上注明的车辆类型）或者提供三张从不同角度拍摄，能有力证明是冷链（或冷藏或冷冻）车辆的照片为准（照片须清晰反映拍摄时间为202</w:t>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pt-BR"/>
          <w14:textFill>
            <w14:solidFill>
              <w14:schemeClr w14:val="tx1"/>
            </w14:solidFill>
          </w14:textFill>
        </w:rPr>
        <w:t>年</w:t>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pt-BR"/>
          <w14:textFill>
            <w14:solidFill>
              <w14:schemeClr w14:val="tx1"/>
            </w14:solidFill>
          </w14:textFill>
        </w:rPr>
        <w:t>月1日或以后，否则评标时将不予考虑）。</w:t>
      </w:r>
    </w:p>
    <w:p>
      <w:pPr>
        <w:spacing w:line="360" w:lineRule="auto"/>
        <w:ind w:left="-320" w:right="840" w:firstLine="4200" w:firstLineChars="2000"/>
        <w:rPr>
          <w:rFonts w:ascii="宋体" w:hAnsi="宋体" w:eastAsia="宋体" w:cs="宋体"/>
          <w:color w:val="000000" w:themeColor="text1"/>
          <w:szCs w:val="21"/>
          <w:highlight w:val="none"/>
          <w:lang w:val="zh-CN"/>
          <w14:textFill>
            <w14:solidFill>
              <w14:schemeClr w14:val="tx1"/>
            </w14:solidFill>
          </w14:textFill>
        </w:rPr>
      </w:pPr>
    </w:p>
    <w:p>
      <w:pPr>
        <w:spacing w:line="360" w:lineRule="auto"/>
        <w:ind w:left="-320" w:right="840" w:firstLine="4200" w:firstLineChars="20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投标人名称（并加盖法人公章）：</w:t>
      </w:r>
    </w:p>
    <w:p>
      <w:pPr>
        <w:spacing w:line="360" w:lineRule="auto"/>
        <w:ind w:left="-320" w:right="840" w:firstLine="6090" w:firstLineChars="29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　　　期：</w:t>
      </w:r>
    </w:p>
    <w:p>
      <w:pPr>
        <w:ind w:left="247"/>
        <w:rPr>
          <w:rFonts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br w:type="page"/>
      </w:r>
    </w:p>
    <w:p>
      <w:pPr>
        <w:ind w:firstLine="1606" w:firstLineChars="500"/>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拟担任本项目负责人（专业技术人员）简历表</w:t>
      </w:r>
    </w:p>
    <w:tbl>
      <w:tblPr>
        <w:tblStyle w:val="37"/>
        <w:tblW w:w="10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82"/>
        <w:gridCol w:w="1607"/>
        <w:gridCol w:w="384"/>
        <w:gridCol w:w="220"/>
        <w:gridCol w:w="995"/>
        <w:gridCol w:w="641"/>
        <w:gridCol w:w="17"/>
        <w:gridCol w:w="1246"/>
        <w:gridCol w:w="87"/>
        <w:gridCol w:w="514"/>
        <w:gridCol w:w="765"/>
        <w:gridCol w:w="54"/>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0"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3093" w:type="dxa"/>
            <w:gridSpan w:val="4"/>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995"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性别</w:t>
            </w:r>
          </w:p>
        </w:tc>
        <w:tc>
          <w:tcPr>
            <w:tcW w:w="1991" w:type="dxa"/>
            <w:gridSpan w:val="4"/>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279" w:type="dxa"/>
            <w:gridSpan w:val="2"/>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年龄</w:t>
            </w:r>
          </w:p>
        </w:tc>
        <w:tc>
          <w:tcPr>
            <w:tcW w:w="2138" w:type="dxa"/>
            <w:gridSpan w:val="2"/>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70"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3093" w:type="dxa"/>
            <w:gridSpan w:val="4"/>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995"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资格或职称</w:t>
            </w:r>
          </w:p>
        </w:tc>
        <w:tc>
          <w:tcPr>
            <w:tcW w:w="1991" w:type="dxa"/>
            <w:gridSpan w:val="4"/>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279" w:type="dxa"/>
            <w:gridSpan w:val="2"/>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学历</w:t>
            </w:r>
          </w:p>
        </w:tc>
        <w:tc>
          <w:tcPr>
            <w:tcW w:w="2138" w:type="dxa"/>
            <w:gridSpan w:val="2"/>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9" w:type="dxa"/>
            <w:gridSpan w:val="3"/>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参加工作时间</w:t>
            </w:r>
          </w:p>
        </w:tc>
        <w:tc>
          <w:tcPr>
            <w:tcW w:w="2240" w:type="dxa"/>
            <w:gridSpan w:val="4"/>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683" w:type="dxa"/>
            <w:gridSpan w:val="6"/>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担任</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（职位名称）</w:t>
            </w:r>
            <w:r>
              <w:rPr>
                <w:rFonts w:hint="eastAsia" w:ascii="宋体" w:hAnsi="宋体" w:eastAsia="宋体" w:cs="宋体"/>
                <w:color w:val="000000" w:themeColor="text1"/>
                <w:szCs w:val="21"/>
                <w:highlight w:val="none"/>
                <w14:textFill>
                  <w14:solidFill>
                    <w14:schemeClr w14:val="tx1"/>
                  </w14:solidFill>
                </w14:textFill>
              </w:rPr>
              <w:t>年限</w:t>
            </w:r>
          </w:p>
        </w:tc>
        <w:tc>
          <w:tcPr>
            <w:tcW w:w="2084"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359" w:type="dxa"/>
            <w:gridSpan w:val="3"/>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资格证书编号</w:t>
            </w:r>
          </w:p>
        </w:tc>
        <w:tc>
          <w:tcPr>
            <w:tcW w:w="3503" w:type="dxa"/>
            <w:gridSpan w:val="6"/>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20" w:type="dxa"/>
            <w:gridSpan w:val="4"/>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p>
        </w:tc>
        <w:tc>
          <w:tcPr>
            <w:tcW w:w="2084" w:type="dxa"/>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66" w:type="dxa"/>
            <w:gridSpan w:val="14"/>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52" w:type="dxa"/>
            <w:gridSpan w:val="2"/>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w:t>
            </w:r>
          </w:p>
        </w:tc>
        <w:tc>
          <w:tcPr>
            <w:tcW w:w="1991" w:type="dxa"/>
            <w:gridSpan w:val="2"/>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1873" w:type="dxa"/>
            <w:gridSpan w:val="4"/>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项目规模</w:t>
            </w:r>
          </w:p>
        </w:tc>
        <w:tc>
          <w:tcPr>
            <w:tcW w:w="1847" w:type="dxa"/>
            <w:gridSpan w:val="3"/>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所任职务</w:t>
            </w:r>
          </w:p>
        </w:tc>
        <w:tc>
          <w:tcPr>
            <w:tcW w:w="2903" w:type="dxa"/>
            <w:gridSpan w:val="3"/>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52" w:type="dxa"/>
            <w:gridSpan w:val="2"/>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991" w:type="dxa"/>
            <w:gridSpan w:val="2"/>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73" w:type="dxa"/>
            <w:gridSpan w:val="4"/>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47" w:type="dxa"/>
            <w:gridSpan w:val="3"/>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903" w:type="dxa"/>
            <w:gridSpan w:val="3"/>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52" w:type="dxa"/>
            <w:gridSpan w:val="2"/>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991" w:type="dxa"/>
            <w:gridSpan w:val="2"/>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73" w:type="dxa"/>
            <w:gridSpan w:val="4"/>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47" w:type="dxa"/>
            <w:gridSpan w:val="3"/>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903" w:type="dxa"/>
            <w:gridSpan w:val="3"/>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52" w:type="dxa"/>
            <w:gridSpan w:val="2"/>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991" w:type="dxa"/>
            <w:gridSpan w:val="2"/>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73" w:type="dxa"/>
            <w:gridSpan w:val="4"/>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47" w:type="dxa"/>
            <w:gridSpan w:val="3"/>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903" w:type="dxa"/>
            <w:gridSpan w:val="3"/>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52" w:type="dxa"/>
            <w:gridSpan w:val="2"/>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991" w:type="dxa"/>
            <w:gridSpan w:val="2"/>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73" w:type="dxa"/>
            <w:gridSpan w:val="4"/>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47" w:type="dxa"/>
            <w:gridSpan w:val="3"/>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903" w:type="dxa"/>
            <w:gridSpan w:val="3"/>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52" w:type="dxa"/>
            <w:gridSpan w:val="2"/>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991" w:type="dxa"/>
            <w:gridSpan w:val="2"/>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73" w:type="dxa"/>
            <w:gridSpan w:val="4"/>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847" w:type="dxa"/>
            <w:gridSpan w:val="3"/>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903" w:type="dxa"/>
            <w:gridSpan w:val="3"/>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bl>
    <w:p>
      <w:pPr>
        <w:pStyle w:val="18"/>
        <w:overflowPunct w:val="0"/>
        <w:spacing w:line="360" w:lineRule="auto"/>
        <w:ind w:left="-320" w:firstLine="420" w:firstLineChars="200"/>
        <w:jc w:val="left"/>
        <w:rPr>
          <w:rFonts w:hAnsi="宋体" w:cs="宋体"/>
          <w:b w:val="0"/>
          <w:color w:val="000000" w:themeColor="text1"/>
          <w:sz w:val="21"/>
          <w:szCs w:val="21"/>
          <w:highlight w:val="none"/>
          <w14:textFill>
            <w14:solidFill>
              <w14:schemeClr w14:val="tx1"/>
            </w14:solidFill>
          </w14:textFill>
        </w:rPr>
      </w:pPr>
      <w:r>
        <w:rPr>
          <w:rFonts w:hint="eastAsia" w:hAnsi="宋体" w:cs="宋体"/>
          <w:b w:val="0"/>
          <w:color w:val="000000" w:themeColor="text1"/>
          <w:sz w:val="21"/>
          <w:szCs w:val="21"/>
          <w:highlight w:val="none"/>
          <w14:textFill>
            <w14:solidFill>
              <w14:schemeClr w14:val="tx1"/>
            </w14:solidFill>
          </w14:textFill>
        </w:rPr>
        <w:t>备注：</w:t>
      </w:r>
    </w:p>
    <w:p>
      <w:pPr>
        <w:spacing w:line="360" w:lineRule="auto"/>
        <w:ind w:left="840" w:leftChars="100" w:hanging="630" w:hanging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（1）拟投入本项目的项目负责人（专业技术人员）需提供简历表。</w:t>
      </w:r>
    </w:p>
    <w:p>
      <w:pPr>
        <w:spacing w:line="360" w:lineRule="auto"/>
        <w:ind w:left="840" w:leftChars="100" w:hanging="630" w:hanging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（2）应附有资格证书（或注册/执业/岗位证书/技术职称）、以及社会保障部门（或税务部门）出具的</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b/>
          <w:bCs/>
          <w:color w:val="000000" w:themeColor="text1"/>
          <w:szCs w:val="21"/>
          <w:highlight w:val="none"/>
          <w14:textFill>
            <w14:solidFill>
              <w14:schemeClr w14:val="tx1"/>
            </w14:solidFill>
          </w14:textFill>
        </w:rPr>
        <w:t>2023年12月至2024年02月</w:t>
      </w:r>
      <w:r>
        <w:rPr>
          <w:rFonts w:hint="eastAsia" w:ascii="宋体" w:hAnsi="宋体" w:eastAsia="宋体" w:cs="宋体"/>
          <w:color w:val="000000" w:themeColor="text1"/>
          <w:szCs w:val="21"/>
          <w:highlight w:val="none"/>
          <w:lang w:val="zh-CN"/>
          <w14:textFill>
            <w14:solidFill>
              <w14:schemeClr w14:val="tx1"/>
            </w14:solidFill>
          </w14:textFill>
        </w:rPr>
        <w:t>为其缴纳的社保证明复印件加盖投标人公章。</w:t>
      </w:r>
    </w:p>
    <w:p>
      <w:pPr>
        <w:spacing w:line="360" w:lineRule="auto"/>
        <w:ind w:left="-320" w:firstLine="3780" w:firstLineChars="1800"/>
        <w:rPr>
          <w:rFonts w:ascii="宋体" w:hAnsi="宋体" w:eastAsia="宋体" w:cs="宋体"/>
          <w:color w:val="000000" w:themeColor="text1"/>
          <w:szCs w:val="21"/>
          <w:highlight w:val="none"/>
          <w:lang w:val="zh-CN"/>
          <w14:textFill>
            <w14:solidFill>
              <w14:schemeClr w14:val="tx1"/>
            </w14:solidFill>
          </w14:textFill>
        </w:rPr>
      </w:pPr>
    </w:p>
    <w:p>
      <w:pPr>
        <w:spacing w:line="360" w:lineRule="auto"/>
        <w:ind w:left="-320" w:right="840" w:firstLine="3780" w:firstLineChars="18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投标人名称（并加盖法人公章）：</w:t>
      </w:r>
    </w:p>
    <w:p>
      <w:pPr>
        <w:ind w:left="-320" w:firstLine="4410" w:firstLineChars="2100"/>
        <w:rPr>
          <w:rFonts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　　　期：</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br w:type="page"/>
      </w:r>
    </w:p>
    <w:p>
      <w:pPr>
        <w:pageBreakBefore/>
        <w:spacing w:before="120" w:after="120" w:line="360" w:lineRule="auto"/>
        <w:ind w:left="247"/>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bookmarkStart w:id="605" w:name="_Toc6220"/>
      <w:bookmarkStart w:id="606" w:name="_Toc161843203"/>
      <w:bookmarkStart w:id="607" w:name="_Toc31207"/>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十二、拟供应货品来源情况</w:t>
      </w:r>
      <w:bookmarkEnd w:id="605"/>
      <w:bookmarkEnd w:id="606"/>
      <w:bookmarkEnd w:id="607"/>
      <w:bookmarkStart w:id="608" w:name="_Toc10570"/>
      <w:bookmarkStart w:id="609" w:name="_Toc17152"/>
    </w:p>
    <w:p>
      <w:pPr>
        <w:widowControl/>
        <w:ind w:left="247"/>
        <w:jc w:val="left"/>
        <w:rPr>
          <w:rFonts w:ascii="宋体" w:eastAsia="宋体"/>
          <w:b/>
          <w:bCs/>
          <w:color w:val="000000" w:themeColor="text1"/>
          <w:sz w:val="84"/>
          <w:szCs w:val="84"/>
          <w:highlight w:val="none"/>
          <w:lang w:val="zh-CN"/>
          <w14:textFill>
            <w14:solidFill>
              <w14:schemeClr w14:val="tx1"/>
            </w14:solidFill>
          </w14:textFill>
        </w:rPr>
      </w:pPr>
      <w:r>
        <w:rPr>
          <w:color w:val="000000" w:themeColor="text1"/>
          <w:highlight w:val="none"/>
          <w14:textFill>
            <w14:solidFill>
              <w14:schemeClr w14:val="tx1"/>
            </w14:solidFill>
          </w14:textFill>
        </w:rPr>
        <w:br w:type="page"/>
      </w:r>
    </w:p>
    <w:bookmarkEnd w:id="608"/>
    <w:bookmarkEnd w:id="609"/>
    <w:p>
      <w:pPr>
        <w:pageBreakBefore/>
        <w:numPr>
          <w:ilvl w:val="0"/>
          <w:numId w:val="2"/>
        </w:numPr>
        <w:spacing w:before="120" w:after="120" w:line="360" w:lineRule="auto"/>
        <w:ind w:left="247"/>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t>食品安全责任险</w:t>
      </w:r>
    </w:p>
    <w:tbl>
      <w:tblPr>
        <w:tblStyle w:val="37"/>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22"/>
        <w:gridCol w:w="1914"/>
        <w:gridCol w:w="1600"/>
        <w:gridCol w:w="2969"/>
        <w:gridCol w:w="198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807" w:hRule="exact"/>
          <w:jc w:val="center"/>
        </w:trPr>
        <w:tc>
          <w:tcPr>
            <w:tcW w:w="622" w:type="dxa"/>
            <w:vAlign w:val="center"/>
          </w:tcPr>
          <w:p>
            <w:pPr>
              <w:jc w:val="center"/>
              <w:rPr>
                <w:rFonts w:ascii="宋体" w:hAnsi="宋体" w:eastAsia="宋体" w:cs="宋体"/>
                <w:color w:val="000000" w:themeColor="text1"/>
                <w:szCs w:val="21"/>
                <w:highlight w:val="none"/>
                <w14:textFill>
                  <w14:solidFill>
                    <w14:schemeClr w14:val="tx1"/>
                  </w14:solidFill>
                </w14:textFill>
              </w:rPr>
            </w:pPr>
            <w:bookmarkStart w:id="610" w:name="_Toc161843205"/>
            <w:r>
              <w:rPr>
                <w:rFonts w:hint="eastAsia" w:ascii="宋体" w:hAnsi="宋体" w:eastAsia="宋体" w:cs="宋体"/>
                <w:color w:val="000000" w:themeColor="text1"/>
                <w:szCs w:val="21"/>
                <w:highlight w:val="none"/>
                <w14:textFill>
                  <w14:solidFill>
                    <w14:schemeClr w14:val="tx1"/>
                  </w14:solidFill>
                </w14:textFill>
              </w:rPr>
              <w:t>序号</w:t>
            </w:r>
          </w:p>
        </w:tc>
        <w:tc>
          <w:tcPr>
            <w:tcW w:w="1914"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保险合同或保险单单号</w:t>
            </w:r>
          </w:p>
        </w:tc>
        <w:tc>
          <w:tcPr>
            <w:tcW w:w="1600"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保障内容</w:t>
            </w:r>
          </w:p>
        </w:tc>
        <w:tc>
          <w:tcPr>
            <w:tcW w:w="2969"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已购买食品安全责任险</w:t>
            </w:r>
            <w:r>
              <w:rPr>
                <w:rFonts w:ascii="宋体" w:hAnsi="宋体" w:eastAsia="宋体" w:cs="宋体"/>
                <w:color w:val="000000" w:themeColor="text1"/>
                <w:szCs w:val="21"/>
                <w:highlight w:val="none"/>
                <w14:textFill>
                  <w14:solidFill>
                    <w14:schemeClr w14:val="tx1"/>
                  </w14:solidFill>
                </w14:textFill>
              </w:rPr>
              <w:t>额度</w:t>
            </w:r>
            <w:r>
              <w:rPr>
                <w:rFonts w:hint="eastAsia" w:ascii="宋体" w:hAnsi="宋体" w:eastAsia="宋体" w:cs="宋体"/>
                <w:color w:val="000000" w:themeColor="text1"/>
                <w:szCs w:val="21"/>
                <w:highlight w:val="none"/>
                <w14:textFill>
                  <w14:solidFill>
                    <w14:schemeClr w14:val="tx1"/>
                  </w14:solidFill>
                </w14:textFill>
              </w:rPr>
              <w:t>（万元）</w:t>
            </w:r>
          </w:p>
        </w:tc>
        <w:tc>
          <w:tcPr>
            <w:tcW w:w="1980"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保险合同签订时间或保险单签单时间</w:t>
            </w:r>
          </w:p>
        </w:tc>
        <w:tc>
          <w:tcPr>
            <w:tcW w:w="1129"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07" w:hRule="exact"/>
          <w:jc w:val="center"/>
        </w:trPr>
        <w:tc>
          <w:tcPr>
            <w:tcW w:w="622" w:type="dxa"/>
            <w:vAlign w:val="center"/>
          </w:tcPr>
          <w:p>
            <w:pPr>
              <w:ind w:left="247"/>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914"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60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296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98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12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86" w:hRule="exact"/>
          <w:jc w:val="center"/>
        </w:trPr>
        <w:tc>
          <w:tcPr>
            <w:tcW w:w="622" w:type="dxa"/>
            <w:vAlign w:val="center"/>
          </w:tcPr>
          <w:p>
            <w:pPr>
              <w:ind w:left="247"/>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914"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60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296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98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12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87" w:hRule="exact"/>
          <w:jc w:val="center"/>
        </w:trPr>
        <w:tc>
          <w:tcPr>
            <w:tcW w:w="622" w:type="dxa"/>
            <w:vAlign w:val="center"/>
          </w:tcPr>
          <w:p>
            <w:pPr>
              <w:ind w:left="247"/>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914"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60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296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98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12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24" w:hRule="exact"/>
          <w:jc w:val="center"/>
        </w:trPr>
        <w:tc>
          <w:tcPr>
            <w:tcW w:w="622" w:type="dxa"/>
            <w:vAlign w:val="center"/>
          </w:tcPr>
          <w:p>
            <w:pPr>
              <w:ind w:left="247"/>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914"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60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296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98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12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24" w:hRule="exact"/>
          <w:jc w:val="center"/>
        </w:trPr>
        <w:tc>
          <w:tcPr>
            <w:tcW w:w="622" w:type="dxa"/>
            <w:vAlign w:val="center"/>
          </w:tcPr>
          <w:p>
            <w:pPr>
              <w:ind w:left="247"/>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914"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60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296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980"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c>
          <w:tcPr>
            <w:tcW w:w="1129" w:type="dxa"/>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24" w:hRule="exact"/>
          <w:jc w:val="center"/>
        </w:trPr>
        <w:tc>
          <w:tcPr>
            <w:tcW w:w="4136" w:type="dxa"/>
            <w:gridSpan w:val="3"/>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累计已购买食品安全责任险</w:t>
            </w:r>
            <w:r>
              <w:rPr>
                <w:rFonts w:ascii="宋体" w:hAnsi="宋体" w:eastAsia="宋体" w:cs="宋体"/>
                <w:color w:val="000000" w:themeColor="text1"/>
                <w:szCs w:val="21"/>
                <w:highlight w:val="none"/>
                <w14:textFill>
                  <w14:solidFill>
                    <w14:schemeClr w14:val="tx1"/>
                  </w14:solidFill>
                </w14:textFill>
              </w:rPr>
              <w:t>额度</w:t>
            </w:r>
            <w:r>
              <w:rPr>
                <w:rFonts w:hint="eastAsia" w:ascii="宋体" w:hAnsi="宋体" w:eastAsia="宋体" w:cs="宋体"/>
                <w:color w:val="000000" w:themeColor="text1"/>
                <w:szCs w:val="21"/>
                <w:highlight w:val="none"/>
                <w14:textFill>
                  <w14:solidFill>
                    <w14:schemeClr w14:val="tx1"/>
                  </w14:solidFill>
                </w14:textFill>
              </w:rPr>
              <w:t>（万元）</w:t>
            </w:r>
          </w:p>
        </w:tc>
        <w:tc>
          <w:tcPr>
            <w:tcW w:w="6078" w:type="dxa"/>
            <w:gridSpan w:val="3"/>
            <w:vAlign w:val="center"/>
          </w:tcPr>
          <w:p>
            <w:pPr>
              <w:ind w:left="247"/>
              <w:jc w:val="center"/>
              <w:rPr>
                <w:rFonts w:ascii="宋体" w:hAnsi="宋体" w:eastAsia="宋体" w:cs="宋体"/>
                <w:color w:val="000000" w:themeColor="text1"/>
                <w:szCs w:val="21"/>
                <w:highlight w:val="none"/>
                <w14:textFill>
                  <w14:solidFill>
                    <w14:schemeClr w14:val="tx1"/>
                  </w14:solidFill>
                </w14:textFill>
              </w:rPr>
            </w:pPr>
          </w:p>
        </w:tc>
      </w:tr>
    </w:tbl>
    <w:p>
      <w:pPr>
        <w:jc w:val="left"/>
        <w:rPr>
          <w:rFonts w:ascii="宋体" w:hAnsi="宋体" w:eastAsia="宋体" w:cs="宋体"/>
          <w:color w:val="000000" w:themeColor="text1"/>
          <w:highlight w:val="none"/>
          <w14:textFill>
            <w14:solidFill>
              <w14:schemeClr w14:val="tx1"/>
            </w14:solidFill>
          </w14:textFill>
        </w:rPr>
      </w:pPr>
    </w:p>
    <w:p>
      <w:pPr>
        <w:spacing w:line="360" w:lineRule="auto"/>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p>
      <w:pPr>
        <w:spacing w:line="360" w:lineRule="auto"/>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1.投标人须附对应保险合同（或保险单）复印件，加盖投标人公章。（保险合同签订时间或保险单的签单时间须在本项目招标公告发布日期之前）</w:t>
      </w:r>
    </w:p>
    <w:p>
      <w:pPr>
        <w:jc w:val="left"/>
        <w:rPr>
          <w:color w:val="000000" w:themeColor="text1"/>
          <w:highlight w:val="none"/>
          <w:lang w:val="zh-CN"/>
          <w14:textFill>
            <w14:solidFill>
              <w14:schemeClr w14:val="tx1"/>
            </w14:solidFill>
          </w14:textFill>
        </w:rPr>
      </w:pPr>
    </w:p>
    <w:p>
      <w:pPr>
        <w:autoSpaceDE w:val="0"/>
        <w:autoSpaceDN w:val="0"/>
        <w:adjustRightInd w:val="0"/>
        <w:spacing w:line="360" w:lineRule="auto"/>
        <w:ind w:left="-320"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pPr>
        <w:autoSpaceDE w:val="0"/>
        <w:autoSpaceDN w:val="0"/>
        <w:adjustRightInd w:val="0"/>
        <w:spacing w:line="360" w:lineRule="auto"/>
        <w:ind w:left="-320"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br w:type="page"/>
      </w:r>
    </w:p>
    <w:p>
      <w:pPr>
        <w:pageBreakBefore/>
        <w:spacing w:before="120" w:after="120" w:line="360" w:lineRule="auto"/>
        <w:ind w:left="247"/>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14:textFill>
            <w14:solidFill>
              <w14:schemeClr w14:val="tx1"/>
            </w14:solidFill>
          </w14:textFill>
        </w:rPr>
        <w:t>四</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、投标保证金汇入情况说明</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10"/>
    </w:p>
    <w:p>
      <w:pPr>
        <w:autoSpaceDE w:val="0"/>
        <w:autoSpaceDN w:val="0"/>
        <w:adjustRightInd w:val="0"/>
        <w:spacing w:line="360" w:lineRule="auto"/>
        <w:ind w:left="247"/>
        <w:jc w:val="left"/>
        <w:rPr>
          <w:rFonts w:ascii="宋体" w:hAnsi="宋体" w:eastAsia="宋体" w:cs="宋体"/>
          <w:color w:val="000000" w:themeColor="text1"/>
          <w:szCs w:val="24"/>
          <w:highlight w:val="none"/>
          <w14:textFill>
            <w14:solidFill>
              <w14:schemeClr w14:val="tx1"/>
            </w14:solidFill>
          </w14:textFill>
        </w:rPr>
      </w:pPr>
    </w:p>
    <w:p>
      <w:pPr>
        <w:autoSpaceDE w:val="0"/>
        <w:autoSpaceDN w:val="0"/>
        <w:adjustRightInd w:val="0"/>
        <w:spacing w:line="360" w:lineRule="auto"/>
        <w:ind w:left="247"/>
        <w:jc w:val="center"/>
        <w:rPr>
          <w:rFonts w:ascii="宋体" w:hAnsi="宋体" w:eastAsia="宋体" w:cs="宋体"/>
          <w:b/>
          <w:bCs/>
          <w:color w:val="000000" w:themeColor="text1"/>
          <w:kern w:val="0"/>
          <w:sz w:val="24"/>
          <w:szCs w:val="24"/>
          <w:highlight w:val="none"/>
          <w14:textFill>
            <w14:solidFill>
              <w14:schemeClr w14:val="tx1"/>
            </w14:solidFill>
          </w14:textFill>
        </w:rPr>
      </w:pPr>
      <w:bookmarkStart w:id="611" w:name="_Toc31832_WPSOffice_Level3"/>
      <w:r>
        <w:rPr>
          <w:rFonts w:hint="eastAsia" w:ascii="宋体" w:hAnsi="宋体" w:eastAsia="宋体" w:cs="宋体"/>
          <w:b/>
          <w:bCs/>
          <w:color w:val="000000" w:themeColor="text1"/>
          <w:kern w:val="0"/>
          <w:sz w:val="24"/>
          <w:szCs w:val="24"/>
          <w:highlight w:val="none"/>
          <w14:textFill>
            <w14:solidFill>
              <w14:schemeClr w14:val="tx1"/>
            </w14:solidFill>
          </w14:textFill>
        </w:rPr>
        <w:t>投标保证金汇入情况说明</w:t>
      </w:r>
      <w:bookmarkEnd w:id="611"/>
    </w:p>
    <w:p>
      <w:pPr>
        <w:autoSpaceDE w:val="0"/>
        <w:autoSpaceDN w:val="0"/>
        <w:adjustRightInd w:val="0"/>
        <w:spacing w:line="360" w:lineRule="auto"/>
        <w:ind w:left="247"/>
        <w:jc w:val="center"/>
        <w:rPr>
          <w:rFonts w:ascii="宋体" w:hAnsi="宋体" w:eastAsia="宋体" w:cs="宋体"/>
          <w:b/>
          <w:bCs/>
          <w:color w:val="000000" w:themeColor="text1"/>
          <w:kern w:val="0"/>
          <w:szCs w:val="24"/>
          <w:highlight w:val="none"/>
          <w14:textFill>
            <w14:solidFill>
              <w14:schemeClr w14:val="tx1"/>
            </w14:solidFill>
          </w14:textFill>
        </w:rPr>
      </w:pPr>
    </w:p>
    <w:p>
      <w:pPr>
        <w:spacing w:line="360" w:lineRule="auto"/>
        <w:ind w:left="-320"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东莞市水务集团有限公司：</w:t>
      </w:r>
    </w:p>
    <w:p>
      <w:pPr>
        <w:spacing w:line="360" w:lineRule="auto"/>
        <w:ind w:left="-320"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本单位已按</w:t>
      </w:r>
      <w:r>
        <w:rPr>
          <w:rFonts w:hint="eastAsia" w:ascii="宋体" w:hAnsi="宋体" w:eastAsia="宋体" w:cs="宋体"/>
          <w:color w:val="000000" w:themeColor="text1"/>
          <w:kern w:val="0"/>
          <w:szCs w:val="21"/>
          <w:highlight w:val="none"/>
          <w:u w:val="single"/>
          <w14:textFill>
            <w14:solidFill>
              <w14:schemeClr w14:val="tx1"/>
            </w14:solidFill>
          </w14:textFill>
        </w:rPr>
        <w:t>东莞市水务集团有限公司2024年度食堂食材采购项目</w:t>
      </w: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u w:val="single"/>
          <w14:textFill>
            <w14:solidFill>
              <w14:schemeClr w14:val="tx1"/>
            </w14:solidFill>
          </w14:textFill>
        </w:rPr>
        <w:t>广建咨询（东招）2024-0038号</w:t>
      </w:r>
      <w:r>
        <w:rPr>
          <w:rFonts w:hint="eastAsia" w:ascii="宋体" w:hAnsi="宋体" w:eastAsia="宋体" w:cs="宋体"/>
          <w:color w:val="000000" w:themeColor="text1"/>
          <w:szCs w:val="21"/>
          <w:highlight w:val="none"/>
          <w14:textFill>
            <w14:solidFill>
              <w14:schemeClr w14:val="tx1"/>
            </w14:solidFill>
          </w14:textFill>
        </w:rPr>
        <w:t>）的招标文件要求，于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日前以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付款形式）方式汇入指定账户（账户名称：</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left="-320"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本单位投标保证金的汇款情况：（详见附件－投标保证金进账单）</w:t>
      </w:r>
    </w:p>
    <w:p>
      <w:pPr>
        <w:spacing w:line="360" w:lineRule="auto"/>
        <w:ind w:left="-320"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汇出时间：</w:t>
      </w:r>
      <w:r>
        <w:rPr>
          <w:rFonts w:hint="eastAsia" w:ascii="宋体" w:hAnsi="宋体" w:eastAsia="宋体" w:cs="宋体"/>
          <w:color w:val="000000" w:themeColor="text1"/>
          <w:szCs w:val="21"/>
          <w:highlight w:val="none"/>
          <w:u w:val="single"/>
          <w14:textFill>
            <w14:solidFill>
              <w14:schemeClr w14:val="tx1"/>
            </w14:solidFill>
          </w14:textFill>
        </w:rPr>
        <w:t xml:space="preserve">    年   月    日</w:t>
      </w:r>
    </w:p>
    <w:p>
      <w:pPr>
        <w:spacing w:line="360" w:lineRule="auto"/>
        <w:ind w:left="-320" w:firstLine="424" w:firstLineChars="202"/>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汇款金额：</w:t>
      </w:r>
      <w:r>
        <w:rPr>
          <w:rFonts w:hint="eastAsia" w:ascii="宋体" w:hAnsi="宋体" w:eastAsia="宋体" w:cs="宋体"/>
          <w:color w:val="000000" w:themeColor="text1"/>
          <w:szCs w:val="21"/>
          <w:highlight w:val="none"/>
          <w:u w:val="single"/>
          <w14:textFill>
            <w14:solidFill>
              <w14:schemeClr w14:val="tx1"/>
            </w14:solidFill>
          </w14:textFill>
        </w:rPr>
        <w:t>（大写）人民币      元（小写：¥      元）</w:t>
      </w:r>
    </w:p>
    <w:p>
      <w:pPr>
        <w:spacing w:line="360" w:lineRule="auto"/>
        <w:ind w:left="-320"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汇款账户名称：</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（必须是投标时使用的账户名）</w:t>
      </w:r>
    </w:p>
    <w:p>
      <w:pPr>
        <w:spacing w:line="360" w:lineRule="auto"/>
        <w:ind w:left="-320"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（必须是投标时使用的账号）</w:t>
      </w:r>
    </w:p>
    <w:p>
      <w:pPr>
        <w:spacing w:line="360" w:lineRule="auto"/>
        <w:ind w:left="-320"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省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市         </w:t>
      </w:r>
    </w:p>
    <w:p>
      <w:pPr>
        <w:spacing w:line="360" w:lineRule="auto"/>
        <w:ind w:left="-320"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pPr>
        <w:spacing w:line="360" w:lineRule="auto"/>
        <w:ind w:left="-320"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投标保证金退回时，请按上述资料退回。</w:t>
      </w:r>
    </w:p>
    <w:p>
      <w:pPr>
        <w:spacing w:line="360" w:lineRule="auto"/>
        <w:ind w:left="-320" w:right="844" w:rightChars="402" w:firstLine="424" w:firstLineChars="202"/>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bCs/>
          <w:color w:val="000000" w:themeColor="text1"/>
          <w:szCs w:val="24"/>
          <w:highlight w:val="none"/>
          <w14:textFill>
            <w14:solidFill>
              <w14:schemeClr w14:val="tx1"/>
            </w14:solidFill>
          </w14:textFill>
        </w:rPr>
        <w:t>投标人法人公章</w:t>
      </w:r>
      <w:r>
        <w:rPr>
          <w:rFonts w:hint="eastAsia" w:ascii="宋体" w:hAnsi="宋体" w:eastAsia="宋体" w:cs="宋体"/>
          <w:color w:val="000000" w:themeColor="text1"/>
          <w:szCs w:val="24"/>
          <w:highlight w:val="none"/>
          <w14:textFill>
            <w14:solidFill>
              <w14:schemeClr w14:val="tx1"/>
            </w14:solidFill>
          </w14:textFill>
        </w:rPr>
        <w:t>）</w:t>
      </w:r>
    </w:p>
    <w:p>
      <w:pPr>
        <w:spacing w:line="360" w:lineRule="auto"/>
        <w:ind w:left="-320" w:right="628" w:rightChars="299" w:firstLine="7774" w:firstLineChars="3702"/>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年   月   日</w:t>
      </w:r>
    </w:p>
    <w:p>
      <w:pPr>
        <w:spacing w:line="360" w:lineRule="auto"/>
        <w:ind w:left="-320"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单位名称：</w:t>
      </w:r>
    </w:p>
    <w:p>
      <w:pPr>
        <w:spacing w:line="360" w:lineRule="auto"/>
        <w:ind w:left="-320"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单位地址：</w:t>
      </w:r>
    </w:p>
    <w:p>
      <w:pPr>
        <w:spacing w:line="360" w:lineRule="auto"/>
        <w:ind w:left="-320"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w:t>
      </w:r>
    </w:p>
    <w:p>
      <w:pPr>
        <w:spacing w:line="360" w:lineRule="auto"/>
        <w:ind w:left="-320"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单位电话：                    </w:t>
      </w:r>
    </w:p>
    <w:p>
      <w:pPr>
        <w:spacing w:line="360" w:lineRule="auto"/>
        <w:ind w:left="-320"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联系人手机：</w:t>
      </w:r>
    </w:p>
    <w:p>
      <w:pPr>
        <w:spacing w:line="360" w:lineRule="auto"/>
        <w:ind w:left="340" w:leftChars="162" w:firstLine="425"/>
        <w:rPr>
          <w:rFonts w:ascii="宋体" w:hAnsi="宋体" w:eastAsia="宋体" w:cs="宋体"/>
          <w:b/>
          <w:bCs/>
          <w:color w:val="000000" w:themeColor="text1"/>
          <w:szCs w:val="21"/>
          <w:highlight w:val="none"/>
          <w14:textFill>
            <w14:solidFill>
              <w14:schemeClr w14:val="tx1"/>
            </w14:solidFill>
          </w14:textFill>
        </w:rPr>
      </w:pPr>
      <w:bookmarkStart w:id="612" w:name="_Toc26208_WPSOffice_Level3"/>
      <w:r>
        <w:rPr>
          <w:rFonts w:hint="eastAsia" w:ascii="宋体" w:hAnsi="宋体" w:eastAsia="宋体" w:cs="宋体"/>
          <w:b/>
          <w:bCs/>
          <w:color w:val="000000" w:themeColor="text1"/>
          <w:szCs w:val="21"/>
          <w:highlight w:val="none"/>
          <w14:textFill>
            <w14:solidFill>
              <w14:schemeClr w14:val="tx1"/>
            </w14:solidFill>
          </w14:textFill>
        </w:rPr>
        <w:t>附：1、我方投标保证金汇款凭证（复印件）</w:t>
      </w:r>
      <w:bookmarkEnd w:id="612"/>
    </w:p>
    <w:p>
      <w:pPr>
        <w:spacing w:line="360" w:lineRule="auto"/>
        <w:ind w:left="340" w:leftChars="162" w:firstLine="839" w:firstLineChars="398"/>
        <w:rPr>
          <w:rFonts w:ascii="宋体" w:hAnsi="宋体" w:eastAsia="宋体" w:cs="宋体"/>
          <w:b/>
          <w:bCs/>
          <w:color w:val="000000" w:themeColor="text1"/>
          <w:szCs w:val="21"/>
          <w:highlight w:val="none"/>
          <w14:textFill>
            <w14:solidFill>
              <w14:schemeClr w14:val="tx1"/>
            </w14:solidFill>
          </w14:textFill>
        </w:rPr>
      </w:pPr>
      <w:bookmarkStart w:id="613" w:name="_Toc12992_WPSOffice_Level3"/>
      <w:r>
        <w:rPr>
          <w:rFonts w:hint="eastAsia" w:ascii="宋体" w:hAnsi="宋体" w:eastAsia="宋体" w:cs="宋体"/>
          <w:b/>
          <w:bCs/>
          <w:color w:val="000000" w:themeColor="text1"/>
          <w:szCs w:val="21"/>
          <w:highlight w:val="none"/>
          <w14:textFill>
            <w14:solidFill>
              <w14:schemeClr w14:val="tx1"/>
            </w14:solidFill>
          </w14:textFill>
        </w:rPr>
        <w:t>2、我方基本账户开户许可证（复印件）</w:t>
      </w:r>
      <w:bookmarkEnd w:id="613"/>
    </w:p>
    <w:p>
      <w:pPr>
        <w:spacing w:line="360" w:lineRule="auto"/>
        <w:ind w:left="340" w:leftChars="162" w:firstLine="736" w:firstLineChars="34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注：本情况说明手写无效。</w:t>
      </w:r>
    </w:p>
    <w:p>
      <w:pPr>
        <w:autoSpaceDE w:val="0"/>
        <w:autoSpaceDN w:val="0"/>
        <w:adjustRightInd w:val="0"/>
        <w:spacing w:line="360" w:lineRule="auto"/>
        <w:ind w:left="-320" w:firstLine="5145" w:firstLineChars="2450"/>
        <w:rPr>
          <w:rFonts w:ascii="宋体" w:hAnsi="宋体" w:eastAsia="宋体" w:cs="宋体"/>
          <w:color w:val="000000" w:themeColor="text1"/>
          <w:szCs w:val="24"/>
          <w:highlight w:val="none"/>
          <w:lang w:val="zh-CN"/>
          <w14:textFill>
            <w14:solidFill>
              <w14:schemeClr w14:val="tx1"/>
            </w14:solidFill>
          </w14:textFill>
        </w:rPr>
      </w:pPr>
    </w:p>
    <w:p>
      <w:pPr>
        <w:spacing w:line="360" w:lineRule="auto"/>
        <w:ind w:left="247"/>
        <w:rPr>
          <w:rFonts w:ascii="宋体" w:hAnsi="宋体" w:eastAsia="宋体" w:cs="宋体"/>
          <w:b/>
          <w:color w:val="000000" w:themeColor="text1"/>
          <w:kern w:val="0"/>
          <w:szCs w:val="21"/>
          <w:highlight w:val="none"/>
          <w14:textFill>
            <w14:solidFill>
              <w14:schemeClr w14:val="tx1"/>
            </w14:solidFill>
          </w14:textFill>
        </w:rPr>
      </w:pPr>
      <w:bookmarkStart w:id="614" w:name="_Toc533708134"/>
      <w:bookmarkStart w:id="615" w:name="_Toc486167721"/>
    </w:p>
    <w:p>
      <w:pPr>
        <w:ind w:left="247"/>
        <w:jc w:val="left"/>
        <w:rPr>
          <w:color w:val="000000" w:themeColor="text1"/>
          <w:highlight w:val="none"/>
          <w:lang w:val="zh-CN"/>
          <w14:textFill>
            <w14:solidFill>
              <w14:schemeClr w14:val="tx1"/>
            </w14:solidFill>
          </w14:textFill>
        </w:rPr>
      </w:pPr>
      <w:bookmarkStart w:id="616" w:name="_Toc94107221"/>
      <w:bookmarkStart w:id="617" w:name="_Toc24616"/>
      <w:bookmarkStart w:id="618" w:name="_Toc142508379"/>
      <w:bookmarkStart w:id="619" w:name="_Toc1977738"/>
      <w:bookmarkStart w:id="620" w:name="_Toc102860084"/>
      <w:bookmarkStart w:id="621" w:name="_Toc104991886"/>
      <w:bookmarkStart w:id="622" w:name="_Toc140596939"/>
      <w:bookmarkStart w:id="623" w:name="_Toc102860428"/>
    </w:p>
    <w:p>
      <w:pPr>
        <w:pStyle w:val="15"/>
        <w:ind w:left="247"/>
        <w:rPr>
          <w:color w:val="000000" w:themeColor="text1"/>
          <w:highlight w:val="none"/>
          <w:lang w:val="zh-CN"/>
          <w14:textFill>
            <w14:solidFill>
              <w14:schemeClr w14:val="tx1"/>
            </w14:solidFill>
          </w14:textFill>
        </w:rPr>
      </w:pPr>
    </w:p>
    <w:p>
      <w:pPr>
        <w:ind w:left="247"/>
        <w:jc w:val="left"/>
        <w:rPr>
          <w:color w:val="000000" w:themeColor="text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sectPr>
          <w:headerReference r:id="rId9" w:type="first"/>
          <w:headerReference r:id="rId8" w:type="default"/>
          <w:pgSz w:w="12240" w:h="15840"/>
          <w:pgMar w:top="1191" w:right="1043" w:bottom="1191" w:left="1043" w:header="720" w:footer="720" w:gutter="0"/>
          <w:cols w:space="720" w:num="1"/>
          <w:titlePg/>
          <w:docGrid w:linePitch="326" w:charSpace="0"/>
        </w:sectPr>
      </w:pPr>
      <w:bookmarkStart w:id="624" w:name="_Toc2007"/>
      <w:bookmarkStart w:id="625" w:name="_Toc29652"/>
      <w:bookmarkStart w:id="626" w:name="_Toc161843206"/>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14:textFill>
            <w14:solidFill>
              <w14:schemeClr w14:val="tx1"/>
            </w14:solidFill>
          </w14:textFill>
        </w:rPr>
        <w:t>五</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16"/>
      <w:bookmarkEnd w:id="617"/>
      <w:bookmarkEnd w:id="618"/>
      <w:bookmarkEnd w:id="619"/>
      <w:bookmarkEnd w:id="620"/>
      <w:bookmarkEnd w:id="621"/>
      <w:bookmarkEnd w:id="622"/>
      <w:bookmarkEnd w:id="623"/>
      <w:bookmarkEnd w:id="624"/>
      <w:bookmarkEnd w:id="625"/>
      <w:bookmarkEnd w:id="626"/>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627" w:name="_Toc104991887"/>
      <w:bookmarkStart w:id="628" w:name="_Toc142508380"/>
      <w:bookmarkStart w:id="629" w:name="_Toc102860085"/>
      <w:bookmarkStart w:id="630" w:name="_Toc161843207"/>
      <w:bookmarkStart w:id="631" w:name="_Toc1977739"/>
      <w:bookmarkStart w:id="632" w:name="_Toc18038"/>
      <w:bookmarkStart w:id="633" w:name="_Toc94107222"/>
      <w:bookmarkStart w:id="634" w:name="_Toc27482"/>
      <w:bookmarkStart w:id="635" w:name="_Toc140596940"/>
      <w:bookmarkStart w:id="636" w:name="_Toc31916"/>
      <w:bookmarkStart w:id="637" w:name="_Toc102860429"/>
      <w:r>
        <w:rPr>
          <w:rFonts w:hint="eastAsia" w:ascii="宋体" w:hAnsi="宋体" w:eastAsia="宋体" w:cs="宋体"/>
          <w:b/>
          <w:color w:val="000000" w:themeColor="text1"/>
          <w:kern w:val="0"/>
          <w:sz w:val="32"/>
          <w:szCs w:val="32"/>
          <w:highlight w:val="none"/>
          <w14:textFill>
            <w14:solidFill>
              <w14:schemeClr w14:val="tx1"/>
            </w14:solidFill>
          </w14:textFill>
        </w:rPr>
        <w:t>十六、技术响应文件格式</w:t>
      </w:r>
      <w:bookmarkEnd w:id="614"/>
      <w:bookmarkEnd w:id="627"/>
      <w:bookmarkEnd w:id="628"/>
      <w:bookmarkEnd w:id="629"/>
      <w:bookmarkEnd w:id="630"/>
      <w:bookmarkEnd w:id="631"/>
      <w:bookmarkEnd w:id="632"/>
      <w:bookmarkEnd w:id="633"/>
      <w:bookmarkEnd w:id="634"/>
      <w:bookmarkEnd w:id="635"/>
      <w:bookmarkEnd w:id="636"/>
      <w:bookmarkEnd w:id="637"/>
    </w:p>
    <w:p>
      <w:pPr>
        <w:tabs>
          <w:tab w:val="left" w:pos="8640"/>
        </w:tabs>
        <w:spacing w:line="360" w:lineRule="auto"/>
        <w:ind w:left="-320"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投标人应按照招标文件投标人须知关于投标文件组成部分的要求编制技术文件，主要包括但不限于以下内容：</w:t>
      </w:r>
    </w:p>
    <w:p>
      <w:pPr>
        <w:tabs>
          <w:tab w:val="left" w:pos="8640"/>
        </w:tabs>
        <w:spacing w:line="360" w:lineRule="auto"/>
        <w:ind w:left="-32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1、用户需求的响应程度（</w:t>
      </w:r>
      <w:r>
        <w:rPr>
          <w:rFonts w:hint="eastAsia" w:ascii="宋体" w:hAnsi="宋体" w:eastAsia="宋体" w:cs="宋体"/>
          <w:color w:val="000000" w:themeColor="text1"/>
          <w:kern w:val="0"/>
          <w:szCs w:val="21"/>
          <w:highlight w:val="none"/>
          <w14:textFill>
            <w14:solidFill>
              <w14:schemeClr w14:val="tx1"/>
            </w14:solidFill>
          </w14:textFill>
        </w:rPr>
        <w:t>即16.</w:t>
      </w:r>
      <w:r>
        <w:rPr>
          <w:rFonts w:hint="eastAsia" w:ascii="宋体" w:hAnsi="宋体" w:eastAsia="宋体" w:cs="宋体"/>
          <w:color w:val="000000" w:themeColor="text1"/>
          <w:kern w:val="0"/>
          <w:szCs w:val="21"/>
          <w:highlight w:val="none"/>
          <w:lang w:val="zh-CN"/>
          <w14:textFill>
            <w14:solidFill>
              <w14:schemeClr w14:val="tx1"/>
            </w14:solidFill>
          </w14:textFill>
        </w:rPr>
        <w:t>1 用户需求偏离表格式）；</w:t>
      </w:r>
    </w:p>
    <w:p>
      <w:pPr>
        <w:tabs>
          <w:tab w:val="left" w:pos="8640"/>
        </w:tabs>
        <w:spacing w:line="360" w:lineRule="auto"/>
        <w:ind w:left="-32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购买食品安全责任险承诺书</w:t>
      </w:r>
      <w:r>
        <w:rPr>
          <w:rFonts w:hint="eastAsia" w:ascii="宋体" w:hAnsi="宋体" w:eastAsia="宋体" w:cs="宋体"/>
          <w:color w:val="000000" w:themeColor="text1"/>
          <w:kern w:val="0"/>
          <w:szCs w:val="21"/>
          <w:highlight w:val="none"/>
          <w:lang w:val="zh-CN"/>
          <w14:textFill>
            <w14:solidFill>
              <w14:schemeClr w14:val="tx1"/>
            </w14:solidFill>
          </w14:textFill>
        </w:rPr>
        <w:t>；</w:t>
      </w:r>
    </w:p>
    <w:p>
      <w:pPr>
        <w:tabs>
          <w:tab w:val="left" w:pos="8640"/>
        </w:tabs>
        <w:spacing w:line="360" w:lineRule="auto"/>
        <w:ind w:left="-32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总体</w:t>
      </w:r>
      <w:r>
        <w:rPr>
          <w:rFonts w:hint="eastAsia" w:ascii="宋体" w:hAnsi="宋体" w:eastAsia="宋体" w:cs="宋体"/>
          <w:color w:val="000000" w:themeColor="text1"/>
          <w:kern w:val="0"/>
          <w:szCs w:val="21"/>
          <w:highlight w:val="none"/>
          <w:lang w:val="zh-CN"/>
          <w14:textFill>
            <w14:solidFill>
              <w14:schemeClr w14:val="tx1"/>
            </w14:solidFill>
          </w14:textFill>
        </w:rPr>
        <w:t>实施方案</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投标人自行编写</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w:t>
      </w:r>
    </w:p>
    <w:p>
      <w:pPr>
        <w:tabs>
          <w:tab w:val="left" w:pos="8640"/>
        </w:tabs>
        <w:spacing w:line="360" w:lineRule="auto"/>
        <w:ind w:left="-32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val="zh-CN"/>
          <w14:textFill>
            <w14:solidFill>
              <w14:schemeClr w14:val="tx1"/>
            </w14:solidFill>
          </w14:textFill>
        </w:rPr>
        <w:t>、食品安全管理；</w:t>
      </w:r>
    </w:p>
    <w:p>
      <w:pPr>
        <w:tabs>
          <w:tab w:val="left" w:pos="8640"/>
        </w:tabs>
        <w:spacing w:line="360" w:lineRule="auto"/>
        <w:ind w:left="-32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（1）食材检验制度、食材进货制度、食材安全管理制度、人员管理制度</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投标人自行编写</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w:t>
      </w:r>
    </w:p>
    <w:p>
      <w:pPr>
        <w:tabs>
          <w:tab w:val="left" w:pos="8640"/>
        </w:tabs>
        <w:spacing w:line="360" w:lineRule="auto"/>
        <w:ind w:left="-32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检测能力（</w:t>
      </w:r>
      <w:r>
        <w:rPr>
          <w:rFonts w:hint="eastAsia" w:ascii="宋体" w:hAnsi="宋体" w:eastAsia="宋体" w:cs="宋体"/>
          <w:color w:val="000000" w:themeColor="text1"/>
          <w:kern w:val="0"/>
          <w:szCs w:val="21"/>
          <w:highlight w:val="none"/>
          <w:lang w:val="zh-CN"/>
          <w14:textFill>
            <w14:solidFill>
              <w14:schemeClr w14:val="tx1"/>
            </w14:solidFill>
          </w14:textFill>
        </w:rPr>
        <w:t>投标人自行编写</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w:t>
      </w:r>
    </w:p>
    <w:p>
      <w:pPr>
        <w:tabs>
          <w:tab w:val="left" w:pos="8640"/>
        </w:tabs>
        <w:spacing w:line="360" w:lineRule="auto"/>
        <w:ind w:left="-32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食材合格检测报告</w:t>
      </w:r>
      <w:r>
        <w:rPr>
          <w:rFonts w:hint="eastAsia" w:ascii="宋体" w:hAnsi="宋体" w:eastAsia="宋体" w:cs="宋体"/>
          <w:color w:val="000000" w:themeColor="text1"/>
          <w:kern w:val="0"/>
          <w:szCs w:val="21"/>
          <w:highlight w:val="none"/>
          <w:lang w:val="zh-CN"/>
          <w14:textFill>
            <w14:solidFill>
              <w14:schemeClr w14:val="tx1"/>
            </w14:solidFill>
          </w14:textFill>
        </w:rPr>
        <w:t>；</w:t>
      </w:r>
    </w:p>
    <w:p>
      <w:pPr>
        <w:tabs>
          <w:tab w:val="left" w:pos="8640"/>
        </w:tabs>
        <w:spacing w:line="360" w:lineRule="auto"/>
        <w:ind w:left="-320"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应急处理方案</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投标人自行编写</w:t>
      </w:r>
      <w:r>
        <w:rPr>
          <w:rFonts w:hint="eastAsia" w:ascii="宋体" w:hAnsi="宋体" w:eastAsia="宋体" w:cs="宋体"/>
          <w:color w:val="000000" w:themeColor="text1"/>
          <w:kern w:val="0"/>
          <w:szCs w:val="21"/>
          <w:highlight w:val="none"/>
          <w14:textFill>
            <w14:solidFill>
              <w14:schemeClr w14:val="tx1"/>
            </w14:solidFill>
          </w14:textFill>
        </w:rPr>
        <w:t>）</w:t>
      </w:r>
    </w:p>
    <w:p>
      <w:pPr>
        <w:tabs>
          <w:tab w:val="left" w:pos="8640"/>
        </w:tabs>
        <w:spacing w:line="360" w:lineRule="auto"/>
        <w:ind w:left="-32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r>
        <w:rPr>
          <w:rFonts w:hint="eastAsia" w:ascii="宋体" w:hAnsi="宋体" w:eastAsia="宋体" w:cs="宋体"/>
          <w:color w:val="000000" w:themeColor="text1"/>
          <w:kern w:val="0"/>
          <w:szCs w:val="21"/>
          <w:highlight w:val="none"/>
          <w:lang w:val="zh-CN"/>
          <w14:textFill>
            <w14:solidFill>
              <w14:schemeClr w14:val="tx1"/>
            </w14:solidFill>
          </w14:textFill>
        </w:rPr>
        <w:t>投标人认为有必要提供的其它材料（不做强制要求）。</w:t>
      </w:r>
    </w:p>
    <w:p>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br w:type="page"/>
      </w:r>
      <w:bookmarkEnd w:id="615"/>
      <w:bookmarkStart w:id="638" w:name="_Toc102860086"/>
      <w:bookmarkStart w:id="639" w:name="_Toc1977740"/>
      <w:bookmarkStart w:id="640" w:name="_Toc140596941"/>
      <w:bookmarkStart w:id="641" w:name="_Toc142508381"/>
      <w:bookmarkStart w:id="642" w:name="_Toc102860430"/>
      <w:bookmarkStart w:id="643" w:name="_Toc94107223"/>
      <w:bookmarkStart w:id="644" w:name="_Toc104991888"/>
      <w:bookmarkStart w:id="645" w:name="_Toc533708135"/>
    </w:p>
    <w:p>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pPr>
        <w:pStyle w:val="21"/>
        <w:spacing w:line="360" w:lineRule="auto"/>
        <w:jc w:val="center"/>
        <w:rPr>
          <w:rFonts w:ascii="宋体" w:hAnsi="宋体" w:cs="宋体"/>
          <w:color w:val="000000" w:themeColor="text1"/>
          <w:sz w:val="84"/>
          <w:highlight w:val="none"/>
          <w14:textFill>
            <w14:solidFill>
              <w14:schemeClr w14:val="tx1"/>
            </w14:solidFill>
          </w14:textFill>
        </w:rPr>
      </w:pPr>
      <w:r>
        <w:rPr>
          <w:rFonts w:hint="eastAsia" w:ascii="宋体" w:hAnsi="宋体" w:cs="宋体"/>
          <w:color w:val="000000" w:themeColor="text1"/>
          <w:sz w:val="84"/>
          <w:highlight w:val="none"/>
          <w14:textFill>
            <w14:solidFill>
              <w14:schemeClr w14:val="tx1"/>
            </w14:solidFill>
          </w14:textFill>
        </w:rPr>
        <w:t>投 标 文 件</w:t>
      </w: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招标编号：</w:t>
      </w:r>
      <w:r>
        <w:rPr>
          <w:rFonts w:hint="eastAsia" w:ascii="宋体" w:hAnsi="宋体" w:cs="宋体"/>
          <w:color w:val="000000" w:themeColor="text1"/>
          <w:sz w:val="30"/>
          <w:highlight w:val="none"/>
          <w:u w:val="single"/>
          <w14:textFill>
            <w14:solidFill>
              <w14:schemeClr w14:val="tx1"/>
            </w14:solidFill>
          </w14:textFill>
        </w:rPr>
        <w:t xml:space="preserve">                        </w:t>
      </w:r>
    </w:p>
    <w:p>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项目名称：</w:t>
      </w:r>
      <w:r>
        <w:rPr>
          <w:rFonts w:hint="eastAsia" w:ascii="宋体" w:hAnsi="宋体" w:cs="宋体"/>
          <w:color w:val="000000" w:themeColor="text1"/>
          <w:sz w:val="30"/>
          <w:highlight w:val="none"/>
          <w:u w:val="single"/>
          <w14:textFill>
            <w14:solidFill>
              <w14:schemeClr w14:val="tx1"/>
            </w14:solidFill>
          </w14:textFill>
        </w:rPr>
        <w:t xml:space="preserve">                        </w:t>
      </w:r>
    </w:p>
    <w:p>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投标文件内容：</w:t>
      </w:r>
      <w:r>
        <w:rPr>
          <w:rFonts w:hint="eastAsia" w:ascii="宋体" w:hAnsi="宋体" w:cs="宋体"/>
          <w:color w:val="000000" w:themeColor="text1"/>
          <w:sz w:val="30"/>
          <w:highlight w:val="none"/>
          <w:u w:val="single"/>
          <w14:textFill>
            <w14:solidFill>
              <w14:schemeClr w14:val="tx1"/>
            </w14:solidFill>
          </w14:textFill>
        </w:rPr>
        <w:t xml:space="preserve"> 投标文件技术部分 </w:t>
      </w:r>
    </w:p>
    <w:p>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招标人：</w:t>
      </w:r>
      <w:r>
        <w:rPr>
          <w:rFonts w:hint="eastAsia" w:ascii="宋体" w:hAnsi="宋体" w:cs="宋体"/>
          <w:color w:val="000000" w:themeColor="text1"/>
          <w:sz w:val="30"/>
          <w:highlight w:val="none"/>
          <w:u w:val="single"/>
          <w14:textFill>
            <w14:solidFill>
              <w14:schemeClr w14:val="tx1"/>
            </w14:solidFill>
          </w14:textFill>
        </w:rPr>
        <w:t xml:space="preserve">                        </w:t>
      </w:r>
    </w:p>
    <w:p>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投标人：</w:t>
      </w:r>
      <w:r>
        <w:rPr>
          <w:rFonts w:hint="eastAsia" w:ascii="宋体" w:hAnsi="宋体" w:cs="宋体"/>
          <w:color w:val="000000" w:themeColor="text1"/>
          <w:sz w:val="30"/>
          <w:highlight w:val="none"/>
          <w:u w:val="single"/>
          <w14:textFill>
            <w14:solidFill>
              <w14:schemeClr w14:val="tx1"/>
            </w14:solidFill>
          </w14:textFill>
        </w:rPr>
        <w:t xml:space="preserve">                        </w:t>
      </w:r>
    </w:p>
    <w:p>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日  期：</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年</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月</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日</w:t>
      </w:r>
    </w:p>
    <w:p>
      <w:pPr>
        <w:pStyle w:val="21"/>
        <w:spacing w:line="360" w:lineRule="auto"/>
        <w:rPr>
          <w:rFonts w:ascii="宋体" w:hAnsi="宋体" w:cs="宋体"/>
          <w:color w:val="000000" w:themeColor="text1"/>
          <w:highlight w:val="none"/>
          <w14:textFill>
            <w14:solidFill>
              <w14:schemeClr w14:val="tx1"/>
            </w14:solidFill>
          </w14:textFill>
        </w:rPr>
      </w:pPr>
    </w:p>
    <w:p>
      <w:pPr>
        <w:pStyle w:val="2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Style w:val="21"/>
        <w:spacing w:line="360" w:lineRule="auto"/>
        <w:rPr>
          <w:rFonts w:ascii="宋体" w:hAnsi="宋体" w:cs="宋体"/>
          <w:color w:val="000000" w:themeColor="text1"/>
          <w:highlight w:val="none"/>
          <w14:textFill>
            <w14:solidFill>
              <w14:schemeClr w14:val="tx1"/>
            </w14:solidFill>
          </w14:textFill>
        </w:rPr>
      </w:pPr>
    </w:p>
    <w:p>
      <w:pPr>
        <w:pBdr>
          <w:bottom w:val="single" w:color="auto" w:sz="6" w:space="0"/>
        </w:pBdr>
        <w:spacing w:line="480" w:lineRule="auto"/>
        <w:ind w:left="-320" w:firstLine="472" w:firstLineChars="224"/>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投标文件技术评审部分索引表</w:t>
      </w:r>
    </w:p>
    <w:tbl>
      <w:tblPr>
        <w:tblStyle w:val="37"/>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80"/>
        <w:gridCol w:w="2773"/>
        <w:gridCol w:w="2387"/>
        <w:gridCol w:w="38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80"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2773"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2387"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招标文件上的满分值</w:t>
            </w:r>
          </w:p>
        </w:tc>
        <w:tc>
          <w:tcPr>
            <w:tcW w:w="3828" w:type="dxa"/>
            <w:tcBorders>
              <w:left w:val="single" w:color="auto" w:sz="4" w:space="0"/>
            </w:tcBorders>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80"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2773"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2387"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3828" w:type="dxa"/>
            <w:tcBorders>
              <w:left w:val="single" w:color="auto" w:sz="4" w:space="0"/>
            </w:tcBorders>
            <w:vAlign w:val="center"/>
          </w:tcPr>
          <w:p>
            <w:pPr>
              <w:adjustRightInd w:val="0"/>
              <w:snapToGrid w:val="0"/>
              <w:spacing w:line="360" w:lineRule="auto"/>
              <w:ind w:left="247"/>
              <w:rPr>
                <w:rFonts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80" w:type="dxa"/>
            <w:vAlign w:val="center"/>
          </w:tcPr>
          <w:p>
            <w:pPr>
              <w:ind w:left="247"/>
              <w:rPr>
                <w:rFonts w:ascii="宋体" w:hAnsi="宋体" w:eastAsia="宋体" w:cs="宋体"/>
                <w:bCs/>
                <w:color w:val="000000" w:themeColor="text1"/>
                <w:szCs w:val="21"/>
                <w:highlight w:val="none"/>
                <w14:textFill>
                  <w14:solidFill>
                    <w14:schemeClr w14:val="tx1"/>
                  </w14:solidFill>
                </w14:textFill>
              </w:rPr>
            </w:pPr>
          </w:p>
        </w:tc>
        <w:tc>
          <w:tcPr>
            <w:tcW w:w="2773" w:type="dxa"/>
            <w:vAlign w:val="center"/>
          </w:tcPr>
          <w:p>
            <w:pPr>
              <w:ind w:left="247"/>
              <w:rPr>
                <w:rFonts w:ascii="宋体" w:hAnsi="宋体" w:eastAsia="宋体" w:cs="宋体"/>
                <w:bCs/>
                <w:color w:val="000000" w:themeColor="text1"/>
                <w:szCs w:val="21"/>
                <w:highlight w:val="none"/>
                <w14:textFill>
                  <w14:solidFill>
                    <w14:schemeClr w14:val="tx1"/>
                  </w14:solidFill>
                </w14:textFill>
              </w:rPr>
            </w:pPr>
          </w:p>
        </w:tc>
        <w:tc>
          <w:tcPr>
            <w:tcW w:w="2387" w:type="dxa"/>
            <w:vAlign w:val="center"/>
          </w:tcPr>
          <w:p>
            <w:pPr>
              <w:ind w:left="247"/>
              <w:rPr>
                <w:rFonts w:ascii="宋体" w:hAnsi="宋体" w:eastAsia="宋体" w:cs="宋体"/>
                <w:bCs/>
                <w:color w:val="000000" w:themeColor="text1"/>
                <w:szCs w:val="21"/>
                <w:highlight w:val="none"/>
                <w14:textFill>
                  <w14:solidFill>
                    <w14:schemeClr w14:val="tx1"/>
                  </w14:solidFill>
                </w14:textFill>
              </w:rPr>
            </w:pPr>
          </w:p>
        </w:tc>
        <w:tc>
          <w:tcPr>
            <w:tcW w:w="3828" w:type="dxa"/>
            <w:tcBorders>
              <w:left w:val="single" w:color="auto" w:sz="4" w:space="0"/>
            </w:tcBorders>
            <w:vAlign w:val="center"/>
          </w:tcPr>
          <w:p>
            <w:pPr>
              <w:adjustRightInd w:val="0"/>
              <w:snapToGrid w:val="0"/>
              <w:spacing w:line="360" w:lineRule="auto"/>
              <w:ind w:left="-320" w:firstLine="105" w:firstLineChars="50"/>
              <w:rPr>
                <w:rFonts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80"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2773" w:type="dxa"/>
            <w:vAlign w:val="center"/>
          </w:tcPr>
          <w:p>
            <w:pPr>
              <w:adjustRightInd w:val="0"/>
              <w:snapToGrid w:val="0"/>
              <w:spacing w:line="360" w:lineRule="auto"/>
              <w:ind w:left="247"/>
              <w:rPr>
                <w:rFonts w:ascii="宋体" w:hAnsi="宋体" w:eastAsia="宋体" w:cs="宋体"/>
                <w:bCs/>
                <w:color w:val="000000" w:themeColor="text1"/>
                <w:szCs w:val="21"/>
                <w:highlight w:val="none"/>
                <w14:textFill>
                  <w14:solidFill>
                    <w14:schemeClr w14:val="tx1"/>
                  </w14:solidFill>
                </w14:textFill>
              </w:rPr>
            </w:pPr>
          </w:p>
        </w:tc>
        <w:tc>
          <w:tcPr>
            <w:tcW w:w="2387" w:type="dxa"/>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3828" w:type="dxa"/>
            <w:tcBorders>
              <w:left w:val="single" w:color="auto" w:sz="4" w:space="0"/>
            </w:tcBorders>
            <w:vAlign w:val="center"/>
          </w:tcPr>
          <w:p>
            <w:pPr>
              <w:spacing w:line="360" w:lineRule="auto"/>
              <w:ind w:left="-320" w:firstLine="8" w:firstLineChars="4"/>
              <w:rPr>
                <w:rFonts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80"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2773"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ind w:left="247"/>
              <w:rPr>
                <w:rFonts w:ascii="宋体" w:hAnsi="宋体" w:eastAsia="宋体" w:cs="宋体"/>
                <w:bCs/>
                <w:color w:val="000000" w:themeColor="text1"/>
                <w:szCs w:val="21"/>
                <w:highlight w:val="none"/>
                <w14:textFill>
                  <w14:solidFill>
                    <w14:schemeClr w14:val="tx1"/>
                  </w14:solidFill>
                </w14:textFill>
              </w:rPr>
            </w:pPr>
          </w:p>
        </w:tc>
        <w:tc>
          <w:tcPr>
            <w:tcW w:w="2387"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3828"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ind w:left="247"/>
              <w:rPr>
                <w:rFonts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3" w:type="dxa"/>
            <w:gridSpan w:val="2"/>
            <w:tcBorders>
              <w:bottom w:val="single" w:color="auto" w:sz="4" w:space="0"/>
            </w:tcBorders>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2387" w:type="dxa"/>
            <w:tcBorders>
              <w:bottom w:val="single" w:color="auto" w:sz="4" w:space="0"/>
            </w:tcBorders>
            <w:vAlign w:val="center"/>
          </w:tcPr>
          <w:p>
            <w:pPr>
              <w:adjustRightInd w:val="0"/>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c>
          <w:tcPr>
            <w:tcW w:w="3828" w:type="dxa"/>
            <w:tcBorders>
              <w:left w:val="single" w:color="auto" w:sz="4" w:space="0"/>
              <w:bottom w:val="single" w:color="auto" w:sz="4" w:space="0"/>
            </w:tcBorders>
            <w:vAlign w:val="center"/>
          </w:tcPr>
          <w:p>
            <w:pPr>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p>
        </w:tc>
      </w:tr>
    </w:tbl>
    <w:p>
      <w:pPr>
        <w:ind w:left="247"/>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pPr>
        <w:ind w:left="247"/>
        <w:rPr>
          <w:rFonts w:ascii="宋体" w:hAnsi="宋体" w:eastAsia="宋体" w:cs="宋体"/>
          <w:b/>
          <w:color w:val="000000" w:themeColor="text1"/>
          <w:kern w:val="0"/>
          <w:sz w:val="30"/>
          <w:szCs w:val="30"/>
          <w:highlight w:val="none"/>
          <w14:textFill>
            <w14:solidFill>
              <w14:schemeClr w14:val="tx1"/>
            </w14:solidFill>
          </w14:textFill>
        </w:rPr>
      </w:pPr>
      <w:bookmarkStart w:id="646" w:name="_Toc30448"/>
      <w:bookmarkStart w:id="647" w:name="_Toc27934"/>
      <w:bookmarkStart w:id="648" w:name="_Toc18999"/>
      <w:r>
        <w:rPr>
          <w:rFonts w:hint="eastAsia" w:ascii="宋体" w:hAnsi="宋体" w:eastAsia="宋体" w:cs="宋体"/>
          <w:b/>
          <w:color w:val="000000" w:themeColor="text1"/>
          <w:kern w:val="0"/>
          <w:sz w:val="30"/>
          <w:szCs w:val="30"/>
          <w:highlight w:val="none"/>
          <w14:textFill>
            <w14:solidFill>
              <w14:schemeClr w14:val="tx1"/>
            </w14:solidFill>
          </w14:textFill>
        </w:rPr>
        <w:t>16.1 用户需求偏离表格式</w:t>
      </w:r>
      <w:bookmarkEnd w:id="638"/>
      <w:bookmarkEnd w:id="639"/>
      <w:bookmarkEnd w:id="640"/>
      <w:bookmarkEnd w:id="641"/>
      <w:bookmarkEnd w:id="642"/>
      <w:bookmarkEnd w:id="643"/>
      <w:bookmarkEnd w:id="644"/>
      <w:bookmarkEnd w:id="645"/>
      <w:bookmarkEnd w:id="646"/>
      <w:bookmarkEnd w:id="647"/>
      <w:bookmarkEnd w:id="648"/>
    </w:p>
    <w:p>
      <w:pPr>
        <w:spacing w:before="120" w:after="120" w:line="360" w:lineRule="auto"/>
        <w:ind w:left="247"/>
        <w:jc w:val="center"/>
        <w:rPr>
          <w:rFonts w:ascii="宋体" w:hAnsi="宋体" w:eastAsia="宋体" w:cs="Times New Roman"/>
          <w:color w:val="000000" w:themeColor="text1"/>
          <w:kern w:val="0"/>
          <w:szCs w:val="21"/>
          <w:highlight w:val="none"/>
          <w14:textFill>
            <w14:solidFill>
              <w14:schemeClr w14:val="tx1"/>
            </w14:solidFill>
          </w14:textFill>
        </w:rPr>
      </w:pPr>
      <w:bookmarkStart w:id="649" w:name="_Toc17449_WPSOffice_Level3"/>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bookmarkEnd w:id="649"/>
    </w:p>
    <w:tbl>
      <w:tblPr>
        <w:tblStyle w:val="3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003"/>
        <w:gridCol w:w="5055"/>
        <w:gridCol w:w="1215"/>
        <w:gridCol w:w="149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84" w:type="dxa"/>
            <w:vMerge w:val="restart"/>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6058" w:type="dxa"/>
            <w:gridSpan w:val="2"/>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招标文件要求</w:t>
            </w:r>
          </w:p>
        </w:tc>
        <w:tc>
          <w:tcPr>
            <w:tcW w:w="3728" w:type="dxa"/>
            <w:gridSpan w:val="3"/>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84" w:type="dxa"/>
            <w:vMerge w:val="continue"/>
            <w:vAlign w:val="center"/>
          </w:tcPr>
          <w:p>
            <w:pPr>
              <w:jc w:val="center"/>
              <w:rPr>
                <w:rFonts w:ascii="宋体" w:hAnsi="宋体" w:eastAsia="宋体" w:cs="宋体"/>
                <w:color w:val="000000" w:themeColor="text1"/>
                <w:szCs w:val="21"/>
                <w:highlight w:val="none"/>
                <w14:textFill>
                  <w14:solidFill>
                    <w14:schemeClr w14:val="tx1"/>
                  </w14:solidFill>
                </w14:textFill>
              </w:rPr>
            </w:pPr>
          </w:p>
        </w:tc>
        <w:tc>
          <w:tcPr>
            <w:tcW w:w="1003"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条款号</w:t>
            </w:r>
          </w:p>
        </w:tc>
        <w:tc>
          <w:tcPr>
            <w:tcW w:w="5055"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简要内容</w:t>
            </w:r>
          </w:p>
        </w:tc>
        <w:tc>
          <w:tcPr>
            <w:tcW w:w="1215"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偏离情况</w:t>
            </w:r>
          </w:p>
        </w:tc>
        <w:tc>
          <w:tcPr>
            <w:tcW w:w="1497"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实质性响应的具体内容</w:t>
            </w:r>
          </w:p>
        </w:tc>
        <w:tc>
          <w:tcPr>
            <w:tcW w:w="1016"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84" w:type="dxa"/>
            <w:vMerge w:val="restart"/>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p>
            <w:pPr>
              <w:rPr>
                <w:rFonts w:ascii="宋体" w:hAnsi="宋体" w:eastAsia="宋体" w:cs="宋体"/>
                <w:color w:val="000000" w:themeColor="text1"/>
                <w:szCs w:val="21"/>
                <w:highlight w:val="none"/>
                <w14:textFill>
                  <w14:solidFill>
                    <w14:schemeClr w14:val="tx1"/>
                  </w14:solidFill>
                </w14:textFill>
              </w:rPr>
            </w:pPr>
          </w:p>
        </w:tc>
        <w:tc>
          <w:tcPr>
            <w:tcW w:w="1003" w:type="dxa"/>
            <w:vMerge w:val="restart"/>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二、总体要求</w:t>
            </w:r>
          </w:p>
        </w:tc>
        <w:tc>
          <w:tcPr>
            <w:tcW w:w="5055" w:type="dxa"/>
            <w:vAlign w:val="center"/>
          </w:tcPr>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（一）服务单位</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本项目通过公开招标确定一家食堂食材配送单位。</w:t>
            </w:r>
          </w:p>
        </w:tc>
        <w:tc>
          <w:tcPr>
            <w:tcW w:w="1215"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497"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016" w:type="dxa"/>
            <w:vAlign w:val="center"/>
          </w:tcPr>
          <w:p>
            <w:pP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4"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1003" w:type="dxa"/>
            <w:vMerge w:val="continue"/>
            <w:vAlign w:val="center"/>
          </w:tcPr>
          <w:p>
            <w:pPr>
              <w:rPr>
                <w:rFonts w:ascii="宋体" w:hAnsi="宋体" w:eastAsia="宋体" w:cs="宋体"/>
                <w:color w:val="000000" w:themeColor="text1"/>
                <w:szCs w:val="21"/>
                <w:highlight w:val="none"/>
                <w:lang w:val="zh-CN"/>
                <w14:textFill>
                  <w14:solidFill>
                    <w14:schemeClr w14:val="tx1"/>
                  </w14:solidFill>
                </w14:textFill>
              </w:rPr>
            </w:pPr>
          </w:p>
        </w:tc>
        <w:tc>
          <w:tcPr>
            <w:tcW w:w="5055" w:type="dxa"/>
            <w:vAlign w:val="center"/>
          </w:tcPr>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（二）服务期限</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各公司自合同签订之日起一年。服务期限满后，双方经友好协商一致之后，可在保持原合同约定条款的情况下，签订补充协议延长服务资格期限，延长的服务资格期限原则上不超过三个月。本项目确定的中标人与东莞市水务集团有限公司、</w:t>
            </w:r>
            <w:r>
              <w:rPr>
                <w:rFonts w:hint="eastAsia" w:ascii="宋体" w:hAnsi="宋体" w:eastAsia="宋体" w:cs="宋体"/>
                <w:color w:val="000000" w:themeColor="text1"/>
                <w:szCs w:val="21"/>
                <w:highlight w:val="none"/>
                <w:lang w:val="zh-CN"/>
                <w14:textFill>
                  <w14:solidFill>
                    <w14:schemeClr w14:val="tx1"/>
                  </w14:solidFill>
                </w14:textFill>
              </w:rPr>
              <w:t>东莞市水务集团实业发展有限公司、</w:t>
            </w:r>
            <w:r>
              <w:rPr>
                <w:rFonts w:hint="eastAsia" w:ascii="宋体" w:hAnsi="宋体" w:eastAsia="宋体" w:cs="宋体"/>
                <w:color w:val="000000" w:themeColor="text1"/>
                <w:szCs w:val="21"/>
                <w:highlight w:val="none"/>
                <w14:textFill>
                  <w14:solidFill>
                    <w14:schemeClr w14:val="tx1"/>
                  </w14:solidFill>
                </w14:textFill>
              </w:rPr>
              <w:t>东莞市水务集团科技发展有限公司、东莞市水务集团供水有限公司长安分公司签订农副产品食品材料配送合同，招标人不确保中标人农副产品、主副食品、其他食品材料实际产生配送量，每月份按实际产生量结算。</w:t>
            </w:r>
          </w:p>
        </w:tc>
        <w:tc>
          <w:tcPr>
            <w:tcW w:w="1215"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497"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016" w:type="dxa"/>
            <w:vAlign w:val="center"/>
          </w:tcPr>
          <w:p>
            <w:pP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4"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1003" w:type="dxa"/>
            <w:vMerge w:val="continue"/>
            <w:vAlign w:val="center"/>
          </w:tcPr>
          <w:p>
            <w:pPr>
              <w:rPr>
                <w:rFonts w:ascii="宋体" w:hAnsi="宋体" w:eastAsia="宋体" w:cs="宋体"/>
                <w:color w:val="000000" w:themeColor="text1"/>
                <w:szCs w:val="21"/>
                <w:highlight w:val="none"/>
                <w:lang w:val="zh-CN"/>
                <w14:textFill>
                  <w14:solidFill>
                    <w14:schemeClr w14:val="tx1"/>
                  </w14:solidFill>
                </w14:textFill>
              </w:rPr>
            </w:pPr>
          </w:p>
        </w:tc>
        <w:tc>
          <w:tcPr>
            <w:tcW w:w="5055" w:type="dxa"/>
            <w:vAlign w:val="center"/>
          </w:tcPr>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（三）付款方法</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招标人或招标人权属子公司或招标人权属子公司的分公司每月与中标人按实际产生量结算一次。</w:t>
            </w:r>
          </w:p>
        </w:tc>
        <w:tc>
          <w:tcPr>
            <w:tcW w:w="1215"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497"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016" w:type="dxa"/>
            <w:vAlign w:val="center"/>
          </w:tcPr>
          <w:p>
            <w:pP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4" w:type="dxa"/>
            <w:vMerge w:val="restart"/>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003" w:type="dxa"/>
            <w:vMerge w:val="restart"/>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三、具体要求</w:t>
            </w:r>
          </w:p>
          <w:p>
            <w:pPr>
              <w:rPr>
                <w:rFonts w:ascii="宋体" w:hAnsi="宋体" w:eastAsia="宋体" w:cs="宋体"/>
                <w:color w:val="000000" w:themeColor="text1"/>
                <w:szCs w:val="21"/>
                <w:highlight w:val="none"/>
                <w:lang w:val="zh-CN"/>
                <w14:textFill>
                  <w14:solidFill>
                    <w14:schemeClr w14:val="tx1"/>
                  </w14:solidFill>
                </w14:textFill>
              </w:rPr>
            </w:pPr>
          </w:p>
        </w:tc>
        <w:tc>
          <w:tcPr>
            <w:tcW w:w="5055" w:type="dxa"/>
            <w:vAlign w:val="center"/>
          </w:tcPr>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（一）采购内容</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根据建设、运营需要委托供应商提供食堂食材采购及配送服务，供货内容包括但不限于以下：</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A类（粮油干货类）：大米、食用油、调味品、干货、杂货、米粉面粉类等食品材料；</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B类（肉类）：生鲜猪、牛、羊、三鸟，鱼及冰冻水产、畜、禽肉类；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C类（蔬果类）：生鲜蔬菜、水果等食品材料。</w:t>
            </w:r>
          </w:p>
        </w:tc>
        <w:tc>
          <w:tcPr>
            <w:tcW w:w="1215"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497"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016" w:type="dxa"/>
            <w:vAlign w:val="center"/>
          </w:tcPr>
          <w:p>
            <w:pP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4"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1003"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5055" w:type="dxa"/>
            <w:vAlign w:val="center"/>
          </w:tcPr>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（二）就餐人数</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2024年-2025年计划员工数量830人，东莞市水务集团有限公司130人、东莞市水务集团科技发展有限公司196人、</w:t>
            </w:r>
            <w:r>
              <w:rPr>
                <w:rFonts w:hint="eastAsia" w:ascii="宋体" w:hAnsi="宋体" w:eastAsia="宋体" w:cs="宋体"/>
                <w:color w:val="000000" w:themeColor="text1"/>
                <w:szCs w:val="21"/>
                <w:highlight w:val="none"/>
                <w:lang w:val="zh-CN"/>
                <w14:textFill>
                  <w14:solidFill>
                    <w14:schemeClr w14:val="tx1"/>
                  </w14:solidFill>
                </w14:textFill>
              </w:rPr>
              <w:t>东莞市水务集团实业发展有限公司</w:t>
            </w:r>
            <w:r>
              <w:rPr>
                <w:rFonts w:hint="eastAsia" w:ascii="宋体" w:hAnsi="宋体" w:eastAsia="宋体" w:cs="宋体"/>
                <w:color w:val="000000" w:themeColor="text1"/>
                <w:szCs w:val="21"/>
                <w:highlight w:val="none"/>
                <w14:textFill>
                  <w14:solidFill>
                    <w14:schemeClr w14:val="tx1"/>
                  </w14:solidFill>
                </w14:textFill>
              </w:rPr>
              <w:t>202人、东莞市水务集团供水有限公司长安分公司302人员工食堂（具体就餐人数以实际为准）。</w:t>
            </w:r>
          </w:p>
        </w:tc>
        <w:tc>
          <w:tcPr>
            <w:tcW w:w="1215"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497"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016" w:type="dxa"/>
            <w:vAlign w:val="center"/>
          </w:tcPr>
          <w:p>
            <w:pP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4"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1003"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5055" w:type="dxa"/>
            <w:vAlign w:val="center"/>
          </w:tcPr>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（三）供货地点</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（注：具体供货地点表内容详见用户需求书）</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备注：若在服务期内，招标人办公地点发生改变，服务地址以新办公地点地址为准。</w:t>
            </w:r>
          </w:p>
        </w:tc>
        <w:tc>
          <w:tcPr>
            <w:tcW w:w="1215"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497"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016" w:type="dxa"/>
            <w:vAlign w:val="center"/>
          </w:tcPr>
          <w:p>
            <w:pP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4"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1003"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5055" w:type="dxa"/>
            <w:vAlign w:val="center"/>
          </w:tcPr>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（四）定价及定价周期</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1.招标人和中标人按以下方式确定供货价格（定价原则）：</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（1）原则上以东莞市发展和改革局（http://dgdp.dg.gov.cn/jggl/spjg/，</w:t>
            </w:r>
            <w:r>
              <w:rPr>
                <w:rFonts w:hint="eastAsia" w:ascii="宋体" w:hAnsi="宋体" w:eastAsia="宋体" w:cs="宋体"/>
                <w:color w:val="000000" w:themeColor="text1"/>
                <w:szCs w:val="21"/>
                <w:highlight w:val="none"/>
                <w:lang w:val="zh-CN"/>
                <w14:textFill>
                  <w14:solidFill>
                    <w14:schemeClr w14:val="tx1"/>
                  </w14:solidFill>
                </w14:textFill>
              </w:rPr>
              <w:t>网址仅供参考</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具体以东莞市发展和改革局官方网址发布的为准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东莞市菜篮子价格监测表</w:t>
            </w:r>
            <w:r>
              <w:rPr>
                <w:rFonts w:hint="eastAsia" w:ascii="宋体" w:hAnsi="宋体" w:eastAsia="宋体" w:cs="宋体"/>
                <w:color w:val="000000" w:themeColor="text1"/>
                <w:szCs w:val="21"/>
                <w:highlight w:val="none"/>
                <w14:textFill>
                  <w14:solidFill>
                    <w14:schemeClr w14:val="tx1"/>
                  </w14:solidFill>
                </w14:textFill>
              </w:rPr>
              <w:t>”当月份最新公布本期（指招标人或招标人权属子公司或招标人权属子公司的分公司审批之日的最新期次）价格作为基准价抽样审核；若东莞物价专栏无最近当月份公布或招标人</w:t>
            </w:r>
            <w:r>
              <w:rPr>
                <w:rFonts w:hint="eastAsia" w:ascii="宋体" w:hAnsi="宋体" w:eastAsia="宋体" w:cs="宋体"/>
                <w:color w:val="000000" w:themeColor="text1"/>
                <w:szCs w:val="21"/>
                <w:highlight w:val="none"/>
                <w:lang w:val="zh-CN"/>
                <w14:textFill>
                  <w14:solidFill>
                    <w14:schemeClr w14:val="tx1"/>
                  </w14:solidFill>
                </w14:textFill>
              </w:rPr>
              <w:t>或招标人权属子公司或招标人权属子公司的分公司</w:t>
            </w:r>
            <w:r>
              <w:rPr>
                <w:rFonts w:hint="eastAsia" w:ascii="宋体" w:hAnsi="宋体" w:eastAsia="宋体" w:cs="宋体"/>
                <w:color w:val="000000" w:themeColor="text1"/>
                <w:szCs w:val="21"/>
                <w:highlight w:val="none"/>
                <w14:textFill>
                  <w14:solidFill>
                    <w14:schemeClr w14:val="tx1"/>
                  </w14:solidFill>
                </w14:textFill>
              </w:rPr>
              <w:t>所需的相同品种，则招标人</w:t>
            </w:r>
            <w:r>
              <w:rPr>
                <w:rFonts w:hint="eastAsia" w:ascii="宋体" w:hAnsi="宋体" w:eastAsia="宋体" w:cs="宋体"/>
                <w:color w:val="000000" w:themeColor="text1"/>
                <w:szCs w:val="21"/>
                <w:highlight w:val="none"/>
                <w:lang w:val="zh-CN"/>
                <w14:textFill>
                  <w14:solidFill>
                    <w14:schemeClr w14:val="tx1"/>
                  </w14:solidFill>
                </w14:textFill>
              </w:rPr>
              <w:t>或招标人权属子公司或招标人权属子公司的分公司</w:t>
            </w:r>
            <w:r>
              <w:rPr>
                <w:rFonts w:hint="eastAsia" w:ascii="宋体" w:hAnsi="宋体" w:eastAsia="宋体" w:cs="宋体"/>
                <w:color w:val="000000" w:themeColor="text1"/>
                <w:szCs w:val="21"/>
                <w:highlight w:val="none"/>
                <w14:textFill>
                  <w14:solidFill>
                    <w14:schemeClr w14:val="tx1"/>
                  </w14:solidFill>
                </w14:textFill>
              </w:rPr>
              <w:t>将对本市区农副产品市场（莞城细村农贸市场或新光明市场或长安沙头综合市场）的市场零售价（与中标人供货产品等级、质量相近的产品零售价）进行抽样调查，核定相同品种的市场零售价格作基准价。</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（2）临时委托采购：中标人必须按照招标人</w:t>
            </w:r>
            <w:r>
              <w:rPr>
                <w:rFonts w:hint="eastAsia" w:ascii="宋体" w:hAnsi="宋体" w:eastAsia="宋体" w:cs="宋体"/>
                <w:color w:val="000000" w:themeColor="text1"/>
                <w:szCs w:val="21"/>
                <w:highlight w:val="none"/>
                <w:lang w:val="zh-CN"/>
                <w14:textFill>
                  <w14:solidFill>
                    <w14:schemeClr w14:val="tx1"/>
                  </w14:solidFill>
                </w14:textFill>
              </w:rPr>
              <w:t>或招标人权属子公司或招标人权属子公司的分公司</w:t>
            </w:r>
            <w:r>
              <w:rPr>
                <w:rFonts w:hint="eastAsia" w:ascii="宋体" w:hAnsi="宋体" w:eastAsia="宋体" w:cs="宋体"/>
                <w:color w:val="000000" w:themeColor="text1"/>
                <w:szCs w:val="21"/>
                <w:highlight w:val="none"/>
                <w14:textFill>
                  <w14:solidFill>
                    <w14:schemeClr w14:val="tx1"/>
                  </w14:solidFill>
                </w14:textFill>
              </w:rPr>
              <w:t>急需餐料物资品种、数量、送货时间、地点等在2小时内进行供货，若急需餐料物资不在供货物资清单表上，该项临时需求食品材料纳入下次供货清单内，并按上述定价原则确定供货价。</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2.定价周期</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（1）A类（粮油干货类）、B类（肉类）、C类（蔬果类、其他类项）价格每半月更新一次，中标人每月12日前提交下半月报价给招标人</w:t>
            </w:r>
            <w:r>
              <w:rPr>
                <w:rFonts w:hint="eastAsia" w:ascii="宋体" w:hAnsi="宋体" w:eastAsia="宋体" w:cs="宋体"/>
                <w:color w:val="000000" w:themeColor="text1"/>
                <w:szCs w:val="21"/>
                <w:highlight w:val="none"/>
                <w:lang w:val="zh-CN"/>
                <w14:textFill>
                  <w14:solidFill>
                    <w14:schemeClr w14:val="tx1"/>
                  </w14:solidFill>
                </w14:textFill>
              </w:rPr>
              <w:t>或招标人权属子公司或招标人权属子公司的分公司</w:t>
            </w:r>
            <w:r>
              <w:rPr>
                <w:rFonts w:hint="eastAsia" w:ascii="宋体" w:hAnsi="宋体" w:eastAsia="宋体" w:cs="宋体"/>
                <w:color w:val="000000" w:themeColor="text1"/>
                <w:szCs w:val="21"/>
                <w:highlight w:val="none"/>
                <w14:textFill>
                  <w14:solidFill>
                    <w14:schemeClr w14:val="tx1"/>
                  </w14:solidFill>
                </w14:textFill>
              </w:rPr>
              <w:t>审核，每月25日前提交下个月上半月报价给招标人</w:t>
            </w:r>
            <w:r>
              <w:rPr>
                <w:rFonts w:hint="eastAsia" w:ascii="宋体" w:hAnsi="宋体" w:eastAsia="宋体" w:cs="宋体"/>
                <w:color w:val="000000" w:themeColor="text1"/>
                <w:szCs w:val="21"/>
                <w:highlight w:val="none"/>
                <w:lang w:val="zh-CN"/>
                <w14:textFill>
                  <w14:solidFill>
                    <w14:schemeClr w14:val="tx1"/>
                  </w14:solidFill>
                </w14:textFill>
              </w:rPr>
              <w:t>或招标人权属子公司或招标人权属子公司的分公司</w:t>
            </w:r>
            <w:r>
              <w:rPr>
                <w:rFonts w:hint="eastAsia" w:ascii="宋体" w:hAnsi="宋体" w:eastAsia="宋体" w:cs="宋体"/>
                <w:color w:val="000000" w:themeColor="text1"/>
                <w:szCs w:val="21"/>
                <w:highlight w:val="none"/>
                <w14:textFill>
                  <w14:solidFill>
                    <w14:schemeClr w14:val="tx1"/>
                  </w14:solidFill>
                </w14:textFill>
              </w:rPr>
              <w:t>审核。</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所供货品规格、型号报价与实际配送的规格型号相符合。核定价格后若供货时期市场出现部分类型餐料价格大幅浮动，升降在30%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函复，若在此期限内不予函复则以新定价格执行，除此之外，双方约定的供货物资价格在有效期内任何一方不得随意更改。</w:t>
            </w:r>
          </w:p>
        </w:tc>
        <w:tc>
          <w:tcPr>
            <w:tcW w:w="1215"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497"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016" w:type="dxa"/>
            <w:vAlign w:val="center"/>
          </w:tcPr>
          <w:p>
            <w:pP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4"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1003"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5055" w:type="dxa"/>
            <w:vAlign w:val="center"/>
          </w:tcPr>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（五）考核管理</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招标人及招标人权属子公司、招标人权属子公司的分公司每月安排相关人员对中标人进行服务质量跟踪，两个月为一个考核期，并填写“XX公司食堂配送服务考核评分表”（附件1），考核成绩较差（低于80分）时由招标人或招标人权属子公司或招标人权属子公司的分公司下达整改意见书，以确保中标人的服务质量能满足招标人或招标人权属子公司或招标人权属子公司的分公司要求；如连续两次接收整改意见书仍未符合整改要求，招标人或招标人权属子公司或招标人权属子公司的分公司将有权单方解除相关配送合同并没收履约担保，同时中标人应当承担违约责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2.中标人按照招标人提出的物品订货清单，不论数量多少，必须保证在规定的时间、地点送货。</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3.中标人对招标人提出的临时性服务要求应按招标人要求按时、按质、按量将货品送到指定地点。</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4.中标人提供的货品必须符合国家食品卫生法规相关标准，保质、保量。不合格的货品，中标人必须包退包换。</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5.中标人提供的货品必须出示真实有效的合格证书、检验报告：</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（1）A类：食品材料按招标人要求定期提供有效检验合格报告；B类、C类食品要提交所有相关检验、检测证明报告。</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（2）凡国家有明文规定的必须提供产品检验报告交食堂存档，符合国家溯源制度规定。</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6.中标人每次送货应有相应的送货清单（盖有中标人的有效公章），且必须时提供合法的进货单据。</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7.中标人提供的货品导致招标人有任何食物安全事件出现，由中标人承担全部责任及赔偿招标人一切损失，招标人保留法律追究权利。</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8.中标人应按照招标人指定时间内对下月供货价格进行签字确认。</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9.中标人的供货价应包含货品交给招标人之前的一切费用，包括运输费、储存费等，并承担送货途中的一切风险。</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10.未列入物资明细表内又需要购买的货品，其单价由双方以本用户需求书规定的定价原则确定供货价格。</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11.中标人进入招标人范围内必须遵守招标人有关规定，不得影响招标人的正常工作，由于中标人的过失造成招标人直接经济损失则要负全部责任及赔偿招标人一切损失。</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12.中标人须提供以往交易记录。</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13.中标人须有固定分割肉加工场所，具备空调作业环境，配套设备设施齐全，有相应加工作业流程及相关管理制度。</w:t>
            </w:r>
          </w:p>
        </w:tc>
        <w:tc>
          <w:tcPr>
            <w:tcW w:w="1215"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497"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016" w:type="dxa"/>
            <w:vAlign w:val="center"/>
          </w:tcPr>
          <w:p>
            <w:pP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84"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1003"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5055" w:type="dxa"/>
            <w:vAlign w:val="center"/>
          </w:tcPr>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★14.中标人须承诺中标后为招标人（</w:t>
            </w:r>
            <w:r>
              <w:rPr>
                <w:rFonts w:hint="eastAsia" w:ascii="宋体" w:hAnsi="宋体" w:eastAsia="宋体" w:cs="宋体"/>
                <w:color w:val="000000" w:themeColor="text1"/>
                <w:szCs w:val="21"/>
                <w:highlight w:val="none"/>
                <w:lang w:val="zh-CN"/>
                <w14:textFill>
                  <w14:solidFill>
                    <w14:schemeClr w14:val="tx1"/>
                  </w14:solidFill>
                </w14:textFill>
              </w:rPr>
              <w:t>东莞市水务集团有限公司</w:t>
            </w:r>
            <w:r>
              <w:rPr>
                <w:rFonts w:hint="eastAsia" w:ascii="宋体" w:hAnsi="宋体" w:eastAsia="宋体" w:cs="宋体"/>
                <w:color w:val="000000" w:themeColor="text1"/>
                <w:szCs w:val="21"/>
                <w:highlight w:val="none"/>
                <w14:textFill>
                  <w14:solidFill>
                    <w14:schemeClr w14:val="tx1"/>
                  </w14:solidFill>
                </w14:textFill>
              </w:rPr>
              <w:t>）及招标人权属子公司（</w:t>
            </w:r>
            <w:r>
              <w:rPr>
                <w:rFonts w:hint="eastAsia" w:ascii="宋体" w:hAnsi="宋体" w:eastAsia="宋体" w:cs="宋体"/>
                <w:color w:val="000000" w:themeColor="text1"/>
                <w:szCs w:val="21"/>
                <w:highlight w:val="none"/>
                <w:lang w:val="zh-CN"/>
                <w14:textFill>
                  <w14:solidFill>
                    <w14:schemeClr w14:val="tx1"/>
                  </w14:solidFill>
                </w14:textFill>
              </w:rPr>
              <w:t>东莞市水务集团实业发展有限公司、</w:t>
            </w:r>
            <w:r>
              <w:rPr>
                <w:rFonts w:hint="eastAsia" w:ascii="宋体" w:hAnsi="宋体" w:eastAsia="宋体" w:cs="宋体"/>
                <w:color w:val="000000" w:themeColor="text1"/>
                <w:szCs w:val="21"/>
                <w:highlight w:val="none"/>
                <w14:textFill>
                  <w14:solidFill>
                    <w14:schemeClr w14:val="tx1"/>
                  </w14:solidFill>
                </w14:textFill>
              </w:rPr>
              <w:t>东莞市水务集团科技发展有限公司）、招标人权属子公司的分公司（东莞市水务集团供水有限公司长安分公司）为受益人）提供一份额度不少于人民币20000万元的保险（食品安全责任险），各受益人均享有同等受益权，保险承保期限不短于配送时间一年，如配送服务合同延期，保险承保期需同步延期。若因中标人原因造成招标人或招标人权属子公司或招标人权属子公司的分公司人员食物中毒等事故而索赔并超出相应保险赔偿额度，超出部分由中标人负责承担。（注：须提供《购买食品安全责任险承诺书》加盖投标人公章）。</w:t>
            </w:r>
          </w:p>
        </w:tc>
        <w:tc>
          <w:tcPr>
            <w:tcW w:w="1215"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497"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016" w:type="dxa"/>
            <w:vAlign w:val="center"/>
          </w:tcPr>
          <w:p>
            <w:pP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4"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1003" w:type="dxa"/>
            <w:vMerge w:val="continue"/>
            <w:vAlign w:val="center"/>
          </w:tcPr>
          <w:p>
            <w:pPr>
              <w:rPr>
                <w:rFonts w:ascii="宋体" w:hAnsi="宋体" w:eastAsia="宋体" w:cs="宋体"/>
                <w:color w:val="000000" w:themeColor="text1"/>
                <w:szCs w:val="21"/>
                <w:highlight w:val="none"/>
                <w14:textFill>
                  <w14:solidFill>
                    <w14:schemeClr w14:val="tx1"/>
                  </w14:solidFill>
                </w14:textFill>
              </w:rPr>
            </w:pPr>
          </w:p>
        </w:tc>
        <w:tc>
          <w:tcPr>
            <w:tcW w:w="5055" w:type="dxa"/>
            <w:vAlign w:val="center"/>
          </w:tcPr>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（六）验收标准</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A类（粮油干货类）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1.粮食大米类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（1）由正规厂家出厂、颜色品质纯正，米粒形均匀、整齐、重量大没有碎米和爆腰。</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（2）有清香味和光泽，无米糠和其它杂质、无虫害、无异味、无霉味，用手摸时滑爽、干燥。</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（3）符合食品卫生标准，无毒、无污染。</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2.食用油类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（1）由知名正规厂家生产的植物油，非转基因类。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（2）色泽纯正，透明度好。</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3.调味品类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（1）由正规厂家生产、颜色品质纯正。</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4.干货、杂货、副食品类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（1）必须选用符合国家食品卫生法规相关标准的商品，选用无毒、无害、无污染、可溯源的食品。掺假、掺杂食品坚决不能使用。</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（2）副食品等级标准要相符，其包装盒或标签上须注明食品名称、生产厂家、厂址、生产日期、食品的主要原料成份和食品保质期等信息，注明不详或没有注明的商品不予验收。</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（3）副食品表面外观新鲜、完整，无霉变异味，无砂粒杂质，无虫尸鼠粪等不洁卫生问题。</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5.米粉面粉类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（1）米粉面粉类及其制品颜色品质要纯正，不掺假、掺杂。</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（2）符合食品卫生标准，粉质细腻干爽无异物、无毒、无污染。</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（3）制成品不能出现异味、霉变结块、虫尸鼠粪等不洁的卫生问题。</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上述货品必须符合国家食品卫生法规相关标准，符合招标人使用要求，货品必须保证有三分之二以上保质期（如货品有保质期）。</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B类（肉类）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1.猪肉类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（1）具有当天卫生监督部门发放的“动物检疫合格证明”，肉体印有检疫章。</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（2）表皮干爽、肌体结实、肉质紧密、肉色淡红新鲜，肥肉洁白而细腻。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（3）外观检测无异味、无寄生虫、无粘液、无渗出液体、指压反弹迅速、具有猪肉自然气味。</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（4）运输设备具备恒温保鲜（5℃度），存放容器保持清洁卫生，包装合理且材料无污染。</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2.牛肉类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（1）具有当天卫生监督部门发放的“动物检疫合格证明”，外观检测新鲜肉质柔软有光泽、无腐臭变质异味、无寄生虫、无粘液、无渗出液体。</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（2）牛肉色泽棕红，脂肪呈淡黄色或深黄色，肉质坚硬，弹性足。</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（3）运输设备具备恒温保鲜（5℃度），存放容器保持清洁卫生，包装合理且材料无污染。</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3.羊肉类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（1）具有当天卫生监督部门发放的“动物检疫合格证明”。</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（2）羊肉色泽暗红，纤维细而软，肌间少脂肪。</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（3）运输设备具备恒温保鲜（5℃度），存放容器保持清洁卫生，包装合理且材料无污染。</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4.水产品类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（1）必须鲜活。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（2）鲜鱼鳞片完整，有光泽无脱落，鳃口紧闭，眼球光亮透明，鱼鳃鲜红，鳍尾完整，确保新鲜。</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（3）身体饱满结实，无腐烂异味，肉质紧密有弹性，无离骨脱刺现象。</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（4）来源可靠放心，无毒、无害、无污染。</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5.三鸟类（已经屠杀完成）</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（1）具有当天卫生监督部门发放的“动物检疫合格证明”。</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（2）肉质新鲜柔软有光泽，质地紧密，脂肪呈白色或淡黄色，肉质细腻、无腐烂异味， 肉体结实，内脏清掏干净，肉质弹性足无明显渗出液体，总体无粘液。</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（3）运输设备具备恒温保鲜（5℃度），存放容器保持清洁卫生，包装合理，来源可靠放心，无毒、无害、无污染。</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6.零星冻品、加工副食品类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（1）必须选用符合国家食品卫生法规相关标准的商品，选用无毒、无害、无污染、可溯源的副食品。掺假、掺杂副食品坚决不能使用。</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（2）食品等级标准要相符，其包装盒或标签上须注明食品名称，生产厂家、厂址、生产日期、食品的主要原料成份和食品保质期等信息，注明不详或没有注明的商品不予验收。</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（3）冻肉类产品中间不能有过多冰块，重量必须和包装箱上标明的重量一致。</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（4）奶制品色泽乳白，口味鲜香，包装完整，无破损，验收每批在保质期二分之一以上，符合国家规定的质量卫生标准。</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C类：蔬果类</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1.应保持较好的色泽和新鲜度。</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2.符合国家食品卫生标准，蔬菜不得有黄叶；不得腐烂和泥沙等现象。</w:t>
            </w:r>
          </w:p>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3.无公害、农药残留不得超标，提供农药残留检测证明。</w:t>
            </w:r>
          </w:p>
        </w:tc>
        <w:tc>
          <w:tcPr>
            <w:tcW w:w="1215"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497"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016" w:type="dxa"/>
            <w:vAlign w:val="center"/>
          </w:tcPr>
          <w:p>
            <w:pP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84"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003"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四、其他</w:t>
            </w:r>
          </w:p>
          <w:p>
            <w:pPr>
              <w:rPr>
                <w:rFonts w:ascii="宋体" w:hAnsi="宋体" w:eastAsia="宋体" w:cs="宋体"/>
                <w:color w:val="000000" w:themeColor="text1"/>
                <w:szCs w:val="21"/>
                <w:highlight w:val="none"/>
                <w14:textFill>
                  <w14:solidFill>
                    <w14:schemeClr w14:val="tx1"/>
                  </w14:solidFill>
                </w14:textFill>
              </w:rPr>
            </w:pPr>
          </w:p>
        </w:tc>
        <w:tc>
          <w:tcPr>
            <w:tcW w:w="5055" w:type="dxa"/>
            <w:vAlign w:val="center"/>
          </w:tcPr>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其他未尽事宜，将在合同签订或项目执行过程中双方协商确定，中标人须无条件满足招标人的合理要求。</w:t>
            </w:r>
          </w:p>
        </w:tc>
        <w:tc>
          <w:tcPr>
            <w:tcW w:w="1215"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497"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016" w:type="dxa"/>
            <w:vAlign w:val="center"/>
          </w:tcPr>
          <w:p>
            <w:pP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84"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003"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附件1：</w:t>
            </w:r>
          </w:p>
          <w:p>
            <w:pPr>
              <w:rPr>
                <w:rFonts w:ascii="宋体" w:hAnsi="宋体" w:eastAsia="宋体" w:cs="宋体"/>
                <w:color w:val="000000" w:themeColor="text1"/>
                <w:szCs w:val="21"/>
                <w:highlight w:val="none"/>
                <w14:textFill>
                  <w14:solidFill>
                    <w14:schemeClr w14:val="tx1"/>
                  </w14:solidFill>
                </w14:textFill>
              </w:rPr>
            </w:pPr>
          </w:p>
        </w:tc>
        <w:tc>
          <w:tcPr>
            <w:tcW w:w="5055" w:type="dxa"/>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XX公司食堂配送服务考核评分表</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（注：具体食堂配送服务考核评分表内容详见用户需求书）</w:t>
            </w:r>
          </w:p>
          <w:p>
            <w:pPr>
              <w:rPr>
                <w:rFonts w:ascii="宋体" w:hAnsi="宋体" w:eastAsia="宋体" w:cs="宋体"/>
                <w:color w:val="000000" w:themeColor="text1"/>
                <w:szCs w:val="21"/>
                <w:highlight w:val="none"/>
                <w14:textFill>
                  <w14:solidFill>
                    <w14:schemeClr w14:val="tx1"/>
                  </w14:solidFill>
                </w14:textFill>
              </w:rPr>
            </w:pPr>
          </w:p>
        </w:tc>
        <w:tc>
          <w:tcPr>
            <w:tcW w:w="1215"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497" w:type="dxa"/>
            <w:vAlign w:val="center"/>
          </w:tcPr>
          <w:p>
            <w:pPr>
              <w:rPr>
                <w:rFonts w:ascii="宋体" w:hAnsi="宋体" w:eastAsia="宋体" w:cs="宋体"/>
                <w:color w:val="000000" w:themeColor="text1"/>
                <w:szCs w:val="21"/>
                <w:highlight w:val="none"/>
                <w14:textFill>
                  <w14:solidFill>
                    <w14:schemeClr w14:val="tx1"/>
                  </w14:solidFill>
                </w14:textFill>
              </w:rPr>
            </w:pPr>
          </w:p>
        </w:tc>
        <w:tc>
          <w:tcPr>
            <w:tcW w:w="1016" w:type="dxa"/>
            <w:vAlign w:val="center"/>
          </w:tcPr>
          <w:p>
            <w:pPr>
              <w:rPr>
                <w:rFonts w:ascii="宋体" w:hAnsi="宋体" w:eastAsia="宋体" w:cs="宋体"/>
                <w:color w:val="000000" w:themeColor="text1"/>
                <w:szCs w:val="21"/>
                <w:highlight w:val="none"/>
                <w14:textFill>
                  <w14:solidFill>
                    <w14:schemeClr w14:val="tx1"/>
                  </w14:solidFill>
                </w14:textFill>
              </w:rPr>
            </w:pPr>
          </w:p>
        </w:tc>
      </w:tr>
    </w:tbl>
    <w:p>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pPr>
        <w:spacing w:line="360" w:lineRule="auto"/>
        <w:ind w:left="605" w:leftChars="18" w:hanging="567" w:hangingChars="270"/>
        <w:rPr>
          <w:rFonts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投标人应对照招标文件用户需求书的响应（其中“一、项目概况”除外），逐条逐项、如实地填写“偏离情况”，</w:t>
      </w:r>
      <w:r>
        <w:rPr>
          <w:rFonts w:hint="eastAsia" w:ascii="宋体" w:hAnsi="宋体" w:eastAsia="宋体" w:cs="Times New Roman"/>
          <w:b/>
          <w:color w:val="000000" w:themeColor="text1"/>
          <w:kern w:val="0"/>
          <w:szCs w:val="21"/>
          <w:highlight w:val="none"/>
          <w:u w:val="single"/>
          <w14:textFill>
            <w14:solidFill>
              <w14:schemeClr w14:val="tx1"/>
            </w14:solidFill>
          </w14:textFill>
        </w:rPr>
        <w:t>若发现未填写本表，或虚假填写本表，或伪造、变造证明材料的，按无效投标文件处理</w:t>
      </w:r>
      <w:r>
        <w:rPr>
          <w:rFonts w:hint="eastAsia" w:ascii="宋体" w:hAnsi="宋体" w:eastAsia="宋体" w:cs="宋体"/>
          <w:b/>
          <w:color w:val="000000" w:themeColor="text1"/>
          <w:szCs w:val="21"/>
          <w:highlight w:val="none"/>
          <w:u w:val="single"/>
          <w14:textFill>
            <w14:solidFill>
              <w14:schemeClr w14:val="tx1"/>
            </w14:solidFill>
          </w14:textFill>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Times New Roman"/>
          <w:b/>
          <w:color w:val="000000" w:themeColor="text1"/>
          <w:kern w:val="0"/>
          <w:szCs w:val="21"/>
          <w:highlight w:val="none"/>
          <w:u w:val="single"/>
          <w14:textFill>
            <w14:solidFill>
              <w14:schemeClr w14:val="tx1"/>
            </w14:solidFill>
          </w14:textFill>
        </w:rPr>
        <w:t>应逐条</w:t>
      </w:r>
      <w:r>
        <w:rPr>
          <w:rFonts w:hint="eastAsia" w:ascii="宋体" w:hAnsi="宋体" w:eastAsia="宋体" w:cs="宋体"/>
          <w:b/>
          <w:color w:val="000000" w:themeColor="text1"/>
          <w:szCs w:val="21"/>
          <w:highlight w:val="none"/>
          <w:u w:val="single"/>
          <w14:textFill>
            <w14:solidFill>
              <w14:schemeClr w14:val="tx1"/>
            </w14:solidFill>
          </w14:textFill>
        </w:rPr>
        <w:t>逐项</w:t>
      </w:r>
      <w:r>
        <w:rPr>
          <w:rFonts w:hint="eastAsia" w:ascii="宋体" w:hAnsi="宋体" w:eastAsia="宋体" w:cs="Times New Roman"/>
          <w:b/>
          <w:color w:val="000000" w:themeColor="text1"/>
          <w:kern w:val="0"/>
          <w:szCs w:val="21"/>
          <w:highlight w:val="none"/>
          <w:u w:val="singl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Times New Roman"/>
          <w:b/>
          <w:color w:val="000000" w:themeColor="text1"/>
          <w:kern w:val="0"/>
          <w:szCs w:val="21"/>
          <w:highlight w:val="none"/>
          <w:u w:val="single"/>
          <w14:textFill>
            <w14:solidFill>
              <w14:schemeClr w14:val="tx1"/>
            </w14:solidFill>
          </w14:textFill>
        </w:rPr>
        <w:t>凡标有“</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kern w:val="0"/>
          <w:szCs w:val="21"/>
          <w:highlight w:val="none"/>
          <w:u w:val="single"/>
          <w14:textFill>
            <w14:solidFill>
              <w14:schemeClr w14:val="tx1"/>
            </w14:solidFill>
          </w14:textFill>
        </w:rPr>
        <w:t>人</w:t>
      </w:r>
      <w:r>
        <w:rPr>
          <w:rFonts w:ascii="宋体" w:hAnsi="宋体" w:eastAsia="宋体" w:cs="Times New Roman"/>
          <w:b/>
          <w:color w:val="000000" w:themeColor="text1"/>
          <w:kern w:val="0"/>
          <w:szCs w:val="21"/>
          <w:highlight w:val="none"/>
          <w:u w:val="single"/>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否则若有一项带“</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”的指标未响应或不满足，将按</w:t>
      </w:r>
      <w:r>
        <w:rPr>
          <w:rFonts w:hint="eastAsia" w:ascii="宋体" w:hAnsi="宋体" w:eastAsia="宋体" w:cs="Times New Roman"/>
          <w:b/>
          <w:color w:val="000000" w:themeColor="text1"/>
          <w:kern w:val="0"/>
          <w:szCs w:val="21"/>
          <w:highlight w:val="none"/>
          <w:u w:val="single"/>
          <w14:textFill>
            <w14:solidFill>
              <w14:schemeClr w14:val="tx1"/>
            </w14:solidFill>
          </w14:textFill>
        </w:rPr>
        <w:t>无效投标</w:t>
      </w:r>
      <w:r>
        <w:rPr>
          <w:rFonts w:ascii="宋体" w:hAnsi="宋体" w:eastAsia="宋体" w:cs="Times New Roman"/>
          <w:b/>
          <w:color w:val="000000" w:themeColor="text1"/>
          <w:kern w:val="0"/>
          <w:szCs w:val="21"/>
          <w:highlight w:val="none"/>
          <w:u w:val="single"/>
          <w14:textFill>
            <w14:solidFill>
              <w14:schemeClr w14:val="tx1"/>
            </w14:solidFill>
          </w14:textFill>
        </w:rPr>
        <w:t>处理</w:t>
      </w:r>
      <w:r>
        <w:rPr>
          <w:rFonts w:ascii="宋体" w:hAnsi="宋体" w:eastAsia="宋体" w:cs="Times New Roman"/>
          <w:b/>
          <w:color w:val="000000" w:themeColor="text1"/>
          <w:kern w:val="0"/>
          <w:sz w:val="24"/>
          <w:szCs w:val="21"/>
          <w:highlight w:val="none"/>
          <w:u w:val="single"/>
          <w:lang w:val="zh-CN"/>
          <w14:textFill>
            <w14:solidFill>
              <w14:schemeClr w14:val="tx1"/>
            </w14:solidFill>
          </w14:textFill>
        </w:rPr>
        <w:t>。</w:t>
      </w:r>
    </w:p>
    <w:p>
      <w:pPr>
        <w:spacing w:line="360" w:lineRule="auto"/>
        <w:rPr>
          <w:rFonts w:ascii="宋体" w:hAnsi="宋体" w:eastAsia="宋体" w:cs="宋体"/>
          <w:color w:val="000000" w:themeColor="text1"/>
          <w:szCs w:val="21"/>
          <w:highlight w:val="none"/>
          <w14:textFill>
            <w14:solidFill>
              <w14:schemeClr w14:val="tx1"/>
            </w14:solidFill>
          </w14:textFill>
        </w:rPr>
      </w:pPr>
    </w:p>
    <w:p>
      <w:pPr>
        <w:autoSpaceDE w:val="0"/>
        <w:autoSpaceDN w:val="0"/>
        <w:adjustRightInd w:val="0"/>
        <w:spacing w:line="360" w:lineRule="auto"/>
        <w:ind w:left="24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lang w:val="zh-CN"/>
          <w14:textFill>
            <w14:solidFill>
              <w14:schemeClr w14:val="tx1"/>
            </w14:solidFill>
          </w14:textFill>
        </w:rPr>
        <w:t>加盖投标人法人公章</w:t>
      </w:r>
      <w:r>
        <w:rPr>
          <w:rFonts w:hint="eastAsia" w:ascii="宋体" w:hAnsi="宋体" w:eastAsia="宋体" w:cs="宋体"/>
          <w:color w:val="000000" w:themeColor="text1"/>
          <w:kern w:val="0"/>
          <w:szCs w:val="21"/>
          <w:highlight w:val="none"/>
          <w14:textFill>
            <w14:solidFill>
              <w14:schemeClr w14:val="tx1"/>
            </w14:solidFill>
          </w14:textFill>
        </w:rPr>
        <w:t>）</w:t>
      </w:r>
    </w:p>
    <w:p>
      <w:pPr>
        <w:jc w:val="right"/>
        <w:rPr>
          <w:rFonts w:ascii="宋体" w:hAnsi="宋体" w:eastAsia="宋体" w:cs="宋体"/>
          <w:color w:val="000000" w:themeColor="text1"/>
          <w:kern w:val="3"/>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日  期：   年  月  日</w:t>
      </w:r>
      <w:r>
        <w:rPr>
          <w:rFonts w:hint="eastAsia" w:ascii="宋体" w:hAnsi="宋体" w:eastAsia="宋体" w:cs="宋体"/>
          <w:color w:val="000000" w:themeColor="text1"/>
          <w:kern w:val="0"/>
          <w:szCs w:val="21"/>
          <w:highlight w:val="none"/>
          <w14:textFill>
            <w14:solidFill>
              <w14:schemeClr w14:val="tx1"/>
            </w14:solidFill>
          </w14:textFill>
        </w:rPr>
        <w:br w:type="page"/>
      </w:r>
    </w:p>
    <w:p>
      <w:pPr>
        <w:rPr>
          <w:rFonts w:ascii="宋体" w:hAnsi="宋体" w:eastAsia="宋体" w:cs="宋体"/>
          <w:b/>
          <w:color w:val="000000" w:themeColor="text1"/>
          <w:kern w:val="0"/>
          <w:sz w:val="30"/>
          <w:szCs w:val="30"/>
          <w:highlight w:val="none"/>
          <w14:textFill>
            <w14:solidFill>
              <w14:schemeClr w14:val="tx1"/>
            </w14:solidFill>
          </w14:textFill>
        </w:rPr>
      </w:pPr>
      <w:bookmarkStart w:id="650" w:name="_Toc102860094"/>
      <w:bookmarkStart w:id="651" w:name="_Toc102860438"/>
      <w:bookmarkStart w:id="652" w:name="_Toc140596949"/>
      <w:bookmarkStart w:id="653" w:name="_Toc104991896"/>
      <w:bookmarkStart w:id="654" w:name="_Toc142508389"/>
      <w:bookmarkStart w:id="655" w:name="_Toc533708139"/>
      <w:r>
        <w:rPr>
          <w:rFonts w:hint="eastAsia" w:ascii="宋体" w:hAnsi="宋体" w:eastAsia="宋体" w:cs="宋体"/>
          <w:b/>
          <w:color w:val="000000" w:themeColor="text1"/>
          <w:kern w:val="0"/>
          <w:sz w:val="30"/>
          <w:szCs w:val="30"/>
          <w:highlight w:val="none"/>
          <w14:textFill>
            <w14:solidFill>
              <w14:schemeClr w14:val="tx1"/>
            </w14:solidFill>
          </w14:textFill>
        </w:rPr>
        <w:t>16.2 购买食品安全责任险承诺书</w:t>
      </w:r>
    </w:p>
    <w:p>
      <w:pPr>
        <w:rPr>
          <w:rFonts w:ascii="宋体" w:hAnsi="宋体" w:eastAsia="宋体" w:cs="宋体"/>
          <w:b/>
          <w:color w:val="000000" w:themeColor="text1"/>
          <w:kern w:val="0"/>
          <w:sz w:val="30"/>
          <w:szCs w:val="30"/>
          <w:highlight w:val="none"/>
          <w14:textFill>
            <w14:solidFill>
              <w14:schemeClr w14:val="tx1"/>
            </w14:solidFill>
          </w14:textFill>
        </w:rPr>
      </w:pPr>
    </w:p>
    <w:tbl>
      <w:tblPr>
        <w:tblStyle w:val="3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47" w:type="dxa"/>
            <w:vAlign w:val="center"/>
          </w:tcPr>
          <w:p>
            <w:pPr>
              <w:jc w:val="center"/>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序号</w:t>
            </w:r>
          </w:p>
        </w:tc>
        <w:tc>
          <w:tcPr>
            <w:tcW w:w="9623" w:type="dxa"/>
            <w:vAlign w:val="center"/>
          </w:tcPr>
          <w:p>
            <w:pPr>
              <w:jc w:val="center"/>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747" w:type="dxa"/>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623" w:type="dxa"/>
            <w:vAlign w:val="center"/>
          </w:tcPr>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我方须承诺中标后为招标人（</w:t>
            </w:r>
            <w:r>
              <w:rPr>
                <w:rFonts w:hint="eastAsia" w:ascii="宋体" w:hAnsi="宋体" w:eastAsia="宋体" w:cs="宋体"/>
                <w:color w:val="000000" w:themeColor="text1"/>
                <w:szCs w:val="21"/>
                <w:highlight w:val="none"/>
                <w:lang w:val="zh-CN"/>
                <w14:textFill>
                  <w14:solidFill>
                    <w14:schemeClr w14:val="tx1"/>
                  </w14:solidFill>
                </w14:textFill>
              </w:rPr>
              <w:t>东莞市水务集团有限公司</w:t>
            </w:r>
            <w:r>
              <w:rPr>
                <w:rFonts w:hint="eastAsia" w:ascii="宋体" w:hAnsi="宋体" w:eastAsia="宋体" w:cs="宋体"/>
                <w:color w:val="000000" w:themeColor="text1"/>
                <w:szCs w:val="21"/>
                <w:highlight w:val="none"/>
                <w14:textFill>
                  <w14:solidFill>
                    <w14:schemeClr w14:val="tx1"/>
                  </w14:solidFill>
                </w14:textFill>
              </w:rPr>
              <w:t>）及招标人权属子公司（</w:t>
            </w:r>
            <w:r>
              <w:rPr>
                <w:rFonts w:hint="eastAsia" w:ascii="宋体" w:hAnsi="宋体" w:eastAsia="宋体" w:cs="宋体"/>
                <w:color w:val="000000" w:themeColor="text1"/>
                <w:szCs w:val="21"/>
                <w:highlight w:val="none"/>
                <w:lang w:val="zh-CN"/>
                <w14:textFill>
                  <w14:solidFill>
                    <w14:schemeClr w14:val="tx1"/>
                  </w14:solidFill>
                </w14:textFill>
              </w:rPr>
              <w:t>东莞市水务集团实业发展有限公司、</w:t>
            </w:r>
            <w:r>
              <w:rPr>
                <w:rFonts w:hint="eastAsia" w:ascii="宋体" w:hAnsi="宋体" w:eastAsia="宋体" w:cs="宋体"/>
                <w:color w:val="000000" w:themeColor="text1"/>
                <w:szCs w:val="21"/>
                <w:highlight w:val="none"/>
                <w14:textFill>
                  <w14:solidFill>
                    <w14:schemeClr w14:val="tx1"/>
                  </w14:solidFill>
                </w14:textFill>
              </w:rPr>
              <w:t>东莞市水务集团科技发展有限公司）、招标人权属子公司的分公司（东莞市水务集团供水有限公司长安分公司）为受益人）提供一份额度不少于人民币20000万元的保险（食品安全责任险），各受益人均享有同等受益权，保险承保期限不短于配送时间一年，如配送服务合同延期，保险承保期需同步延期。</w:t>
            </w:r>
            <w:r>
              <w:rPr>
                <w:rFonts w:hint="eastAsia" w:ascii="宋体" w:hAnsi="宋体" w:eastAsia="宋体" w:cs="宋体"/>
                <w:color w:val="000000" w:themeColor="text1"/>
                <w:kern w:val="0"/>
                <w:szCs w:val="21"/>
                <w:highlight w:val="none"/>
                <w14:textFill>
                  <w14:solidFill>
                    <w14:schemeClr w14:val="tx1"/>
                  </w14:solidFill>
                </w14:textFill>
              </w:rPr>
              <w:t>若因</w:t>
            </w:r>
            <w:r>
              <w:rPr>
                <w:rFonts w:hint="eastAsia" w:ascii="宋体" w:hAnsi="宋体" w:eastAsia="宋体" w:cs="宋体"/>
                <w:color w:val="000000" w:themeColor="text1"/>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原因造成</w:t>
            </w:r>
            <w:r>
              <w:rPr>
                <w:rFonts w:hint="eastAsia" w:ascii="宋体" w:hAnsi="宋体" w:eastAsia="宋体" w:cs="宋体"/>
                <w:color w:val="000000" w:themeColor="text1"/>
                <w:szCs w:val="21"/>
                <w:highlight w:val="none"/>
                <w14:textFill>
                  <w14:solidFill>
                    <w14:schemeClr w14:val="tx1"/>
                  </w14:solidFill>
                </w14:textFill>
              </w:rPr>
              <w:t>招标人或招标人权属子公司或招标人权属子公司的分公司</w:t>
            </w:r>
            <w:r>
              <w:rPr>
                <w:rFonts w:hint="eastAsia" w:ascii="宋体" w:hAnsi="宋体" w:eastAsia="宋体" w:cs="宋体"/>
                <w:color w:val="000000" w:themeColor="text1"/>
                <w:kern w:val="0"/>
                <w:szCs w:val="21"/>
                <w:highlight w:val="none"/>
                <w14:textFill>
                  <w14:solidFill>
                    <w14:schemeClr w14:val="tx1"/>
                  </w14:solidFill>
                </w14:textFill>
              </w:rPr>
              <w:t>人员食物中毒等事故而索赔并超出相应保险赔偿额度，超出部分由</w:t>
            </w:r>
            <w:r>
              <w:rPr>
                <w:rFonts w:hint="eastAsia" w:ascii="宋体" w:hAnsi="宋体" w:eastAsia="宋体" w:cs="宋体"/>
                <w:color w:val="000000" w:themeColor="text1"/>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负责承担。</w:t>
            </w:r>
          </w:p>
        </w:tc>
      </w:tr>
    </w:tbl>
    <w:p>
      <w:pPr>
        <w:rPr>
          <w:color w:val="000000" w:themeColor="text1"/>
          <w:highlight w:val="none"/>
          <w14:textFill>
            <w14:solidFill>
              <w14:schemeClr w14:val="tx1"/>
            </w14:solidFill>
          </w14:textFill>
        </w:rPr>
      </w:pPr>
    </w:p>
    <w:p>
      <w:pPr>
        <w:numPr>
          <w:ilvl w:val="255"/>
          <w:numId w:val="0"/>
        </w:numPr>
        <w:spacing w:line="360" w:lineRule="auto"/>
        <w:rPr>
          <w:rStyle w:val="44"/>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p>
      <w:pPr>
        <w:numPr>
          <w:ilvl w:val="0"/>
          <w:numId w:val="3"/>
        </w:numPr>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本表承诺事项若与投标文件其他地方表述不一致的，以本承诺表为准。</w:t>
      </w:r>
    </w:p>
    <w:p>
      <w:pPr>
        <w:rPr>
          <w:rFonts w:ascii="宋体" w:hAnsi="宋体" w:eastAsia="宋体" w:cs="宋体"/>
          <w:color w:val="000000" w:themeColor="text1"/>
          <w:highlight w:val="none"/>
          <w14:textFill>
            <w14:solidFill>
              <w14:schemeClr w14:val="tx1"/>
            </w14:solidFill>
          </w14:textFill>
        </w:rPr>
      </w:pPr>
    </w:p>
    <w:p>
      <w:pPr>
        <w:jc w:val="right"/>
        <w:rPr>
          <w:rFonts w:ascii="宋体" w:hAnsi="宋体" w:eastAsia="宋体" w:cs="宋体"/>
          <w:color w:val="000000" w:themeColor="text1"/>
          <w:highlight w:val="none"/>
          <w14:textFill>
            <w14:solidFill>
              <w14:schemeClr w14:val="tx1"/>
            </w14:solidFill>
          </w14:textFill>
        </w:rPr>
      </w:pPr>
    </w:p>
    <w:p>
      <w:pPr>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 标 人（加盖投标人法人公章）：</w:t>
      </w:r>
    </w:p>
    <w:p>
      <w:pPr>
        <w:jc w:val="right"/>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        年     月     日</w:t>
      </w: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pPr>
        <w:ind w:left="247"/>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16.3总体实施方案（投标人自行编写）</w:t>
      </w:r>
    </w:p>
    <w:p>
      <w:pPr>
        <w:ind w:left="247"/>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pPr>
        <w:pStyle w:val="18"/>
        <w:ind w:left="247"/>
        <w:jc w:val="left"/>
        <w:rPr>
          <w:rFonts w:hAnsi="宋体" w:cs="宋体"/>
          <w:bCs w:val="0"/>
          <w:color w:val="000000" w:themeColor="text1"/>
          <w:kern w:val="0"/>
          <w:sz w:val="30"/>
          <w:szCs w:val="30"/>
          <w:highlight w:val="none"/>
          <w:lang w:val="en-US"/>
          <w14:textFill>
            <w14:solidFill>
              <w14:schemeClr w14:val="tx1"/>
            </w14:solidFill>
          </w14:textFill>
        </w:rPr>
      </w:pPr>
      <w:r>
        <w:rPr>
          <w:rFonts w:hint="eastAsia" w:hAnsi="宋体" w:cs="宋体"/>
          <w:bCs w:val="0"/>
          <w:color w:val="000000" w:themeColor="text1"/>
          <w:kern w:val="0"/>
          <w:sz w:val="30"/>
          <w:szCs w:val="30"/>
          <w:highlight w:val="none"/>
          <w:lang w:val="en-US"/>
          <w14:textFill>
            <w14:solidFill>
              <w14:schemeClr w14:val="tx1"/>
            </w14:solidFill>
          </w14:textFill>
        </w:rPr>
        <w:t>16.4 食品安全管理</w:t>
      </w:r>
    </w:p>
    <w:p>
      <w:pPr>
        <w:spacing w:line="360" w:lineRule="auto"/>
        <w:ind w:left="-320" w:firstLine="210" w:firstLineChars="100"/>
        <w:rPr>
          <w:rFonts w:ascii="宋体" w:hAnsi="宋体" w:eastAsia="宋体" w:cs="宋体"/>
          <w:color w:val="000000" w:themeColor="text1"/>
          <w:szCs w:val="21"/>
          <w:highlight w:val="none"/>
          <w:lang w:val="zh-CN"/>
          <w14:textFill>
            <w14:solidFill>
              <w14:schemeClr w14:val="tx1"/>
            </w14:solidFill>
          </w14:textFill>
        </w:rPr>
      </w:pPr>
    </w:p>
    <w:p>
      <w:pPr>
        <w:spacing w:line="360" w:lineRule="auto"/>
        <w:ind w:left="-320" w:firstLine="210" w:firstLineChars="1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（1）食材检验制度、食材进货制度、食材安全管理制度、人员管理制度（投标人自行编写）；</w:t>
      </w:r>
    </w:p>
    <w:p>
      <w:pPr>
        <w:spacing w:line="360" w:lineRule="auto"/>
        <w:ind w:left="-320" w:firstLine="210" w:firstLineChars="1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（2）检测能力（投标人自行编写）；</w:t>
      </w:r>
    </w:p>
    <w:p>
      <w:pPr>
        <w:spacing w:line="360" w:lineRule="auto"/>
        <w:ind w:left="-320" w:firstLine="210" w:firstLineChars="100"/>
        <w:rPr>
          <w:rFonts w:hAnsi="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（3）食材合格检测报告；</w:t>
      </w:r>
    </w:p>
    <w:p>
      <w:pPr>
        <w:ind w:left="247"/>
        <w:rPr>
          <w:rFonts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bookmarkStart w:id="656" w:name="_Toc3750"/>
      <w:bookmarkStart w:id="657" w:name="_Toc18180"/>
      <w:bookmarkStart w:id="658" w:name="_Toc30545"/>
    </w:p>
    <w:p>
      <w:pPr>
        <w:pStyle w:val="18"/>
        <w:ind w:left="247"/>
        <w:jc w:val="left"/>
        <w:rPr>
          <w:rFonts w:hAnsi="宋体" w:cs="宋体"/>
          <w:bCs w:val="0"/>
          <w:color w:val="000000" w:themeColor="text1"/>
          <w:kern w:val="0"/>
          <w:sz w:val="30"/>
          <w:szCs w:val="30"/>
          <w:highlight w:val="none"/>
          <w:lang w:val="en-US"/>
          <w14:textFill>
            <w14:solidFill>
              <w14:schemeClr w14:val="tx1"/>
            </w14:solidFill>
          </w14:textFill>
        </w:rPr>
      </w:pPr>
      <w:r>
        <w:rPr>
          <w:rFonts w:hint="eastAsia" w:hAnsi="宋体" w:cs="宋体"/>
          <w:bCs w:val="0"/>
          <w:color w:val="000000" w:themeColor="text1"/>
          <w:kern w:val="0"/>
          <w:sz w:val="30"/>
          <w:szCs w:val="30"/>
          <w:highlight w:val="none"/>
          <w:lang w:val="en-US"/>
          <w14:textFill>
            <w14:solidFill>
              <w14:schemeClr w14:val="tx1"/>
            </w14:solidFill>
          </w14:textFill>
        </w:rPr>
        <w:t xml:space="preserve">16.5 </w:t>
      </w:r>
      <w:r>
        <w:rPr>
          <w:rFonts w:hint="eastAsia" w:hAnsi="宋体" w:cs="宋体"/>
          <w:color w:val="000000" w:themeColor="text1"/>
          <w:kern w:val="0"/>
          <w:sz w:val="30"/>
          <w:szCs w:val="30"/>
          <w:highlight w:val="none"/>
          <w14:textFill>
            <w14:solidFill>
              <w14:schemeClr w14:val="tx1"/>
            </w14:solidFill>
          </w14:textFill>
        </w:rPr>
        <w:t>应急处理方案（投标人自行编写）</w:t>
      </w:r>
    </w:p>
    <w:p>
      <w:pPr>
        <w:spacing w:line="360" w:lineRule="auto"/>
        <w:ind w:left="247"/>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pPr>
        <w:ind w:left="247"/>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16.6 </w:t>
      </w:r>
      <w:bookmarkEnd w:id="650"/>
      <w:bookmarkEnd w:id="651"/>
      <w:bookmarkEnd w:id="652"/>
      <w:bookmarkEnd w:id="653"/>
      <w:bookmarkEnd w:id="654"/>
      <w:bookmarkEnd w:id="656"/>
      <w:bookmarkEnd w:id="657"/>
      <w:bookmarkEnd w:id="658"/>
      <w:r>
        <w:rPr>
          <w:rFonts w:hint="eastAsia" w:ascii="宋体" w:hAnsi="宋体" w:eastAsia="宋体" w:cs="宋体"/>
          <w:b/>
          <w:color w:val="000000" w:themeColor="text1"/>
          <w:kern w:val="0"/>
          <w:sz w:val="30"/>
          <w:szCs w:val="30"/>
          <w:highlight w:val="none"/>
          <w14:textFill>
            <w14:solidFill>
              <w14:schemeClr w14:val="tx1"/>
            </w14:solidFill>
          </w14:textFill>
        </w:rPr>
        <w:t>投标人认为有必要提供的其它材料（不做强制要求）</w:t>
      </w:r>
      <w:r>
        <w:rPr>
          <w:rFonts w:ascii="宋体" w:hAnsi="宋体" w:eastAsia="宋体" w:cs="Times New Roman"/>
          <w:color w:val="000000" w:themeColor="text1"/>
          <w:kern w:val="0"/>
          <w:sz w:val="24"/>
          <w:szCs w:val="24"/>
          <w:highlight w:val="none"/>
          <w14:textFill>
            <w14:solidFill>
              <w14:schemeClr w14:val="tx1"/>
            </w14:solidFill>
          </w14:textFill>
        </w:rPr>
        <w:br w:type="page"/>
      </w:r>
    </w:p>
    <w:p>
      <w:pPr>
        <w:autoSpaceDE w:val="0"/>
        <w:autoSpaceDN w:val="0"/>
        <w:adjustRightInd w:val="0"/>
        <w:ind w:left="247"/>
        <w:jc w:val="left"/>
        <w:rPr>
          <w:rFonts w:ascii="宋体" w:hAnsi="宋体" w:eastAsia="宋体" w:cs="Times New Roman"/>
          <w:color w:val="000000" w:themeColor="text1"/>
          <w:kern w:val="0"/>
          <w:sz w:val="24"/>
          <w:szCs w:val="24"/>
          <w:highlight w:val="none"/>
          <w14:textFill>
            <w14:solidFill>
              <w14:schemeClr w14:val="tx1"/>
            </w14:solidFill>
          </w14:textFill>
        </w:rPr>
      </w:pPr>
    </w:p>
    <w:p>
      <w:pPr>
        <w:tabs>
          <w:tab w:val="left" w:pos="1080"/>
        </w:tabs>
        <w:autoSpaceDE w:val="0"/>
        <w:autoSpaceDN w:val="0"/>
        <w:adjustRightInd w:val="0"/>
        <w:spacing w:line="360" w:lineRule="auto"/>
        <w:ind w:left="247"/>
        <w:jc w:val="left"/>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659" w:name="_Toc142508390"/>
      <w:bookmarkStart w:id="660" w:name="_Toc161843208"/>
      <w:bookmarkStart w:id="661" w:name="_Toc14977"/>
      <w:bookmarkStart w:id="662" w:name="_Toc21059"/>
      <w:bookmarkStart w:id="663" w:name="_Toc521918141"/>
      <w:bookmarkStart w:id="664" w:name="_Toc22601_WPSOffice_Level1"/>
      <w:bookmarkStart w:id="665" w:name="_Toc522047402"/>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附件一：评标工作大纲</w:t>
      </w:r>
      <w:bookmarkEnd w:id="659"/>
      <w:bookmarkEnd w:id="660"/>
      <w:bookmarkEnd w:id="661"/>
      <w:bookmarkEnd w:id="662"/>
    </w:p>
    <w:p>
      <w:pPr>
        <w:autoSpaceDE w:val="0"/>
        <w:autoSpaceDN w:val="0"/>
        <w:adjustRightInd w:val="0"/>
        <w:spacing w:line="400" w:lineRule="atLeast"/>
        <w:ind w:left="247"/>
        <w:jc w:val="center"/>
        <w:rPr>
          <w:rFonts w:ascii="宋体" w:hAnsi="宋体" w:eastAsia="宋体" w:cs="宋体"/>
          <w:b/>
          <w:bCs/>
          <w:color w:val="000000" w:themeColor="text1"/>
          <w:szCs w:val="21"/>
          <w:highlight w:val="none"/>
          <w14:textFill>
            <w14:solidFill>
              <w14:schemeClr w14:val="tx1"/>
            </w14:solidFill>
          </w14:textFill>
        </w:rPr>
      </w:pPr>
    </w:p>
    <w:p>
      <w:pPr>
        <w:autoSpaceDE w:val="0"/>
        <w:autoSpaceDN w:val="0"/>
        <w:adjustRightInd w:val="0"/>
        <w:spacing w:line="400" w:lineRule="atLeast"/>
        <w:ind w:left="247"/>
        <w:jc w:val="center"/>
        <w:rPr>
          <w:rFonts w:ascii="宋体" w:hAnsi="宋体" w:eastAsia="宋体" w:cs="宋体"/>
          <w:b/>
          <w:bCs/>
          <w:color w:val="000000" w:themeColor="text1"/>
          <w:szCs w:val="21"/>
          <w:highlight w:val="none"/>
          <w14:textFill>
            <w14:solidFill>
              <w14:schemeClr w14:val="tx1"/>
            </w14:solidFill>
          </w14:textFill>
        </w:rPr>
      </w:pPr>
    </w:p>
    <w:p>
      <w:pPr>
        <w:autoSpaceDE w:val="0"/>
        <w:autoSpaceDN w:val="0"/>
        <w:adjustRightInd w:val="0"/>
        <w:spacing w:line="400" w:lineRule="atLeast"/>
        <w:ind w:left="247"/>
        <w:jc w:val="center"/>
        <w:rPr>
          <w:rFonts w:ascii="宋体" w:hAnsi="宋体" w:eastAsia="宋体" w:cs="宋体"/>
          <w:b/>
          <w:bCs/>
          <w:color w:val="000000" w:themeColor="text1"/>
          <w:szCs w:val="21"/>
          <w:highlight w:val="none"/>
          <w14:textFill>
            <w14:solidFill>
              <w14:schemeClr w14:val="tx1"/>
            </w14:solidFill>
          </w14:textFill>
        </w:rPr>
      </w:pPr>
    </w:p>
    <w:p>
      <w:pPr>
        <w:autoSpaceDE w:val="0"/>
        <w:autoSpaceDN w:val="0"/>
        <w:adjustRightInd w:val="0"/>
        <w:spacing w:line="400" w:lineRule="atLeast"/>
        <w:ind w:left="247"/>
        <w:jc w:val="center"/>
        <w:rPr>
          <w:rFonts w:ascii="宋体" w:hAnsi="宋体" w:eastAsia="宋体" w:cs="宋体"/>
          <w:b/>
          <w:bCs/>
          <w:color w:val="000000" w:themeColor="text1"/>
          <w:szCs w:val="21"/>
          <w:highlight w:val="none"/>
          <w14:textFill>
            <w14:solidFill>
              <w14:schemeClr w14:val="tx1"/>
            </w14:solidFill>
          </w14:textFill>
        </w:rPr>
      </w:pPr>
    </w:p>
    <w:p>
      <w:pPr>
        <w:autoSpaceDE w:val="0"/>
        <w:autoSpaceDN w:val="0"/>
        <w:adjustRightInd w:val="0"/>
        <w:spacing w:line="360" w:lineRule="auto"/>
        <w:ind w:left="247"/>
        <w:jc w:val="center"/>
        <w:rPr>
          <w:rFonts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40"/>
          <w:szCs w:val="36"/>
          <w:highlight w:val="none"/>
          <w14:textFill>
            <w14:solidFill>
              <w14:schemeClr w14:val="tx1"/>
            </w14:solidFill>
          </w14:textFill>
        </w:rPr>
        <w:t>东莞市水务集团有限公司2024年度食堂食材采购项目</w:t>
      </w:r>
    </w:p>
    <w:p>
      <w:pPr>
        <w:autoSpaceDE w:val="0"/>
        <w:autoSpaceDN w:val="0"/>
        <w:adjustRightInd w:val="0"/>
        <w:spacing w:line="360" w:lineRule="auto"/>
        <w:ind w:left="247"/>
        <w:jc w:val="center"/>
        <w:rPr>
          <w:rFonts w:ascii="宋体" w:hAnsi="宋体" w:eastAsia="宋体" w:cs="宋体"/>
          <w:b/>
          <w:bCs/>
          <w:color w:val="000000" w:themeColor="text1"/>
          <w:sz w:val="36"/>
          <w:szCs w:val="36"/>
          <w:highlight w:val="none"/>
          <w14:textFill>
            <w14:solidFill>
              <w14:schemeClr w14:val="tx1"/>
            </w14:solidFill>
          </w14:textFill>
        </w:rPr>
      </w:pPr>
      <w:bookmarkStart w:id="666" w:name="_Toc14752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（招标编号：广建咨询（东招）2024-0038号）</w:t>
      </w:r>
      <w:bookmarkEnd w:id="666"/>
    </w:p>
    <w:p>
      <w:pPr>
        <w:autoSpaceDE w:val="0"/>
        <w:autoSpaceDN w:val="0"/>
        <w:adjustRightInd w:val="0"/>
        <w:spacing w:line="400" w:lineRule="atLeast"/>
        <w:ind w:left="247"/>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ind w:left="247"/>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ind w:left="247"/>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ind w:left="247"/>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ind w:left="247"/>
        <w:jc w:val="center"/>
        <w:rPr>
          <w:rFonts w:ascii="宋体" w:hAnsi="宋体" w:eastAsia="宋体" w:cs="宋体"/>
          <w:b/>
          <w:bCs/>
          <w:color w:val="000000" w:themeColor="text1"/>
          <w:sz w:val="72"/>
          <w:szCs w:val="72"/>
          <w:highlight w:val="none"/>
          <w:lang w:val="zh-CN"/>
          <w14:textFill>
            <w14:solidFill>
              <w14:schemeClr w14:val="tx1"/>
            </w14:solidFill>
          </w14:textFill>
        </w:rPr>
      </w:pPr>
      <w:bookmarkStart w:id="667" w:name="_Toc18947_WPSOffice_Level2"/>
      <w:r>
        <w:rPr>
          <w:rFonts w:hint="eastAsia" w:ascii="宋体" w:hAnsi="宋体" w:eastAsia="宋体" w:cs="宋体"/>
          <w:b/>
          <w:bCs/>
          <w:color w:val="000000" w:themeColor="text1"/>
          <w:sz w:val="72"/>
          <w:szCs w:val="72"/>
          <w:highlight w:val="none"/>
          <w:lang w:val="zh-CN"/>
          <w14:textFill>
            <w14:solidFill>
              <w14:schemeClr w14:val="tx1"/>
            </w14:solidFill>
          </w14:textFill>
        </w:rPr>
        <w:t>评标工作大纲</w:t>
      </w:r>
      <w:bookmarkEnd w:id="667"/>
    </w:p>
    <w:p>
      <w:pPr>
        <w:autoSpaceDE w:val="0"/>
        <w:autoSpaceDN w:val="0"/>
        <w:adjustRightInd w:val="0"/>
        <w:spacing w:line="400" w:lineRule="atLeast"/>
        <w:ind w:left="247"/>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ind w:left="247"/>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ind w:left="247"/>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ind w:left="247"/>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ind w:left="247"/>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ind w:left="247"/>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建成工程咨询股份有限公司</w:t>
      </w:r>
    </w:p>
    <w:p>
      <w:pPr>
        <w:autoSpaceDE w:val="0"/>
        <w:autoSpaceDN w:val="0"/>
        <w:adjustRightInd w:val="0"/>
        <w:spacing w:line="400" w:lineRule="atLeast"/>
        <w:ind w:left="247"/>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ind w:left="247"/>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Start w:id="668" w:name="_Toc32395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目录</w:t>
      </w:r>
      <w:bookmarkEnd w:id="668"/>
    </w:p>
    <w:p>
      <w:pPr>
        <w:autoSpaceDE w:val="0"/>
        <w:autoSpaceDN w:val="0"/>
        <w:adjustRightInd w:val="0"/>
        <w:spacing w:line="400" w:lineRule="atLeast"/>
        <w:ind w:left="247"/>
        <w:jc w:val="center"/>
        <w:rPr>
          <w:rFonts w:ascii="宋体" w:hAnsi="宋体" w:eastAsia="宋体" w:cs="宋体"/>
          <w:color w:val="000000" w:themeColor="text1"/>
          <w:sz w:val="44"/>
          <w:szCs w:val="44"/>
          <w:highlight w:val="none"/>
          <w14:textFill>
            <w14:solidFill>
              <w14:schemeClr w14:val="tx1"/>
            </w14:solidFill>
          </w14:textFill>
        </w:rPr>
      </w:pPr>
    </w:p>
    <w:p>
      <w:pPr>
        <w:autoSpaceDE w:val="0"/>
        <w:autoSpaceDN w:val="0"/>
        <w:adjustRightInd w:val="0"/>
        <w:spacing w:line="360" w:lineRule="auto"/>
        <w:ind w:left="247" w:hanging="567"/>
        <w:rPr>
          <w:rFonts w:ascii="宋体" w:hAnsi="宋体" w:eastAsia="宋体" w:cs="宋体"/>
          <w:color w:val="000000" w:themeColor="text1"/>
          <w:szCs w:val="30"/>
          <w:highlight w:val="none"/>
          <w14:textFill>
            <w14:solidFill>
              <w14:schemeClr w14:val="tx1"/>
            </w14:solidFill>
          </w14:textFill>
        </w:rPr>
      </w:pPr>
      <w:bookmarkStart w:id="669" w:name="_Toc21604_WPSOffice_Level1"/>
      <w:r>
        <w:rPr>
          <w:rFonts w:hint="eastAsia" w:ascii="宋体" w:hAnsi="宋体" w:eastAsia="宋体" w:cs="宋体"/>
          <w:color w:val="000000" w:themeColor="text1"/>
          <w:szCs w:val="30"/>
          <w:highlight w:val="none"/>
          <w:lang w:val="zh-CN"/>
          <w14:textFill>
            <w14:solidFill>
              <w14:schemeClr w14:val="tx1"/>
            </w14:solidFill>
          </w14:textFill>
        </w:rPr>
        <w:t>一、</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总则</w:t>
      </w:r>
      <w:bookmarkEnd w:id="669"/>
    </w:p>
    <w:p>
      <w:pPr>
        <w:autoSpaceDE w:val="0"/>
        <w:autoSpaceDN w:val="0"/>
        <w:adjustRightInd w:val="0"/>
        <w:spacing w:line="360" w:lineRule="auto"/>
        <w:ind w:left="247" w:hanging="567"/>
        <w:rPr>
          <w:rFonts w:ascii="宋体" w:hAnsi="宋体" w:eastAsia="宋体" w:cs="宋体"/>
          <w:color w:val="000000" w:themeColor="text1"/>
          <w:szCs w:val="30"/>
          <w:highlight w:val="none"/>
          <w14:textFill>
            <w14:solidFill>
              <w14:schemeClr w14:val="tx1"/>
            </w14:solidFill>
          </w14:textFill>
        </w:rPr>
      </w:pPr>
      <w:bookmarkStart w:id="670" w:name="_Toc1387_WPSOffice_Level1"/>
      <w:r>
        <w:rPr>
          <w:rFonts w:hint="eastAsia" w:ascii="宋体" w:hAnsi="宋体" w:eastAsia="宋体" w:cs="宋体"/>
          <w:color w:val="000000" w:themeColor="text1"/>
          <w:szCs w:val="30"/>
          <w:highlight w:val="none"/>
          <w:lang w:val="zh-CN"/>
          <w14:textFill>
            <w14:solidFill>
              <w14:schemeClr w14:val="tx1"/>
            </w14:solidFill>
          </w14:textFill>
        </w:rPr>
        <w:t>二、</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投标文件的初审</w:t>
      </w:r>
      <w:bookmarkEnd w:id="670"/>
    </w:p>
    <w:p>
      <w:pPr>
        <w:autoSpaceDE w:val="0"/>
        <w:autoSpaceDN w:val="0"/>
        <w:adjustRightInd w:val="0"/>
        <w:spacing w:line="360" w:lineRule="auto"/>
        <w:ind w:left="247" w:hanging="567"/>
        <w:rPr>
          <w:rFonts w:ascii="宋体" w:hAnsi="宋体" w:eastAsia="宋体" w:cs="宋体"/>
          <w:color w:val="000000" w:themeColor="text1"/>
          <w:szCs w:val="30"/>
          <w:highlight w:val="none"/>
          <w14:textFill>
            <w14:solidFill>
              <w14:schemeClr w14:val="tx1"/>
            </w14:solidFill>
          </w14:textFill>
        </w:rPr>
      </w:pPr>
      <w:bookmarkStart w:id="671" w:name="_Toc30284_WPSOffice_Level1"/>
      <w:r>
        <w:rPr>
          <w:rFonts w:hint="eastAsia" w:ascii="宋体" w:hAnsi="宋体" w:eastAsia="宋体" w:cs="宋体"/>
          <w:color w:val="000000" w:themeColor="text1"/>
          <w:szCs w:val="30"/>
          <w:highlight w:val="none"/>
          <w:lang w:val="zh-CN"/>
          <w14:textFill>
            <w14:solidFill>
              <w14:schemeClr w14:val="tx1"/>
            </w14:solidFill>
          </w14:textFill>
        </w:rPr>
        <w:t>三、</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澄清有关问题</w:t>
      </w:r>
      <w:bookmarkEnd w:id="671"/>
    </w:p>
    <w:p>
      <w:pPr>
        <w:autoSpaceDE w:val="0"/>
        <w:autoSpaceDN w:val="0"/>
        <w:adjustRightInd w:val="0"/>
        <w:spacing w:line="360" w:lineRule="auto"/>
        <w:ind w:left="247" w:hanging="567"/>
        <w:rPr>
          <w:rFonts w:ascii="宋体" w:hAnsi="宋体" w:eastAsia="宋体" w:cs="宋体"/>
          <w:color w:val="000000" w:themeColor="text1"/>
          <w:szCs w:val="30"/>
          <w:highlight w:val="none"/>
          <w14:textFill>
            <w14:solidFill>
              <w14:schemeClr w14:val="tx1"/>
            </w14:solidFill>
          </w14:textFill>
        </w:rPr>
      </w:pPr>
      <w:bookmarkStart w:id="672" w:name="_Toc1206_WPSOffice_Level1"/>
      <w:r>
        <w:rPr>
          <w:rFonts w:hint="eastAsia" w:ascii="宋体" w:hAnsi="宋体" w:eastAsia="宋体" w:cs="宋体"/>
          <w:color w:val="000000" w:themeColor="text1"/>
          <w:szCs w:val="30"/>
          <w:highlight w:val="none"/>
          <w14:textFill>
            <w14:solidFill>
              <w14:schemeClr w14:val="tx1"/>
            </w14:solidFill>
          </w14:textFill>
        </w:rPr>
        <w:t>四、 比较和评价</w:t>
      </w:r>
      <w:bookmarkEnd w:id="672"/>
    </w:p>
    <w:p>
      <w:pPr>
        <w:autoSpaceDE w:val="0"/>
        <w:autoSpaceDN w:val="0"/>
        <w:adjustRightInd w:val="0"/>
        <w:spacing w:line="360" w:lineRule="auto"/>
        <w:ind w:left="247" w:hanging="567"/>
        <w:rPr>
          <w:rFonts w:ascii="宋体" w:hAnsi="宋体" w:eastAsia="宋体" w:cs="宋体"/>
          <w:color w:val="000000" w:themeColor="text1"/>
          <w:szCs w:val="30"/>
          <w:highlight w:val="none"/>
          <w14:textFill>
            <w14:solidFill>
              <w14:schemeClr w14:val="tx1"/>
            </w14:solidFill>
          </w14:textFill>
        </w:rPr>
      </w:pPr>
      <w:bookmarkStart w:id="673" w:name="_Toc12163_WPSOffice_Level1"/>
      <w:r>
        <w:rPr>
          <w:rFonts w:hint="eastAsia" w:ascii="宋体" w:hAnsi="宋体" w:eastAsia="宋体" w:cs="宋体"/>
          <w:color w:val="000000" w:themeColor="text1"/>
          <w:szCs w:val="30"/>
          <w:highlight w:val="none"/>
          <w:lang w:val="zh-CN"/>
          <w14:textFill>
            <w14:solidFill>
              <w14:schemeClr w14:val="tx1"/>
            </w14:solidFill>
          </w14:textFill>
        </w:rPr>
        <w:t>五、</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推荐中标候选人名单</w:t>
      </w:r>
      <w:bookmarkEnd w:id="673"/>
    </w:p>
    <w:p>
      <w:pPr>
        <w:autoSpaceDE w:val="0"/>
        <w:autoSpaceDN w:val="0"/>
        <w:adjustRightInd w:val="0"/>
        <w:spacing w:line="360" w:lineRule="auto"/>
        <w:ind w:left="247" w:hanging="567"/>
        <w:rPr>
          <w:rFonts w:ascii="宋体" w:hAnsi="宋体" w:eastAsia="宋体" w:cs="宋体"/>
          <w:color w:val="000000" w:themeColor="text1"/>
          <w:szCs w:val="30"/>
          <w:highlight w:val="none"/>
          <w14:textFill>
            <w14:solidFill>
              <w14:schemeClr w14:val="tx1"/>
            </w14:solidFill>
          </w14:textFill>
        </w:rPr>
      </w:pPr>
      <w:bookmarkStart w:id="674" w:name="_Toc366_WPSOffice_Level1"/>
      <w:r>
        <w:rPr>
          <w:rFonts w:hint="eastAsia" w:ascii="宋体" w:hAnsi="宋体" w:eastAsia="宋体" w:cs="宋体"/>
          <w:color w:val="000000" w:themeColor="text1"/>
          <w:szCs w:val="30"/>
          <w:highlight w:val="none"/>
          <w:lang w:val="zh-CN"/>
          <w14:textFill>
            <w14:solidFill>
              <w14:schemeClr w14:val="tx1"/>
            </w14:solidFill>
          </w14:textFill>
        </w:rPr>
        <w:t>六、</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编写评标报告</w:t>
      </w:r>
      <w:bookmarkEnd w:id="674"/>
    </w:p>
    <w:p>
      <w:pPr>
        <w:autoSpaceDE w:val="0"/>
        <w:autoSpaceDN w:val="0"/>
        <w:adjustRightInd w:val="0"/>
        <w:spacing w:line="360" w:lineRule="auto"/>
        <w:ind w:left="247" w:hanging="567"/>
        <w:rPr>
          <w:rFonts w:ascii="宋体" w:hAnsi="宋体" w:eastAsia="宋体" w:cs="宋体"/>
          <w:color w:val="000000" w:themeColor="text1"/>
          <w:szCs w:val="30"/>
          <w:highlight w:val="none"/>
          <w14:textFill>
            <w14:solidFill>
              <w14:schemeClr w14:val="tx1"/>
            </w14:solidFill>
          </w14:textFill>
        </w:rPr>
      </w:pPr>
      <w:bookmarkStart w:id="675" w:name="_Toc22378_WPSOffice_Level1"/>
      <w:r>
        <w:rPr>
          <w:rFonts w:hint="eastAsia" w:ascii="宋体" w:hAnsi="宋体" w:eastAsia="宋体" w:cs="宋体"/>
          <w:color w:val="000000" w:themeColor="text1"/>
          <w:szCs w:val="30"/>
          <w:highlight w:val="none"/>
          <w:lang w:val="zh-CN"/>
          <w14:textFill>
            <w14:solidFill>
              <w14:schemeClr w14:val="tx1"/>
            </w14:solidFill>
          </w14:textFill>
        </w:rPr>
        <w:t>七、</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注意事项</w:t>
      </w:r>
      <w:bookmarkEnd w:id="675"/>
    </w:p>
    <w:p>
      <w:pPr>
        <w:tabs>
          <w:tab w:val="right" w:pos="7320"/>
        </w:tabs>
        <w:autoSpaceDE w:val="0"/>
        <w:autoSpaceDN w:val="0"/>
        <w:adjustRightInd w:val="0"/>
        <w:spacing w:line="360" w:lineRule="auto"/>
        <w:ind w:left="400" w:hanging="720"/>
        <w:rPr>
          <w:rFonts w:ascii="宋体" w:hAnsi="宋体" w:eastAsia="宋体" w:cs="宋体"/>
          <w:color w:val="000000" w:themeColor="text1"/>
          <w:szCs w:val="30"/>
          <w:highlight w:val="none"/>
          <w14:textFill>
            <w14:solidFill>
              <w14:schemeClr w14:val="tx1"/>
            </w14:solidFill>
          </w14:textFill>
        </w:rPr>
      </w:pPr>
    </w:p>
    <w:p>
      <w:pPr>
        <w:tabs>
          <w:tab w:val="right" w:pos="7320"/>
        </w:tabs>
        <w:autoSpaceDE w:val="0"/>
        <w:autoSpaceDN w:val="0"/>
        <w:adjustRightInd w:val="0"/>
        <w:spacing w:line="360" w:lineRule="auto"/>
        <w:ind w:left="400" w:hanging="720"/>
        <w:rPr>
          <w:rFonts w:ascii="宋体" w:hAnsi="宋体" w:eastAsia="宋体" w:cs="宋体"/>
          <w:color w:val="000000" w:themeColor="text1"/>
          <w:szCs w:val="30"/>
          <w:highlight w:val="none"/>
          <w14:textFill>
            <w14:solidFill>
              <w14:schemeClr w14:val="tx1"/>
            </w14:solidFill>
          </w14:textFill>
        </w:rPr>
      </w:pPr>
    </w:p>
    <w:p>
      <w:pPr>
        <w:tabs>
          <w:tab w:val="left" w:pos="1080"/>
          <w:tab w:val="right" w:pos="7320"/>
        </w:tabs>
        <w:autoSpaceDE w:val="0"/>
        <w:autoSpaceDN w:val="0"/>
        <w:adjustRightInd w:val="0"/>
        <w:spacing w:line="400" w:lineRule="atLeast"/>
        <w:ind w:left="400" w:hanging="720"/>
        <w:rPr>
          <w:rFonts w:ascii="宋体" w:hAnsi="宋体" w:eastAsia="宋体" w:cs="宋体"/>
          <w:color w:val="000000" w:themeColor="text1"/>
          <w:szCs w:val="30"/>
          <w:highlight w:val="none"/>
          <w14:textFill>
            <w14:solidFill>
              <w14:schemeClr w14:val="tx1"/>
            </w14:solidFill>
          </w14:textFill>
        </w:rPr>
      </w:pPr>
    </w:p>
    <w:p>
      <w:pPr>
        <w:tabs>
          <w:tab w:val="left" w:pos="1140"/>
        </w:tabs>
        <w:autoSpaceDE w:val="0"/>
        <w:autoSpaceDN w:val="0"/>
        <w:adjustRightInd w:val="0"/>
        <w:spacing w:line="360" w:lineRule="auto"/>
        <w:ind w:left="247"/>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676" w:name="_Toc27181_WPSOffice_Level1"/>
      <w:r>
        <w:rPr>
          <w:rFonts w:hint="eastAsia" w:ascii="宋体" w:hAnsi="宋体" w:eastAsia="宋体" w:cs="宋体"/>
          <w:color w:val="000000" w:themeColor="text1"/>
          <w:sz w:val="28"/>
          <w:szCs w:val="28"/>
          <w:highlight w:val="none"/>
          <w:lang w:val="zh-CN"/>
          <w14:textFill>
            <w14:solidFill>
              <w14:schemeClr w14:val="tx1"/>
            </w14:solidFill>
          </w14:textFill>
        </w:rPr>
        <w:t>一、</w:t>
      </w:r>
      <w:r>
        <w:rPr>
          <w:rFonts w:hint="eastAsia" w:ascii="宋体" w:hAnsi="宋体" w:eastAsia="宋体" w:cs="宋体"/>
          <w:b/>
          <w:bCs/>
          <w:color w:val="000000" w:themeColor="text1"/>
          <w:sz w:val="28"/>
          <w:szCs w:val="28"/>
          <w:highlight w:val="none"/>
          <w:lang w:val="zh-CN"/>
          <w14:textFill>
            <w14:solidFill>
              <w14:schemeClr w14:val="tx1"/>
            </w14:solidFill>
          </w14:textFill>
        </w:rPr>
        <w:t>总则</w:t>
      </w:r>
      <w:bookmarkEnd w:id="676"/>
    </w:p>
    <w:p>
      <w:pPr>
        <w:autoSpaceDE w:val="0"/>
        <w:autoSpaceDN w:val="0"/>
        <w:adjustRightInd w:val="0"/>
        <w:spacing w:line="360" w:lineRule="auto"/>
        <w:ind w:left="247"/>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1、一般规定</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1.1</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东莞市水务集团有限公司2024年度食堂食材采购项目(招标编号：广建咨询（东招）2024-0038号)的招标按照《中华人民共和国招标投标法》等有关规定进行。</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1.2</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评标必须遵循公平、公正、诚实信用的原则。</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招标代理机构(建成工程咨询股份有限公司）组织评标工作，全过程接受招标人及相关部门的监督、管理和指导。</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评标按照招标文件规定的内容进行，采取综合评分法进行评审。</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ascii="宋体" w:hAnsi="宋体" w:eastAsia="宋体" w:cs="宋体"/>
          <w:color w:val="000000" w:themeColor="text1"/>
          <w:kern w:val="0"/>
          <w:szCs w:val="24"/>
          <w:highlight w:val="none"/>
          <w:lang w:val="zh-CN"/>
          <w14:textFill>
            <w14:solidFill>
              <w14:schemeClr w14:val="tx1"/>
            </w14:solidFill>
          </w14:textFill>
        </w:rPr>
        <w:t>1.5</w:t>
      </w:r>
      <w:r>
        <w:rPr>
          <w:rFonts w:hint="eastAsia" w:ascii="宋体" w:hAnsi="宋体" w:eastAsia="宋体" w:cs="宋体"/>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kern w:val="0"/>
          <w:szCs w:val="24"/>
          <w:highlight w:val="none"/>
          <w:lang w:val="zh-CN"/>
          <w14:textFill>
            <w14:solidFill>
              <w14:schemeClr w14:val="tx1"/>
            </w14:solidFill>
          </w14:textFill>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ind w:left="247"/>
        <w:rPr>
          <w:rFonts w:ascii="宋体" w:hAnsi="宋体" w:eastAsia="宋体" w:cs="宋体"/>
          <w:color w:val="000000" w:themeColor="text1"/>
          <w:sz w:val="24"/>
          <w:szCs w:val="24"/>
          <w:highlight w:val="none"/>
          <w:lang w:val="zh-CN"/>
          <w14:textFill>
            <w14:solidFill>
              <w14:schemeClr w14:val="tx1"/>
            </w14:solidFill>
          </w14:textFill>
        </w:rPr>
      </w:pPr>
    </w:p>
    <w:p>
      <w:pPr>
        <w:autoSpaceDE w:val="0"/>
        <w:autoSpaceDN w:val="0"/>
        <w:adjustRightInd w:val="0"/>
        <w:spacing w:line="360" w:lineRule="auto"/>
        <w:ind w:left="247"/>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2、</w:t>
      </w:r>
      <w:r>
        <w:rPr>
          <w:rFonts w:hint="eastAsia" w:ascii="宋体" w:hAnsi="宋体" w:eastAsia="宋体" w:cs="宋体"/>
          <w:b/>
          <w:bCs/>
          <w:color w:val="000000" w:themeColor="text1"/>
          <w:szCs w:val="24"/>
          <w:highlight w:val="none"/>
          <w:lang w:val="zh-CN"/>
          <w14:textFill>
            <w14:solidFill>
              <w14:schemeClr w14:val="tx1"/>
            </w14:solidFill>
          </w14:textFill>
        </w:rPr>
        <w:tab/>
      </w:r>
      <w:r>
        <w:rPr>
          <w:rFonts w:hint="eastAsia" w:ascii="宋体" w:hAnsi="宋体" w:eastAsia="宋体" w:cs="宋体"/>
          <w:b/>
          <w:bCs/>
          <w:color w:val="000000" w:themeColor="text1"/>
          <w:szCs w:val="24"/>
          <w:highlight w:val="none"/>
          <w:lang w:val="zh-CN"/>
          <w14:textFill>
            <w14:solidFill>
              <w14:schemeClr w14:val="tx1"/>
            </w14:solidFill>
          </w14:textFill>
        </w:rPr>
        <w:t>评标组织机构的组成</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2.1</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评标委员会由招标人和技术、经济等方面的专家组成，成员为7人以上（含7人）单数，其中技术、经济等方面的专家不少于成员总数的三分之二。专家依法从专家库中随机抽取产生。</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2.2</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评标工作组由招标人、招标代理机构及有关专家组成，由评标委员会确认，并接受其领导。</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评标工作组分成评标委员会、秘书组。</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p>
    <w:p>
      <w:pPr>
        <w:autoSpaceDE w:val="0"/>
        <w:autoSpaceDN w:val="0"/>
        <w:adjustRightInd w:val="0"/>
        <w:spacing w:line="360" w:lineRule="auto"/>
        <w:ind w:left="247"/>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评标</w:t>
      </w:r>
      <w:r>
        <w:rPr>
          <w:rFonts w:hint="eastAsia" w:ascii="宋体" w:hAnsi="宋体" w:eastAsia="宋体" w:cs="宋体"/>
          <w:b/>
          <w:bCs/>
          <w:color w:val="000000" w:themeColor="text1"/>
          <w:szCs w:val="24"/>
          <w:highlight w:val="none"/>
          <w:lang w:val="zh-CN"/>
          <w14:textFill>
            <w14:solidFill>
              <w14:schemeClr w14:val="tx1"/>
            </w14:solidFill>
          </w14:textFill>
        </w:rPr>
        <w:t>委员会职责</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3.1  审查投标文件是否符合招标文件要求，并作出评价；</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3.2  要求投标人对投标文件有关事项作出解释或者澄清；</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推荐中标候选人名单及排序；</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向招标人、招标代理机构或者有关部门报告非法干预评标工作的行为。</w:t>
      </w:r>
    </w:p>
    <w:p>
      <w:pPr>
        <w:autoSpaceDE w:val="0"/>
        <w:autoSpaceDN w:val="0"/>
        <w:adjustRightInd w:val="0"/>
        <w:spacing w:line="360" w:lineRule="auto"/>
        <w:ind w:left="247"/>
        <w:jc w:val="left"/>
        <w:rPr>
          <w:rFonts w:ascii="宋体" w:hAnsi="宋体" w:eastAsia="宋体" w:cs="宋体"/>
          <w:color w:val="000000" w:themeColor="text1"/>
          <w:kern w:val="0"/>
          <w:sz w:val="24"/>
          <w:szCs w:val="24"/>
          <w:highlight w:val="none"/>
          <w:lang w:val="zh-CN"/>
          <w14:textFill>
            <w14:solidFill>
              <w14:schemeClr w14:val="tx1"/>
            </w14:solidFill>
          </w14:textFill>
        </w:rPr>
      </w:pPr>
    </w:p>
    <w:p>
      <w:pPr>
        <w:tabs>
          <w:tab w:val="left" w:pos="720"/>
        </w:tabs>
        <w:autoSpaceDE w:val="0"/>
        <w:autoSpaceDN w:val="0"/>
        <w:adjustRightInd w:val="0"/>
        <w:spacing w:line="360" w:lineRule="auto"/>
        <w:ind w:left="24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4、评标委员会义务</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4.1  遵纪守法，客观、公正、廉洁地履行职责；</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4.2  按照招标文件规定的评标方法和评标标准进行评审，对评审意见承担个人责任；</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4.3  对评标过程和结果，以及投标人的商业秘密保密；</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4.4  参与评标报告的起草；</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4.5  配合有关部门的投诉处理工作；</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4.6  配合招标人、招标代理机构答复投标人提出的质疑、异议。</w:t>
      </w:r>
    </w:p>
    <w:p>
      <w:pPr>
        <w:tabs>
          <w:tab w:val="left" w:pos="720"/>
        </w:tabs>
        <w:autoSpaceDE w:val="0"/>
        <w:autoSpaceDN w:val="0"/>
        <w:adjustRightInd w:val="0"/>
        <w:spacing w:line="360" w:lineRule="auto"/>
        <w:ind w:left="247"/>
        <w:rPr>
          <w:rFonts w:ascii="宋体" w:hAnsi="宋体" w:eastAsia="宋体" w:cs="宋体"/>
          <w:color w:val="000000" w:themeColor="text1"/>
          <w:sz w:val="24"/>
          <w:szCs w:val="24"/>
          <w:highlight w:val="none"/>
          <w:lang w:val="zh-CN"/>
          <w14:textFill>
            <w14:solidFill>
              <w14:schemeClr w14:val="tx1"/>
            </w14:solidFill>
          </w14:textFill>
        </w:rPr>
      </w:pPr>
    </w:p>
    <w:p>
      <w:pPr>
        <w:tabs>
          <w:tab w:val="left" w:pos="1547"/>
        </w:tabs>
        <w:autoSpaceDE w:val="0"/>
        <w:autoSpaceDN w:val="0"/>
        <w:adjustRightInd w:val="0"/>
        <w:spacing w:line="360" w:lineRule="auto"/>
        <w:ind w:left="247"/>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5、评审程序</w:t>
      </w:r>
    </w:p>
    <w:p>
      <w:pPr>
        <w:tabs>
          <w:tab w:val="left" w:pos="720"/>
        </w:tabs>
        <w:autoSpaceDE w:val="0"/>
        <w:autoSpaceDN w:val="0"/>
        <w:adjustRightInd w:val="0"/>
        <w:spacing w:line="360" w:lineRule="auto"/>
        <w:ind w:left="247"/>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公开招标：</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5.1</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评审首先由评标委员会对投标人的投标文件做初审，对未能通过初审的投标文件不再进入下一阶段评审。</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5.2</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评标委员会对通过初审的投标人的投标文件进行详细的比较和评价。如需要，进行必要的澄清工作。</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5.4  将各评委对投标人的技术打分的最终综合得分、商务打分的算术平均值得分相加得出投标人的总分。</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5.5  评标委员会将向招标人推荐评标最后综合得分最高的前二名投标人为中标候选人，并标明排列顺序。</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5.6</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评标委员会根据评审结果编写评标报告。</w:t>
      </w:r>
    </w:p>
    <w:p>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p>
    <w:p>
      <w:pPr>
        <w:tabs>
          <w:tab w:val="left" w:pos="1140"/>
        </w:tabs>
        <w:autoSpaceDE w:val="0"/>
        <w:autoSpaceDN w:val="0"/>
        <w:adjustRightInd w:val="0"/>
        <w:spacing w:line="360" w:lineRule="auto"/>
        <w:ind w:left="247"/>
        <w:jc w:val="center"/>
        <w:rPr>
          <w:rFonts w:ascii="宋体" w:hAnsi="宋体" w:eastAsia="宋体" w:cs="宋体"/>
          <w:b/>
          <w:bCs/>
          <w:color w:val="000000" w:themeColor="text1"/>
          <w:sz w:val="28"/>
          <w:szCs w:val="28"/>
          <w:highlight w:val="none"/>
          <w14:textFill>
            <w14:solidFill>
              <w14:schemeClr w14:val="tx1"/>
            </w14:solidFill>
          </w14:textFill>
        </w:rPr>
      </w:pPr>
      <w:bookmarkStart w:id="677" w:name="_Toc19435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二、投标文件的初审</w:t>
      </w:r>
      <w:bookmarkEnd w:id="677"/>
    </w:p>
    <w:p>
      <w:pPr>
        <w:autoSpaceDE w:val="0"/>
        <w:autoSpaceDN w:val="0"/>
        <w:adjustRightInd w:val="0"/>
        <w:spacing w:line="360" w:lineRule="auto"/>
        <w:ind w:left="249"/>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6、投标文件的初审分为资格性检查和符合性检查。</w:t>
      </w:r>
    </w:p>
    <w:p>
      <w:pPr>
        <w:autoSpaceDE w:val="0"/>
        <w:autoSpaceDN w:val="0"/>
        <w:adjustRightInd w:val="0"/>
        <w:spacing w:line="360" w:lineRule="auto"/>
        <w:ind w:left="249"/>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249"/>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249" w:firstLine="630" w:firstLineChars="300"/>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left="249" w:firstLine="630" w:firstLineChars="300"/>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对是否符合实质性响应招标文件有争议的投标文件,评标委员会成员将以记名方式表决,根据少数服</w:t>
      </w:r>
      <w:r>
        <w:rPr>
          <w:rFonts w:hint="eastAsia" w:ascii="宋体" w:hAnsi="宋体" w:eastAsia="宋体" w:cs="宋体"/>
          <w:b/>
          <w:color w:val="000000" w:themeColor="text1"/>
          <w:szCs w:val="24"/>
          <w:highlight w:val="none"/>
          <w14:textFill>
            <w14:solidFill>
              <w14:schemeClr w14:val="tx1"/>
            </w14:solidFill>
          </w14:textFill>
        </w:rPr>
        <w:t>从</w:t>
      </w:r>
      <w:r>
        <w:rPr>
          <w:rFonts w:hint="eastAsia" w:ascii="宋体" w:hAnsi="宋体" w:eastAsia="宋体" w:cs="宋体"/>
          <w:b/>
          <w:color w:val="000000" w:themeColor="text1"/>
          <w:szCs w:val="24"/>
          <w:highlight w:val="none"/>
          <w:lang w:val="zh-CN"/>
          <w14:textFill>
            <w14:solidFill>
              <w14:schemeClr w14:val="tx1"/>
            </w14:solidFill>
          </w14:textFill>
        </w:rPr>
        <w:t>多数的原则，获多数表决通过的投标人才有资格进入下一阶段的评审,否则将被认定为无效投标文件。</w:t>
      </w:r>
    </w:p>
    <w:p>
      <w:pPr>
        <w:autoSpaceDE w:val="0"/>
        <w:autoSpaceDN w:val="0"/>
        <w:adjustRightInd w:val="0"/>
        <w:spacing w:line="360" w:lineRule="auto"/>
        <w:ind w:left="249"/>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7、投标文件出现下列情况之一的，被认定为无效投标：</w:t>
      </w:r>
    </w:p>
    <w:p>
      <w:pPr>
        <w:autoSpaceDE w:val="0"/>
        <w:autoSpaceDN w:val="0"/>
        <w:adjustRightInd w:val="0"/>
        <w:spacing w:line="360" w:lineRule="auto"/>
        <w:ind w:left="249"/>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7.1  投标人未按招标文件要求交纳投标保证金的；</w:t>
      </w:r>
    </w:p>
    <w:p>
      <w:pPr>
        <w:autoSpaceDE w:val="0"/>
        <w:autoSpaceDN w:val="0"/>
        <w:adjustRightInd w:val="0"/>
        <w:spacing w:line="360" w:lineRule="auto"/>
        <w:ind w:left="249"/>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7.2  投标人递交两份或多份内容不同的投标文件，且未书面声明哪一个有效；</w:t>
      </w:r>
    </w:p>
    <w:p>
      <w:pPr>
        <w:autoSpaceDE w:val="0"/>
        <w:autoSpaceDN w:val="0"/>
        <w:adjustRightInd w:val="0"/>
        <w:spacing w:line="360" w:lineRule="auto"/>
        <w:ind w:left="249"/>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宋体"/>
          <w:b/>
          <w:color w:val="000000" w:themeColor="text1"/>
          <w:szCs w:val="21"/>
          <w:highlight w:val="none"/>
          <w:lang w:val="zh-CN"/>
          <w14:textFill>
            <w14:solidFill>
              <w14:schemeClr w14:val="tx1"/>
            </w14:solidFill>
          </w14:textFill>
        </w:rPr>
        <w:t xml:space="preserve">  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pPr>
        <w:autoSpaceDE w:val="0"/>
        <w:autoSpaceDN w:val="0"/>
        <w:adjustRightInd w:val="0"/>
        <w:spacing w:line="360" w:lineRule="auto"/>
        <w:ind w:left="249"/>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hint="eastAsia" w:ascii="宋体" w:hAnsi="宋体" w:eastAsia="宋体" w:cs="宋体"/>
          <w:b/>
          <w:color w:val="000000" w:themeColor="text1"/>
          <w:szCs w:val="21"/>
          <w:highlight w:val="none"/>
          <w14:textFill>
            <w14:solidFill>
              <w14:schemeClr w14:val="tx1"/>
            </w14:solidFill>
          </w14:textFill>
        </w:rPr>
        <w:t>4</w:t>
      </w:r>
      <w:r>
        <w:rPr>
          <w:rFonts w:hint="eastAsia" w:ascii="宋体" w:hAnsi="宋体" w:eastAsia="宋体" w:cs="宋体"/>
          <w:b/>
          <w:color w:val="000000" w:themeColor="text1"/>
          <w:szCs w:val="21"/>
          <w:highlight w:val="none"/>
          <w:lang w:val="zh-CN"/>
          <w14:textFill>
            <w14:solidFill>
              <w14:schemeClr w14:val="tx1"/>
            </w14:solidFill>
          </w14:textFill>
        </w:rPr>
        <w:t xml:space="preserve">  投标文件未按照招标文件规定要求密封；投标文件无法定代表人或其授权代表签字（或盖私章），或签字人无法定代表人有效授权的；签字盖章不符合招标文件要求的； </w:t>
      </w:r>
    </w:p>
    <w:p>
      <w:pPr>
        <w:autoSpaceDE w:val="0"/>
        <w:autoSpaceDN w:val="0"/>
        <w:adjustRightInd w:val="0"/>
        <w:spacing w:line="360" w:lineRule="auto"/>
        <w:ind w:left="249"/>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hint="eastAsia" w:ascii="宋体" w:hAnsi="宋体" w:eastAsia="宋体" w:cs="宋体"/>
          <w:b/>
          <w:color w:val="000000" w:themeColor="text1"/>
          <w:szCs w:val="21"/>
          <w:highlight w:val="none"/>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投标有效期限不符合要求；</w:t>
      </w:r>
    </w:p>
    <w:p>
      <w:pPr>
        <w:autoSpaceDE w:val="0"/>
        <w:autoSpaceDN w:val="0"/>
        <w:adjustRightInd w:val="0"/>
        <w:spacing w:line="360" w:lineRule="auto"/>
        <w:ind w:left="249"/>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hint="eastAsia" w:ascii="宋体" w:hAnsi="宋体" w:eastAsia="宋体" w:cs="宋体"/>
          <w:b/>
          <w:color w:val="000000" w:themeColor="text1"/>
          <w:szCs w:val="21"/>
          <w:highlight w:val="none"/>
          <w14:textFill>
            <w14:solidFill>
              <w14:schemeClr w14:val="tx1"/>
            </w14:solidFill>
          </w14:textFill>
        </w:rPr>
        <w:t>6</w:t>
      </w:r>
      <w:r>
        <w:rPr>
          <w:rFonts w:hint="eastAsia" w:ascii="宋体" w:hAnsi="宋体" w:eastAsia="宋体" w:cs="宋体"/>
          <w:b/>
          <w:color w:val="000000" w:themeColor="text1"/>
          <w:szCs w:val="21"/>
          <w:highlight w:val="none"/>
          <w:lang w:val="zh-CN"/>
          <w14:textFill>
            <w14:solidFill>
              <w14:schemeClr w14:val="tx1"/>
            </w14:solidFill>
          </w14:textFill>
        </w:rPr>
        <w:t xml:space="preserve">  投标文件未对招标范围内的全部内容进行投标</w:t>
      </w:r>
      <w:r>
        <w:rPr>
          <w:rFonts w:hint="eastAsia" w:ascii="宋体" w:hAnsi="宋体" w:eastAsia="宋体" w:cs="宋体"/>
          <w:b/>
          <w:color w:val="000000" w:themeColor="text1"/>
          <w:szCs w:val="21"/>
          <w:highlight w:val="none"/>
          <w14:textFill>
            <w14:solidFill>
              <w14:schemeClr w14:val="tx1"/>
            </w14:solidFill>
          </w14:textFill>
        </w:rPr>
        <w:t>响应</w:t>
      </w:r>
      <w:r>
        <w:rPr>
          <w:rFonts w:hint="eastAsia" w:ascii="宋体" w:hAnsi="宋体" w:eastAsia="宋体" w:cs="宋体"/>
          <w:b/>
          <w:color w:val="000000" w:themeColor="text1"/>
          <w:szCs w:val="21"/>
          <w:highlight w:val="none"/>
          <w:lang w:val="zh-CN"/>
          <w14:textFill>
            <w14:solidFill>
              <w14:schemeClr w14:val="tx1"/>
            </w14:solidFill>
          </w14:textFill>
        </w:rPr>
        <w:t>或投标方案不是唯一；</w:t>
      </w:r>
    </w:p>
    <w:p>
      <w:pPr>
        <w:autoSpaceDE w:val="0"/>
        <w:autoSpaceDN w:val="0"/>
        <w:adjustRightInd w:val="0"/>
        <w:spacing w:line="360" w:lineRule="auto"/>
        <w:ind w:left="249"/>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hint="eastAsia" w:ascii="宋体" w:hAnsi="宋体" w:eastAsia="宋体" w:cs="宋体"/>
          <w:b/>
          <w:color w:val="000000" w:themeColor="text1"/>
          <w:szCs w:val="21"/>
          <w:highlight w:val="none"/>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 xml:space="preserve">  未提供或虚假填写《合同条款偏离表》，或对《合同条款偏离表》有负偏离的；</w:t>
      </w:r>
    </w:p>
    <w:p>
      <w:pPr>
        <w:autoSpaceDE w:val="0"/>
        <w:autoSpaceDN w:val="0"/>
        <w:adjustRightInd w:val="0"/>
        <w:spacing w:line="360" w:lineRule="auto"/>
        <w:ind w:left="249"/>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hint="eastAsia" w:ascii="宋体" w:hAnsi="宋体" w:eastAsia="宋体" w:cs="宋体"/>
          <w:b/>
          <w:color w:val="000000" w:themeColor="text1"/>
          <w:szCs w:val="21"/>
          <w:highlight w:val="none"/>
          <w14:textFill>
            <w14:solidFill>
              <w14:schemeClr w14:val="tx1"/>
            </w14:solidFill>
          </w14:textFill>
        </w:rPr>
        <w:t>8</w:t>
      </w:r>
      <w:r>
        <w:rPr>
          <w:rFonts w:hint="eastAsia" w:ascii="宋体" w:hAnsi="宋体" w:eastAsia="宋体" w:cs="宋体"/>
          <w:b/>
          <w:color w:val="000000" w:themeColor="text1"/>
          <w:szCs w:val="21"/>
          <w:highlight w:val="none"/>
          <w:lang w:val="zh-CN"/>
          <w14:textFill>
            <w14:solidFill>
              <w14:schemeClr w14:val="tx1"/>
            </w14:solidFill>
          </w14:textFill>
        </w:rPr>
        <w:t xml:space="preserve">  未填写或虚假填写《用户需求偏离表》的；</w:t>
      </w:r>
    </w:p>
    <w:p>
      <w:pPr>
        <w:autoSpaceDE w:val="0"/>
        <w:autoSpaceDN w:val="0"/>
        <w:adjustRightInd w:val="0"/>
        <w:spacing w:line="360" w:lineRule="auto"/>
        <w:ind w:left="249"/>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hint="eastAsia" w:ascii="宋体" w:hAnsi="宋体" w:eastAsia="宋体" w:cs="宋体"/>
          <w:b/>
          <w:color w:val="000000" w:themeColor="text1"/>
          <w:szCs w:val="21"/>
          <w:highlight w:val="none"/>
          <w14:textFill>
            <w14:solidFill>
              <w14:schemeClr w14:val="tx1"/>
            </w14:solidFill>
          </w14:textFill>
        </w:rPr>
        <w:t>9</w:t>
      </w:r>
      <w:r>
        <w:rPr>
          <w:rFonts w:hint="eastAsia" w:ascii="宋体" w:hAnsi="宋体" w:eastAsia="宋体" w:cs="宋体"/>
          <w:b/>
          <w:color w:val="000000" w:themeColor="text1"/>
          <w:szCs w:val="21"/>
          <w:highlight w:val="none"/>
          <w:lang w:val="zh-CN"/>
          <w14:textFill>
            <w14:solidFill>
              <w14:schemeClr w14:val="tx1"/>
            </w14:solidFill>
          </w14:textFill>
        </w:rPr>
        <w:t xml:space="preserve">  未响应招标文件提出的实质性要求和条件（标注★的条款）。</w:t>
      </w:r>
    </w:p>
    <w:p>
      <w:pPr>
        <w:autoSpaceDE w:val="0"/>
        <w:autoSpaceDN w:val="0"/>
        <w:adjustRightInd w:val="0"/>
        <w:spacing w:line="360" w:lineRule="auto"/>
        <w:ind w:left="315" w:hanging="315" w:hangingChars="150"/>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bCs/>
          <w:color w:val="000000" w:themeColor="text1"/>
          <w:kern w:val="0"/>
          <w:szCs w:val="24"/>
          <w:highlight w:val="none"/>
          <w:lang w:val="zh-CN"/>
          <w14:textFill>
            <w14:solidFill>
              <w14:schemeClr w14:val="tx1"/>
            </w14:solidFill>
          </w14:textFill>
        </w:rPr>
        <w:t>8、</w:t>
      </w:r>
      <w:r>
        <w:rPr>
          <w:rFonts w:hint="eastAsia" w:ascii="宋体" w:hAnsi="宋体" w:eastAsia="宋体" w:cs="宋体"/>
          <w:color w:val="000000" w:themeColor="text1"/>
          <w:kern w:val="0"/>
          <w:szCs w:val="24"/>
          <w:highlight w:val="none"/>
          <w:lang w:val="zh-CN"/>
          <w14:textFill>
            <w14:solidFill>
              <w14:schemeClr w14:val="tx1"/>
            </w14:solidFill>
          </w14:textFill>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247"/>
        <w:rPr>
          <w:rFonts w:ascii="宋体" w:hAnsi="宋体" w:eastAsia="宋体" w:cs="宋体"/>
          <w:b/>
          <w:color w:val="000000" w:themeColor="text1"/>
          <w:kern w:val="0"/>
          <w:szCs w:val="21"/>
          <w:highlight w:val="none"/>
          <w14:textFill>
            <w14:solidFill>
              <w14:schemeClr w14:val="tx1"/>
            </w14:solidFill>
          </w14:textFill>
        </w:rPr>
      </w:pPr>
    </w:p>
    <w:p>
      <w:pPr>
        <w:tabs>
          <w:tab w:val="left" w:pos="1140"/>
        </w:tabs>
        <w:autoSpaceDE w:val="0"/>
        <w:autoSpaceDN w:val="0"/>
        <w:adjustRightInd w:val="0"/>
        <w:spacing w:line="360" w:lineRule="auto"/>
        <w:ind w:left="-320" w:firstLine="3528" w:firstLineChars="1255"/>
        <w:jc w:val="left"/>
        <w:rPr>
          <w:rFonts w:ascii="宋体" w:hAnsi="宋体" w:eastAsia="宋体" w:cs="宋体"/>
          <w:b/>
          <w:bCs/>
          <w:color w:val="000000" w:themeColor="text1"/>
          <w:sz w:val="28"/>
          <w:szCs w:val="28"/>
          <w:highlight w:val="none"/>
          <w14:textFill>
            <w14:solidFill>
              <w14:schemeClr w14:val="tx1"/>
            </w14:solidFill>
          </w14:textFill>
        </w:rPr>
      </w:pPr>
      <w:bookmarkStart w:id="678" w:name="_Toc4109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三、澄清有关问题</w:t>
      </w:r>
      <w:bookmarkEnd w:id="678"/>
    </w:p>
    <w:p>
      <w:pPr>
        <w:autoSpaceDE w:val="0"/>
        <w:autoSpaceDN w:val="0"/>
        <w:adjustRightInd w:val="0"/>
        <w:spacing w:line="360" w:lineRule="auto"/>
        <w:ind w:left="315" w:hanging="315" w:hangingChars="1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在</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的商务、技术资格性检查及符合性检查过程中，</w:t>
      </w:r>
      <w:r>
        <w:rPr>
          <w:rFonts w:hint="eastAsia" w:ascii="宋体" w:hAnsi="宋体" w:eastAsia="宋体" w:cs="宋体"/>
          <w:color w:val="000000" w:themeColor="text1"/>
          <w:kern w:val="0"/>
          <w:szCs w:val="24"/>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可应评标委员会要求对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中有关问题进行书面澄清。该书面澄清作为其</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的一部分。</w:t>
      </w:r>
    </w:p>
    <w:p>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9.1  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9.3  经过澄清后仍不符合要求，则该项目在下一步评审进行评分调整；若重大（实质性）偏差仍存在，且不可接受，投标人则被认为是“不响应招标文件要求的投标人”，不再进入下一步评审。</w:t>
      </w:r>
    </w:p>
    <w:p>
      <w:pPr>
        <w:autoSpaceDE w:val="0"/>
        <w:autoSpaceDN w:val="0"/>
        <w:adjustRightInd w:val="0"/>
        <w:spacing w:line="360" w:lineRule="auto"/>
        <w:ind w:left="247"/>
        <w:jc w:val="center"/>
        <w:rPr>
          <w:rFonts w:ascii="宋体" w:hAnsi="宋体" w:eastAsia="宋体" w:cs="宋体"/>
          <w:b/>
          <w:bCs/>
          <w:color w:val="000000" w:themeColor="text1"/>
          <w:sz w:val="28"/>
          <w:szCs w:val="28"/>
          <w:highlight w:val="none"/>
          <w:lang w:val="zh-CN"/>
          <w14:textFill>
            <w14:solidFill>
              <w14:schemeClr w14:val="tx1"/>
            </w14:solidFill>
          </w14:textFill>
        </w:rPr>
      </w:pPr>
      <w:bookmarkStart w:id="679" w:name="_Toc8518_WPSOffice_Level1"/>
    </w:p>
    <w:p>
      <w:pPr>
        <w:autoSpaceDE w:val="0"/>
        <w:autoSpaceDN w:val="0"/>
        <w:adjustRightInd w:val="0"/>
        <w:spacing w:line="360" w:lineRule="auto"/>
        <w:ind w:left="247"/>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四、比较和评价</w:t>
      </w:r>
      <w:bookmarkEnd w:id="679"/>
    </w:p>
    <w:p>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10、</w:t>
      </w:r>
      <w:r>
        <w:rPr>
          <w:rFonts w:hint="eastAsia" w:ascii="宋体" w:hAnsi="宋体" w:eastAsia="宋体" w:cs="宋体"/>
          <w:color w:val="000000" w:themeColor="text1"/>
          <w:szCs w:val="24"/>
          <w:highlight w:val="none"/>
          <w:lang w:val="zh-CN"/>
          <w14:textFill>
            <w14:solidFill>
              <w14:schemeClr w14:val="tx1"/>
            </w14:solidFill>
          </w14:textFill>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等内容进行打分。</w:t>
      </w:r>
    </w:p>
    <w:p>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p>
    <w:p>
      <w:pPr>
        <w:tabs>
          <w:tab w:val="left" w:pos="1701"/>
        </w:tabs>
        <w:autoSpaceDE w:val="0"/>
        <w:autoSpaceDN w:val="0"/>
        <w:adjustRightInd w:val="0"/>
        <w:spacing w:line="360" w:lineRule="auto"/>
        <w:ind w:left="247"/>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11、评委打分办法</w:t>
      </w:r>
    </w:p>
    <w:p>
      <w:pPr>
        <w:autoSpaceDE w:val="0"/>
        <w:autoSpaceDN w:val="0"/>
        <w:adjustRightInd w:val="0"/>
        <w:spacing w:line="360" w:lineRule="auto"/>
        <w:ind w:left="24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.3 评分主要是为比较各投标人的商务、技术综合排序。</w:t>
      </w:r>
      <w:r>
        <w:rPr>
          <w:rFonts w:hint="eastAsia" w:ascii="宋体" w:hAnsi="宋体" w:eastAsia="宋体" w:cs="宋体"/>
          <w:color w:val="000000" w:themeColor="text1"/>
          <w:kern w:val="0"/>
          <w:szCs w:val="21"/>
          <w:highlight w:val="none"/>
          <w14:textFill>
            <w14:solidFill>
              <w14:schemeClr w14:val="tx1"/>
            </w14:solidFill>
          </w14:textFill>
        </w:rPr>
        <w:t>评标委员会专家组的每一位评委根据招标文件评分标准对投标文件分别评审，对有效投标人投标文件的商务、技术分别评分。</w:t>
      </w:r>
    </w:p>
    <w:p>
      <w:pPr>
        <w:autoSpaceDE w:val="0"/>
        <w:autoSpaceDN w:val="0"/>
        <w:adjustRightInd w:val="0"/>
        <w:spacing w:line="360" w:lineRule="auto"/>
        <w:ind w:left="565" w:leftChars="-1"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（2）然后评标委员会对技术标进行评审，按评标标准打分后，</w:t>
      </w:r>
      <w:r>
        <w:rPr>
          <w:rFonts w:hint="eastAsia" w:ascii="宋体" w:hAnsi="宋体" w:eastAsia="宋体" w:cs="宋体"/>
          <w:color w:val="000000" w:themeColor="text1"/>
          <w:szCs w:val="21"/>
          <w:highlight w:val="none"/>
          <w14:textFill>
            <w14:solidFill>
              <w14:schemeClr w14:val="tx1"/>
            </w14:solidFill>
          </w14:textFill>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pPr>
        <w:tabs>
          <w:tab w:val="left" w:pos="600"/>
        </w:tabs>
        <w:autoSpaceDE w:val="0"/>
        <w:autoSpaceDN w:val="0"/>
        <w:adjustRightInd w:val="0"/>
        <w:spacing w:line="360" w:lineRule="auto"/>
        <w:ind w:left="24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106" w:hanging="426"/>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ind w:left="24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zh-CN"/>
          <w14:textFill>
            <w14:solidFill>
              <w14:schemeClr w14:val="tx1"/>
            </w14:solidFill>
          </w14:textFill>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）评分统计表中各投标人技术得分应为最终综合得分，商务得分应为评委打分的算术平均值。</w:t>
      </w:r>
    </w:p>
    <w:p>
      <w:pPr>
        <w:autoSpaceDE w:val="0"/>
        <w:autoSpaceDN w:val="0"/>
        <w:adjustRightInd w:val="0"/>
        <w:spacing w:line="360" w:lineRule="auto"/>
        <w:ind w:left="247"/>
        <w:rPr>
          <w:rFonts w:ascii="宋体" w:hAnsi="宋体" w:eastAsia="宋体" w:cs="宋体"/>
          <w:color w:val="000000" w:themeColor="text1"/>
          <w:szCs w:val="24"/>
          <w:highlight w:val="none"/>
          <w:lang w:val="zh-CN"/>
          <w14:textFill>
            <w14:solidFill>
              <w14:schemeClr w14:val="tx1"/>
            </w14:solidFill>
          </w14:textFill>
        </w:rPr>
      </w:pPr>
    </w:p>
    <w:p>
      <w:pPr>
        <w:tabs>
          <w:tab w:val="left" w:pos="1701"/>
        </w:tabs>
        <w:autoSpaceDE w:val="0"/>
        <w:autoSpaceDN w:val="0"/>
        <w:adjustRightInd w:val="0"/>
        <w:spacing w:line="360" w:lineRule="auto"/>
        <w:ind w:left="247"/>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12、评分因素及分值</w:t>
      </w:r>
    </w:p>
    <w:tbl>
      <w:tblPr>
        <w:tblStyle w:val="37"/>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ind w:left="247"/>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ind w:left="247"/>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ind w:left="247"/>
              <w:jc w:val="center"/>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1、商务</w:t>
            </w:r>
          </w:p>
        </w:tc>
        <w:tc>
          <w:tcPr>
            <w:tcW w:w="5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247"/>
              <w:jc w:val="center"/>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60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ind w:left="247"/>
              <w:jc w:val="center"/>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2、技术</w:t>
            </w:r>
          </w:p>
        </w:tc>
        <w:tc>
          <w:tcPr>
            <w:tcW w:w="5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247"/>
              <w:jc w:val="center"/>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40</w:t>
            </w:r>
            <w:r>
              <w:rPr>
                <w:rFonts w:hint="eastAsia" w:ascii="宋体" w:hAnsi="宋体" w:eastAsia="宋体" w:cs="宋体"/>
                <w:b/>
                <w:color w:val="000000" w:themeColor="text1"/>
                <w:szCs w:val="21"/>
                <w:highlight w:val="none"/>
                <w:lang w:val="zh-CN"/>
                <w14:textFill>
                  <w14:solidFill>
                    <w14:schemeClr w14:val="tx1"/>
                  </w14:solidFill>
                </w14:textFill>
              </w:rPr>
              <w:t>分</w:t>
            </w:r>
          </w:p>
        </w:tc>
      </w:tr>
    </w:tbl>
    <w:p>
      <w:pPr>
        <w:tabs>
          <w:tab w:val="left" w:pos="585"/>
        </w:tabs>
        <w:autoSpaceDE w:val="0"/>
        <w:autoSpaceDN w:val="0"/>
        <w:adjustRightInd w:val="0"/>
        <w:spacing w:line="360" w:lineRule="auto"/>
        <w:ind w:left="247"/>
        <w:rPr>
          <w:rFonts w:ascii="宋体" w:hAnsi="宋体" w:eastAsia="宋体" w:cs="宋体"/>
          <w:b/>
          <w:color w:val="000000" w:themeColor="text1"/>
          <w:szCs w:val="21"/>
          <w:highlight w:val="none"/>
          <w14:textFill>
            <w14:solidFill>
              <w14:schemeClr w14:val="tx1"/>
            </w14:solidFill>
          </w14:textFill>
        </w:rPr>
      </w:pPr>
      <w:bookmarkStart w:id="680" w:name="_Toc18349_WPSOffice_Level2"/>
    </w:p>
    <w:p>
      <w:pPr>
        <w:tabs>
          <w:tab w:val="left" w:pos="585"/>
        </w:tabs>
        <w:autoSpaceDE w:val="0"/>
        <w:autoSpaceDN w:val="0"/>
        <w:adjustRightInd w:val="0"/>
        <w:spacing w:line="360" w:lineRule="auto"/>
        <w:ind w:left="24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商务：总分</w:t>
      </w:r>
      <w:r>
        <w:rPr>
          <w:rFonts w:hint="eastAsia" w:ascii="宋体" w:hAnsi="宋体" w:eastAsia="宋体" w:cs="宋体"/>
          <w:b/>
          <w:color w:val="000000" w:themeColor="text1"/>
          <w:szCs w:val="21"/>
          <w:highlight w:val="none"/>
          <w14:textFill>
            <w14:solidFill>
              <w14:schemeClr w14:val="tx1"/>
            </w14:solidFill>
          </w14:textFill>
        </w:rPr>
        <w:t>60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680"/>
    </w:p>
    <w:tbl>
      <w:tblPr>
        <w:tblStyle w:val="37"/>
        <w:tblW w:w="1037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27"/>
        <w:gridCol w:w="980"/>
        <w:gridCol w:w="7877"/>
        <w:gridCol w:w="8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627" w:type="dxa"/>
            <w:tcBorders>
              <w:top w:val="single" w:color="auto" w:sz="2" w:space="0"/>
              <w:left w:val="single" w:color="auto" w:sz="2" w:space="0"/>
              <w:bottom w:val="single" w:color="auto" w:sz="2" w:space="0"/>
              <w:right w:val="single" w:color="auto" w:sz="4" w:space="0"/>
            </w:tcBorders>
            <w:shd w:val="clear" w:color="auto" w:fill="FFFFFF"/>
            <w:vAlign w:val="center"/>
          </w:tcPr>
          <w:p>
            <w:pPr>
              <w:pStyle w:val="202"/>
              <w:spacing w:line="360" w:lineRule="auto"/>
              <w:jc w:val="center"/>
              <w:rPr>
                <w:rFonts w:ascii="宋体" w:hAnsi="宋体" w:cs="宋体"/>
                <w:b/>
                <w:color w:val="000000" w:themeColor="text1"/>
                <w:szCs w:val="21"/>
                <w:highlight w:val="none"/>
                <w14:textFill>
                  <w14:solidFill>
                    <w14:schemeClr w14:val="tx1"/>
                  </w14:solidFill>
                </w14:textFill>
              </w:rPr>
            </w:pPr>
            <w:bookmarkStart w:id="681" w:name="_Toc11639_WPSOffice_Level2"/>
            <w:r>
              <w:rPr>
                <w:rFonts w:hint="eastAsia" w:ascii="宋体" w:hAnsi="宋体" w:cs="宋体"/>
                <w:b/>
                <w:color w:val="000000" w:themeColor="text1"/>
                <w:szCs w:val="21"/>
                <w:highlight w:val="none"/>
                <w14:textFill>
                  <w14:solidFill>
                    <w14:schemeClr w14:val="tx1"/>
                  </w14:solidFill>
                </w14:textFill>
              </w:rPr>
              <w:t>序号</w:t>
            </w:r>
          </w:p>
        </w:tc>
        <w:tc>
          <w:tcPr>
            <w:tcW w:w="980" w:type="dxa"/>
            <w:tcBorders>
              <w:top w:val="single" w:color="auto" w:sz="2" w:space="0"/>
              <w:left w:val="single" w:color="auto" w:sz="4" w:space="0"/>
              <w:bottom w:val="single" w:color="auto" w:sz="2" w:space="0"/>
              <w:right w:val="single" w:color="auto" w:sz="2" w:space="0"/>
            </w:tcBorders>
            <w:shd w:val="clear" w:color="auto" w:fill="FFFFFF"/>
            <w:vAlign w:val="center"/>
          </w:tcPr>
          <w:p>
            <w:pPr>
              <w:pStyle w:val="202"/>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评审内容</w:t>
            </w:r>
          </w:p>
        </w:tc>
        <w:tc>
          <w:tcPr>
            <w:tcW w:w="7877" w:type="dxa"/>
            <w:tcBorders>
              <w:top w:val="single" w:color="auto" w:sz="4" w:space="0"/>
              <w:left w:val="single" w:color="auto" w:sz="4" w:space="0"/>
              <w:bottom w:val="single" w:color="auto" w:sz="2" w:space="0"/>
              <w:right w:val="single" w:color="auto" w:sz="2" w:space="0"/>
            </w:tcBorders>
            <w:shd w:val="clear" w:color="auto" w:fill="FFFFFF"/>
            <w:vAlign w:val="center"/>
          </w:tcPr>
          <w:p>
            <w:pPr>
              <w:pStyle w:val="202"/>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评审细则</w:t>
            </w:r>
          </w:p>
        </w:tc>
        <w:tc>
          <w:tcPr>
            <w:tcW w:w="886" w:type="dxa"/>
            <w:tcBorders>
              <w:top w:val="single" w:color="auto" w:sz="4" w:space="0"/>
              <w:left w:val="single" w:color="auto" w:sz="4" w:space="0"/>
              <w:bottom w:val="single" w:color="auto" w:sz="2" w:space="0"/>
              <w:right w:val="single" w:color="auto" w:sz="2" w:space="0"/>
            </w:tcBorders>
            <w:shd w:val="clear" w:color="auto" w:fill="FFFFFF"/>
            <w:vAlign w:val="center"/>
          </w:tcPr>
          <w:p>
            <w:pPr>
              <w:pStyle w:val="202"/>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满分值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27" w:type="dxa"/>
            <w:tcBorders>
              <w:top w:val="single" w:color="auto" w:sz="2" w:space="0"/>
              <w:left w:val="single" w:color="auto" w:sz="2" w:space="0"/>
              <w:bottom w:val="single" w:color="auto" w:sz="2" w:space="0"/>
              <w:right w:val="single" w:color="auto" w:sz="4" w:space="0"/>
            </w:tcBorders>
            <w:shd w:val="clear" w:color="auto" w:fill="FFFFFF"/>
            <w:vAlign w:val="center"/>
          </w:tcPr>
          <w:p>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80" w:type="dxa"/>
            <w:tcBorders>
              <w:top w:val="single" w:color="auto" w:sz="2" w:space="0"/>
              <w:left w:val="single" w:color="auto" w:sz="4" w:space="0"/>
              <w:bottom w:val="single" w:color="auto" w:sz="2" w:space="0"/>
              <w:right w:val="single" w:color="auto" w:sz="2" w:space="0"/>
            </w:tcBorders>
            <w:shd w:val="clear" w:color="auto" w:fill="FFFFFF"/>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财务状况</w:t>
            </w:r>
          </w:p>
        </w:tc>
        <w:tc>
          <w:tcPr>
            <w:tcW w:w="7877" w:type="dxa"/>
            <w:tcBorders>
              <w:top w:val="single" w:color="auto" w:sz="4" w:space="0"/>
              <w:left w:val="single" w:color="auto" w:sz="4" w:space="0"/>
              <w:bottom w:val="single" w:color="auto" w:sz="2" w:space="0"/>
              <w:right w:val="single" w:color="auto" w:sz="2" w:space="0"/>
            </w:tcBorders>
            <w:shd w:val="clear" w:color="auto" w:fill="FFFFFF"/>
            <w:vAlign w:val="center"/>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投标人202</w:t>
            </w:r>
            <w:r>
              <w:rPr>
                <w:rFonts w:ascii="宋体" w:hAnsi="宋体" w:eastAsia="宋体" w:cs="宋体"/>
                <w:color w:val="000000" w:themeColor="text1"/>
                <w:szCs w:val="21"/>
                <w:highlight w:val="none"/>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年-202</w:t>
            </w:r>
            <w:r>
              <w:rPr>
                <w:rFonts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年三个年度，每具有1个年度盈利的得1分，满分3分。</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备注：盈利指净利润为正数(非零、非负数)，投标人应提供202</w:t>
            </w:r>
            <w:r>
              <w:rPr>
                <w:rFonts w:ascii="宋体" w:hAnsi="宋体" w:eastAsia="宋体" w:cs="宋体"/>
                <w:b/>
                <w:bCs/>
                <w:color w:val="000000" w:themeColor="text1"/>
                <w:szCs w:val="21"/>
                <w:highlight w:val="none"/>
                <w14:textFill>
                  <w14:solidFill>
                    <w14:schemeClr w14:val="tx1"/>
                  </w14:solidFill>
                </w14:textFill>
              </w:rPr>
              <w:t>0</w:t>
            </w:r>
            <w:r>
              <w:rPr>
                <w:rFonts w:hint="eastAsia" w:ascii="宋体" w:hAnsi="宋体" w:eastAsia="宋体" w:cs="宋体"/>
                <w:b/>
                <w:bCs/>
                <w:color w:val="000000" w:themeColor="text1"/>
                <w:szCs w:val="21"/>
                <w:highlight w:val="none"/>
                <w14:textFill>
                  <w14:solidFill>
                    <w14:schemeClr w14:val="tx1"/>
                  </w14:solidFill>
                </w14:textFill>
              </w:rPr>
              <w:t>年、202</w:t>
            </w:r>
            <w:r>
              <w:rPr>
                <w:rFonts w:ascii="宋体" w:hAnsi="宋体" w:eastAsia="宋体" w:cs="宋体"/>
                <w:b/>
                <w:bCs/>
                <w:color w:val="000000" w:themeColor="text1"/>
                <w:szCs w:val="21"/>
                <w:highlight w:val="none"/>
                <w14:textFill>
                  <w14:solidFill>
                    <w14:schemeClr w14:val="tx1"/>
                  </w14:solidFill>
                </w14:textFill>
              </w:rPr>
              <w:t>1</w:t>
            </w:r>
            <w:r>
              <w:rPr>
                <w:rFonts w:hint="eastAsia" w:ascii="宋体" w:hAnsi="宋体" w:eastAsia="宋体" w:cs="宋体"/>
                <w:b/>
                <w:bCs/>
                <w:color w:val="000000" w:themeColor="text1"/>
                <w:szCs w:val="21"/>
                <w:highlight w:val="none"/>
                <w14:textFill>
                  <w14:solidFill>
                    <w14:schemeClr w14:val="tx1"/>
                  </w14:solidFill>
                </w14:textFill>
              </w:rPr>
              <w:t>年、202</w:t>
            </w:r>
            <w:r>
              <w:rPr>
                <w:rFonts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年三个年度的财务报表，净利润以对应年度经审计的财务报表为准，应提供经独立会计师事务所审计过的有效的财务报表复印件；未提供前述财务报表或财务报表未能反映净利润的，不得分。</w:t>
            </w:r>
          </w:p>
        </w:tc>
        <w:tc>
          <w:tcPr>
            <w:tcW w:w="886" w:type="dxa"/>
            <w:tcBorders>
              <w:top w:val="single" w:color="auto" w:sz="4" w:space="0"/>
              <w:left w:val="single" w:color="auto" w:sz="4" w:space="0"/>
              <w:bottom w:val="single" w:color="auto" w:sz="2" w:space="0"/>
              <w:right w:val="single" w:color="auto" w:sz="2" w:space="0"/>
            </w:tcBorders>
            <w:shd w:val="clear" w:color="auto" w:fill="FFFFFF"/>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627" w:type="dxa"/>
            <w:tcBorders>
              <w:top w:val="single" w:color="auto" w:sz="2" w:space="0"/>
              <w:left w:val="single" w:color="auto" w:sz="2" w:space="0"/>
              <w:bottom w:val="single" w:color="auto" w:sz="2" w:space="0"/>
              <w:right w:val="single" w:color="auto" w:sz="4"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80" w:type="dxa"/>
            <w:tcBorders>
              <w:top w:val="single" w:color="auto" w:sz="2" w:space="0"/>
              <w:left w:val="single" w:color="auto" w:sz="4" w:space="0"/>
              <w:bottom w:val="single" w:color="auto" w:sz="2" w:space="0"/>
              <w:right w:val="single" w:color="auto" w:sz="2" w:space="0"/>
            </w:tcBorders>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标准化管理水平</w:t>
            </w:r>
          </w:p>
        </w:tc>
        <w:tc>
          <w:tcPr>
            <w:tcW w:w="7877" w:type="dxa"/>
            <w:tcBorders>
              <w:top w:val="single" w:color="auto" w:sz="4" w:space="0"/>
              <w:left w:val="single" w:color="auto" w:sz="4" w:space="0"/>
              <w:bottom w:val="single" w:color="auto" w:sz="2" w:space="0"/>
              <w:right w:val="single" w:color="auto" w:sz="2" w:space="0"/>
            </w:tcBorders>
            <w:vAlign w:val="center"/>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pt-BR"/>
                <w14:textFill>
                  <w14:solidFill>
                    <w14:schemeClr w14:val="tx1"/>
                  </w14:solidFill>
                </w14:textFill>
              </w:rPr>
              <w:t>投标人具有由国家认证认可监督管理部门批准设立的认证机构颁发并在有效期内的体系认证证书，每个证书得</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pt-BR"/>
                <w14:textFill>
                  <w14:solidFill>
                    <w14:schemeClr w14:val="tx1"/>
                  </w14:solidFill>
                </w14:textFill>
              </w:rPr>
              <w:t>分，满分</w:t>
            </w: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lang w:val="pt-BR"/>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（1）质量管理体系认证</w:t>
            </w:r>
            <w:r>
              <w:rPr>
                <w:rFonts w:hint="eastAsia" w:ascii="宋体" w:hAnsi="宋体" w:eastAsia="宋体" w:cs="宋体"/>
                <w:color w:val="000000" w:themeColor="text1"/>
                <w:szCs w:val="21"/>
                <w:highlight w:val="none"/>
                <w:lang w:val="pt-BR"/>
                <w14:textFill>
                  <w14:solidFill>
                    <w14:schemeClr w14:val="tx1"/>
                  </w14:solidFill>
                </w14:textFill>
              </w:rPr>
              <w:t>（如ISO</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pt-BR"/>
                <w14:textFill>
                  <w14:solidFill>
                    <w14:schemeClr w14:val="tx1"/>
                  </w14:solidFill>
                </w14:textFill>
              </w:rPr>
              <w:t>9001</w:t>
            </w:r>
            <w:r>
              <w:rPr>
                <w:rFonts w:hint="eastAsia" w:ascii="宋体" w:hAnsi="宋体" w:eastAsia="宋体" w:cs="宋体"/>
                <w:color w:val="000000" w:themeColor="text1"/>
                <w:szCs w:val="21"/>
                <w:highlight w:val="none"/>
                <w14:textFill>
                  <w14:solidFill>
                    <w14:schemeClr w14:val="tx1"/>
                  </w14:solidFill>
                </w14:textFill>
              </w:rPr>
              <w:t>等</w:t>
            </w:r>
            <w:r>
              <w:rPr>
                <w:rFonts w:hint="eastAsia" w:ascii="宋体" w:hAnsi="宋体" w:eastAsia="宋体" w:cs="宋体"/>
                <w:color w:val="000000" w:themeColor="text1"/>
                <w:szCs w:val="21"/>
                <w:highlight w:val="none"/>
                <w:lang w:val="pt-BR"/>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（2）环境管理体系认证</w:t>
            </w:r>
            <w:r>
              <w:rPr>
                <w:rFonts w:hint="eastAsia" w:ascii="宋体" w:hAnsi="宋体" w:eastAsia="宋体" w:cs="宋体"/>
                <w:color w:val="000000" w:themeColor="text1"/>
                <w:szCs w:val="21"/>
                <w:highlight w:val="none"/>
                <w:lang w:val="pt-BR"/>
                <w14:textFill>
                  <w14:solidFill>
                    <w14:schemeClr w14:val="tx1"/>
                  </w14:solidFill>
                </w14:textFill>
              </w:rPr>
              <w:t>（如ISO</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pt-BR"/>
                <w14:textFill>
                  <w14:solidFill>
                    <w14:schemeClr w14:val="tx1"/>
                  </w14:solidFill>
                </w14:textFill>
              </w:rPr>
              <w:t>14001</w:t>
            </w:r>
            <w:r>
              <w:rPr>
                <w:rFonts w:hint="eastAsia" w:ascii="宋体" w:hAnsi="宋体" w:eastAsia="宋体" w:cs="宋体"/>
                <w:color w:val="000000" w:themeColor="text1"/>
                <w:szCs w:val="21"/>
                <w:highlight w:val="none"/>
                <w14:textFill>
                  <w14:solidFill>
                    <w14:schemeClr w14:val="tx1"/>
                  </w14:solidFill>
                </w14:textFill>
              </w:rPr>
              <w:t>等</w:t>
            </w:r>
            <w:r>
              <w:rPr>
                <w:rFonts w:hint="eastAsia" w:ascii="宋体" w:hAnsi="宋体" w:eastAsia="宋体" w:cs="宋体"/>
                <w:color w:val="000000" w:themeColor="text1"/>
                <w:szCs w:val="21"/>
                <w:highlight w:val="none"/>
                <w:lang w:val="pt-BR"/>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（3）职业健康安全管理体系认证（如OHSAS 18001或GB/T45001-2020或ISO45001等）；</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（4）食品安全管理体系认证（如GB/T22000-2006或ISO22000:2005或ISO22000：2018等）；</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（5）危害分析与关键控制点（HACCP）体系认证；</w:t>
            </w:r>
          </w:p>
          <w:p>
            <w:pPr>
              <w:spacing w:line="360" w:lineRule="auto"/>
              <w:rPr>
                <w:rFonts w:ascii="宋体" w:hAnsi="宋体" w:eastAsia="宋体" w:cs="宋体"/>
                <w:color w:val="000000" w:themeColor="text1"/>
                <w:szCs w:val="21"/>
                <w:highlight w:val="none"/>
                <w:lang w:val="pt-BR"/>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（6）供应链安全管理体系认证</w:t>
            </w:r>
            <w:r>
              <w:rPr>
                <w:rFonts w:hint="eastAsia" w:ascii="宋体" w:hAnsi="宋体" w:eastAsia="宋体" w:cs="宋体"/>
                <w:color w:val="000000" w:themeColor="text1"/>
                <w:szCs w:val="21"/>
                <w:highlight w:val="none"/>
                <w:lang w:val="pt-BR"/>
                <w14:textFill>
                  <w14:solidFill>
                    <w14:schemeClr w14:val="tx1"/>
                  </w14:solidFill>
                </w14:textFill>
              </w:rPr>
              <w:t>（如ISO 28000:2022或ISO 28000:2007等）；</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（7）食品配送操作规程体系认证（如：GB/T 33129-2016、SB/T 10428-2007等）；</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（8）售后服务认证（GB/T 27922-2011）。</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pt-BR"/>
                <w14:textFill>
                  <w14:solidFill>
                    <w14:schemeClr w14:val="tx1"/>
                  </w14:solidFill>
                </w14:textFill>
              </w:rPr>
              <w:t>备注：投标人应提供上述</w:t>
            </w:r>
            <w:r>
              <w:rPr>
                <w:rFonts w:hint="eastAsia" w:ascii="宋体" w:hAnsi="宋体" w:eastAsia="宋体" w:cs="宋体"/>
                <w:b/>
                <w:color w:val="000000" w:themeColor="text1"/>
                <w:szCs w:val="21"/>
                <w:highlight w:val="none"/>
                <w:lang w:val="zh-CN"/>
                <w14:textFill>
                  <w14:solidFill>
                    <w14:schemeClr w14:val="tx1"/>
                  </w14:solidFill>
                </w14:textFill>
              </w:rPr>
              <w:t>有效</w:t>
            </w:r>
            <w:r>
              <w:rPr>
                <w:rFonts w:hint="eastAsia" w:ascii="宋体" w:hAnsi="宋体" w:eastAsia="宋体" w:cs="宋体"/>
                <w:b/>
                <w:bCs/>
                <w:color w:val="000000" w:themeColor="text1"/>
                <w:szCs w:val="21"/>
                <w:highlight w:val="none"/>
                <w:lang w:val="pt-BR"/>
                <w14:textFill>
                  <w14:solidFill>
                    <w14:schemeClr w14:val="tx1"/>
                  </w14:solidFill>
                </w14:textFill>
              </w:rPr>
              <w:t>证书复印件及能显示证书有效状态的全国认证认可信息公共服务平台（http://cx.cnca.cn/）查询结果凭证{凭证界面需显示有“全国认证认可信息公共服务平台”或“认证证书（需显示网址cx.cnca.cn）”}，否则不得分。</w:t>
            </w:r>
          </w:p>
        </w:tc>
        <w:tc>
          <w:tcPr>
            <w:tcW w:w="886" w:type="dxa"/>
            <w:tcBorders>
              <w:top w:val="single" w:color="auto" w:sz="4" w:space="0"/>
              <w:left w:val="single" w:color="auto" w:sz="4" w:space="0"/>
              <w:bottom w:val="single" w:color="auto" w:sz="2" w:space="0"/>
              <w:right w:val="single" w:color="auto" w:sz="2"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7" w:hRule="atLeast"/>
          <w:jc w:val="center"/>
        </w:trPr>
        <w:tc>
          <w:tcPr>
            <w:tcW w:w="627" w:type="dxa"/>
            <w:tcBorders>
              <w:top w:val="single" w:color="auto" w:sz="2" w:space="0"/>
              <w:left w:val="single" w:color="auto" w:sz="2" w:space="0"/>
              <w:bottom w:val="single" w:color="auto" w:sz="2" w:space="0"/>
              <w:right w:val="single" w:color="auto" w:sz="4"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980" w:type="dxa"/>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业绩</w:t>
            </w:r>
          </w:p>
        </w:tc>
        <w:tc>
          <w:tcPr>
            <w:tcW w:w="7877" w:type="dxa"/>
            <w:tcBorders>
              <w:top w:val="single" w:color="auto" w:sz="4" w:space="0"/>
              <w:left w:val="single" w:color="auto" w:sz="4" w:space="0"/>
              <w:bottom w:val="single" w:color="auto" w:sz="2" w:space="0"/>
              <w:right w:val="single" w:color="auto" w:sz="2" w:space="0"/>
            </w:tcBorders>
            <w:vAlign w:val="center"/>
          </w:tcPr>
          <w:p>
            <w:pPr>
              <w:pStyle w:val="23"/>
              <w:snapToGrid w:val="0"/>
              <w:spacing w:line="360" w:lineRule="auto"/>
              <w:rPr>
                <w:rFonts w:hAnsi="宋体"/>
                <w:color w:val="000000" w:themeColor="text1"/>
                <w:szCs w:val="21"/>
                <w:highlight w:val="none"/>
                <w:lang w:val="pt-BR"/>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投标人自2021年1月1日（以合同签订的时间为准）</w:t>
            </w:r>
            <w:r>
              <w:rPr>
                <w:rFonts w:hint="eastAsia" w:hAnsi="宋体"/>
                <w:color w:val="000000" w:themeColor="text1"/>
                <w:szCs w:val="21"/>
                <w:highlight w:val="none"/>
                <w:lang w:val="pt-BR"/>
                <w14:textFill>
                  <w14:solidFill>
                    <w14:schemeClr w14:val="tx1"/>
                  </w14:solidFill>
                </w14:textFill>
              </w:rPr>
              <w:t>至今已完成或正在服务的饭堂、食堂食品或者食材供应链配送服务项目业绩，按下列情况评分，满分</w:t>
            </w:r>
            <w:r>
              <w:rPr>
                <w:rFonts w:hint="eastAsia" w:hAnsi="宋体"/>
                <w:color w:val="000000" w:themeColor="text1"/>
                <w:szCs w:val="21"/>
                <w:highlight w:val="none"/>
                <w14:textFill>
                  <w14:solidFill>
                    <w14:schemeClr w14:val="tx1"/>
                  </w14:solidFill>
                </w14:textFill>
              </w:rPr>
              <w:t>21</w:t>
            </w:r>
            <w:r>
              <w:rPr>
                <w:rFonts w:hint="eastAsia" w:hAnsi="宋体"/>
                <w:color w:val="000000" w:themeColor="text1"/>
                <w:szCs w:val="21"/>
                <w:highlight w:val="none"/>
                <w:lang w:val="pt-BR"/>
                <w14:textFill>
                  <w14:solidFill>
                    <w14:schemeClr w14:val="tx1"/>
                  </w14:solidFill>
                </w14:textFill>
              </w:rPr>
              <w:t>分：</w:t>
            </w:r>
          </w:p>
          <w:p>
            <w:pPr>
              <w:pStyle w:val="206"/>
              <w:spacing w:line="360" w:lineRule="auto"/>
              <w:rPr>
                <w:rFonts w:ascii="宋体" w:hAnsi="宋体" w:eastAsia="宋体"/>
                <w:color w:val="000000" w:themeColor="text1"/>
                <w:sz w:val="21"/>
                <w:szCs w:val="21"/>
                <w:highlight w:val="none"/>
                <w:lang w:val="pt-BR"/>
                <w14:textFill>
                  <w14:solidFill>
                    <w14:schemeClr w14:val="tx1"/>
                  </w14:solidFill>
                </w14:textFill>
              </w:rPr>
            </w:pPr>
            <w:r>
              <w:rPr>
                <w:rFonts w:hint="eastAsia" w:ascii="宋体" w:hAnsi="宋体" w:eastAsia="宋体"/>
                <w:color w:val="000000" w:themeColor="text1"/>
                <w:sz w:val="21"/>
                <w:szCs w:val="21"/>
                <w:highlight w:val="none"/>
                <w:lang w:val="pt-BR"/>
                <w14:textFill>
                  <w14:solidFill>
                    <w14:schemeClr w14:val="tx1"/>
                  </w14:solidFill>
                </w14:textFill>
              </w:rPr>
              <w:t>①年度配送服务项目总金额≥</w:t>
            </w:r>
            <w:r>
              <w:rPr>
                <w:rFonts w:hint="eastAsia" w:ascii="宋体" w:hAnsi="宋体" w:eastAsia="宋体"/>
                <w:color w:val="000000" w:themeColor="text1"/>
                <w:sz w:val="21"/>
                <w:szCs w:val="21"/>
                <w:highlight w:val="none"/>
                <w14:textFill>
                  <w14:solidFill>
                    <w14:schemeClr w14:val="tx1"/>
                  </w14:solidFill>
                </w14:textFill>
              </w:rPr>
              <w:t>600</w:t>
            </w:r>
            <w:r>
              <w:rPr>
                <w:rFonts w:hint="eastAsia" w:ascii="宋体" w:hAnsi="宋体" w:eastAsia="宋体"/>
                <w:color w:val="000000" w:themeColor="text1"/>
                <w:sz w:val="21"/>
                <w:szCs w:val="21"/>
                <w:highlight w:val="none"/>
                <w:lang w:val="pt-BR"/>
                <w14:textFill>
                  <w14:solidFill>
                    <w14:schemeClr w14:val="tx1"/>
                  </w14:solidFill>
                </w14:textFill>
              </w:rPr>
              <w:t>万元的前述业绩的，每项得</w:t>
            </w:r>
            <w:r>
              <w:rPr>
                <w:rFonts w:hint="eastAsia" w:ascii="宋体" w:hAnsi="宋体" w:eastAsia="宋体"/>
                <w:color w:val="000000" w:themeColor="text1"/>
                <w:sz w:val="21"/>
                <w:szCs w:val="21"/>
                <w:highlight w:val="none"/>
                <w14:textFill>
                  <w14:solidFill>
                    <w14:schemeClr w14:val="tx1"/>
                  </w14:solidFill>
                </w14:textFill>
              </w:rPr>
              <w:t>6</w:t>
            </w:r>
            <w:r>
              <w:rPr>
                <w:rFonts w:hint="eastAsia" w:ascii="宋体" w:hAnsi="宋体" w:eastAsia="宋体"/>
                <w:color w:val="000000" w:themeColor="text1"/>
                <w:sz w:val="21"/>
                <w:szCs w:val="21"/>
                <w:highlight w:val="none"/>
                <w:lang w:val="pt-BR"/>
                <w14:textFill>
                  <w14:solidFill>
                    <w14:schemeClr w14:val="tx1"/>
                  </w14:solidFill>
                </w14:textFill>
              </w:rPr>
              <w:t>分；</w:t>
            </w:r>
          </w:p>
          <w:p>
            <w:pPr>
              <w:pStyle w:val="206"/>
              <w:spacing w:line="360" w:lineRule="auto"/>
              <w:rPr>
                <w:rFonts w:ascii="宋体" w:hAnsi="宋体" w:eastAsia="宋体"/>
                <w:color w:val="000000" w:themeColor="text1"/>
                <w:sz w:val="21"/>
                <w:szCs w:val="21"/>
                <w:highlight w:val="none"/>
                <w:lang w:val="pt-BR"/>
                <w14:textFill>
                  <w14:solidFill>
                    <w14:schemeClr w14:val="tx1"/>
                  </w14:solidFill>
                </w14:textFill>
              </w:rPr>
            </w:pPr>
            <w:r>
              <w:rPr>
                <w:rFonts w:hint="eastAsia" w:ascii="宋体" w:hAnsi="宋体" w:eastAsia="宋体"/>
                <w:color w:val="000000" w:themeColor="text1"/>
                <w:sz w:val="21"/>
                <w:szCs w:val="21"/>
                <w:highlight w:val="none"/>
                <w:lang w:val="pt-BR"/>
                <w14:textFill>
                  <w14:solidFill>
                    <w14:schemeClr w14:val="tx1"/>
                  </w14:solidFill>
                </w14:textFill>
              </w:rPr>
              <w:t>②</w:t>
            </w:r>
            <w:r>
              <w:rPr>
                <w:rFonts w:hint="eastAsia" w:ascii="宋体" w:hAnsi="宋体" w:eastAsia="宋体"/>
                <w:color w:val="000000" w:themeColor="text1"/>
                <w:sz w:val="21"/>
                <w:szCs w:val="21"/>
                <w:highlight w:val="none"/>
                <w14:textFill>
                  <w14:solidFill>
                    <w14:schemeClr w14:val="tx1"/>
                  </w14:solidFill>
                </w14:textFill>
              </w:rPr>
              <w:t>300</w:t>
            </w:r>
            <w:r>
              <w:rPr>
                <w:rFonts w:hint="eastAsia" w:ascii="宋体" w:hAnsi="宋体" w:eastAsia="宋体"/>
                <w:color w:val="000000" w:themeColor="text1"/>
                <w:sz w:val="21"/>
                <w:szCs w:val="21"/>
                <w:highlight w:val="none"/>
                <w:lang w:val="pt-BR"/>
                <w14:textFill>
                  <w14:solidFill>
                    <w14:schemeClr w14:val="tx1"/>
                  </w14:solidFill>
                </w14:textFill>
              </w:rPr>
              <w:t>万元≤年度配送服务项目总金额＜</w:t>
            </w:r>
            <w:r>
              <w:rPr>
                <w:rFonts w:hint="eastAsia" w:ascii="宋体" w:hAnsi="宋体" w:eastAsia="宋体"/>
                <w:color w:val="000000" w:themeColor="text1"/>
                <w:sz w:val="21"/>
                <w:szCs w:val="21"/>
                <w:highlight w:val="none"/>
                <w14:textFill>
                  <w14:solidFill>
                    <w14:schemeClr w14:val="tx1"/>
                  </w14:solidFill>
                </w14:textFill>
              </w:rPr>
              <w:t>600</w:t>
            </w:r>
            <w:r>
              <w:rPr>
                <w:rFonts w:hint="eastAsia" w:ascii="宋体" w:hAnsi="宋体" w:eastAsia="宋体"/>
                <w:color w:val="000000" w:themeColor="text1"/>
                <w:sz w:val="21"/>
                <w:szCs w:val="21"/>
                <w:highlight w:val="none"/>
                <w:lang w:val="pt-BR"/>
                <w14:textFill>
                  <w14:solidFill>
                    <w14:schemeClr w14:val="tx1"/>
                  </w14:solidFill>
                </w14:textFill>
              </w:rPr>
              <w:t>万元的前述业绩，每项得</w:t>
            </w:r>
            <w:r>
              <w:rPr>
                <w:rFonts w:hint="eastAsia" w:ascii="宋体" w:hAnsi="宋体" w:eastAsia="宋体"/>
                <w:color w:val="000000" w:themeColor="text1"/>
                <w:sz w:val="21"/>
                <w:szCs w:val="21"/>
                <w:highlight w:val="none"/>
                <w14:textFill>
                  <w14:solidFill>
                    <w14:schemeClr w14:val="tx1"/>
                  </w14:solidFill>
                </w14:textFill>
              </w:rPr>
              <w:t>4</w:t>
            </w:r>
            <w:r>
              <w:rPr>
                <w:rFonts w:hint="eastAsia" w:ascii="宋体" w:hAnsi="宋体" w:eastAsia="宋体"/>
                <w:color w:val="000000" w:themeColor="text1"/>
                <w:sz w:val="21"/>
                <w:szCs w:val="21"/>
                <w:highlight w:val="none"/>
                <w:lang w:val="pt-BR"/>
                <w14:textFill>
                  <w14:solidFill>
                    <w14:schemeClr w14:val="tx1"/>
                  </w14:solidFill>
                </w14:textFill>
              </w:rPr>
              <w:t>分；</w:t>
            </w:r>
          </w:p>
          <w:p>
            <w:pPr>
              <w:pStyle w:val="206"/>
              <w:spacing w:line="360" w:lineRule="auto"/>
              <w:rPr>
                <w:rFonts w:ascii="宋体" w:hAnsi="宋体" w:eastAsia="宋体"/>
                <w:color w:val="000000" w:themeColor="text1"/>
                <w:sz w:val="21"/>
                <w:szCs w:val="21"/>
                <w:highlight w:val="none"/>
                <w:lang w:val="pt-BR"/>
                <w14:textFill>
                  <w14:solidFill>
                    <w14:schemeClr w14:val="tx1"/>
                  </w14:solidFill>
                </w14:textFill>
              </w:rPr>
            </w:pPr>
            <w:r>
              <w:rPr>
                <w:rFonts w:hint="eastAsia" w:ascii="宋体" w:hAnsi="宋体" w:eastAsia="宋体"/>
                <w:color w:val="000000" w:themeColor="text1"/>
                <w:sz w:val="21"/>
                <w:szCs w:val="21"/>
                <w:highlight w:val="none"/>
                <w:lang w:val="pt-BR"/>
                <w14:textFill>
                  <w14:solidFill>
                    <w14:schemeClr w14:val="tx1"/>
                  </w14:solidFill>
                </w14:textFill>
              </w:rPr>
              <w:t>③</w:t>
            </w:r>
            <w:r>
              <w:rPr>
                <w:rFonts w:hint="eastAsia" w:ascii="宋体" w:hAnsi="宋体" w:eastAsia="宋体"/>
                <w:color w:val="000000" w:themeColor="text1"/>
                <w:sz w:val="21"/>
                <w:szCs w:val="21"/>
                <w:highlight w:val="none"/>
                <w14:textFill>
                  <w14:solidFill>
                    <w14:schemeClr w14:val="tx1"/>
                  </w14:solidFill>
                </w14:textFill>
              </w:rPr>
              <w:t>150</w:t>
            </w:r>
            <w:r>
              <w:rPr>
                <w:rFonts w:hint="eastAsia" w:ascii="宋体" w:hAnsi="宋体" w:eastAsia="宋体"/>
                <w:color w:val="000000" w:themeColor="text1"/>
                <w:sz w:val="21"/>
                <w:szCs w:val="21"/>
                <w:highlight w:val="none"/>
                <w:lang w:val="pt-BR"/>
                <w14:textFill>
                  <w14:solidFill>
                    <w14:schemeClr w14:val="tx1"/>
                  </w14:solidFill>
                </w14:textFill>
              </w:rPr>
              <w:t>万元≤年度配送服务项目总金额＜</w:t>
            </w:r>
            <w:r>
              <w:rPr>
                <w:rFonts w:hint="eastAsia" w:ascii="宋体" w:hAnsi="宋体" w:eastAsia="宋体"/>
                <w:color w:val="000000" w:themeColor="text1"/>
                <w:sz w:val="21"/>
                <w:szCs w:val="21"/>
                <w:highlight w:val="none"/>
                <w14:textFill>
                  <w14:solidFill>
                    <w14:schemeClr w14:val="tx1"/>
                  </w14:solidFill>
                </w14:textFill>
              </w:rPr>
              <w:t>300</w:t>
            </w:r>
            <w:r>
              <w:rPr>
                <w:rFonts w:hint="eastAsia" w:ascii="宋体" w:hAnsi="宋体" w:eastAsia="宋体"/>
                <w:color w:val="000000" w:themeColor="text1"/>
                <w:sz w:val="21"/>
                <w:szCs w:val="21"/>
                <w:highlight w:val="none"/>
                <w:lang w:val="pt-BR"/>
                <w14:textFill>
                  <w14:solidFill>
                    <w14:schemeClr w14:val="tx1"/>
                  </w14:solidFill>
                </w14:textFill>
              </w:rPr>
              <w:t>万元的前述业绩，每项得2分，（本子项满分</w:t>
            </w:r>
            <w:r>
              <w:rPr>
                <w:rFonts w:hint="eastAsia" w:ascii="宋体" w:hAnsi="宋体" w:eastAsia="宋体"/>
                <w:color w:val="000000" w:themeColor="text1"/>
                <w:sz w:val="21"/>
                <w:szCs w:val="21"/>
                <w:highlight w:val="none"/>
                <w14:textFill>
                  <w14:solidFill>
                    <w14:schemeClr w14:val="tx1"/>
                  </w14:solidFill>
                </w14:textFill>
              </w:rPr>
              <w:t>8</w:t>
            </w:r>
            <w:r>
              <w:rPr>
                <w:rFonts w:hint="eastAsia" w:ascii="宋体" w:hAnsi="宋体" w:eastAsia="宋体"/>
                <w:color w:val="000000" w:themeColor="text1"/>
                <w:sz w:val="21"/>
                <w:szCs w:val="21"/>
                <w:highlight w:val="none"/>
                <w:lang w:val="pt-BR"/>
                <w14:textFill>
                  <w14:solidFill>
                    <w14:schemeClr w14:val="tx1"/>
                  </w14:solidFill>
                </w14:textFill>
              </w:rPr>
              <w:t>分）；</w:t>
            </w:r>
          </w:p>
          <w:p>
            <w:pPr>
              <w:pStyle w:val="206"/>
              <w:spacing w:line="360" w:lineRule="auto"/>
              <w:rPr>
                <w:rFonts w:ascii="宋体" w:hAnsi="宋体" w:eastAsia="宋体"/>
                <w:color w:val="000000" w:themeColor="text1"/>
                <w:sz w:val="21"/>
                <w:szCs w:val="21"/>
                <w:highlight w:val="none"/>
                <w:lang w:val="pt-BR"/>
                <w14:textFill>
                  <w14:solidFill>
                    <w14:schemeClr w14:val="tx1"/>
                  </w14:solidFill>
                </w14:textFill>
              </w:rPr>
            </w:pPr>
            <w:r>
              <w:rPr>
                <w:rFonts w:hint="eastAsia" w:ascii="宋体" w:hAnsi="宋体" w:eastAsia="宋体"/>
                <w:color w:val="000000" w:themeColor="text1"/>
                <w:sz w:val="21"/>
                <w:szCs w:val="21"/>
                <w:highlight w:val="none"/>
                <w:lang w:val="pt-BR"/>
                <w14:textFill>
                  <w14:solidFill>
                    <w14:schemeClr w14:val="tx1"/>
                  </w14:solidFill>
                </w14:textFill>
              </w:rPr>
              <w:t>④</w:t>
            </w:r>
            <w:r>
              <w:rPr>
                <w:rFonts w:hint="eastAsia" w:ascii="宋体" w:hAnsi="宋体" w:eastAsia="宋体"/>
                <w:color w:val="000000" w:themeColor="text1"/>
                <w:sz w:val="21"/>
                <w:szCs w:val="21"/>
                <w:highlight w:val="none"/>
                <w14:textFill>
                  <w14:solidFill>
                    <w14:schemeClr w14:val="tx1"/>
                  </w14:solidFill>
                </w14:textFill>
              </w:rPr>
              <w:t>80</w:t>
            </w:r>
            <w:r>
              <w:rPr>
                <w:rFonts w:ascii="宋体" w:hAnsi="宋体" w:eastAsia="宋体"/>
                <w:color w:val="000000" w:themeColor="text1"/>
                <w:sz w:val="21"/>
                <w:szCs w:val="21"/>
                <w:highlight w:val="none"/>
                <w:lang w:val="pt-BR"/>
                <w14:textFill>
                  <w14:solidFill>
                    <w14:schemeClr w14:val="tx1"/>
                  </w14:solidFill>
                </w14:textFill>
              </w:rPr>
              <w:t>万元</w:t>
            </w:r>
            <w:r>
              <w:rPr>
                <w:rFonts w:hint="eastAsia" w:ascii="宋体" w:hAnsi="宋体" w:eastAsia="宋体"/>
                <w:color w:val="000000" w:themeColor="text1"/>
                <w:sz w:val="21"/>
                <w:szCs w:val="21"/>
                <w:highlight w:val="none"/>
                <w:lang w:val="pt-BR"/>
                <w14:textFill>
                  <w14:solidFill>
                    <w14:schemeClr w14:val="tx1"/>
                  </w14:solidFill>
                </w14:textFill>
              </w:rPr>
              <w:t>≤</w:t>
            </w:r>
            <w:r>
              <w:rPr>
                <w:rFonts w:ascii="宋体" w:hAnsi="宋体" w:eastAsia="宋体"/>
                <w:color w:val="000000" w:themeColor="text1"/>
                <w:sz w:val="21"/>
                <w:szCs w:val="21"/>
                <w:highlight w:val="none"/>
                <w:lang w:val="pt-BR"/>
                <w14:textFill>
                  <w14:solidFill>
                    <w14:schemeClr w14:val="tx1"/>
                  </w14:solidFill>
                </w14:textFill>
              </w:rPr>
              <w:t>年度配送服务项目总金额＜</w:t>
            </w:r>
            <w:r>
              <w:rPr>
                <w:rFonts w:hint="eastAsia" w:ascii="宋体" w:hAnsi="宋体" w:eastAsia="宋体"/>
                <w:color w:val="000000" w:themeColor="text1"/>
                <w:sz w:val="21"/>
                <w:szCs w:val="21"/>
                <w:highlight w:val="none"/>
                <w14:textFill>
                  <w14:solidFill>
                    <w14:schemeClr w14:val="tx1"/>
                  </w14:solidFill>
                </w14:textFill>
              </w:rPr>
              <w:t>150</w:t>
            </w:r>
            <w:r>
              <w:rPr>
                <w:rFonts w:ascii="宋体" w:hAnsi="宋体" w:eastAsia="宋体"/>
                <w:color w:val="000000" w:themeColor="text1"/>
                <w:sz w:val="21"/>
                <w:szCs w:val="21"/>
                <w:highlight w:val="none"/>
                <w:lang w:val="pt-BR"/>
                <w14:textFill>
                  <w14:solidFill>
                    <w14:schemeClr w14:val="tx1"/>
                  </w14:solidFill>
                </w14:textFill>
              </w:rPr>
              <w:t>万元的前述业绩，每项得</w:t>
            </w:r>
            <w:r>
              <w:rPr>
                <w:rFonts w:hint="eastAsia" w:ascii="宋体" w:hAnsi="宋体" w:eastAsia="宋体"/>
                <w:color w:val="000000" w:themeColor="text1"/>
                <w:sz w:val="21"/>
                <w:szCs w:val="21"/>
                <w:highlight w:val="none"/>
                <w:lang w:val="pt-BR"/>
                <w14:textFill>
                  <w14:solidFill>
                    <w14:schemeClr w14:val="tx1"/>
                  </w14:solidFill>
                </w14:textFill>
              </w:rPr>
              <w:t>1</w:t>
            </w:r>
            <w:r>
              <w:rPr>
                <w:rFonts w:ascii="宋体" w:hAnsi="宋体" w:eastAsia="宋体"/>
                <w:color w:val="000000" w:themeColor="text1"/>
                <w:sz w:val="21"/>
                <w:szCs w:val="21"/>
                <w:highlight w:val="none"/>
                <w:lang w:val="pt-BR"/>
                <w14:textFill>
                  <w14:solidFill>
                    <w14:schemeClr w14:val="tx1"/>
                  </w14:solidFill>
                </w14:textFill>
              </w:rPr>
              <w:t>分</w:t>
            </w:r>
            <w:r>
              <w:rPr>
                <w:rFonts w:hint="eastAsia" w:ascii="宋体" w:hAnsi="宋体" w:eastAsia="宋体"/>
                <w:color w:val="000000" w:themeColor="text1"/>
                <w:sz w:val="21"/>
                <w:szCs w:val="21"/>
                <w:highlight w:val="none"/>
                <w:lang w:val="pt-BR"/>
                <w14:textFill>
                  <w14:solidFill>
                    <w14:schemeClr w14:val="tx1"/>
                  </w14:solidFill>
                </w14:textFill>
              </w:rPr>
              <w:t>，（本子项满分5分）。</w:t>
            </w:r>
          </w:p>
          <w:p>
            <w:pPr>
              <w:pStyle w:val="206"/>
              <w:spacing w:line="360" w:lineRule="auto"/>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w:t>
            </w:r>
          </w:p>
          <w:p>
            <w:pPr>
              <w:pStyle w:val="206"/>
              <w:spacing w:line="360" w:lineRule="auto"/>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（1）业绩须附合同复印件</w:t>
            </w:r>
            <w:r>
              <w:rPr>
                <w:rFonts w:ascii="宋体" w:hAnsi="宋体" w:eastAsia="宋体"/>
                <w:b/>
                <w:color w:val="000000" w:themeColor="text1"/>
                <w:sz w:val="21"/>
                <w:szCs w:val="21"/>
                <w:highlight w:val="none"/>
                <w14:textFill>
                  <w14:solidFill>
                    <w14:schemeClr w14:val="tx1"/>
                  </w14:solidFill>
                </w14:textFill>
              </w:rPr>
              <w:t>加盖投标人公章</w:t>
            </w:r>
            <w:r>
              <w:rPr>
                <w:rFonts w:hint="eastAsia" w:ascii="宋体" w:hAnsi="宋体" w:eastAsia="宋体" w:cs="宋体"/>
                <w:b/>
                <w:bCs/>
                <w:color w:val="000000" w:themeColor="text1"/>
                <w:sz w:val="21"/>
                <w:szCs w:val="21"/>
                <w:highlight w:val="none"/>
                <w14:textFill>
                  <w14:solidFill>
                    <w14:schemeClr w14:val="tx1"/>
                  </w14:solidFill>
                </w14:textFill>
              </w:rPr>
              <w:t>；</w:t>
            </w:r>
          </w:p>
          <w:p>
            <w:pPr>
              <w:pStyle w:val="206"/>
              <w:spacing w:line="360" w:lineRule="auto"/>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合同必须能反映评分条件（合同签订日期为2021年1月1日或以后，合同服务内容必须为食品或者食材配送服务，合同金额），否则，需同时提供对应金额的发票或合同买方出具的书面补充说明文件复印件作为证明文件（需加盖合同买方公章）；</w:t>
            </w:r>
          </w:p>
          <w:p>
            <w:pPr>
              <w:pStyle w:val="206"/>
              <w:spacing w:line="360" w:lineRule="auto"/>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（3）若业绩为框架式协议或资格入围无明确金额的合同，必须同时提供合同期限内已服务发票金额统计表和发票复印件；</w:t>
            </w:r>
          </w:p>
          <w:p>
            <w:pPr>
              <w:pStyle w:val="206"/>
              <w:spacing w:line="360" w:lineRule="auto"/>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（4）若单项合同服务期限为一年的，“</w:t>
            </w:r>
            <w:r>
              <w:rPr>
                <w:rFonts w:hint="eastAsia" w:ascii="宋体" w:hAnsi="宋体" w:eastAsia="宋体" w:cs="宋体"/>
                <w:b/>
                <w:bCs/>
                <w:color w:val="000000" w:themeColor="text1"/>
                <w:sz w:val="21"/>
                <w:szCs w:val="21"/>
                <w:highlight w:val="none"/>
                <w:lang w:val="pt-BR"/>
                <w14:textFill>
                  <w14:solidFill>
                    <w14:schemeClr w14:val="tx1"/>
                  </w14:solidFill>
                </w14:textFill>
              </w:rPr>
              <w:t>年度配送服务项目总金额</w:t>
            </w:r>
            <w:r>
              <w:rPr>
                <w:rFonts w:hint="eastAsia" w:ascii="宋体" w:hAnsi="宋体" w:eastAsia="宋体" w:cs="宋体"/>
                <w:b/>
                <w:bCs/>
                <w:color w:val="000000" w:themeColor="text1"/>
                <w:sz w:val="21"/>
                <w:szCs w:val="21"/>
                <w:highlight w:val="none"/>
                <w14:textFill>
                  <w14:solidFill>
                    <w14:schemeClr w14:val="tx1"/>
                  </w14:solidFill>
                </w14:textFill>
              </w:rPr>
              <w:t>”为单项合同服务期内总金额；若单项合同服务期限超过一年的，“</w:t>
            </w:r>
            <w:r>
              <w:rPr>
                <w:rFonts w:hint="eastAsia" w:ascii="宋体" w:hAnsi="宋体" w:eastAsia="宋体" w:cs="宋体"/>
                <w:b/>
                <w:bCs/>
                <w:color w:val="000000" w:themeColor="text1"/>
                <w:sz w:val="21"/>
                <w:szCs w:val="21"/>
                <w:highlight w:val="none"/>
                <w:lang w:val="pt-BR"/>
                <w14:textFill>
                  <w14:solidFill>
                    <w14:schemeClr w14:val="tx1"/>
                  </w14:solidFill>
                </w14:textFill>
              </w:rPr>
              <w:t>年度配送服务项目总金额</w:t>
            </w:r>
            <w:r>
              <w:rPr>
                <w:rFonts w:hint="eastAsia" w:ascii="宋体" w:hAnsi="宋体" w:eastAsia="宋体" w:cs="宋体"/>
                <w:b/>
                <w:bCs/>
                <w:color w:val="000000" w:themeColor="text1"/>
                <w:sz w:val="21"/>
                <w:szCs w:val="21"/>
                <w:highlight w:val="none"/>
                <w14:textFill>
                  <w14:solidFill>
                    <w14:schemeClr w14:val="tx1"/>
                  </w14:solidFill>
                </w14:textFill>
              </w:rPr>
              <w:t>”为单项合同总金额按照合同期限折算成平均每年度的金额，即（单项合同总金额/合同服务期月数）×12。</w:t>
            </w:r>
          </w:p>
          <w:p>
            <w:pPr>
              <w:pStyle w:val="206"/>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（5）未按上述要求提供证明材料的业绩，或所附材料无法证明填报项目符合本项评分要求的业绩，在评标时将不予考虑。</w:t>
            </w:r>
          </w:p>
        </w:tc>
        <w:tc>
          <w:tcPr>
            <w:tcW w:w="886" w:type="dxa"/>
            <w:tcBorders>
              <w:top w:val="single" w:color="auto" w:sz="4" w:space="0"/>
              <w:left w:val="single" w:color="auto" w:sz="4" w:space="0"/>
              <w:bottom w:val="single" w:color="auto" w:sz="2" w:space="0"/>
              <w:right w:val="single" w:color="auto" w:sz="2" w:space="0"/>
            </w:tcBorders>
            <w:vAlign w:val="center"/>
          </w:tcPr>
          <w:p>
            <w:pPr>
              <w:pStyle w:val="202"/>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7" w:hRule="atLeast"/>
          <w:jc w:val="center"/>
        </w:trPr>
        <w:tc>
          <w:tcPr>
            <w:tcW w:w="627" w:type="dxa"/>
            <w:tcBorders>
              <w:left w:val="single" w:color="auto" w:sz="2" w:space="0"/>
              <w:bottom w:val="single" w:color="auto" w:sz="2" w:space="0"/>
              <w:right w:val="single" w:color="auto" w:sz="4"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980" w:type="dxa"/>
            <w:tcBorders>
              <w:left w:val="single" w:color="auto" w:sz="4" w:space="0"/>
              <w:bottom w:val="single" w:color="auto" w:sz="2" w:space="0"/>
              <w:right w:val="single" w:color="auto" w:sz="2" w:space="0"/>
            </w:tcBorders>
            <w:vAlign w:val="center"/>
          </w:tcPr>
          <w:p>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拟投入本项目的配送场所面积</w:t>
            </w:r>
          </w:p>
        </w:tc>
        <w:tc>
          <w:tcPr>
            <w:tcW w:w="7877" w:type="dxa"/>
            <w:tcBorders>
              <w:top w:val="single" w:color="auto" w:sz="4" w:space="0"/>
              <w:left w:val="single" w:color="auto" w:sz="4" w:space="0"/>
              <w:bottom w:val="single" w:color="auto" w:sz="4" w:space="0"/>
              <w:right w:val="single" w:color="auto" w:sz="2" w:space="0"/>
            </w:tcBorders>
            <w:vAlign w:val="center"/>
          </w:tcPr>
          <w:p>
            <w:pPr>
              <w:pStyle w:val="129"/>
              <w:spacing w:line="360" w:lineRule="auto"/>
              <w:ind w:left="40" w:hanging="360" w:firstLineChars="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1、</w:t>
            </w:r>
            <w:r>
              <w:rPr>
                <w:rFonts w:ascii="宋体" w:hAnsi="宋体" w:eastAsia="宋体" w:cs="宋体"/>
                <w:color w:val="000000" w:themeColor="text1"/>
                <w:szCs w:val="21"/>
                <w:highlight w:val="none"/>
                <w14:textFill>
                  <w14:solidFill>
                    <w14:schemeClr w14:val="tx1"/>
                  </w14:solidFill>
                </w14:textFill>
              </w:rPr>
              <w:t>投标人拟投入本项目的配送场所（本项满分得7分)</w:t>
            </w:r>
          </w:p>
          <w:p>
            <w:pPr>
              <w:pStyle w:val="129"/>
              <w:spacing w:line="360" w:lineRule="auto"/>
              <w:ind w:left="40" w:hanging="360" w:firstLineChars="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ascii="宋体" w:hAnsi="宋体" w:eastAsia="宋体" w:cs="宋体"/>
                <w:color w:val="000000" w:themeColor="text1"/>
                <w:szCs w:val="21"/>
                <w:highlight w:val="none"/>
                <w14:textFill>
                  <w14:solidFill>
                    <w14:schemeClr w14:val="tx1"/>
                  </w14:solidFill>
                </w14:textFill>
              </w:rPr>
              <w:t>配送场所面积≥6000㎡，得7分。</w:t>
            </w:r>
          </w:p>
          <w:p>
            <w:pPr>
              <w:pStyle w:val="129"/>
              <w:spacing w:line="360" w:lineRule="auto"/>
              <w:ind w:left="40" w:hanging="360" w:firstLineChars="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（2）</w:t>
            </w:r>
            <w:r>
              <w:rPr>
                <w:rFonts w:ascii="宋体" w:hAnsi="宋体" w:eastAsia="宋体" w:cs="宋体"/>
                <w:color w:val="000000" w:themeColor="text1"/>
                <w:szCs w:val="21"/>
                <w:highlight w:val="none"/>
                <w14:textFill>
                  <w14:solidFill>
                    <w14:schemeClr w14:val="tx1"/>
                  </w14:solidFill>
                </w14:textFill>
              </w:rPr>
              <w:t>4000㎡≤配送场所面积＜6000㎡ ，得4分。</w:t>
            </w:r>
          </w:p>
          <w:p>
            <w:pPr>
              <w:pStyle w:val="129"/>
              <w:spacing w:line="360" w:lineRule="auto"/>
              <w:ind w:left="40" w:hanging="360" w:firstLineChars="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（3）</w:t>
            </w:r>
            <w:r>
              <w:rPr>
                <w:rFonts w:ascii="宋体" w:hAnsi="宋体" w:eastAsia="宋体" w:cs="宋体"/>
                <w:color w:val="000000" w:themeColor="text1"/>
                <w:szCs w:val="21"/>
                <w:highlight w:val="none"/>
                <w14:textFill>
                  <w14:solidFill>
                    <w14:schemeClr w14:val="tx1"/>
                  </w14:solidFill>
                </w14:textFill>
              </w:rPr>
              <w:t>2000㎡≤配送场所面积＜4000㎡ 得1分。</w:t>
            </w:r>
          </w:p>
          <w:p>
            <w:pPr>
              <w:pStyle w:val="129"/>
              <w:spacing w:line="360" w:lineRule="auto"/>
              <w:ind w:left="40" w:hanging="360" w:firstLineChars="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w:t>
            </w:r>
            <w:r>
              <w:rPr>
                <w:rFonts w:ascii="宋体" w:hAnsi="宋体" w:eastAsia="宋体" w:cs="宋体"/>
                <w:color w:val="000000" w:themeColor="text1"/>
                <w:szCs w:val="21"/>
                <w:highlight w:val="none"/>
                <w14:textFill>
                  <w14:solidFill>
                    <w14:schemeClr w14:val="tx1"/>
                  </w14:solidFill>
                </w14:textFill>
              </w:rPr>
              <w:t>其它情况得0分。</w:t>
            </w:r>
          </w:p>
          <w:p>
            <w:pPr>
              <w:pStyle w:val="129"/>
              <w:spacing w:line="360" w:lineRule="auto"/>
              <w:ind w:left="40" w:hanging="360" w:firstLineChars="0"/>
              <w:rPr>
                <w:rFonts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注</w:t>
            </w:r>
            <w:r>
              <w:rPr>
                <w:rFonts w:hint="eastAsia" w:ascii="宋体" w:hAnsi="宋体" w:eastAsia="宋体" w:cs="宋体"/>
                <w:b/>
                <w:bCs/>
                <w:color w:val="000000" w:themeColor="text1"/>
                <w:szCs w:val="21"/>
                <w:highlight w:val="none"/>
                <w14:textFill>
                  <w14:solidFill>
                    <w14:schemeClr w14:val="tx1"/>
                  </w14:solidFill>
                </w14:textFill>
              </w:rPr>
              <w:t>注：</w:t>
            </w:r>
            <w:r>
              <w:rPr>
                <w:rFonts w:ascii="宋体" w:hAnsi="宋体" w:eastAsia="宋体" w:cs="宋体"/>
                <w:b/>
                <w:bCs/>
                <w:color w:val="000000" w:themeColor="text1"/>
                <w:szCs w:val="21"/>
                <w:highlight w:val="none"/>
                <w14:textFill>
                  <w14:solidFill>
                    <w14:schemeClr w14:val="tx1"/>
                  </w14:solidFill>
                </w14:textFill>
              </w:rPr>
              <w:t>投标人须提供其配送场所的使用权证明材料，如产权证明或租赁合同（租赁的有效期必须覆盖</w:t>
            </w:r>
            <w:r>
              <w:rPr>
                <w:rFonts w:hint="eastAsia" w:ascii="宋体" w:hAnsi="宋体" w:eastAsia="宋体" w:cs="宋体"/>
                <w:b/>
                <w:bCs/>
                <w:color w:val="000000" w:themeColor="text1"/>
                <w:szCs w:val="21"/>
                <w:highlight w:val="none"/>
                <w14:textFill>
                  <w14:solidFill>
                    <w14:schemeClr w14:val="tx1"/>
                  </w14:solidFill>
                </w14:textFill>
              </w:rPr>
              <w:t>2024</w:t>
            </w:r>
            <w:r>
              <w:rPr>
                <w:rFonts w:ascii="宋体" w:hAnsi="宋体" w:eastAsia="宋体" w:cs="宋体"/>
                <w:b/>
                <w:bCs/>
                <w:color w:val="000000" w:themeColor="text1"/>
                <w:szCs w:val="21"/>
                <w:highlight w:val="none"/>
                <w14:textFill>
                  <w14:solidFill>
                    <w14:schemeClr w14:val="tx1"/>
                  </w14:solidFill>
                </w14:textFill>
              </w:rPr>
              <w:t>年，需提供</w:t>
            </w:r>
            <w:r>
              <w:rPr>
                <w:rFonts w:hint="eastAsia" w:ascii="宋体" w:hAnsi="宋体" w:eastAsia="宋体" w:cs="宋体"/>
                <w:b/>
                <w:bCs/>
                <w:color w:val="000000" w:themeColor="text1"/>
                <w:szCs w:val="21"/>
                <w:highlight w:val="none"/>
                <w14:textFill>
                  <w14:solidFill>
                    <w14:schemeClr w14:val="tx1"/>
                  </w14:solidFill>
                </w14:textFill>
              </w:rPr>
              <w:t>2024年01月至2024年03月</w:t>
            </w:r>
            <w:r>
              <w:rPr>
                <w:rFonts w:ascii="宋体" w:hAnsi="宋体" w:eastAsia="宋体" w:cs="宋体"/>
                <w:b/>
                <w:bCs/>
                <w:color w:val="000000" w:themeColor="text1"/>
                <w:szCs w:val="21"/>
                <w:highlight w:val="none"/>
                <w14:textFill>
                  <w14:solidFill>
                    <w14:schemeClr w14:val="tx1"/>
                  </w14:solidFill>
                </w14:textFill>
              </w:rPr>
              <w:t>的租金发票或收据）复印件，并加盖投标人公章。</w:t>
            </w:r>
          </w:p>
          <w:p>
            <w:pPr>
              <w:pStyle w:val="129"/>
              <w:spacing w:line="360" w:lineRule="auto"/>
              <w:ind w:left="40" w:hanging="360" w:firstLineChars="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2、</w:t>
            </w:r>
            <w:r>
              <w:rPr>
                <w:rFonts w:ascii="宋体" w:hAnsi="宋体" w:eastAsia="宋体" w:cs="宋体"/>
                <w:color w:val="000000" w:themeColor="text1"/>
                <w:szCs w:val="21"/>
                <w:highlight w:val="none"/>
                <w14:textFill>
                  <w14:solidFill>
                    <w14:schemeClr w14:val="tx1"/>
                  </w14:solidFill>
                </w14:textFill>
              </w:rPr>
              <w:t>投标人拟投入本项目的配送场所内配置的食品冷藏冷冻库(本项满分得2分）</w:t>
            </w:r>
          </w:p>
          <w:p>
            <w:pPr>
              <w:pStyle w:val="129"/>
              <w:spacing w:line="360" w:lineRule="auto"/>
              <w:ind w:left="40" w:hanging="360" w:firstLineChars="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ascii="宋体" w:hAnsi="宋体" w:eastAsia="宋体" w:cs="宋体"/>
                <w:color w:val="000000" w:themeColor="text1"/>
                <w:szCs w:val="21"/>
                <w:highlight w:val="none"/>
                <w14:textFill>
                  <w14:solidFill>
                    <w14:schemeClr w14:val="tx1"/>
                  </w14:solidFill>
                </w14:textFill>
              </w:rPr>
              <w:t>面积≥300㎡，得2分；</w:t>
            </w:r>
          </w:p>
          <w:p>
            <w:pPr>
              <w:pStyle w:val="129"/>
              <w:spacing w:line="360" w:lineRule="auto"/>
              <w:ind w:left="40" w:hanging="360" w:firstLineChars="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（2）</w:t>
            </w:r>
            <w:r>
              <w:rPr>
                <w:rFonts w:ascii="宋体" w:hAnsi="宋体" w:eastAsia="宋体" w:cs="宋体"/>
                <w:color w:val="000000" w:themeColor="text1"/>
                <w:szCs w:val="21"/>
                <w:highlight w:val="none"/>
                <w14:textFill>
                  <w14:solidFill>
                    <w14:schemeClr w14:val="tx1"/>
                  </w14:solidFill>
                </w14:textFill>
              </w:rPr>
              <w:t>100㎡≤面积＜300㎡，得1分；</w:t>
            </w:r>
          </w:p>
          <w:p>
            <w:pPr>
              <w:pStyle w:val="129"/>
              <w:spacing w:line="360" w:lineRule="auto"/>
              <w:ind w:left="40" w:hanging="360" w:firstLineChars="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（3）</w:t>
            </w:r>
            <w:r>
              <w:rPr>
                <w:rFonts w:ascii="宋体" w:hAnsi="宋体" w:eastAsia="宋体" w:cs="宋体"/>
                <w:color w:val="000000" w:themeColor="text1"/>
                <w:szCs w:val="21"/>
                <w:highlight w:val="none"/>
                <w14:textFill>
                  <w14:solidFill>
                    <w14:schemeClr w14:val="tx1"/>
                  </w14:solidFill>
                </w14:textFill>
              </w:rPr>
              <w:t>其它情况得0分。</w:t>
            </w:r>
          </w:p>
          <w:p>
            <w:pPr>
              <w:pStyle w:val="129"/>
              <w:spacing w:line="360" w:lineRule="auto"/>
              <w:ind w:left="40" w:hanging="360" w:firstLineChars="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注</w:t>
            </w:r>
            <w:r>
              <w:rPr>
                <w:rFonts w:hint="eastAsia" w:ascii="宋体" w:hAnsi="宋体" w:eastAsia="宋体" w:cs="宋体"/>
                <w:b/>
                <w:bCs/>
                <w:color w:val="000000" w:themeColor="text1"/>
                <w:szCs w:val="21"/>
                <w:highlight w:val="none"/>
                <w14:textFill>
                  <w14:solidFill>
                    <w14:schemeClr w14:val="tx1"/>
                  </w14:solidFill>
                </w14:textFill>
              </w:rPr>
              <w:t>注：</w:t>
            </w:r>
            <w:r>
              <w:rPr>
                <w:rFonts w:ascii="宋体" w:hAnsi="宋体" w:eastAsia="宋体" w:cs="宋体"/>
                <w:b/>
                <w:bCs/>
                <w:color w:val="000000" w:themeColor="text1"/>
                <w:szCs w:val="21"/>
                <w:highlight w:val="none"/>
                <w14:textFill>
                  <w14:solidFill>
                    <w14:schemeClr w14:val="tx1"/>
                  </w14:solidFill>
                </w14:textFill>
              </w:rPr>
              <w:t>投标人须提供其冷藏冷冻库的使用权证明材料，如产权证明或自建冷藏库的证明或租赁合同（租赁的有效期必须覆盖</w:t>
            </w:r>
            <w:r>
              <w:rPr>
                <w:rFonts w:hint="eastAsia" w:ascii="宋体" w:hAnsi="宋体" w:eastAsia="宋体" w:cs="宋体"/>
                <w:b/>
                <w:bCs/>
                <w:color w:val="000000" w:themeColor="text1"/>
                <w:szCs w:val="21"/>
                <w:highlight w:val="none"/>
                <w14:textFill>
                  <w14:solidFill>
                    <w14:schemeClr w14:val="tx1"/>
                  </w14:solidFill>
                </w14:textFill>
              </w:rPr>
              <w:t>2024</w:t>
            </w:r>
            <w:r>
              <w:rPr>
                <w:rFonts w:ascii="宋体" w:hAnsi="宋体" w:eastAsia="宋体" w:cs="宋体"/>
                <w:b/>
                <w:bCs/>
                <w:color w:val="000000" w:themeColor="text1"/>
                <w:szCs w:val="21"/>
                <w:highlight w:val="none"/>
                <w14:textFill>
                  <w14:solidFill>
                    <w14:schemeClr w14:val="tx1"/>
                  </w14:solidFill>
                </w14:textFill>
              </w:rPr>
              <w:t>年，需提供</w:t>
            </w:r>
            <w:r>
              <w:rPr>
                <w:rFonts w:hint="eastAsia" w:ascii="宋体" w:hAnsi="宋体" w:eastAsia="宋体" w:cs="宋体"/>
                <w:b/>
                <w:bCs/>
                <w:color w:val="000000" w:themeColor="text1"/>
                <w:szCs w:val="21"/>
                <w:highlight w:val="none"/>
                <w14:textFill>
                  <w14:solidFill>
                    <w14:schemeClr w14:val="tx1"/>
                  </w14:solidFill>
                </w14:textFill>
              </w:rPr>
              <w:t>2024年01月至2024年03月</w:t>
            </w:r>
            <w:r>
              <w:rPr>
                <w:rFonts w:ascii="宋体" w:hAnsi="宋体" w:eastAsia="宋体" w:cs="宋体"/>
                <w:b/>
                <w:bCs/>
                <w:color w:val="000000" w:themeColor="text1"/>
                <w:szCs w:val="21"/>
                <w:highlight w:val="none"/>
                <w14:textFill>
                  <w14:solidFill>
                    <w14:schemeClr w14:val="tx1"/>
                  </w14:solidFill>
                </w14:textFill>
              </w:rPr>
              <w:t>的租金发票或收据）复印件，并加盖投标人公章；证明材料须体现冷藏库或冷冻库等相关内容。</w:t>
            </w:r>
          </w:p>
        </w:tc>
        <w:tc>
          <w:tcPr>
            <w:tcW w:w="886" w:type="dxa"/>
            <w:tcBorders>
              <w:top w:val="single" w:color="auto" w:sz="4" w:space="0"/>
              <w:left w:val="single" w:color="auto" w:sz="4" w:space="0"/>
              <w:bottom w:val="single" w:color="auto" w:sz="4" w:space="0"/>
              <w:right w:val="single" w:color="auto" w:sz="2"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9</w:t>
            </w:r>
            <w:r>
              <w:rPr>
                <w:rFonts w:hint="eastAsia" w:hAnsi="宋体" w:cs="宋体"/>
                <w:color w:val="000000" w:themeColor="text1"/>
                <w:szCs w:val="21"/>
                <w:highlight w:val="none"/>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6" w:hRule="atLeast"/>
          <w:jc w:val="center"/>
        </w:trPr>
        <w:tc>
          <w:tcPr>
            <w:tcW w:w="627" w:type="dxa"/>
            <w:tcBorders>
              <w:left w:val="single" w:color="auto" w:sz="2" w:space="0"/>
              <w:bottom w:val="single" w:color="auto" w:sz="2" w:space="0"/>
              <w:right w:val="single" w:color="auto" w:sz="4"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980" w:type="dxa"/>
            <w:tcBorders>
              <w:left w:val="single" w:color="auto" w:sz="4" w:space="0"/>
              <w:bottom w:val="single" w:color="auto" w:sz="2" w:space="0"/>
              <w:right w:val="single" w:color="auto" w:sz="2"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拟投入本项目的人员及车辆情况</w:t>
            </w:r>
          </w:p>
        </w:tc>
        <w:tc>
          <w:tcPr>
            <w:tcW w:w="7877" w:type="dxa"/>
            <w:tcBorders>
              <w:top w:val="single" w:color="auto" w:sz="4" w:space="0"/>
              <w:left w:val="single" w:color="auto" w:sz="4" w:space="0"/>
              <w:bottom w:val="single" w:color="auto" w:sz="4" w:space="0"/>
              <w:right w:val="single" w:color="auto" w:sz="2" w:space="0"/>
            </w:tcBorders>
            <w:vAlign w:val="center"/>
          </w:tcPr>
          <w:p>
            <w:pPr>
              <w:pStyle w:val="202"/>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1、拟投入本项目的人员（满分2分）</w:t>
            </w:r>
          </w:p>
          <w:p>
            <w:pPr>
              <w:pStyle w:val="202"/>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 投标人拟投入本项目的服务团队人员中，至少配备1个（含1个）具有高级食品安全管理员证书的专职管理人员，满足条件的，得1分。（本子项满分1分）；</w:t>
            </w:r>
          </w:p>
          <w:p>
            <w:pPr>
              <w:pStyle w:val="202"/>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 投标人拟投入本项目的服务团队人员中，至少配备1个（含1个）具有食品/农产品检测相关职称证/上岗合格证/培训证的专职检测人员，满足条件的，得1分。（本子项满分1分）。</w:t>
            </w:r>
          </w:p>
          <w:p>
            <w:pPr>
              <w:pStyle w:val="202"/>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注：须提供有效证书复印件，以及投标人2023年12月至2024年02月为其缴纳社保证明的复印件。</w:t>
            </w:r>
          </w:p>
          <w:p>
            <w:pPr>
              <w:pStyle w:val="202"/>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2、拟投入本项目的运输车辆（满分5分）</w:t>
            </w:r>
          </w:p>
          <w:p>
            <w:pPr>
              <w:pStyle w:val="202"/>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①拟投入本项目的运输车辆，每辆车得0.5分。（本子项满分得2分）；</w:t>
            </w:r>
          </w:p>
          <w:p>
            <w:pPr>
              <w:pStyle w:val="202"/>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②拟投入本项目的冷链配送车辆，每辆车得0.5分。（本子项满分得3分）。</w:t>
            </w:r>
          </w:p>
          <w:p>
            <w:pPr>
              <w:pStyle w:val="202"/>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pPr>
              <w:pStyle w:val="202"/>
              <w:spacing w:line="360" w:lineRule="auto"/>
              <w:rPr>
                <w:rFonts w:ascii="宋体" w:hAnsi="宋体" w:cs="宋体"/>
                <w:b/>
                <w:bCs/>
                <w:color w:val="000000" w:themeColor="text1"/>
                <w:szCs w:val="21"/>
                <w:highlight w:val="none"/>
                <w:lang w:val="pt-BR"/>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①以上若是自有车辆的须提供在有效期内的车辆行驶证复印件；若为租赁车辆的须提供</w:t>
            </w:r>
            <w:r>
              <w:rPr>
                <w:rFonts w:hint="eastAsia" w:ascii="宋体" w:hAnsi="宋体" w:cs="宋体"/>
                <w:b/>
                <w:bCs/>
                <w:color w:val="000000" w:themeColor="text1"/>
                <w:szCs w:val="21"/>
                <w:highlight w:val="none"/>
                <w:lang w:val="pt-BR"/>
                <w14:textFill>
                  <w14:solidFill>
                    <w14:schemeClr w14:val="tx1"/>
                  </w14:solidFill>
                </w14:textFill>
              </w:rPr>
              <w:t>租赁合同复印件及在有效期内的车辆行驶证复印件。</w:t>
            </w:r>
          </w:p>
          <w:p>
            <w:pPr>
              <w:pStyle w:val="202"/>
              <w:spacing w:line="360" w:lineRule="auto"/>
              <w:rPr>
                <w:rFonts w:ascii="宋体" w:hAnsi="宋体" w:cs="宋体"/>
                <w:b/>
                <w:bCs/>
                <w:color w:val="000000" w:themeColor="text1"/>
                <w:szCs w:val="21"/>
                <w:highlight w:val="none"/>
                <w:lang w:val="pt-BR"/>
                <w14:textFill>
                  <w14:solidFill>
                    <w14:schemeClr w14:val="tx1"/>
                  </w14:solidFill>
                </w14:textFill>
              </w:rPr>
            </w:pPr>
            <w:r>
              <w:rPr>
                <w:rFonts w:hint="eastAsia" w:ascii="宋体" w:hAnsi="宋体" w:cs="宋体"/>
                <w:b/>
                <w:bCs/>
                <w:color w:val="000000" w:themeColor="text1"/>
                <w:szCs w:val="21"/>
                <w:highlight w:val="none"/>
                <w:lang w:val="pt-BR"/>
                <w14:textFill>
                  <w14:solidFill>
                    <w14:schemeClr w14:val="tx1"/>
                  </w14:solidFill>
                </w14:textFill>
              </w:rPr>
              <w:t>②车辆是否为投标人自有的，以车辆行驶证上的“所有人”为准；</w:t>
            </w:r>
          </w:p>
          <w:p>
            <w:pPr>
              <w:pStyle w:val="202"/>
              <w:spacing w:line="360" w:lineRule="auto"/>
              <w:rPr>
                <w:rFonts w:ascii="宋体" w:hAnsi="宋体" w:cs="宋体"/>
                <w:b/>
                <w:bCs/>
                <w:color w:val="000000" w:themeColor="text1"/>
                <w:szCs w:val="21"/>
                <w:highlight w:val="none"/>
                <w:lang w:val="pt-BR"/>
                <w14:textFill>
                  <w14:solidFill>
                    <w14:schemeClr w14:val="tx1"/>
                  </w14:solidFill>
                </w14:textFill>
              </w:rPr>
            </w:pPr>
            <w:r>
              <w:rPr>
                <w:rFonts w:hint="eastAsia" w:ascii="宋体" w:hAnsi="宋体" w:cs="宋体"/>
                <w:b/>
                <w:bCs/>
                <w:color w:val="000000" w:themeColor="text1"/>
                <w:szCs w:val="21"/>
                <w:highlight w:val="none"/>
                <w:lang w:val="pt-BR"/>
                <w14:textFill>
                  <w14:solidFill>
                    <w14:schemeClr w14:val="tx1"/>
                  </w14:solidFill>
                </w14:textFill>
              </w:rPr>
              <w:t>③车辆是否为冷链（或冷藏或冷冻）车辆以机动车登记证书上所标注的车辆类型（或购车发票上注明的车辆类型）或者提供三张从不同角度拍摄，能有力证明是冷链（或冷藏或冷冻）车辆的照片为准（照片须清晰反映拍摄时间为202</w:t>
            </w:r>
            <w:r>
              <w:rPr>
                <w:rFonts w:hint="eastAsia" w:ascii="宋体" w:hAnsi="宋体" w:cs="宋体"/>
                <w:b/>
                <w:bCs/>
                <w:color w:val="000000" w:themeColor="text1"/>
                <w:szCs w:val="21"/>
                <w:highlight w:val="none"/>
                <w14:textFill>
                  <w14:solidFill>
                    <w14:schemeClr w14:val="tx1"/>
                  </w14:solidFill>
                </w14:textFill>
              </w:rPr>
              <w:t>4</w:t>
            </w:r>
            <w:r>
              <w:rPr>
                <w:rFonts w:hint="eastAsia" w:ascii="宋体" w:hAnsi="宋体" w:cs="宋体"/>
                <w:b/>
                <w:bCs/>
                <w:color w:val="000000" w:themeColor="text1"/>
                <w:szCs w:val="21"/>
                <w:highlight w:val="none"/>
                <w:lang w:val="pt-BR"/>
                <w14:textFill>
                  <w14:solidFill>
                    <w14:schemeClr w14:val="tx1"/>
                  </w14:solidFill>
                </w14:textFill>
              </w:rPr>
              <w:t>年</w:t>
            </w:r>
            <w:r>
              <w:rPr>
                <w:rFonts w:hint="eastAsia" w:ascii="宋体" w:hAnsi="宋体" w:cs="宋体"/>
                <w:b/>
                <w:bCs/>
                <w:color w:val="000000" w:themeColor="text1"/>
                <w:szCs w:val="21"/>
                <w:highlight w:val="none"/>
                <w14:textFill>
                  <w14:solidFill>
                    <w14:schemeClr w14:val="tx1"/>
                  </w14:solidFill>
                </w14:textFill>
              </w:rPr>
              <w:t>4</w:t>
            </w:r>
            <w:r>
              <w:rPr>
                <w:rFonts w:hint="eastAsia" w:ascii="宋体" w:hAnsi="宋体" w:cs="宋体"/>
                <w:b/>
                <w:bCs/>
                <w:color w:val="000000" w:themeColor="text1"/>
                <w:szCs w:val="21"/>
                <w:highlight w:val="none"/>
                <w:lang w:val="pt-BR"/>
                <w14:textFill>
                  <w14:solidFill>
                    <w14:schemeClr w14:val="tx1"/>
                  </w14:solidFill>
                </w14:textFill>
              </w:rPr>
              <w:t>月1日或以后，否则评标时将不予考虑）。</w:t>
            </w:r>
          </w:p>
        </w:tc>
        <w:tc>
          <w:tcPr>
            <w:tcW w:w="886" w:type="dxa"/>
            <w:tcBorders>
              <w:top w:val="single" w:color="auto" w:sz="4" w:space="0"/>
              <w:left w:val="single" w:color="auto" w:sz="4" w:space="0"/>
              <w:bottom w:val="single" w:color="auto" w:sz="4" w:space="0"/>
              <w:right w:val="single" w:color="auto" w:sz="2"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6" w:hRule="atLeast"/>
          <w:jc w:val="center"/>
        </w:trPr>
        <w:tc>
          <w:tcPr>
            <w:tcW w:w="627" w:type="dxa"/>
            <w:tcBorders>
              <w:left w:val="single" w:color="auto" w:sz="2" w:space="0"/>
              <w:bottom w:val="single" w:color="auto" w:sz="2" w:space="0"/>
              <w:right w:val="single" w:color="auto" w:sz="4"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980" w:type="dxa"/>
            <w:tcBorders>
              <w:left w:val="single" w:color="auto" w:sz="4" w:space="0"/>
              <w:bottom w:val="single" w:color="auto" w:sz="2" w:space="0"/>
              <w:right w:val="single" w:color="auto" w:sz="2"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拟供应货品来源情况</w:t>
            </w:r>
          </w:p>
        </w:tc>
        <w:tc>
          <w:tcPr>
            <w:tcW w:w="7877" w:type="dxa"/>
            <w:tcBorders>
              <w:top w:val="single" w:color="auto" w:sz="4" w:space="0"/>
              <w:left w:val="single" w:color="auto" w:sz="4" w:space="0"/>
              <w:bottom w:val="single" w:color="auto" w:sz="4" w:space="0"/>
              <w:right w:val="single" w:color="auto" w:sz="2" w:space="0"/>
            </w:tcBorders>
            <w:vAlign w:val="center"/>
          </w:tcPr>
          <w:p>
            <w:pPr>
              <w:pStyle w:val="202"/>
              <w:spacing w:line="360" w:lineRule="auto"/>
              <w:rPr>
                <w:rFonts w:ascii="宋体" w:hAnsi="宋体" w:cs="宋体"/>
                <w:color w:val="000000" w:themeColor="text1"/>
                <w:szCs w:val="21"/>
                <w:highlight w:val="none"/>
                <w:lang w:val="pt-B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1、粮油干货类：</w:t>
            </w:r>
            <w:r>
              <w:rPr>
                <w:rFonts w:hint="eastAsia" w:ascii="宋体" w:hAnsi="宋体" w:cs="宋体"/>
                <w:color w:val="000000" w:themeColor="text1"/>
                <w:szCs w:val="21"/>
                <w:highlight w:val="none"/>
                <w:lang w:val="pt-BR"/>
                <w14:textFill>
                  <w14:solidFill>
                    <w14:schemeClr w14:val="tx1"/>
                  </w14:solidFill>
                </w14:textFill>
              </w:rPr>
              <w:t>投标人自有供应，或与生产企业签订直接供应采购合作协议，得</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pt-BR"/>
                <w14:textFill>
                  <w14:solidFill>
                    <w14:schemeClr w14:val="tx1"/>
                  </w14:solidFill>
                </w14:textFill>
              </w:rPr>
              <w:t>分。</w:t>
            </w:r>
          </w:p>
          <w:p>
            <w:pPr>
              <w:pStyle w:val="202"/>
              <w:spacing w:line="360" w:lineRule="auto"/>
              <w:rPr>
                <w:rFonts w:ascii="宋体" w:hAnsi="宋体" w:cs="宋体"/>
                <w:b/>
                <w:bCs/>
                <w:color w:val="000000" w:themeColor="text1"/>
                <w:szCs w:val="21"/>
                <w:highlight w:val="none"/>
                <w:lang w:val="pt-BR"/>
                <w14:textFill>
                  <w14:solidFill>
                    <w14:schemeClr w14:val="tx1"/>
                  </w14:solidFill>
                </w14:textFill>
              </w:rPr>
            </w:pPr>
            <w:r>
              <w:rPr>
                <w:rFonts w:hint="eastAsia" w:ascii="宋体" w:hAnsi="宋体" w:cs="宋体"/>
                <w:b/>
                <w:bCs/>
                <w:color w:val="000000" w:themeColor="text1"/>
                <w:szCs w:val="21"/>
                <w:highlight w:val="none"/>
                <w:lang w:val="pt-BR"/>
                <w14:textFill>
                  <w14:solidFill>
                    <w14:schemeClr w14:val="tx1"/>
                  </w14:solidFill>
                </w14:textFill>
              </w:rPr>
              <w:t>注：需提供生产企业（或经销商）</w:t>
            </w:r>
            <w:r>
              <w:rPr>
                <w:rFonts w:hint="eastAsia" w:ascii="宋体" w:hAnsi="宋体" w:cs="宋体"/>
                <w:b/>
                <w:bCs/>
                <w:color w:val="000000" w:themeColor="text1"/>
                <w:szCs w:val="21"/>
                <w:highlight w:val="none"/>
                <w14:textFill>
                  <w14:solidFill>
                    <w14:schemeClr w14:val="tx1"/>
                  </w14:solidFill>
                </w14:textFill>
              </w:rPr>
              <w:t>在有效期内</w:t>
            </w:r>
            <w:r>
              <w:rPr>
                <w:rFonts w:hint="eastAsia" w:ascii="宋体" w:hAnsi="宋体" w:cs="宋体"/>
                <w:b/>
                <w:bCs/>
                <w:color w:val="000000" w:themeColor="text1"/>
                <w:szCs w:val="21"/>
                <w:highlight w:val="none"/>
                <w:lang w:val="pt-BR"/>
                <w14:textFill>
                  <w14:solidFill>
                    <w14:schemeClr w14:val="tx1"/>
                  </w14:solidFill>
                </w14:textFill>
              </w:rPr>
              <w:t>的法人营业执照、食品生产许可证（或食品经营许可证），同时提供投标人与生产企业（或经销商）的合作协议复印件（协议有效期覆盖</w:t>
            </w:r>
            <w:r>
              <w:rPr>
                <w:rFonts w:hint="eastAsia" w:ascii="宋体" w:hAnsi="宋体" w:cs="宋体"/>
                <w:b/>
                <w:bCs/>
                <w:color w:val="000000" w:themeColor="text1"/>
                <w:szCs w:val="21"/>
                <w:highlight w:val="none"/>
                <w14:textFill>
                  <w14:solidFill>
                    <w14:schemeClr w14:val="tx1"/>
                  </w14:solidFill>
                </w14:textFill>
              </w:rPr>
              <w:t>2024</w:t>
            </w:r>
            <w:r>
              <w:rPr>
                <w:rFonts w:hint="eastAsia" w:ascii="宋体" w:hAnsi="宋体" w:cs="宋体"/>
                <w:b/>
                <w:bCs/>
                <w:color w:val="000000" w:themeColor="text1"/>
                <w:szCs w:val="21"/>
                <w:highlight w:val="none"/>
                <w:lang w:val="pt-BR"/>
                <w14:textFill>
                  <w14:solidFill>
                    <w14:schemeClr w14:val="tx1"/>
                  </w14:solidFill>
                </w14:textFill>
              </w:rPr>
              <w:t>年，自营则无需提供合作协议复印件），否则不得分。</w:t>
            </w:r>
          </w:p>
          <w:p>
            <w:pPr>
              <w:pStyle w:val="202"/>
              <w:spacing w:line="360" w:lineRule="auto"/>
              <w:rPr>
                <w:rFonts w:ascii="宋体" w:hAnsi="宋体" w:cs="宋体"/>
                <w:color w:val="000000" w:themeColor="text1"/>
                <w:szCs w:val="21"/>
                <w:highlight w:val="none"/>
                <w:lang w:val="pt-B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pt-BR"/>
                <w14:textFill>
                  <w14:solidFill>
                    <w14:schemeClr w14:val="tx1"/>
                  </w14:solidFill>
                </w14:textFill>
              </w:rPr>
              <w:t>肉类供应：投标人自有供应，或与生产企业签订直接供应采购合作协议，得</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pt-BR"/>
                <w14:textFill>
                  <w14:solidFill>
                    <w14:schemeClr w14:val="tx1"/>
                  </w14:solidFill>
                </w14:textFill>
              </w:rPr>
              <w:t>分。</w:t>
            </w:r>
          </w:p>
          <w:p>
            <w:pPr>
              <w:pStyle w:val="202"/>
              <w:spacing w:line="360" w:lineRule="auto"/>
              <w:rPr>
                <w:rFonts w:ascii="宋体" w:hAnsi="宋体" w:cs="宋体"/>
                <w:b/>
                <w:bCs/>
                <w:color w:val="000000" w:themeColor="text1"/>
                <w:szCs w:val="21"/>
                <w:highlight w:val="none"/>
                <w:lang w:val="pt-BR"/>
                <w14:textFill>
                  <w14:solidFill>
                    <w14:schemeClr w14:val="tx1"/>
                  </w14:solidFill>
                </w14:textFill>
              </w:rPr>
            </w:pPr>
            <w:r>
              <w:rPr>
                <w:rFonts w:hint="eastAsia" w:ascii="宋体" w:hAnsi="宋体" w:cs="宋体"/>
                <w:b/>
                <w:bCs/>
                <w:color w:val="000000" w:themeColor="text1"/>
                <w:szCs w:val="21"/>
                <w:highlight w:val="none"/>
                <w:lang w:val="pt-BR"/>
                <w14:textFill>
                  <w14:solidFill>
                    <w14:schemeClr w14:val="tx1"/>
                  </w14:solidFill>
                </w14:textFill>
              </w:rPr>
              <w:t>注：需提供生产企业（或经销商）</w:t>
            </w:r>
            <w:r>
              <w:rPr>
                <w:rFonts w:hint="eastAsia" w:ascii="宋体" w:hAnsi="宋体" w:cs="宋体"/>
                <w:b/>
                <w:bCs/>
                <w:color w:val="000000" w:themeColor="text1"/>
                <w:szCs w:val="21"/>
                <w:highlight w:val="none"/>
                <w14:textFill>
                  <w14:solidFill>
                    <w14:schemeClr w14:val="tx1"/>
                  </w14:solidFill>
                </w14:textFill>
              </w:rPr>
              <w:t>在有效期内</w:t>
            </w:r>
            <w:r>
              <w:rPr>
                <w:rFonts w:hint="eastAsia" w:ascii="宋体" w:hAnsi="宋体" w:cs="宋体"/>
                <w:b/>
                <w:bCs/>
                <w:color w:val="000000" w:themeColor="text1"/>
                <w:szCs w:val="21"/>
                <w:highlight w:val="none"/>
                <w:lang w:val="pt-BR"/>
                <w14:textFill>
                  <w14:solidFill>
                    <w14:schemeClr w14:val="tx1"/>
                  </w14:solidFill>
                </w14:textFill>
              </w:rPr>
              <w:t>的法人营业执照、食品生产许可证（或食品经营许可证）、动物防疫合格证的复印件，同时提供投标人与生产企业（或经销商）的合作协议复印件（协议有效期覆盖</w:t>
            </w:r>
            <w:r>
              <w:rPr>
                <w:rFonts w:hint="eastAsia" w:ascii="宋体" w:hAnsi="宋体" w:cs="宋体"/>
                <w:b/>
                <w:bCs/>
                <w:color w:val="000000" w:themeColor="text1"/>
                <w:szCs w:val="21"/>
                <w:highlight w:val="none"/>
                <w14:textFill>
                  <w14:solidFill>
                    <w14:schemeClr w14:val="tx1"/>
                  </w14:solidFill>
                </w14:textFill>
              </w:rPr>
              <w:t>2024</w:t>
            </w:r>
            <w:r>
              <w:rPr>
                <w:rFonts w:hint="eastAsia" w:ascii="宋体" w:hAnsi="宋体" w:cs="宋体"/>
                <w:b/>
                <w:bCs/>
                <w:color w:val="000000" w:themeColor="text1"/>
                <w:szCs w:val="21"/>
                <w:highlight w:val="none"/>
                <w:lang w:val="pt-BR"/>
                <w14:textFill>
                  <w14:solidFill>
                    <w14:schemeClr w14:val="tx1"/>
                  </w14:solidFill>
                </w14:textFill>
              </w:rPr>
              <w:t>年，自营则无需提供合作协议复印件），否则不得分。</w:t>
            </w:r>
          </w:p>
          <w:p>
            <w:pPr>
              <w:pStyle w:val="202"/>
              <w:spacing w:line="360" w:lineRule="auto"/>
              <w:rPr>
                <w:rFonts w:ascii="宋体" w:hAnsi="宋体" w:cs="宋体"/>
                <w:color w:val="000000" w:themeColor="text1"/>
                <w:szCs w:val="21"/>
                <w:highlight w:val="none"/>
                <w:lang w:val="pt-B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pt-BR"/>
                <w14:textFill>
                  <w14:solidFill>
                    <w14:schemeClr w14:val="tx1"/>
                  </w14:solidFill>
                </w14:textFill>
              </w:rPr>
              <w:t>、蔬</w:t>
            </w:r>
            <w:r>
              <w:rPr>
                <w:rFonts w:hint="eastAsia" w:ascii="宋体" w:hAnsi="宋体" w:cs="宋体"/>
                <w:color w:val="000000" w:themeColor="text1"/>
                <w:szCs w:val="21"/>
                <w:highlight w:val="none"/>
                <w14:textFill>
                  <w14:solidFill>
                    <w14:schemeClr w14:val="tx1"/>
                  </w14:solidFill>
                </w14:textFill>
              </w:rPr>
              <w:t>果</w:t>
            </w:r>
            <w:r>
              <w:rPr>
                <w:rFonts w:hint="eastAsia" w:ascii="宋体" w:hAnsi="宋体" w:cs="宋体"/>
                <w:color w:val="000000" w:themeColor="text1"/>
                <w:szCs w:val="21"/>
                <w:highlight w:val="none"/>
                <w:lang w:val="pt-BR"/>
                <w14:textFill>
                  <w14:solidFill>
                    <w14:schemeClr w14:val="tx1"/>
                  </w14:solidFill>
                </w14:textFill>
              </w:rPr>
              <w:t>类供应：投标人自有供应，或与生产企业签订直接供应采购合作协议，得</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pt-BR"/>
                <w14:textFill>
                  <w14:solidFill>
                    <w14:schemeClr w14:val="tx1"/>
                  </w14:solidFill>
                </w14:textFill>
              </w:rPr>
              <w:t>分。</w:t>
            </w:r>
          </w:p>
          <w:p>
            <w:pPr>
              <w:pStyle w:val="202"/>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pt-BR"/>
                <w14:textFill>
                  <w14:solidFill>
                    <w14:schemeClr w14:val="tx1"/>
                  </w14:solidFill>
                </w14:textFill>
              </w:rPr>
              <w:t>注：投标人需提供生产企业（或经销商）</w:t>
            </w:r>
            <w:r>
              <w:rPr>
                <w:rFonts w:hint="eastAsia" w:ascii="宋体" w:hAnsi="宋体" w:cs="宋体"/>
                <w:b/>
                <w:bCs/>
                <w:color w:val="000000" w:themeColor="text1"/>
                <w:szCs w:val="21"/>
                <w:highlight w:val="none"/>
                <w14:textFill>
                  <w14:solidFill>
                    <w14:schemeClr w14:val="tx1"/>
                  </w14:solidFill>
                </w14:textFill>
              </w:rPr>
              <w:t>在有效期内</w:t>
            </w:r>
            <w:r>
              <w:rPr>
                <w:rFonts w:hint="eastAsia" w:ascii="宋体" w:hAnsi="宋体" w:cs="宋体"/>
                <w:b/>
                <w:bCs/>
                <w:color w:val="000000" w:themeColor="text1"/>
                <w:szCs w:val="21"/>
                <w:highlight w:val="none"/>
                <w:lang w:val="pt-BR"/>
                <w14:textFill>
                  <w14:solidFill>
                    <w14:schemeClr w14:val="tx1"/>
                  </w14:solidFill>
                </w14:textFill>
              </w:rPr>
              <w:t>的法人营业执照、食品生产许可证（或食品经营许可证）的复印件，同时提供投标人与生产企业（或经销商）的合作协议复印件（协议有效期覆盖</w:t>
            </w:r>
            <w:r>
              <w:rPr>
                <w:rFonts w:hint="eastAsia" w:ascii="宋体" w:hAnsi="宋体" w:cs="宋体"/>
                <w:b/>
                <w:bCs/>
                <w:color w:val="000000" w:themeColor="text1"/>
                <w:szCs w:val="21"/>
                <w:highlight w:val="none"/>
                <w14:textFill>
                  <w14:solidFill>
                    <w14:schemeClr w14:val="tx1"/>
                  </w14:solidFill>
                </w14:textFill>
              </w:rPr>
              <w:t>2024</w:t>
            </w:r>
            <w:r>
              <w:rPr>
                <w:rFonts w:hint="eastAsia" w:ascii="宋体" w:hAnsi="宋体" w:cs="宋体"/>
                <w:b/>
                <w:bCs/>
                <w:color w:val="000000" w:themeColor="text1"/>
                <w:szCs w:val="21"/>
                <w:highlight w:val="none"/>
                <w:lang w:val="pt-BR"/>
                <w14:textFill>
                  <w14:solidFill>
                    <w14:schemeClr w14:val="tx1"/>
                  </w14:solidFill>
                </w14:textFill>
              </w:rPr>
              <w:t>年，自营则无需提供合作协议复印件），否则不得分。</w:t>
            </w:r>
          </w:p>
        </w:tc>
        <w:tc>
          <w:tcPr>
            <w:tcW w:w="886" w:type="dxa"/>
            <w:tcBorders>
              <w:top w:val="single" w:color="auto" w:sz="4" w:space="0"/>
              <w:left w:val="single" w:color="auto" w:sz="4" w:space="0"/>
              <w:bottom w:val="single" w:color="auto" w:sz="4" w:space="0"/>
              <w:right w:val="single" w:color="auto" w:sz="2"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7" w:hRule="atLeast"/>
          <w:jc w:val="center"/>
        </w:trPr>
        <w:tc>
          <w:tcPr>
            <w:tcW w:w="627" w:type="dxa"/>
            <w:tcBorders>
              <w:left w:val="single" w:color="auto" w:sz="2" w:space="0"/>
              <w:bottom w:val="single" w:color="auto" w:sz="2" w:space="0"/>
              <w:right w:val="single" w:color="auto" w:sz="4"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980" w:type="dxa"/>
            <w:tcBorders>
              <w:left w:val="single" w:color="auto" w:sz="4" w:space="0"/>
              <w:bottom w:val="single" w:color="auto" w:sz="2" w:space="0"/>
              <w:right w:val="single" w:color="auto" w:sz="2"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食品安全责任险</w:t>
            </w:r>
          </w:p>
        </w:tc>
        <w:tc>
          <w:tcPr>
            <w:tcW w:w="7877" w:type="dxa"/>
            <w:tcBorders>
              <w:top w:val="single" w:color="auto" w:sz="4" w:space="0"/>
              <w:left w:val="single" w:color="auto" w:sz="4" w:space="0"/>
              <w:bottom w:val="single" w:color="auto" w:sz="4" w:space="0"/>
              <w:right w:val="single" w:color="auto" w:sz="2" w:space="0"/>
            </w:tcBorders>
            <w:vAlign w:val="center"/>
          </w:tcPr>
          <w:p>
            <w:pPr>
              <w:pStyle w:val="202"/>
              <w:numPr>
                <w:ilvl w:val="255"/>
                <w:numId w:val="0"/>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2023年1月1日（以保险合同签订时间或保险单签单时间为准）至今，以投标人名义累计已购买食品安全责任险，按下列情况评分，满分3分：</w:t>
            </w:r>
          </w:p>
          <w:p>
            <w:pPr>
              <w:pStyle w:val="202"/>
              <w:numPr>
                <w:ilvl w:val="255"/>
                <w:numId w:val="0"/>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①累计已购买食品安全责任险额度≥20000万元，得3分；</w:t>
            </w:r>
          </w:p>
          <w:p>
            <w:pPr>
              <w:pStyle w:val="202"/>
              <w:numPr>
                <w:ilvl w:val="255"/>
                <w:numId w:val="0"/>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②10000万元≤累计已购买食品安全责任险额度＜20000万元，得2分；</w:t>
            </w:r>
          </w:p>
          <w:p>
            <w:pPr>
              <w:pStyle w:val="202"/>
              <w:numPr>
                <w:ilvl w:val="255"/>
                <w:numId w:val="0"/>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③5000万元＜累计已购买食品安全责任险额度＜10000万元，得1分。</w:t>
            </w:r>
          </w:p>
          <w:p>
            <w:pPr>
              <w:pStyle w:val="202"/>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注：投标人须附对应保险合同（或保险单）复印件，加盖投标人公章。（保险合同签订时间或保险单的签单时间须在本项目招标公告发布日期之前）</w:t>
            </w:r>
          </w:p>
        </w:tc>
        <w:tc>
          <w:tcPr>
            <w:tcW w:w="886" w:type="dxa"/>
            <w:tcBorders>
              <w:top w:val="single" w:color="auto" w:sz="4" w:space="0"/>
              <w:left w:val="single" w:color="auto" w:sz="4" w:space="0"/>
              <w:bottom w:val="single" w:color="auto" w:sz="4" w:space="0"/>
              <w:right w:val="single" w:color="auto" w:sz="2" w:space="0"/>
            </w:tcBorders>
            <w:vAlign w:val="center"/>
          </w:tcPr>
          <w:p>
            <w:pPr>
              <w:pStyle w:val="202"/>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jc w:val="center"/>
        </w:trPr>
        <w:tc>
          <w:tcPr>
            <w:tcW w:w="9484" w:type="dxa"/>
            <w:gridSpan w:val="3"/>
            <w:tcBorders>
              <w:left w:val="single" w:color="auto" w:sz="2" w:space="0"/>
              <w:right w:val="single" w:color="auto" w:sz="2" w:space="0"/>
            </w:tcBorders>
            <w:vAlign w:val="center"/>
          </w:tcPr>
          <w:p>
            <w:pPr>
              <w:spacing w:after="160" w:line="360" w:lineRule="auto"/>
              <w:ind w:left="247"/>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商务总分</w:t>
            </w:r>
          </w:p>
        </w:tc>
        <w:tc>
          <w:tcPr>
            <w:tcW w:w="886" w:type="dxa"/>
            <w:tcBorders>
              <w:top w:val="single" w:color="auto" w:sz="4" w:space="0"/>
              <w:left w:val="single" w:color="auto" w:sz="4" w:space="0"/>
              <w:bottom w:val="single" w:color="auto" w:sz="4" w:space="0"/>
              <w:right w:val="single" w:color="auto" w:sz="2" w:space="0"/>
            </w:tcBorders>
            <w:vAlign w:val="center"/>
          </w:tcPr>
          <w:p>
            <w:pPr>
              <w:snapToGrid w:val="0"/>
              <w:spacing w:line="360" w:lineRule="auto"/>
              <w:ind w:left="247"/>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60</w:t>
            </w:r>
          </w:p>
        </w:tc>
      </w:tr>
    </w:tbl>
    <w:p>
      <w:pPr>
        <w:autoSpaceDE w:val="0"/>
        <w:autoSpaceDN w:val="0"/>
        <w:adjustRightInd w:val="0"/>
        <w:ind w:left="-320" w:right="-26" w:firstLine="480"/>
        <w:jc w:val="center"/>
        <w:rPr>
          <w:rFonts w:ascii="宋体" w:hAnsi="宋体" w:eastAsia="宋体" w:cs="Times New Roman"/>
          <w:b/>
          <w:bCs/>
          <w:color w:val="000000" w:themeColor="text1"/>
          <w:kern w:val="0"/>
          <w:sz w:val="24"/>
          <w:szCs w:val="24"/>
          <w:highlight w:val="none"/>
          <w14:textFill>
            <w14:solidFill>
              <w14:schemeClr w14:val="tx1"/>
            </w14:solidFill>
          </w14:textFill>
        </w:rPr>
      </w:pPr>
    </w:p>
    <w:p>
      <w:pPr>
        <w:numPr>
          <w:ilvl w:val="0"/>
          <w:numId w:val="4"/>
        </w:numPr>
        <w:tabs>
          <w:tab w:val="left" w:pos="585"/>
        </w:tabs>
        <w:autoSpaceDE w:val="0"/>
        <w:autoSpaceDN w:val="0"/>
        <w:adjustRightInd w:val="0"/>
        <w:spacing w:line="360" w:lineRule="auto"/>
        <w:ind w:left="24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技术：</w:t>
      </w:r>
      <w:r>
        <w:rPr>
          <w:rFonts w:hint="eastAsia" w:ascii="宋体" w:hAnsi="宋体" w:eastAsia="宋体" w:cs="宋体"/>
          <w:b/>
          <w:color w:val="000000" w:themeColor="text1"/>
          <w:szCs w:val="21"/>
          <w:highlight w:val="none"/>
          <w:lang w:val="zh-CN"/>
          <w14:textFill>
            <w14:solidFill>
              <w14:schemeClr w14:val="tx1"/>
            </w14:solidFill>
          </w14:textFill>
        </w:rPr>
        <w:t>总分</w:t>
      </w:r>
      <w:r>
        <w:rPr>
          <w:rFonts w:hint="eastAsia" w:ascii="宋体" w:hAnsi="宋体" w:eastAsia="宋体" w:cs="宋体"/>
          <w:b/>
          <w:color w:val="000000" w:themeColor="text1"/>
          <w:szCs w:val="21"/>
          <w:highlight w:val="none"/>
          <w14:textFill>
            <w14:solidFill>
              <w14:schemeClr w14:val="tx1"/>
            </w14:solidFill>
          </w14:textFill>
        </w:rPr>
        <w:t>40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681"/>
    </w:p>
    <w:tbl>
      <w:tblPr>
        <w:tblStyle w:val="3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896"/>
        <w:gridCol w:w="7921"/>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43" w:type="dxa"/>
            <w:vAlign w:val="center"/>
          </w:tcPr>
          <w:p>
            <w:pPr>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896" w:type="dxa"/>
            <w:tcBorders>
              <w:bottom w:val="single" w:color="auto" w:sz="4" w:space="0"/>
            </w:tcBorders>
            <w:vAlign w:val="center"/>
          </w:tcPr>
          <w:p>
            <w:pPr>
              <w:pStyle w:val="202"/>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评审内容</w:t>
            </w:r>
          </w:p>
        </w:tc>
        <w:tc>
          <w:tcPr>
            <w:tcW w:w="7921" w:type="dxa"/>
            <w:tcBorders>
              <w:bottom w:val="single" w:color="auto" w:sz="4" w:space="0"/>
            </w:tcBorders>
            <w:vAlign w:val="center"/>
          </w:tcPr>
          <w:p>
            <w:pPr>
              <w:pStyle w:val="202"/>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评审细则</w:t>
            </w:r>
          </w:p>
        </w:tc>
        <w:tc>
          <w:tcPr>
            <w:tcW w:w="910" w:type="dxa"/>
            <w:vAlign w:val="center"/>
          </w:tcPr>
          <w:p>
            <w:pPr>
              <w:pStyle w:val="202"/>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43" w:type="dxa"/>
            <w:vAlign w:val="center"/>
          </w:tcPr>
          <w:p>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896"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用户需求的响应程度</w:t>
            </w:r>
          </w:p>
        </w:tc>
        <w:tc>
          <w:tcPr>
            <w:tcW w:w="7921" w:type="dxa"/>
            <w:vAlign w:val="center"/>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用户需求偏离表的偏离情况进行评审计分，完全满足用户需求的要求得满分，每一处负偏离，扣2分，同时参照其投标文件中商务、技术资料的内容进行对比，每发现一处投标人填写为无偏离或正偏离，但评标委员会评审认定其为负偏离的，每处扣5分，本项最低分为0分。</w:t>
            </w:r>
          </w:p>
        </w:tc>
        <w:tc>
          <w:tcPr>
            <w:tcW w:w="910"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43" w:type="dxa"/>
            <w:vAlign w:val="center"/>
          </w:tcPr>
          <w:p>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896" w:type="dxa"/>
            <w:vAlign w:val="center"/>
          </w:tcPr>
          <w:p>
            <w:pPr>
              <w:spacing w:line="360" w:lineRule="auto"/>
              <w:jc w:val="center"/>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总体</w:t>
            </w:r>
            <w:r>
              <w:rPr>
                <w:rFonts w:hint="eastAsia" w:ascii="宋体" w:hAnsi="宋体" w:eastAsia="宋体" w:cs="宋体"/>
                <w:color w:val="000000" w:themeColor="text1"/>
                <w:szCs w:val="21"/>
                <w:highlight w:val="none"/>
                <w:lang w:val="zh-CN"/>
                <w14:textFill>
                  <w14:solidFill>
                    <w14:schemeClr w14:val="tx1"/>
                  </w14:solidFill>
                </w14:textFill>
              </w:rPr>
              <w:t>实施方案</w:t>
            </w:r>
          </w:p>
        </w:tc>
        <w:tc>
          <w:tcPr>
            <w:tcW w:w="7921" w:type="dxa"/>
            <w:vAlign w:val="center"/>
          </w:tcPr>
          <w:p>
            <w:pPr>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根据各投标人的供货方案、进度安排、验收方案等的科学性、合理性、可靠性进行综合评价：按优[10-8分]、良（8-6分]、中（6-4分]、差(4-0]进行评分。</w:t>
            </w:r>
          </w:p>
        </w:tc>
        <w:tc>
          <w:tcPr>
            <w:tcW w:w="910" w:type="dxa"/>
            <w:vAlign w:val="center"/>
          </w:tcPr>
          <w:p>
            <w:pPr>
              <w:spacing w:line="360" w:lineRule="auto"/>
              <w:jc w:val="center"/>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43" w:type="dxa"/>
            <w:vMerge w:val="restart"/>
            <w:vAlign w:val="center"/>
          </w:tcPr>
          <w:p>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896" w:type="dxa"/>
            <w:vMerge w:val="restart"/>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食品安全管理</w:t>
            </w:r>
          </w:p>
        </w:tc>
        <w:tc>
          <w:tcPr>
            <w:tcW w:w="7921" w:type="dxa"/>
            <w:vAlign w:val="center"/>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根据各投标人提供的食材检验制度、食材进货制度、食材安全管理制度、人员管理制度等的科学性、合理性、规范性进行综合评价：按优</w:t>
            </w:r>
            <w:r>
              <w:rPr>
                <w:rFonts w:hint="eastAsia"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-3.5]分、良（3.5-2]分，中（2-1]分，差（1-</w:t>
            </w:r>
            <w:r>
              <w:rPr>
                <w:rFonts w:hint="eastAsia" w:ascii="宋体" w:hAnsi="宋体" w:eastAsia="宋体" w:cs="宋体"/>
                <w:color w:val="000000" w:themeColor="text1"/>
                <w:szCs w:val="21"/>
                <w:highlight w:val="none"/>
                <w:lang w:val="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进行评审。</w:t>
            </w:r>
          </w:p>
        </w:tc>
        <w:tc>
          <w:tcPr>
            <w:tcW w:w="910"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43" w:type="dxa"/>
            <w:vMerge w:val="continue"/>
            <w:vAlign w:val="center"/>
          </w:tcPr>
          <w:p>
            <w:pPr>
              <w:pStyle w:val="193"/>
              <w:keepNext w:val="0"/>
              <w:tabs>
                <w:tab w:val="left" w:pos="585"/>
                <w:tab w:val="left" w:pos="680"/>
              </w:tabs>
              <w:spacing w:after="0" w:line="360" w:lineRule="auto"/>
              <w:ind w:left="247"/>
              <w:jc w:val="center"/>
              <w:rPr>
                <w:rFonts w:ascii="宋体" w:hAnsi="宋体" w:cs="宋体"/>
                <w:color w:val="000000" w:themeColor="text1"/>
                <w:szCs w:val="21"/>
                <w:highlight w:val="none"/>
                <w14:textFill>
                  <w14:solidFill>
                    <w14:schemeClr w14:val="tx1"/>
                  </w14:solidFill>
                </w14:textFill>
              </w:rPr>
            </w:pPr>
          </w:p>
        </w:tc>
        <w:tc>
          <w:tcPr>
            <w:tcW w:w="896" w:type="dxa"/>
            <w:vMerge w:val="continue"/>
            <w:vAlign w:val="center"/>
          </w:tcPr>
          <w:p>
            <w:pPr>
              <w:pStyle w:val="193"/>
              <w:keepNext w:val="0"/>
              <w:tabs>
                <w:tab w:val="left" w:pos="585"/>
                <w:tab w:val="left" w:pos="680"/>
              </w:tabs>
              <w:spacing w:after="0" w:line="360" w:lineRule="auto"/>
              <w:ind w:left="247"/>
              <w:jc w:val="center"/>
              <w:rPr>
                <w:rFonts w:ascii="宋体" w:hAnsi="宋体" w:cs="宋体"/>
                <w:color w:val="000000" w:themeColor="text1"/>
                <w:szCs w:val="21"/>
                <w:highlight w:val="none"/>
                <w14:textFill>
                  <w14:solidFill>
                    <w14:schemeClr w14:val="tx1"/>
                  </w14:solidFill>
                </w14:textFill>
              </w:rPr>
            </w:pPr>
          </w:p>
        </w:tc>
        <w:tc>
          <w:tcPr>
            <w:tcW w:w="7921" w:type="dxa"/>
            <w:vAlign w:val="center"/>
          </w:tcPr>
          <w:p>
            <w:pPr>
              <w:pStyle w:val="193"/>
              <w:keepNext w:val="0"/>
              <w:tabs>
                <w:tab w:val="left" w:pos="585"/>
                <w:tab w:val="left" w:pos="680"/>
              </w:tabs>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根据投标人的检测能力进行评审，包括农药残留、兽药残留、重金属、污染物、卫生学指标（微生物）、食用油检测、黄曲霉毒素检测、水产检测，全部具备得5分，缺少一项不得分。</w:t>
            </w:r>
          </w:p>
          <w:p>
            <w:pPr>
              <w:pStyle w:val="193"/>
              <w:keepNext w:val="0"/>
              <w:tabs>
                <w:tab w:val="left" w:pos="585"/>
                <w:tab w:val="left" w:pos="680"/>
              </w:tabs>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注：须提供检测设备的购买发票复印件并加盖投标人公章，以及提供上述八类检测的方案。</w:t>
            </w:r>
          </w:p>
        </w:tc>
        <w:tc>
          <w:tcPr>
            <w:tcW w:w="910" w:type="dxa"/>
            <w:vAlign w:val="center"/>
          </w:tcPr>
          <w:p>
            <w:pPr>
              <w:pStyle w:val="193"/>
              <w:keepNext w:val="0"/>
              <w:tabs>
                <w:tab w:val="left" w:pos="585"/>
                <w:tab w:val="left" w:pos="680"/>
              </w:tabs>
              <w:spacing w:after="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43" w:type="dxa"/>
            <w:vMerge w:val="continue"/>
            <w:vAlign w:val="center"/>
          </w:tcPr>
          <w:p>
            <w:pPr>
              <w:pStyle w:val="193"/>
              <w:keepNext w:val="0"/>
              <w:tabs>
                <w:tab w:val="left" w:pos="585"/>
                <w:tab w:val="left" w:pos="680"/>
              </w:tabs>
              <w:spacing w:after="0" w:line="360" w:lineRule="auto"/>
              <w:ind w:left="247"/>
              <w:jc w:val="center"/>
              <w:rPr>
                <w:rFonts w:ascii="宋体" w:hAnsi="宋体" w:cs="宋体"/>
                <w:color w:val="000000" w:themeColor="text1"/>
                <w:szCs w:val="21"/>
                <w:highlight w:val="none"/>
                <w14:textFill>
                  <w14:solidFill>
                    <w14:schemeClr w14:val="tx1"/>
                  </w14:solidFill>
                </w14:textFill>
              </w:rPr>
            </w:pPr>
          </w:p>
        </w:tc>
        <w:tc>
          <w:tcPr>
            <w:tcW w:w="896" w:type="dxa"/>
            <w:vMerge w:val="continue"/>
            <w:vAlign w:val="center"/>
          </w:tcPr>
          <w:p>
            <w:pPr>
              <w:pStyle w:val="193"/>
              <w:keepNext w:val="0"/>
              <w:tabs>
                <w:tab w:val="left" w:pos="585"/>
                <w:tab w:val="left" w:pos="680"/>
              </w:tabs>
              <w:spacing w:after="0" w:line="360" w:lineRule="auto"/>
              <w:ind w:left="247"/>
              <w:jc w:val="center"/>
              <w:rPr>
                <w:rFonts w:ascii="宋体" w:hAnsi="宋体" w:cs="宋体"/>
                <w:color w:val="000000" w:themeColor="text1"/>
                <w:szCs w:val="21"/>
                <w:highlight w:val="none"/>
                <w14:textFill>
                  <w14:solidFill>
                    <w14:schemeClr w14:val="tx1"/>
                  </w14:solidFill>
                </w14:textFill>
              </w:rPr>
            </w:pPr>
          </w:p>
        </w:tc>
        <w:tc>
          <w:tcPr>
            <w:tcW w:w="7921" w:type="dxa"/>
            <w:vAlign w:val="center"/>
          </w:tcPr>
          <w:p>
            <w:pPr>
              <w:pStyle w:val="193"/>
              <w:keepNext w:val="0"/>
              <w:tabs>
                <w:tab w:val="left" w:pos="585"/>
                <w:tab w:val="left" w:pos="680"/>
              </w:tabs>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根据投标人的具有检验检测机构资质认定(CMA资质)的第三方检测机构出具的以下五类食材合格检测报告(报告日期为2023年10月1日以后)进行评分：</w:t>
            </w:r>
          </w:p>
          <w:p>
            <w:pPr>
              <w:pStyle w:val="193"/>
              <w:keepNext w:val="0"/>
              <w:tabs>
                <w:tab w:val="left" w:pos="585"/>
                <w:tab w:val="left" w:pos="680"/>
              </w:tabs>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①蔬菜类（叶菜或瓜果）检验合格的得1分；</w:t>
            </w:r>
          </w:p>
          <w:p>
            <w:pPr>
              <w:pStyle w:val="193"/>
              <w:keepNext w:val="0"/>
              <w:tabs>
                <w:tab w:val="left" w:pos="585"/>
                <w:tab w:val="left" w:pos="680"/>
              </w:tabs>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②鲜肉类（猪或牛或羊或禽类）检验合格的得1分；</w:t>
            </w:r>
          </w:p>
          <w:p>
            <w:pPr>
              <w:pStyle w:val="193"/>
              <w:keepNext w:val="0"/>
              <w:tabs>
                <w:tab w:val="left" w:pos="585"/>
                <w:tab w:val="left" w:pos="680"/>
              </w:tabs>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③冻品类（水产类）检验合格的得1分；</w:t>
            </w:r>
          </w:p>
          <w:p>
            <w:pPr>
              <w:pStyle w:val="193"/>
              <w:keepNext w:val="0"/>
              <w:tabs>
                <w:tab w:val="left" w:pos="585"/>
                <w:tab w:val="left" w:pos="680"/>
              </w:tabs>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④副食品类（干货类或调味料）检验合格的得1分。</w:t>
            </w:r>
          </w:p>
          <w:p>
            <w:pPr>
              <w:pStyle w:val="193"/>
              <w:keepNext w:val="0"/>
              <w:tabs>
                <w:tab w:val="left" w:pos="585"/>
                <w:tab w:val="left" w:pos="680"/>
              </w:tabs>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⑤粮油类（大米或食用油）检验合格的得1分。</w:t>
            </w:r>
          </w:p>
          <w:p>
            <w:pPr>
              <w:pStyle w:val="193"/>
              <w:keepNext w:val="0"/>
              <w:tabs>
                <w:tab w:val="left" w:pos="585"/>
                <w:tab w:val="left" w:pos="680"/>
              </w:tabs>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未提供不得分。</w:t>
            </w:r>
          </w:p>
          <w:p>
            <w:pPr>
              <w:pStyle w:val="193"/>
              <w:keepNext w:val="0"/>
              <w:tabs>
                <w:tab w:val="left" w:pos="585"/>
                <w:tab w:val="left" w:pos="680"/>
              </w:tabs>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注：须提供合格的检测报告以及对应检测报告的发票复印件并加盖投标人公章。</w:t>
            </w:r>
          </w:p>
        </w:tc>
        <w:tc>
          <w:tcPr>
            <w:tcW w:w="910" w:type="dxa"/>
            <w:vAlign w:val="center"/>
          </w:tcPr>
          <w:p>
            <w:pPr>
              <w:pStyle w:val="193"/>
              <w:keepNext w:val="0"/>
              <w:tabs>
                <w:tab w:val="left" w:pos="585"/>
                <w:tab w:val="left" w:pos="680"/>
              </w:tabs>
              <w:spacing w:after="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43" w:type="dxa"/>
            <w:vAlign w:val="center"/>
          </w:tcPr>
          <w:p>
            <w:pPr>
              <w:pStyle w:val="193"/>
              <w:keepNext w:val="0"/>
              <w:tabs>
                <w:tab w:val="left" w:pos="585"/>
                <w:tab w:val="left" w:pos="680"/>
              </w:tabs>
              <w:spacing w:after="0" w:line="360" w:lineRule="auto"/>
              <w:ind w:left="247"/>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896" w:type="dxa"/>
            <w:vAlign w:val="center"/>
          </w:tcPr>
          <w:p>
            <w:pPr>
              <w:spacing w:line="360" w:lineRule="auto"/>
              <w:jc w:val="center"/>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应急处理方案</w:t>
            </w:r>
          </w:p>
        </w:tc>
        <w:tc>
          <w:tcPr>
            <w:tcW w:w="7921" w:type="dxa"/>
            <w:vAlign w:val="center"/>
          </w:tcPr>
          <w:p>
            <w:pPr>
              <w:spacing w:line="360" w:lineRule="auto"/>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根据各投标人提供的非正常情况或突发情况下的应急处理方案进行综合评价：按优[10-8分]、良（8-6分]、中（6-4分]、差(4-0]进行评分。</w:t>
            </w:r>
          </w:p>
        </w:tc>
        <w:tc>
          <w:tcPr>
            <w:tcW w:w="910" w:type="dxa"/>
            <w:vAlign w:val="center"/>
          </w:tcPr>
          <w:p>
            <w:pPr>
              <w:spacing w:line="360" w:lineRule="auto"/>
              <w:jc w:val="center"/>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460" w:type="dxa"/>
            <w:gridSpan w:val="3"/>
            <w:vAlign w:val="center"/>
          </w:tcPr>
          <w:p>
            <w:pPr>
              <w:spacing w:before="24" w:beforeLines="10" w:after="30" w:line="360" w:lineRule="auto"/>
              <w:ind w:left="247"/>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技术总分</w:t>
            </w:r>
          </w:p>
        </w:tc>
        <w:tc>
          <w:tcPr>
            <w:tcW w:w="910" w:type="dxa"/>
            <w:vAlign w:val="center"/>
          </w:tcPr>
          <w:p>
            <w:pPr>
              <w:spacing w:before="24" w:beforeLines="10" w:after="30" w:line="360" w:lineRule="auto"/>
              <w:ind w:left="24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40</w:t>
            </w:r>
          </w:p>
        </w:tc>
      </w:tr>
    </w:tbl>
    <w:p>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备注：</w:t>
      </w:r>
    </w:p>
    <w:p>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①表中“</w:t>
      </w:r>
      <w:r>
        <w:rPr>
          <w:rFonts w:ascii="宋体" w:hAnsi="宋体" w:eastAsia="宋体" w:cs="宋体"/>
          <w:color w:val="000000" w:themeColor="text1"/>
          <w:szCs w:val="24"/>
          <w:highlight w:val="none"/>
          <w:lang w:val="zh-CN"/>
          <w14:textFill>
            <w14:solidFill>
              <w14:schemeClr w14:val="tx1"/>
            </w14:solidFill>
          </w14:textFill>
        </w:rPr>
        <w:t>[”代表闭区间，“]”代表闭区间，如[0，1]代表该分数段范围为大于等</w:t>
      </w:r>
      <w:r>
        <w:rPr>
          <w:rFonts w:hint="eastAsia" w:ascii="宋体" w:hAnsi="宋体" w:eastAsia="宋体" w:cs="宋体"/>
          <w:color w:val="000000" w:themeColor="text1"/>
          <w:szCs w:val="24"/>
          <w:highlight w:val="none"/>
          <w:lang w:val="zh-CN"/>
          <w14:textFill>
            <w14:solidFill>
              <w14:schemeClr w14:val="tx1"/>
            </w14:solidFill>
          </w14:textFill>
        </w:rPr>
        <w:t>于</w:t>
      </w:r>
      <w:r>
        <w:rPr>
          <w:rFonts w:ascii="宋体" w:hAnsi="宋体" w:eastAsia="宋体" w:cs="宋体"/>
          <w:color w:val="000000" w:themeColor="text1"/>
          <w:szCs w:val="24"/>
          <w:highlight w:val="none"/>
          <w:lang w:val="zh-CN"/>
          <w14:textFill>
            <w14:solidFill>
              <w14:schemeClr w14:val="tx1"/>
            </w14:solidFill>
          </w14:textFill>
        </w:rPr>
        <w:t>0且小于等于1。表中“（”代表开区间，“]”代表闭区间，如（1，2]代表该分数段范</w:t>
      </w:r>
      <w:r>
        <w:rPr>
          <w:rFonts w:hint="eastAsia" w:ascii="宋体" w:hAnsi="宋体" w:eastAsia="宋体" w:cs="宋体"/>
          <w:color w:val="000000" w:themeColor="text1"/>
          <w:szCs w:val="24"/>
          <w:highlight w:val="none"/>
          <w:lang w:val="zh-CN"/>
          <w14:textFill>
            <w14:solidFill>
              <w14:schemeClr w14:val="tx1"/>
            </w14:solidFill>
          </w14:textFill>
        </w:rPr>
        <w:t>围为大于</w:t>
      </w:r>
      <w:r>
        <w:rPr>
          <w:rFonts w:ascii="宋体" w:hAnsi="宋体" w:eastAsia="宋体" w:cs="宋体"/>
          <w:color w:val="000000" w:themeColor="text1"/>
          <w:szCs w:val="24"/>
          <w:highlight w:val="none"/>
          <w:lang w:val="zh-CN"/>
          <w14:textFill>
            <w14:solidFill>
              <w14:schemeClr w14:val="tx1"/>
            </w14:solidFill>
          </w14:textFill>
        </w:rPr>
        <w:t>1且小于等于2。</w:t>
      </w:r>
    </w:p>
    <w:p>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t>②分数出现小数点，保留小数点后2位，从小数点后第3位四</w:t>
      </w:r>
      <w:r>
        <w:rPr>
          <w:rFonts w:hint="eastAsia" w:ascii="宋体" w:hAnsi="宋体" w:eastAsia="宋体" w:cs="宋体"/>
          <w:color w:val="000000" w:themeColor="text1"/>
          <w:szCs w:val="24"/>
          <w:highlight w:val="none"/>
          <w:lang w:val="zh-CN"/>
          <w14:textFill>
            <w14:solidFill>
              <w14:schemeClr w14:val="tx1"/>
            </w14:solidFill>
          </w14:textFill>
        </w:rPr>
        <w:t>舍五入。</w:t>
      </w:r>
    </w:p>
    <w:p>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③上述“评分项目”中按“优、良、中、差”区间评审的，若低于该项满分分值</w:t>
      </w:r>
      <w:r>
        <w:rPr>
          <w:rFonts w:ascii="宋体" w:hAnsi="宋体" w:eastAsia="宋体" w:cs="宋体"/>
          <w:b/>
          <w:color w:val="000000" w:themeColor="text1"/>
          <w:szCs w:val="24"/>
          <w:highlight w:val="none"/>
          <w:lang w:val="zh-CN"/>
          <w14:textFill>
            <w14:solidFill>
              <w14:schemeClr w14:val="tx1"/>
            </w14:solidFill>
          </w14:textFill>
        </w:rPr>
        <w:t>60%时，评标专家需详细填写该项低分的充分理由，例如：该项目内容存在违反国家有关标</w:t>
      </w:r>
      <w:r>
        <w:rPr>
          <w:rFonts w:hint="eastAsia" w:ascii="宋体" w:hAnsi="宋体" w:eastAsia="宋体" w:cs="宋体"/>
          <w:b/>
          <w:color w:val="000000" w:themeColor="text1"/>
          <w:szCs w:val="24"/>
          <w:highlight w:val="none"/>
          <w:lang w:val="zh-CN"/>
          <w14:textFill>
            <w14:solidFill>
              <w14:schemeClr w14:val="tx1"/>
            </w14:solidFill>
          </w14:textFill>
        </w:rPr>
        <w:t>准和规范或与项目实际不符等原则性问题。</w:t>
      </w:r>
    </w:p>
    <w:p>
      <w:pPr>
        <w:autoSpaceDE w:val="0"/>
        <w:autoSpaceDN w:val="0"/>
        <w:adjustRightInd w:val="0"/>
        <w:spacing w:line="360" w:lineRule="auto"/>
        <w:ind w:left="420" w:leftChars="200" w:firstLine="422"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④</w:t>
      </w:r>
      <w:r>
        <w:rPr>
          <w:rFonts w:hint="eastAsia" w:ascii="宋体" w:hAnsi="宋体" w:eastAsia="宋体" w:cs="宋体"/>
          <w:b/>
          <w:color w:val="000000" w:themeColor="text1"/>
          <w:kern w:val="0"/>
          <w:szCs w:val="21"/>
          <w:highlight w:val="none"/>
          <w:lang w:val="zh-CN"/>
          <w14:textFill>
            <w14:solidFill>
              <w14:schemeClr w14:val="tx1"/>
            </w14:solidFill>
          </w14:textFill>
        </w:rPr>
        <w:t>对</w:t>
      </w:r>
      <w:r>
        <w:rPr>
          <w:rFonts w:hint="eastAsia" w:ascii="宋体" w:hAnsi="宋体" w:eastAsia="宋体" w:cs="宋体"/>
          <w:b/>
          <w:color w:val="000000" w:themeColor="text1"/>
          <w:kern w:val="0"/>
          <w:szCs w:val="21"/>
          <w:highlight w:val="none"/>
          <w14:textFill>
            <w14:solidFill>
              <w14:schemeClr w14:val="tx1"/>
            </w14:solidFill>
          </w14:textFill>
        </w:rPr>
        <w:t>于各</w:t>
      </w:r>
      <w:r>
        <w:rPr>
          <w:rFonts w:hint="eastAsia" w:ascii="宋体" w:hAnsi="宋体" w:eastAsia="宋体" w:cs="宋体"/>
          <w:b/>
          <w:color w:val="000000" w:themeColor="text1"/>
          <w:kern w:val="0"/>
          <w:szCs w:val="21"/>
          <w:highlight w:val="none"/>
          <w:lang w:val="zh-CN"/>
          <w14:textFill>
            <w14:solidFill>
              <w14:schemeClr w14:val="tx1"/>
            </w14:solidFill>
          </w14:textFill>
        </w:rPr>
        <w:t>评标委员会成员</w:t>
      </w:r>
      <w:r>
        <w:rPr>
          <w:rFonts w:hint="eastAsia" w:ascii="宋体" w:hAnsi="宋体" w:eastAsia="宋体" w:cs="宋体"/>
          <w:b/>
          <w:color w:val="000000" w:themeColor="text1"/>
          <w:kern w:val="0"/>
          <w:szCs w:val="21"/>
          <w:highlight w:val="none"/>
          <w14:textFill>
            <w14:solidFill>
              <w14:schemeClr w14:val="tx1"/>
            </w14:solidFill>
          </w14:textFill>
        </w:rPr>
        <w:t>存在客观分打分不一致时</w:t>
      </w:r>
      <w:r>
        <w:rPr>
          <w:rFonts w:hint="eastAsia" w:ascii="宋体" w:hAnsi="宋体" w:eastAsia="宋体" w:cs="宋体"/>
          <w:b/>
          <w:color w:val="000000" w:themeColor="text1"/>
          <w:kern w:val="0"/>
          <w:szCs w:val="21"/>
          <w:highlight w:val="none"/>
          <w:lang w:val="zh-CN"/>
          <w14:textFill>
            <w14:solidFill>
              <w14:schemeClr w14:val="tx1"/>
            </w14:solidFill>
          </w14:textFill>
        </w:rPr>
        <w:t>,根据少数服</w:t>
      </w:r>
      <w:r>
        <w:rPr>
          <w:rFonts w:hint="eastAsia" w:ascii="宋体" w:hAnsi="宋体" w:eastAsia="宋体" w:cs="宋体"/>
          <w:b/>
          <w:color w:val="000000" w:themeColor="text1"/>
          <w:kern w:val="0"/>
          <w:szCs w:val="21"/>
          <w:highlight w:val="none"/>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多数的原则，以记名方式表决</w:t>
      </w:r>
      <w:r>
        <w:rPr>
          <w:rFonts w:hint="eastAsia" w:ascii="宋体" w:hAnsi="宋体" w:eastAsia="宋体" w:cs="宋体"/>
          <w:b/>
          <w:color w:val="000000" w:themeColor="text1"/>
          <w:kern w:val="0"/>
          <w:szCs w:val="21"/>
          <w:highlight w:val="none"/>
          <w14:textFill>
            <w14:solidFill>
              <w14:schemeClr w14:val="tx1"/>
            </w14:solidFill>
          </w14:textFill>
        </w:rPr>
        <w:t>确定该项的评分。</w:t>
      </w:r>
    </w:p>
    <w:p>
      <w:pPr>
        <w:tabs>
          <w:tab w:val="left" w:pos="585"/>
        </w:tabs>
        <w:autoSpaceDE w:val="0"/>
        <w:autoSpaceDN w:val="0"/>
        <w:adjustRightInd w:val="0"/>
        <w:spacing w:line="400" w:lineRule="exact"/>
        <w:ind w:left="24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宋体"/>
          <w:b/>
          <w:color w:val="000000" w:themeColor="text1"/>
          <w:szCs w:val="21"/>
          <w:highlight w:val="none"/>
          <w:lang w:val="zh-CN"/>
          <w14:textFill>
            <w14:solidFill>
              <w14:schemeClr w14:val="tx1"/>
            </w14:solidFill>
          </w14:textFill>
        </w:rPr>
        <w:t>）综合得分</w:t>
      </w:r>
    </w:p>
    <w:p>
      <w:pPr>
        <w:spacing w:line="400" w:lineRule="exact"/>
        <w:ind w:left="-320" w:firstLine="848" w:firstLineChars="404"/>
        <w:rPr>
          <w:rFonts w:ascii="宋体" w:hAnsi="宋体" w:eastAsia="宋体" w:cs="宋体"/>
          <w:color w:val="000000" w:themeColor="text1"/>
          <w:kern w:val="0"/>
          <w:szCs w:val="28"/>
          <w:highlight w:val="none"/>
          <w:lang w:val="zh-CN"/>
          <w14:textFill>
            <w14:solidFill>
              <w14:schemeClr w14:val="tx1"/>
            </w14:solidFill>
          </w14:textFill>
        </w:rPr>
      </w:pPr>
      <w:bookmarkStart w:id="682" w:name="_Toc31624_WPSOffice_Level2"/>
      <w:r>
        <w:rPr>
          <w:rFonts w:hint="eastAsia" w:ascii="宋体" w:hAnsi="宋体" w:eastAsia="宋体" w:cs="宋体"/>
          <w:color w:val="000000" w:themeColor="text1"/>
          <w:kern w:val="0"/>
          <w:szCs w:val="28"/>
          <w:highlight w:val="none"/>
          <w:lang w:val="zh-CN"/>
          <w14:textFill>
            <w14:solidFill>
              <w14:schemeClr w14:val="tx1"/>
            </w14:solidFill>
          </w14:textFill>
        </w:rPr>
        <w:t>评标总得分=F1＋F2＋……+Fn</w:t>
      </w:r>
      <w:bookmarkEnd w:id="682"/>
    </w:p>
    <w:p>
      <w:pPr>
        <w:widowControl/>
        <w:autoSpaceDE w:val="0"/>
        <w:autoSpaceDN w:val="0"/>
        <w:adjustRightInd w:val="0"/>
        <w:spacing w:line="400" w:lineRule="exact"/>
        <w:ind w:left="-320" w:firstLine="840" w:firstLineChars="400"/>
        <w:jc w:val="left"/>
        <w:rPr>
          <w:rFonts w:ascii="宋体" w:hAnsi="宋体" w:eastAsia="宋体" w:cs="宋体"/>
          <w:color w:val="000000" w:themeColor="text1"/>
          <w:kern w:val="0"/>
          <w:szCs w:val="21"/>
          <w:highlight w:val="none"/>
          <w14:textFill>
            <w14:solidFill>
              <w14:schemeClr w14:val="tx1"/>
            </w14:solidFill>
          </w14:textFill>
        </w:rPr>
      </w:pPr>
      <w:bookmarkStart w:id="683" w:name="_Toc13236_WPSOffice_Level2"/>
      <w:r>
        <w:rPr>
          <w:rFonts w:hint="eastAsia" w:ascii="宋体" w:hAnsi="宋体" w:eastAsia="宋体" w:cs="宋体"/>
          <w:color w:val="000000" w:themeColor="text1"/>
          <w:kern w:val="0"/>
          <w:szCs w:val="21"/>
          <w:highlight w:val="none"/>
          <w14:textFill>
            <w14:solidFill>
              <w14:schemeClr w14:val="tx1"/>
            </w14:solidFill>
          </w14:textFill>
        </w:rPr>
        <w:t>F1、F2、……Fn分别为各项评分因素的得分</w:t>
      </w:r>
      <w:bookmarkEnd w:id="683"/>
      <w:r>
        <w:rPr>
          <w:rFonts w:hint="eastAsia" w:ascii="宋体" w:hAnsi="宋体" w:eastAsia="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564" w:leftChars="1" w:hanging="562" w:hangingChars="200"/>
        <w:rPr>
          <w:rFonts w:ascii="宋体" w:hAnsi="宋体" w:eastAsia="宋体" w:cs="宋体"/>
          <w:b/>
          <w:bCs/>
          <w:color w:val="000000" w:themeColor="text1"/>
          <w:sz w:val="28"/>
          <w:szCs w:val="28"/>
          <w:highlight w:val="none"/>
          <w14:textFill>
            <w14:solidFill>
              <w14:schemeClr w14:val="tx1"/>
            </w14:solidFill>
          </w14:textFill>
        </w:rPr>
      </w:pPr>
    </w:p>
    <w:p>
      <w:pPr>
        <w:autoSpaceDE w:val="0"/>
        <w:autoSpaceDN w:val="0"/>
        <w:adjustRightInd w:val="0"/>
        <w:spacing w:line="360" w:lineRule="auto"/>
        <w:ind w:left="247"/>
        <w:jc w:val="center"/>
        <w:rPr>
          <w:rFonts w:ascii="宋体" w:hAnsi="宋体" w:eastAsia="宋体" w:cs="宋体"/>
          <w:b/>
          <w:bCs/>
          <w:color w:val="000000" w:themeColor="text1"/>
          <w:sz w:val="28"/>
          <w:szCs w:val="28"/>
          <w:highlight w:val="none"/>
          <w14:textFill>
            <w14:solidFill>
              <w14:schemeClr w14:val="tx1"/>
            </w14:solidFill>
          </w14:textFill>
        </w:rPr>
      </w:pPr>
      <w:bookmarkStart w:id="684" w:name="_Toc518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五、推荐中标</w:t>
      </w:r>
      <w:r>
        <w:rPr>
          <w:rFonts w:hint="eastAsia" w:ascii="宋体" w:hAnsi="宋体" w:eastAsia="宋体" w:cs="宋体"/>
          <w:b/>
          <w:bCs/>
          <w:color w:val="000000" w:themeColor="text1"/>
          <w:sz w:val="28"/>
          <w:szCs w:val="28"/>
          <w:highlight w:val="none"/>
          <w14:textFill>
            <w14:solidFill>
              <w14:schemeClr w14:val="tx1"/>
            </w14:solidFill>
          </w14:textFill>
        </w:rPr>
        <w:t>候选</w:t>
      </w:r>
      <w:r>
        <w:rPr>
          <w:rFonts w:hint="eastAsia" w:ascii="宋体" w:hAnsi="宋体" w:eastAsia="宋体" w:cs="宋体"/>
          <w:b/>
          <w:bCs/>
          <w:color w:val="000000" w:themeColor="text1"/>
          <w:sz w:val="28"/>
          <w:szCs w:val="28"/>
          <w:highlight w:val="none"/>
          <w:lang w:val="zh-CN"/>
          <w14:textFill>
            <w14:solidFill>
              <w14:schemeClr w14:val="tx1"/>
            </w14:solidFill>
          </w14:textFill>
        </w:rPr>
        <w:t>人</w:t>
      </w:r>
      <w:bookmarkEnd w:id="684"/>
      <w:r>
        <w:rPr>
          <w:rFonts w:hint="eastAsia" w:ascii="宋体" w:hAnsi="宋体" w:eastAsia="宋体" w:cs="宋体"/>
          <w:b/>
          <w:bCs/>
          <w:color w:val="000000" w:themeColor="text1"/>
          <w:sz w:val="28"/>
          <w:szCs w:val="28"/>
          <w:highlight w:val="none"/>
          <w14:textFill>
            <w14:solidFill>
              <w14:schemeClr w14:val="tx1"/>
            </w14:solidFill>
          </w14:textFill>
        </w:rPr>
        <w:t>名单</w:t>
      </w:r>
    </w:p>
    <w:p>
      <w:pPr>
        <w:autoSpaceDE w:val="0"/>
        <w:autoSpaceDN w:val="0"/>
        <w:adjustRightInd w:val="0"/>
        <w:spacing w:line="360" w:lineRule="auto"/>
        <w:ind w:left="420" w:hanging="420" w:hangingChars="2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lang w:val="zh-CN"/>
          <w14:textFill>
            <w14:solidFill>
              <w14:schemeClr w14:val="tx1"/>
            </w14:solidFill>
          </w14:textFill>
        </w:rPr>
        <w:t>评标委员会按评审后得分由高到低顺序排列</w:t>
      </w:r>
      <w:r>
        <w:rPr>
          <w:rFonts w:hint="eastAsia" w:ascii="宋体" w:hAnsi="宋体" w:eastAsia="宋体" w:cs="Times New Roman"/>
          <w:color w:val="000000" w:themeColor="text1"/>
          <w:kern w:val="0"/>
          <w:szCs w:val="21"/>
          <w:highlight w:val="none"/>
          <w14:textFill>
            <w14:solidFill>
              <w14:schemeClr w14:val="tx1"/>
            </w14:solidFill>
          </w14:textFill>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如果有两个或以上的投标人的最后综合得分相同，则按技术标的评标得分高低排出次序，得分高的排前，得分低的排后。如果出现投标人的最后综合得分及技术标得分均相同时，由评标委员会进行投票，得票多的排名在先。当第一轮投票结果为投标人得票数相同时，再次进行投票，如此类推，直到能确定排序次序为止。</w:t>
      </w:r>
    </w:p>
    <w:p>
      <w:pPr>
        <w:autoSpaceDE w:val="0"/>
        <w:autoSpaceDN w:val="0"/>
        <w:adjustRightInd w:val="0"/>
        <w:spacing w:line="360" w:lineRule="auto"/>
        <w:ind w:left="564" w:leftChars="1" w:hanging="562" w:hangingChars="200"/>
        <w:rPr>
          <w:rFonts w:ascii="宋体" w:hAnsi="宋体" w:eastAsia="宋体" w:cs="宋体"/>
          <w:b/>
          <w:bCs/>
          <w:color w:val="000000" w:themeColor="text1"/>
          <w:sz w:val="28"/>
          <w:szCs w:val="28"/>
          <w:highlight w:val="none"/>
          <w:lang w:val="zh-CN"/>
          <w14:textFill>
            <w14:solidFill>
              <w14:schemeClr w14:val="tx1"/>
            </w14:solidFill>
          </w14:textFill>
        </w:rPr>
      </w:pPr>
      <w:bookmarkStart w:id="685" w:name="_Toc22724_WPSOffice_Level1"/>
    </w:p>
    <w:p>
      <w:pPr>
        <w:autoSpaceDE w:val="0"/>
        <w:autoSpaceDN w:val="0"/>
        <w:adjustRightInd w:val="0"/>
        <w:spacing w:line="360" w:lineRule="auto"/>
        <w:ind w:left="185" w:leftChars="88" w:firstLine="3443" w:firstLineChars="1225"/>
        <w:rPr>
          <w:rFonts w:ascii="宋体" w:hAnsi="宋体" w:eastAsia="宋体" w:cs="宋体"/>
          <w:b/>
          <w:bCs/>
          <w:color w:val="000000" w:themeColor="text1"/>
          <w:sz w:val="28"/>
          <w:szCs w:val="28"/>
          <w:highlight w:val="none"/>
          <w:lang w:val="zh-CN"/>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六、编写评标报告</w:t>
      </w:r>
      <w:bookmarkEnd w:id="685"/>
    </w:p>
    <w:p>
      <w:pPr>
        <w:autoSpaceDE w:val="0"/>
        <w:autoSpaceDN w:val="0"/>
        <w:adjustRightInd w:val="0"/>
        <w:spacing w:line="360" w:lineRule="auto"/>
        <w:ind w:left="420" w:hanging="420" w:hangingChars="200"/>
        <w:jc w:val="left"/>
        <w:rPr>
          <w:rFonts w:ascii="宋体" w:hAnsi="宋体" w:eastAsia="宋体" w:cs="宋体"/>
          <w:b/>
          <w:bCs/>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（1）开标邀请时间、开标日期和地点；</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（2）投标人名单和评标委员会成员名单；</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（3）开标评审方法和标准；</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（4）开标评审记录和评审情况及说明，包括投标无效投标人名单及原因；</w:t>
      </w:r>
    </w:p>
    <w:p>
      <w:pPr>
        <w:autoSpaceDE w:val="0"/>
        <w:autoSpaceDN w:val="0"/>
        <w:adjustRightInd w:val="0"/>
        <w:spacing w:line="360" w:lineRule="auto"/>
        <w:ind w:left="247"/>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（5）评审结果和中标候选投标人排序表；</w:t>
      </w:r>
    </w:p>
    <w:p>
      <w:pPr>
        <w:autoSpaceDE w:val="0"/>
        <w:autoSpaceDN w:val="0"/>
        <w:adjustRightInd w:val="0"/>
        <w:spacing w:line="360" w:lineRule="auto"/>
        <w:ind w:left="247"/>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（6）评标委员会的推荐</w:t>
      </w:r>
      <w:r>
        <w:rPr>
          <w:rFonts w:hint="eastAsia" w:ascii="宋体" w:hAnsi="宋体" w:eastAsia="宋体" w:cs="宋体"/>
          <w:color w:val="000000" w:themeColor="text1"/>
          <w:szCs w:val="24"/>
          <w:highlight w:val="none"/>
          <w:lang w:val="zh-CN"/>
          <w14:textFill>
            <w14:solidFill>
              <w14:schemeClr w14:val="tx1"/>
            </w14:solidFill>
          </w14:textFill>
        </w:rPr>
        <w:t>建议。</w:t>
      </w:r>
    </w:p>
    <w:p>
      <w:pPr>
        <w:autoSpaceDE w:val="0"/>
        <w:autoSpaceDN w:val="0"/>
        <w:adjustRightInd w:val="0"/>
        <w:spacing w:line="360" w:lineRule="auto"/>
        <w:ind w:left="247"/>
        <w:jc w:val="center"/>
        <w:rPr>
          <w:rFonts w:ascii="宋体" w:hAnsi="宋体" w:eastAsia="宋体" w:cs="宋体"/>
          <w:b/>
          <w:bCs/>
          <w:color w:val="000000" w:themeColor="text1"/>
          <w:sz w:val="28"/>
          <w:szCs w:val="28"/>
          <w:highlight w:val="none"/>
          <w:lang w:val="zh-CN"/>
          <w14:textFill>
            <w14:solidFill>
              <w14:schemeClr w14:val="tx1"/>
            </w14:solidFill>
          </w14:textFill>
        </w:rPr>
      </w:pPr>
    </w:p>
    <w:p>
      <w:pPr>
        <w:autoSpaceDE w:val="0"/>
        <w:autoSpaceDN w:val="0"/>
        <w:adjustRightInd w:val="0"/>
        <w:spacing w:line="360" w:lineRule="auto"/>
        <w:ind w:left="247"/>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686" w:name="_Toc23773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七、注意事项</w:t>
      </w:r>
      <w:bookmarkEnd w:id="686"/>
    </w:p>
    <w:p>
      <w:pPr>
        <w:autoSpaceDE w:val="0"/>
        <w:autoSpaceDN w:val="0"/>
        <w:adjustRightInd w:val="0"/>
        <w:spacing w:line="360" w:lineRule="auto"/>
        <w:ind w:left="420"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5</w:t>
      </w:r>
      <w:r>
        <w:rPr>
          <w:rFonts w:hint="eastAsia" w:ascii="宋体" w:hAnsi="宋体" w:eastAsia="宋体" w:cs="宋体"/>
          <w:color w:val="000000" w:themeColor="text1"/>
          <w:szCs w:val="24"/>
          <w:highlight w:val="none"/>
          <w:lang w:val="zh-CN"/>
          <w14:textFill>
            <w14:solidFill>
              <w14:schemeClr w14:val="tx1"/>
            </w14:solidFill>
          </w14:textFill>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14:textFill>
            <w14:solidFill>
              <w14:schemeClr w14:val="tx1"/>
            </w14:solidFill>
          </w14:textFill>
        </w:rPr>
        <w:t>如有需要举行</w:t>
      </w:r>
      <w:r>
        <w:rPr>
          <w:rFonts w:hint="eastAsia" w:ascii="宋体" w:hAnsi="宋体" w:eastAsia="宋体" w:cs="宋体"/>
          <w:color w:val="000000" w:themeColor="text1"/>
          <w:szCs w:val="24"/>
          <w:highlight w:val="none"/>
          <w:lang w:val="zh-CN"/>
          <w14:textFill>
            <w14:solidFill>
              <w14:schemeClr w14:val="tx1"/>
            </w14:solidFill>
          </w14:textFill>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（5）任何评审人员和工作人员不得对外公布评审的一切内容。</w:t>
      </w:r>
      <w:bookmarkEnd w:id="655"/>
      <w:bookmarkEnd w:id="663"/>
      <w:bookmarkEnd w:id="664"/>
      <w:bookmarkEnd w:id="665"/>
    </w:p>
    <w:bookmarkEnd w:id="687"/>
    <w:sectPr>
      <w:pgSz w:w="12240" w:h="15840"/>
      <w:pgMar w:top="1191" w:right="1043" w:bottom="1191" w:left="1043"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731814948" name="Text Box 1"/>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pPr>
                            <w:pStyle w:val="2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cy4jfQECAAAKBAAADgAAAGRycy9lMm9Eb2MueG1srVNNj9sgEL1X&#10;6n9A3BvHadJNrDir7UapKm0/pN3+AIJxjGoYNJDY6a/vgON0u73soRc0DDOPN4/H+rY3LTsp9Bps&#10;yfPJlDNlJVTaHkr+42n3bsmZD8JWogWrSn5Wnt9u3r5Zd65QM2igrRQyArG+6FzJmxBckWVeNsoI&#10;PwGnLB3WgEYE2uIhq1B0hG7abDadfsg6wMohSOU9ZbfDIb8g4msAoa61VFuQR6NsGFBRtSLQSL7R&#10;zvNNYlvXSoZvde1VYG3JadKQVrqE4n1cs81aFAcUrtHyQkG8hsKLmYzQli69Qm1FEOyI+h8ooyWC&#10;hzpMJJhsGCQpQlPk0xfaPDbCqTQLSe3dVXT//2Dl19N3ZLoiJ9y8z5f5fDWn97fC0Ms/qT6wj9Cz&#10;PMrUOV9Q9aOj+tBTmlrSyN49gPzpmYX7RtiDukOErlGiIpqpM3vWOuD4CLLvvkBF14hjgATU12ii&#10;hqQKI3R6ovP1iSIVScnVzSxfLjiTdJTPb1aLReSWiWJsdujDJwWGxaDkSA5I4OL04MNQOpbEuyzs&#10;dNsmF7T2rwRhxkwiH/kOzEO/7y9i7KE60xgIg6noS1HQAP7irCNDldzS/+Gs/WxJiOi9McAx2I+B&#10;sJIaSx44G8L7MHj06FAfGsIdpb4jsXY6DRJVHThcWJJFkhQXO0cPPt+nqj9feP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J2k0NIAAAAEAQAADwAAAAAAAAABACAAAAAiAAAAZHJzL2Rvd25yZXYu&#10;eG1sUEsBAhQAFAAAAAgAh07iQHMuI30BAgAACgQAAA4AAAAAAAAAAQAgAAAAIQEAAGRycy9lMm9E&#10;b2MueG1sUEsFBgAAAAAGAAYAWQEAAJQFAAAAAA==&#10;">
              <v:fill on="f" focussize="0,0"/>
              <v:stroke on="f"/>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2119023450" name="Text Box 2"/>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Set/RwICAAAKBAAADgAAAGRycy9lMm9Eb2MueG1srVPLbtswELwX&#10;6D8QvNey1LiJBctBGsNFgfQBJP0AmqIsoiKXWNKW3K/vkrLcNL3k0IuwWpKzM8Ph6nYwHTsq9Bps&#10;xfPZnDNlJdTa7iv+42n77oYzH4StRQdWVfykPL9dv32z6l2pCmihqxUyArG+7F3F2xBcmWVetsoI&#10;PwOnLC02gEYE+sV9VqPoCd10WTGff8h6wNohSOU9dTfjIj8j4msAoWm0VBuQB6NsGFFRdSKQJN9q&#10;5/k6sW0aJcO3pvEqsK7ipDSkLw2hehe/2Xolyj0K12p5piBeQ+GFJiO0paEXqI0Igh1Q/wNltETw&#10;0ISZBJONQpIjpCKfv/DmsRVOJS1ktXcX0/3/g5Vfj9+R6briRZ4v58X7qwVZY4Whm39SQ2AfYWBF&#10;tKl3vqTdj472h4HaFJ4k2bsHkD89s3DfCrtXd4jQt0rURDOPJ7NnR0ccH0F2/ReoaYw4BEhAQ4Mm&#10;ekiuMEInHqfLFUUqkprL6yK/WXAmaSm/ul4uFmmCKKfDDn34pMCwWFQcKQEJXBwffIhkRDltibMs&#10;bHXXpRR09q8GbYydRD7yHZmHYTeczdhBfSIZCGOo6ElR0QL+4qynQFXc0vvhrPtsyYiYvanAqdhN&#10;hbCSDlY8cDaW92HM6MGh3reEO1l9R2ZtdRISXR05nFlSRJK+c5xjBp//p11/nvD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SdpNDSAAAABAEAAA8AAAAAAAAAAQAgAAAAIgAAAGRycy9kb3ducmV2&#10;LnhtbFBLAQIUABQAAAAIAIdO4kBJ639HAgIAAAoEAAAOAAAAAAAAAAEAIAAAACEBAABkcnMvZTJv&#10;RG9jLnhtbFBLBQYAAAAABgAGAFkBAACVBQAAAAA=&#10;">
              <v:fill on="f" focussize="0,0"/>
              <v:stroke on="f"/>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296545"/>
              <wp:effectExtent l="0" t="0" r="0" b="0"/>
              <wp:wrapNone/>
              <wp:docPr id="2039249348" name="Text Box 3"/>
              <wp:cNvGraphicFramePr/>
              <a:graphic xmlns:a="http://schemas.openxmlformats.org/drawingml/2006/main">
                <a:graphicData uri="http://schemas.microsoft.com/office/word/2010/wordprocessingShape">
                  <wps:wsp>
                    <wps:cNvSpPr txBox="1">
                      <a:spLocks noChangeArrowheads="1"/>
                    </wps:cNvSpPr>
                    <wps:spPr bwMode="auto">
                      <a:xfrm>
                        <a:off x="0" y="0"/>
                        <a:ext cx="972185" cy="296545"/>
                      </a:xfrm>
                      <a:prstGeom prst="rect">
                        <a:avLst/>
                      </a:prstGeom>
                      <a:noFill/>
                      <a:ln>
                        <a:noFill/>
                      </a:ln>
                    </wps:spPr>
                    <wps:txbx>
                      <w:txbxContent>
                        <w:p>
                          <w:pPr>
                            <w:pStyle w:val="27"/>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23.35pt;width:76.55pt;mso-position-horizontal:center;mso-position-horizontal-relative:margin;mso-wrap-style:none;z-index:251661312;mso-width-relative:page;mso-height-relative:page;" filled="f" stroked="f" coordsize="21600,21600" o:gfxdata="UEsDBAoAAAAAAIdO4kAAAAAAAAAAAAAAAAAEAAAAZHJzL1BLAwQUAAAACACHTuJAD0V75NIAAAAE&#10;AQAADwAAAGRycy9kb3ducmV2LnhtbE2PzU7DMBCE70i8g7VI3KgTftoqzaaHSly4URASNzfexlHt&#10;dWS7afL2uFzgstJoRjPf1tvJWTFSiL1nhHJRgCBuve65Q/j8eH1Yg4hJsVbWMyHMFGHb3N7UqtL+&#10;wu807lMncgnHSiGYlIZKytgaciou/ECcvaMPTqUsQyd1UJdc7qx8LIqldKrnvGDUQDtD7Wl/dgir&#10;6cvTEGlH38exDaaf1/ZtRry/K4sNiERT+gvDFT+jQ5OZDv7MOgqLkB9Jv/fqvTyVIA4Iz8sVyKaW&#10;/+GbH1BLAwQUAAAACACHTuJAS9IMxgMCAAAKBAAADgAAAGRycy9lMm9Eb2MueG1srVNBbtswELwX&#10;6B8I3mvZsp3GguUgjeGiQJoWSPoAmqIsoiKXWNKW0td3SVluml5y6EVYLcnZmeFwfdOblp0Ueg22&#10;5LPJlDNlJVTaHkr+42n34ZozH4StRAtWlfxZeX6zef9u3blC5dBAWylkBGJ90bmSNyG4Isu8bJQR&#10;fgJOWVqsAY0I9IuHrELREbpps3w6vco6wMohSOU9dbfDIj8j4lsAoa61VFuQR6NsGFBRtSKQJN9o&#10;5/kmsa1rJcO3uvYqsLbkpDSkLw2heh+/2WYtigMK12h5piDeQuGVJiO0paEXqK0Igh1R/wNltETw&#10;UIeJBJMNQpIjpGI2feXNYyOcSlrIau8upvv/BysfTt+R6ark+XS+yher+YLu3wpDN/+k+sA+Qc/m&#10;0abO+YJ2PzraH3pqU3iSZO/uQf70zMJdI+xB3SJC1yhREc1ZPJm9ODrg+Aiy775CRWPEMUAC6ms0&#10;0UNyhRE6XdHz5YoiFUnN1cd8dr3kTNJSvrpaLpZpgijGww59+KzAsFiUHCkBCVyc7n2IZEQxbomz&#10;LOx026YUtPavBm2MnUQ+8h2Yh37fn83YQ/VMMhCGUNGToqIB/MVZR4EquaX3w1n7xZIRMXtjgWOx&#10;HwthJR0seeBsKO/CkNGjQ31oCHe0+pbM2ukkJLo6cDizpIgkfec4xwy+/E+7/jzh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RXvk0gAAAAQBAAAPAAAAAAAAAAEAIAAAACIAAABkcnMvZG93bnJl&#10;di54bWxQSwECFAAUAAAACACHTuJAS9IMxgMCAAAKBAAADgAAAAAAAAABACAAAAAhAQAAZHJzL2Uy&#10;b0RvYy54bWxQSwUGAAAAAAYABgBZAQAAlgUAAAAA&#10;">
              <v:fill on="f" focussize="0,0"/>
              <v:stroke on="f"/>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296545"/>
              <wp:effectExtent l="0" t="0" r="0" b="0"/>
              <wp:wrapNone/>
              <wp:docPr id="741707179" name="Text Box 4"/>
              <wp:cNvGraphicFramePr/>
              <a:graphic xmlns:a="http://schemas.openxmlformats.org/drawingml/2006/main">
                <a:graphicData uri="http://schemas.microsoft.com/office/word/2010/wordprocessingShape">
                  <wps:wsp>
                    <wps:cNvSpPr txBox="1">
                      <a:spLocks noChangeArrowheads="1"/>
                    </wps:cNvSpPr>
                    <wps:spPr bwMode="auto">
                      <a:xfrm>
                        <a:off x="0" y="0"/>
                        <a:ext cx="972185" cy="296545"/>
                      </a:xfrm>
                      <a:prstGeom prst="rect">
                        <a:avLst/>
                      </a:prstGeom>
                      <a:noFill/>
                      <a:ln>
                        <a:noFill/>
                      </a:ln>
                    </wps:spPr>
                    <wps:txbx>
                      <w:txbxContent>
                        <w:p>
                          <w:pPr>
                            <w:pStyle w:val="27"/>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23.35pt;width:76.55pt;mso-position-horizontal:center;mso-position-horizontal-relative:margin;mso-wrap-style:none;z-index:251662336;mso-width-relative:page;mso-height-relative:page;" filled="f" stroked="f" coordsize="21600,21600" o:gfxdata="UEsDBAoAAAAAAIdO4kAAAAAAAAAAAAAAAAAEAAAAZHJzL1BLAwQUAAAACACHTuJAD0V75NIAAAAE&#10;AQAADwAAAGRycy9kb3ducmV2LnhtbE2PzU7DMBCE70i8g7VI3KgTftoqzaaHSly4URASNzfexlHt&#10;dWS7afL2uFzgstJoRjPf1tvJWTFSiL1nhHJRgCBuve65Q/j8eH1Yg4hJsVbWMyHMFGHb3N7UqtL+&#10;wu807lMncgnHSiGYlIZKytgaciou/ECcvaMPTqUsQyd1UJdc7qx8LIqldKrnvGDUQDtD7Wl/dgir&#10;6cvTEGlH38exDaaf1/ZtRry/K4sNiERT+gvDFT+jQ5OZDv7MOgqLkB9Jv/fqvTyVIA4Iz8sVyKaW&#10;/+GbH1BLAwQUAAAACACHTuJAThuVbQICAAAJBAAADgAAAGRycy9lMm9Eb2MueG1srVPLbtswELwX&#10;6D8QvNeyDDuOBctBGsNFgfQBJP0AmqIsoiKXWNKW3K/vkrLcNL3k0IuwWpKzM8Ph+q43LTsp9Bps&#10;yfPJlDNlJVTaHkr+43n34ZYzH4StRAtWlfysPL/bvH+37lyhZtBAWylkBGJ90bmSNyG4Isu8bJQR&#10;fgJOWVqsAY0I9IuHrELREbpps9l0epN1gJVDkMp76m6HRX5BxLcAQl1rqbYgj0bZMKCiakUgSb7R&#10;zvNNYlvXSoZvde1VYG3JSWlIXxpC9T5+s81aFAcUrtHyQkG8hcIrTUZoS0OvUFsRBDui/gfKaIng&#10;oQ4TCSYbhCRHSEU+feXNUyOcSlrIau+upvv/Byu/nr4j01XJl/N8OV3myxVnVhi6+GfVB/YRejaP&#10;LnXOF7T5ydH20FObspMUe/cI8qdnFh4aYQ/qHhG6RomKWObxZPbi6IDjI8i++wIVjRHHAAmor9FE&#10;C8kURuh0Q+frDUUqkpqr5Sy/XXAmaWm2ulnMF2mCKMbDDn34pMCwWJQcKQAJXJwefYhkRDFuibMs&#10;7HTbphC09q8GbYydRD7yHZiHft9fzNhDdSYZCEOm6EVR0QD+4qyjPJXc0vPhrP1syYgYvbHAsdiP&#10;hbCSDpY8cDaUD2GI6NGhPjSEO1p9T2btdBISXR04XFhSQpK+S5pjBF/+p11/XvD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9Fe+TSAAAABAEAAA8AAAAAAAAAAQAgAAAAIgAAAGRycy9kb3ducmV2&#10;LnhtbFBLAQIUABQAAAAIAIdO4kBOG5VtAgIAAAkEAAAOAAAAAAAAAAEAIAAAACEBAABkcnMvZTJv&#10;RG9jLnhtbFBLBQYAAAAABgAGAFkBAACVBQAAAAA=&#10;">
              <v:fill on="f" focussize="0,0"/>
              <v:stroke on="f"/>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72185" cy="296545"/>
              <wp:effectExtent l="0" t="0" r="635" b="2540"/>
              <wp:wrapNone/>
              <wp:docPr id="1711085719" name="Text Box 5"/>
              <wp:cNvGraphicFramePr/>
              <a:graphic xmlns:a="http://schemas.openxmlformats.org/drawingml/2006/main">
                <a:graphicData uri="http://schemas.microsoft.com/office/word/2010/wordprocessingShape">
                  <wps:wsp>
                    <wps:cNvSpPr txBox="1">
                      <a:spLocks noChangeArrowheads="1"/>
                    </wps:cNvSpPr>
                    <wps:spPr bwMode="auto">
                      <a:xfrm>
                        <a:off x="0" y="0"/>
                        <a:ext cx="972185" cy="296545"/>
                      </a:xfrm>
                      <a:prstGeom prst="rect">
                        <a:avLst/>
                      </a:prstGeom>
                      <a:noFill/>
                      <a:ln>
                        <a:noFill/>
                      </a:ln>
                    </wps:spPr>
                    <wps:txbx>
                      <w:txbxContent>
                        <w:p>
                          <w:pPr>
                            <w:pStyle w:val="27"/>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23.35pt;width:76.55pt;mso-position-horizontal:center;mso-position-horizontal-relative:margin;mso-wrap-style:none;z-index:251663360;mso-width-relative:page;mso-height-relative:page;" filled="f" stroked="f" coordsize="21600,21600" o:gfxdata="UEsDBAoAAAAAAIdO4kAAAAAAAAAAAAAAAAAEAAAAZHJzL1BLAwQUAAAACACHTuJAD0V75NIAAAAE&#10;AQAADwAAAGRycy9kb3ducmV2LnhtbE2PzU7DMBCE70i8g7VI3KgTftoqzaaHSly4URASNzfexlHt&#10;dWS7afL2uFzgstJoRjPf1tvJWTFSiL1nhHJRgCBuve65Q/j8eH1Yg4hJsVbWMyHMFGHb3N7UqtL+&#10;wu807lMncgnHSiGYlIZKytgaciou/ECcvaMPTqUsQyd1UJdc7qx8LIqldKrnvGDUQDtD7Wl/dgir&#10;6cvTEGlH38exDaaf1/ZtRry/K4sNiERT+gvDFT+jQ5OZDv7MOgqLkB9Jv/fqvTyVIA4Iz8sVyKaW&#10;/+GbH1BLAwQUAAAACACHTuJALByy8QICAAAKBAAADgAAAGRycy9lMm9Eb2MueG1srVNBbtswELwX&#10;6B8I3mtZRh3bguUgjeGiQNoUSPoAmqIsoiKXWNKW3Nd3SVluml5y6EVYLZfDmeFwfdublp0Ueg22&#10;5PlkypmyEiptDyX/8bz7sOTMB2Er0YJVJT8rz28379+tO1eoGTTQVgoZgVhfdK7kTQiuyDIvG2WE&#10;n4BTlhZrQCMC/eIhq1B0hG7abDad3mQdYOUQpPKeutthkV8Q8S2AUNdaqi3Io1E2DKioWhFIkm+0&#10;83yT2Na1kuGxrr0KrC05KQ3pS4dQvY/fbLMWxQGFa7S8UBBvofBKkxHa0qFXqK0Igh1R/wNltETw&#10;UIeJBJMNQpIjpCKfvvLmqRFOJS1ktXdX0/3/g5XfTt+R6YqSsMjz6XK+yFecWWHo5p9VH9gn6Nk8&#10;2tQ5X9D0k6P50FObtiTJ3j2A/OmZhftG2IO6Q4SuUaIimnncmb3YOuD4CLLvvkJFx4hjgATU12ii&#10;h+QKI3S6ovP1iiIVSc3VYpYv55xJWpqtbuYfE7dMFONmhz58VmBYLEqOlIAELk4PPkQyohhH4lkW&#10;drptUwpa+1eDBmMnkY98B+ah3/cXM/ZQnUkGwhAqelJUNIC/OOsoUCW39H44a79YMiJmbyxwLPZj&#10;IaykjSUPnA3lfRgyenSoDw3hjlbfkVk7nYREVwcOF5YUkaTvEueYwZf/aerPE97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9Fe+TSAAAABAEAAA8AAAAAAAAAAQAgAAAAIgAAAGRycy9kb3ducmV2&#10;LnhtbFBLAQIUABQAAAAIAIdO4kAsHLLxAgIAAAoEAAAOAAAAAAAAAAEAIAAAACEBAABkcnMvZTJv&#10;RG9jLnhtbFBLBQYAAAAABgAGAFkBAACVBQAAAAA=&#10;">
              <v:fill on="f" focussize="0,0"/>
              <v:stroke on="f"/>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hAnsi="宋体" w:cs="宋体"/>
        <w:sz w:val="21"/>
        <w:szCs w:val="21"/>
      </w:rPr>
      <w:t xml:space="preserve">东莞市水务集团有限公司采购代理协议服务项目                    广东泰通伟业工程咨询有限公司                                                </w:t>
    </w:r>
  </w:p>
  <w:p>
    <w:pPr>
      <w:pStyle w:val="2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9CD41"/>
    <w:multiLevelType w:val="singleLevel"/>
    <w:tmpl w:val="97D9CD41"/>
    <w:lvl w:ilvl="0" w:tentative="0">
      <w:start w:val="1"/>
      <w:numFmt w:val="decimal"/>
      <w:lvlText w:val="%1."/>
      <w:lvlJc w:val="left"/>
      <w:pPr>
        <w:tabs>
          <w:tab w:val="left" w:pos="312"/>
        </w:tabs>
      </w:pPr>
    </w:lvl>
  </w:abstractNum>
  <w:abstractNum w:abstractNumId="1">
    <w:nsid w:val="BBFE070E"/>
    <w:multiLevelType w:val="singleLevel"/>
    <w:tmpl w:val="BBFE070E"/>
    <w:lvl w:ilvl="0" w:tentative="0">
      <w:start w:val="13"/>
      <w:numFmt w:val="chineseCounting"/>
      <w:suff w:val="nothing"/>
      <w:lvlText w:val="%1、"/>
      <w:lvlJc w:val="left"/>
      <w:rPr>
        <w:rFonts w:hint="eastAsia"/>
      </w:rPr>
    </w:lvl>
  </w:abstractNum>
  <w:abstractNum w:abstractNumId="2">
    <w:nsid w:val="ED2347F4"/>
    <w:multiLevelType w:val="singleLevel"/>
    <w:tmpl w:val="ED2347F4"/>
    <w:lvl w:ilvl="0" w:tentative="0">
      <w:start w:val="1"/>
      <w:numFmt w:val="decimal"/>
      <w:suff w:val="nothing"/>
      <w:lvlText w:val="（%1）"/>
      <w:lvlJc w:val="left"/>
    </w:lvl>
  </w:abstractNum>
  <w:abstractNum w:abstractNumId="3">
    <w:nsid w:val="F7BE8E2D"/>
    <w:multiLevelType w:val="singleLevel"/>
    <w:tmpl w:val="F7BE8E2D"/>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MDczNzc4NWJiMTM1NGU3ZmNlNjVkZDc5MzE0MDg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1B8"/>
    <w:rsid w:val="00086A07"/>
    <w:rsid w:val="00086BE3"/>
    <w:rsid w:val="00094AF8"/>
    <w:rsid w:val="000A31BD"/>
    <w:rsid w:val="000A34F7"/>
    <w:rsid w:val="000A52CF"/>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6292"/>
    <w:rsid w:val="0010738F"/>
    <w:rsid w:val="0011440A"/>
    <w:rsid w:val="00114519"/>
    <w:rsid w:val="001233ED"/>
    <w:rsid w:val="00127946"/>
    <w:rsid w:val="00131E91"/>
    <w:rsid w:val="00132CA9"/>
    <w:rsid w:val="00133F69"/>
    <w:rsid w:val="001379B2"/>
    <w:rsid w:val="00142F40"/>
    <w:rsid w:val="001450A8"/>
    <w:rsid w:val="00151EE4"/>
    <w:rsid w:val="001523C0"/>
    <w:rsid w:val="00152F07"/>
    <w:rsid w:val="00154C0B"/>
    <w:rsid w:val="0015711A"/>
    <w:rsid w:val="00157BF7"/>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51EB"/>
    <w:rsid w:val="001C6FAA"/>
    <w:rsid w:val="001D00B3"/>
    <w:rsid w:val="001D0F5A"/>
    <w:rsid w:val="001D5A65"/>
    <w:rsid w:val="001D6B15"/>
    <w:rsid w:val="001E0CD1"/>
    <w:rsid w:val="001E4158"/>
    <w:rsid w:val="001E6227"/>
    <w:rsid w:val="001E63B6"/>
    <w:rsid w:val="001E6DD8"/>
    <w:rsid w:val="001F0290"/>
    <w:rsid w:val="001F0F94"/>
    <w:rsid w:val="001F51B5"/>
    <w:rsid w:val="001F6A01"/>
    <w:rsid w:val="00202DB9"/>
    <w:rsid w:val="002122DE"/>
    <w:rsid w:val="00215B7A"/>
    <w:rsid w:val="00223D5B"/>
    <w:rsid w:val="0022528C"/>
    <w:rsid w:val="002258BB"/>
    <w:rsid w:val="00225B7D"/>
    <w:rsid w:val="002260FC"/>
    <w:rsid w:val="002315B7"/>
    <w:rsid w:val="002347FE"/>
    <w:rsid w:val="0024360C"/>
    <w:rsid w:val="002451A7"/>
    <w:rsid w:val="00247373"/>
    <w:rsid w:val="00253C87"/>
    <w:rsid w:val="00255124"/>
    <w:rsid w:val="00260C05"/>
    <w:rsid w:val="00261575"/>
    <w:rsid w:val="00262407"/>
    <w:rsid w:val="00275E0E"/>
    <w:rsid w:val="0028146F"/>
    <w:rsid w:val="002831F6"/>
    <w:rsid w:val="00290CBF"/>
    <w:rsid w:val="0029590E"/>
    <w:rsid w:val="002A30DE"/>
    <w:rsid w:val="002A3EB3"/>
    <w:rsid w:val="002A78EC"/>
    <w:rsid w:val="002B1734"/>
    <w:rsid w:val="002B32BF"/>
    <w:rsid w:val="002B5DBC"/>
    <w:rsid w:val="002B7423"/>
    <w:rsid w:val="002B7CA9"/>
    <w:rsid w:val="002C120C"/>
    <w:rsid w:val="002C1E75"/>
    <w:rsid w:val="002C4A4A"/>
    <w:rsid w:val="002D0003"/>
    <w:rsid w:val="002D1442"/>
    <w:rsid w:val="002E4079"/>
    <w:rsid w:val="002E7CD6"/>
    <w:rsid w:val="002F68EE"/>
    <w:rsid w:val="002F7DEF"/>
    <w:rsid w:val="003014E2"/>
    <w:rsid w:val="00302D85"/>
    <w:rsid w:val="0030753D"/>
    <w:rsid w:val="00307FA7"/>
    <w:rsid w:val="0031051A"/>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2FCF"/>
    <w:rsid w:val="00353707"/>
    <w:rsid w:val="00354BE6"/>
    <w:rsid w:val="0035524D"/>
    <w:rsid w:val="00357E51"/>
    <w:rsid w:val="003628C2"/>
    <w:rsid w:val="00364854"/>
    <w:rsid w:val="00366BB7"/>
    <w:rsid w:val="003721DF"/>
    <w:rsid w:val="003748D5"/>
    <w:rsid w:val="0037694B"/>
    <w:rsid w:val="00381CA0"/>
    <w:rsid w:val="00381E11"/>
    <w:rsid w:val="003824D1"/>
    <w:rsid w:val="00393CBD"/>
    <w:rsid w:val="00395C76"/>
    <w:rsid w:val="003A2B25"/>
    <w:rsid w:val="003A5520"/>
    <w:rsid w:val="003B077B"/>
    <w:rsid w:val="003B3342"/>
    <w:rsid w:val="003B5C9C"/>
    <w:rsid w:val="003B65D7"/>
    <w:rsid w:val="003B79B6"/>
    <w:rsid w:val="003C193B"/>
    <w:rsid w:val="003C2FB5"/>
    <w:rsid w:val="003D0D72"/>
    <w:rsid w:val="003D17A4"/>
    <w:rsid w:val="003D39E2"/>
    <w:rsid w:val="003D3F68"/>
    <w:rsid w:val="003E006E"/>
    <w:rsid w:val="003E30F8"/>
    <w:rsid w:val="003E399E"/>
    <w:rsid w:val="003E6830"/>
    <w:rsid w:val="003E7652"/>
    <w:rsid w:val="003F288F"/>
    <w:rsid w:val="003F3875"/>
    <w:rsid w:val="003F42C0"/>
    <w:rsid w:val="003F51B0"/>
    <w:rsid w:val="004033E1"/>
    <w:rsid w:val="00405E84"/>
    <w:rsid w:val="0040607F"/>
    <w:rsid w:val="00417860"/>
    <w:rsid w:val="00420A7A"/>
    <w:rsid w:val="004235AF"/>
    <w:rsid w:val="00424962"/>
    <w:rsid w:val="0042558D"/>
    <w:rsid w:val="00427A89"/>
    <w:rsid w:val="0043107A"/>
    <w:rsid w:val="00432C43"/>
    <w:rsid w:val="004359C6"/>
    <w:rsid w:val="004360FC"/>
    <w:rsid w:val="004378C7"/>
    <w:rsid w:val="00437B9C"/>
    <w:rsid w:val="00437FC4"/>
    <w:rsid w:val="00441805"/>
    <w:rsid w:val="0044361E"/>
    <w:rsid w:val="004518C8"/>
    <w:rsid w:val="004551D1"/>
    <w:rsid w:val="00456F4B"/>
    <w:rsid w:val="0045753C"/>
    <w:rsid w:val="004577C3"/>
    <w:rsid w:val="0046038A"/>
    <w:rsid w:val="00460F3E"/>
    <w:rsid w:val="00464570"/>
    <w:rsid w:val="00474DA9"/>
    <w:rsid w:val="004761B2"/>
    <w:rsid w:val="00481AFA"/>
    <w:rsid w:val="0049337D"/>
    <w:rsid w:val="004A766F"/>
    <w:rsid w:val="004B093D"/>
    <w:rsid w:val="004B5B77"/>
    <w:rsid w:val="004B604C"/>
    <w:rsid w:val="004D6150"/>
    <w:rsid w:val="004E4ADE"/>
    <w:rsid w:val="004E5028"/>
    <w:rsid w:val="004E5F4E"/>
    <w:rsid w:val="004E7973"/>
    <w:rsid w:val="004F2802"/>
    <w:rsid w:val="004F79FD"/>
    <w:rsid w:val="00500B9E"/>
    <w:rsid w:val="00503499"/>
    <w:rsid w:val="00506501"/>
    <w:rsid w:val="00507BC4"/>
    <w:rsid w:val="00513DB6"/>
    <w:rsid w:val="00524E92"/>
    <w:rsid w:val="00531E28"/>
    <w:rsid w:val="005344B1"/>
    <w:rsid w:val="005409F9"/>
    <w:rsid w:val="005423E7"/>
    <w:rsid w:val="00547325"/>
    <w:rsid w:val="005548FB"/>
    <w:rsid w:val="005572B4"/>
    <w:rsid w:val="0056010A"/>
    <w:rsid w:val="00563302"/>
    <w:rsid w:val="00565AC5"/>
    <w:rsid w:val="00566098"/>
    <w:rsid w:val="00571307"/>
    <w:rsid w:val="005743EA"/>
    <w:rsid w:val="00576F2E"/>
    <w:rsid w:val="00581210"/>
    <w:rsid w:val="00581FC3"/>
    <w:rsid w:val="005832B2"/>
    <w:rsid w:val="005851F1"/>
    <w:rsid w:val="005910B4"/>
    <w:rsid w:val="00596A23"/>
    <w:rsid w:val="005B735D"/>
    <w:rsid w:val="005C0469"/>
    <w:rsid w:val="005C4A71"/>
    <w:rsid w:val="005C6F40"/>
    <w:rsid w:val="005D044E"/>
    <w:rsid w:val="005D4119"/>
    <w:rsid w:val="005D66C2"/>
    <w:rsid w:val="005E2AC9"/>
    <w:rsid w:val="005E4D67"/>
    <w:rsid w:val="005F3D7C"/>
    <w:rsid w:val="00602D7E"/>
    <w:rsid w:val="00603BD0"/>
    <w:rsid w:val="0060555D"/>
    <w:rsid w:val="00606161"/>
    <w:rsid w:val="006062B3"/>
    <w:rsid w:val="00612EB1"/>
    <w:rsid w:val="0061352C"/>
    <w:rsid w:val="006148FC"/>
    <w:rsid w:val="006165C8"/>
    <w:rsid w:val="006175B4"/>
    <w:rsid w:val="00617AAD"/>
    <w:rsid w:val="00621CDC"/>
    <w:rsid w:val="006229B2"/>
    <w:rsid w:val="00625E3D"/>
    <w:rsid w:val="00630B61"/>
    <w:rsid w:val="006402A6"/>
    <w:rsid w:val="00644B65"/>
    <w:rsid w:val="006530F8"/>
    <w:rsid w:val="006537BE"/>
    <w:rsid w:val="00663763"/>
    <w:rsid w:val="006654C0"/>
    <w:rsid w:val="00670073"/>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373C"/>
    <w:rsid w:val="006F6DB2"/>
    <w:rsid w:val="00704B3A"/>
    <w:rsid w:val="00710CF8"/>
    <w:rsid w:val="00711E08"/>
    <w:rsid w:val="007138FD"/>
    <w:rsid w:val="00716BB1"/>
    <w:rsid w:val="007172FD"/>
    <w:rsid w:val="007200C8"/>
    <w:rsid w:val="007215F6"/>
    <w:rsid w:val="00721BAA"/>
    <w:rsid w:val="00730D9F"/>
    <w:rsid w:val="00730FE4"/>
    <w:rsid w:val="00745968"/>
    <w:rsid w:val="00747A3E"/>
    <w:rsid w:val="007632F2"/>
    <w:rsid w:val="007730C9"/>
    <w:rsid w:val="00775150"/>
    <w:rsid w:val="00776B48"/>
    <w:rsid w:val="0078099D"/>
    <w:rsid w:val="00787DE8"/>
    <w:rsid w:val="0079212B"/>
    <w:rsid w:val="007942D8"/>
    <w:rsid w:val="00794983"/>
    <w:rsid w:val="00796ED7"/>
    <w:rsid w:val="007A7740"/>
    <w:rsid w:val="007B1976"/>
    <w:rsid w:val="007B3E3C"/>
    <w:rsid w:val="007B4F1D"/>
    <w:rsid w:val="007C002A"/>
    <w:rsid w:val="007C024B"/>
    <w:rsid w:val="007C2391"/>
    <w:rsid w:val="007D408A"/>
    <w:rsid w:val="007D4A5A"/>
    <w:rsid w:val="007D6B20"/>
    <w:rsid w:val="007E026D"/>
    <w:rsid w:val="007E0673"/>
    <w:rsid w:val="007E32FC"/>
    <w:rsid w:val="007E6C56"/>
    <w:rsid w:val="007F01A2"/>
    <w:rsid w:val="007F0378"/>
    <w:rsid w:val="007F0FB2"/>
    <w:rsid w:val="007F2315"/>
    <w:rsid w:val="007F2ABC"/>
    <w:rsid w:val="007F7FEC"/>
    <w:rsid w:val="0081027D"/>
    <w:rsid w:val="00817B3D"/>
    <w:rsid w:val="00822299"/>
    <w:rsid w:val="008270D5"/>
    <w:rsid w:val="008279A7"/>
    <w:rsid w:val="00831B7F"/>
    <w:rsid w:val="008377B5"/>
    <w:rsid w:val="00844CAA"/>
    <w:rsid w:val="0085250F"/>
    <w:rsid w:val="008525D6"/>
    <w:rsid w:val="0085388E"/>
    <w:rsid w:val="00856F5E"/>
    <w:rsid w:val="008604D1"/>
    <w:rsid w:val="008659E9"/>
    <w:rsid w:val="0087095D"/>
    <w:rsid w:val="00871835"/>
    <w:rsid w:val="00871F12"/>
    <w:rsid w:val="00872F74"/>
    <w:rsid w:val="00875420"/>
    <w:rsid w:val="00876184"/>
    <w:rsid w:val="00880A50"/>
    <w:rsid w:val="00884732"/>
    <w:rsid w:val="0089007C"/>
    <w:rsid w:val="008928AE"/>
    <w:rsid w:val="00892BA7"/>
    <w:rsid w:val="00893092"/>
    <w:rsid w:val="00894583"/>
    <w:rsid w:val="008A0315"/>
    <w:rsid w:val="008A4C9B"/>
    <w:rsid w:val="008B08C5"/>
    <w:rsid w:val="008B4E61"/>
    <w:rsid w:val="008B6384"/>
    <w:rsid w:val="008B6557"/>
    <w:rsid w:val="008B74A7"/>
    <w:rsid w:val="008C02C2"/>
    <w:rsid w:val="008C1CB3"/>
    <w:rsid w:val="008C33B1"/>
    <w:rsid w:val="008C7F21"/>
    <w:rsid w:val="008D1795"/>
    <w:rsid w:val="008D4357"/>
    <w:rsid w:val="008D565D"/>
    <w:rsid w:val="008D6357"/>
    <w:rsid w:val="008D78DE"/>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64"/>
    <w:rsid w:val="00925D9A"/>
    <w:rsid w:val="00926978"/>
    <w:rsid w:val="00932BD9"/>
    <w:rsid w:val="00933612"/>
    <w:rsid w:val="0094670F"/>
    <w:rsid w:val="009479D0"/>
    <w:rsid w:val="00954D5D"/>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163A4"/>
    <w:rsid w:val="00A311C2"/>
    <w:rsid w:val="00A32233"/>
    <w:rsid w:val="00A36A24"/>
    <w:rsid w:val="00A376FB"/>
    <w:rsid w:val="00A45306"/>
    <w:rsid w:val="00A45D73"/>
    <w:rsid w:val="00A51CF6"/>
    <w:rsid w:val="00A60DEB"/>
    <w:rsid w:val="00A62F8C"/>
    <w:rsid w:val="00A64725"/>
    <w:rsid w:val="00A648B5"/>
    <w:rsid w:val="00A6666A"/>
    <w:rsid w:val="00A73490"/>
    <w:rsid w:val="00A819B6"/>
    <w:rsid w:val="00A91C8B"/>
    <w:rsid w:val="00A95824"/>
    <w:rsid w:val="00AB2EDC"/>
    <w:rsid w:val="00AB47F4"/>
    <w:rsid w:val="00AC136E"/>
    <w:rsid w:val="00AC1F6A"/>
    <w:rsid w:val="00AC3E90"/>
    <w:rsid w:val="00AC413D"/>
    <w:rsid w:val="00AD3A9D"/>
    <w:rsid w:val="00AD79D3"/>
    <w:rsid w:val="00AE5434"/>
    <w:rsid w:val="00AE6DBF"/>
    <w:rsid w:val="00AE75DB"/>
    <w:rsid w:val="00AF5EBE"/>
    <w:rsid w:val="00B0092D"/>
    <w:rsid w:val="00B01C60"/>
    <w:rsid w:val="00B01D22"/>
    <w:rsid w:val="00B03A00"/>
    <w:rsid w:val="00B0445D"/>
    <w:rsid w:val="00B0447C"/>
    <w:rsid w:val="00B05E53"/>
    <w:rsid w:val="00B072AA"/>
    <w:rsid w:val="00B10650"/>
    <w:rsid w:val="00B10E08"/>
    <w:rsid w:val="00B11436"/>
    <w:rsid w:val="00B12341"/>
    <w:rsid w:val="00B25D19"/>
    <w:rsid w:val="00B353B9"/>
    <w:rsid w:val="00B359D9"/>
    <w:rsid w:val="00B35BC7"/>
    <w:rsid w:val="00B40B8B"/>
    <w:rsid w:val="00B4404D"/>
    <w:rsid w:val="00B50993"/>
    <w:rsid w:val="00B63168"/>
    <w:rsid w:val="00B63E9B"/>
    <w:rsid w:val="00B641FD"/>
    <w:rsid w:val="00B64963"/>
    <w:rsid w:val="00B70085"/>
    <w:rsid w:val="00B7099F"/>
    <w:rsid w:val="00B71873"/>
    <w:rsid w:val="00B72A5D"/>
    <w:rsid w:val="00B736B7"/>
    <w:rsid w:val="00B73C45"/>
    <w:rsid w:val="00B82E01"/>
    <w:rsid w:val="00B84DD7"/>
    <w:rsid w:val="00B87BE2"/>
    <w:rsid w:val="00B91811"/>
    <w:rsid w:val="00B94460"/>
    <w:rsid w:val="00B9561A"/>
    <w:rsid w:val="00B97B59"/>
    <w:rsid w:val="00BA437F"/>
    <w:rsid w:val="00BA5C29"/>
    <w:rsid w:val="00BB6C9A"/>
    <w:rsid w:val="00BC0594"/>
    <w:rsid w:val="00BC07C4"/>
    <w:rsid w:val="00BC11FC"/>
    <w:rsid w:val="00BC1BEF"/>
    <w:rsid w:val="00BC1F54"/>
    <w:rsid w:val="00BC4C9D"/>
    <w:rsid w:val="00BC54FC"/>
    <w:rsid w:val="00BD2118"/>
    <w:rsid w:val="00BD329D"/>
    <w:rsid w:val="00BD5092"/>
    <w:rsid w:val="00BD5997"/>
    <w:rsid w:val="00BE6F50"/>
    <w:rsid w:val="00BF1BA3"/>
    <w:rsid w:val="00BF2C89"/>
    <w:rsid w:val="00BF588D"/>
    <w:rsid w:val="00C03447"/>
    <w:rsid w:val="00C057B9"/>
    <w:rsid w:val="00C07EF5"/>
    <w:rsid w:val="00C128FE"/>
    <w:rsid w:val="00C13304"/>
    <w:rsid w:val="00C14DC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1B5"/>
    <w:rsid w:val="00C756C3"/>
    <w:rsid w:val="00C80F66"/>
    <w:rsid w:val="00C83FB9"/>
    <w:rsid w:val="00C84AE8"/>
    <w:rsid w:val="00C85D1B"/>
    <w:rsid w:val="00C929A0"/>
    <w:rsid w:val="00C96DDA"/>
    <w:rsid w:val="00CA7F1F"/>
    <w:rsid w:val="00CB5D3E"/>
    <w:rsid w:val="00CC4C46"/>
    <w:rsid w:val="00CC6AAB"/>
    <w:rsid w:val="00CC77FF"/>
    <w:rsid w:val="00CC7CF5"/>
    <w:rsid w:val="00CE3C5A"/>
    <w:rsid w:val="00CE4922"/>
    <w:rsid w:val="00CE59C6"/>
    <w:rsid w:val="00CE7586"/>
    <w:rsid w:val="00D03659"/>
    <w:rsid w:val="00D03EDF"/>
    <w:rsid w:val="00D10DC0"/>
    <w:rsid w:val="00D11555"/>
    <w:rsid w:val="00D1375F"/>
    <w:rsid w:val="00D13D6D"/>
    <w:rsid w:val="00D20C74"/>
    <w:rsid w:val="00D24FD7"/>
    <w:rsid w:val="00D25647"/>
    <w:rsid w:val="00D27F69"/>
    <w:rsid w:val="00D34FE4"/>
    <w:rsid w:val="00D35FF6"/>
    <w:rsid w:val="00D377A7"/>
    <w:rsid w:val="00D4308A"/>
    <w:rsid w:val="00D44C95"/>
    <w:rsid w:val="00D452A7"/>
    <w:rsid w:val="00D4584F"/>
    <w:rsid w:val="00D54725"/>
    <w:rsid w:val="00D559FF"/>
    <w:rsid w:val="00D62B8C"/>
    <w:rsid w:val="00D63276"/>
    <w:rsid w:val="00D66F39"/>
    <w:rsid w:val="00D70BC6"/>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D6ECF"/>
    <w:rsid w:val="00DE5E58"/>
    <w:rsid w:val="00DE7B46"/>
    <w:rsid w:val="00DF46CC"/>
    <w:rsid w:val="00E0162C"/>
    <w:rsid w:val="00E01977"/>
    <w:rsid w:val="00E11487"/>
    <w:rsid w:val="00E14ACC"/>
    <w:rsid w:val="00E15A8C"/>
    <w:rsid w:val="00E25B76"/>
    <w:rsid w:val="00E3707A"/>
    <w:rsid w:val="00E4144C"/>
    <w:rsid w:val="00E44F84"/>
    <w:rsid w:val="00E463C6"/>
    <w:rsid w:val="00E53121"/>
    <w:rsid w:val="00E5318E"/>
    <w:rsid w:val="00E53532"/>
    <w:rsid w:val="00E6034D"/>
    <w:rsid w:val="00E71967"/>
    <w:rsid w:val="00E754B1"/>
    <w:rsid w:val="00E801B5"/>
    <w:rsid w:val="00E841D7"/>
    <w:rsid w:val="00E905E8"/>
    <w:rsid w:val="00E93F56"/>
    <w:rsid w:val="00E952D9"/>
    <w:rsid w:val="00E96773"/>
    <w:rsid w:val="00E97CB9"/>
    <w:rsid w:val="00EA6CF3"/>
    <w:rsid w:val="00EB27E9"/>
    <w:rsid w:val="00EB37C9"/>
    <w:rsid w:val="00EC134E"/>
    <w:rsid w:val="00EC7209"/>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910"/>
    <w:rsid w:val="00F41A5D"/>
    <w:rsid w:val="00F42259"/>
    <w:rsid w:val="00F470A2"/>
    <w:rsid w:val="00F51F93"/>
    <w:rsid w:val="00F552E5"/>
    <w:rsid w:val="00F56AA8"/>
    <w:rsid w:val="00F6445E"/>
    <w:rsid w:val="00F67C91"/>
    <w:rsid w:val="00F723F9"/>
    <w:rsid w:val="00F736E8"/>
    <w:rsid w:val="00F82315"/>
    <w:rsid w:val="00F83D3C"/>
    <w:rsid w:val="00F840D6"/>
    <w:rsid w:val="00F8691C"/>
    <w:rsid w:val="00F900BE"/>
    <w:rsid w:val="00F90F32"/>
    <w:rsid w:val="00F97392"/>
    <w:rsid w:val="00F97DF6"/>
    <w:rsid w:val="00FA3DA8"/>
    <w:rsid w:val="00FA4EEC"/>
    <w:rsid w:val="00FB335B"/>
    <w:rsid w:val="00FB4EAA"/>
    <w:rsid w:val="00FC5512"/>
    <w:rsid w:val="00FC6366"/>
    <w:rsid w:val="00FD0CD9"/>
    <w:rsid w:val="00FD4970"/>
    <w:rsid w:val="00FD6927"/>
    <w:rsid w:val="00FE02D9"/>
    <w:rsid w:val="00FE14F9"/>
    <w:rsid w:val="00FE5224"/>
    <w:rsid w:val="00FF2EFF"/>
    <w:rsid w:val="00FF4843"/>
    <w:rsid w:val="00FF5EEA"/>
    <w:rsid w:val="0101237C"/>
    <w:rsid w:val="01057F1E"/>
    <w:rsid w:val="011B2144"/>
    <w:rsid w:val="013226CF"/>
    <w:rsid w:val="016E5688"/>
    <w:rsid w:val="01967DCC"/>
    <w:rsid w:val="01E176B5"/>
    <w:rsid w:val="01EA0118"/>
    <w:rsid w:val="02615689"/>
    <w:rsid w:val="02B811DD"/>
    <w:rsid w:val="02C92423"/>
    <w:rsid w:val="02D41D88"/>
    <w:rsid w:val="02FD25C0"/>
    <w:rsid w:val="03124008"/>
    <w:rsid w:val="0383779E"/>
    <w:rsid w:val="038C2D03"/>
    <w:rsid w:val="03C638F5"/>
    <w:rsid w:val="03E12F49"/>
    <w:rsid w:val="044E498E"/>
    <w:rsid w:val="046046C1"/>
    <w:rsid w:val="046248DD"/>
    <w:rsid w:val="04820ADC"/>
    <w:rsid w:val="04A15406"/>
    <w:rsid w:val="04B52C5F"/>
    <w:rsid w:val="04C14B1F"/>
    <w:rsid w:val="04D13BD5"/>
    <w:rsid w:val="04E01380"/>
    <w:rsid w:val="04FA4B16"/>
    <w:rsid w:val="05153D1D"/>
    <w:rsid w:val="05222520"/>
    <w:rsid w:val="05687A28"/>
    <w:rsid w:val="058F7720"/>
    <w:rsid w:val="05923BBE"/>
    <w:rsid w:val="05A0746B"/>
    <w:rsid w:val="05C3315A"/>
    <w:rsid w:val="05E26A36"/>
    <w:rsid w:val="05FD1736"/>
    <w:rsid w:val="060774EA"/>
    <w:rsid w:val="060D1346"/>
    <w:rsid w:val="062E17A6"/>
    <w:rsid w:val="063B0749"/>
    <w:rsid w:val="06416AF5"/>
    <w:rsid w:val="066A35E1"/>
    <w:rsid w:val="068F06C2"/>
    <w:rsid w:val="069437E3"/>
    <w:rsid w:val="069B46AA"/>
    <w:rsid w:val="06A75D00"/>
    <w:rsid w:val="06FA5404"/>
    <w:rsid w:val="07046D57"/>
    <w:rsid w:val="071756D0"/>
    <w:rsid w:val="074C3905"/>
    <w:rsid w:val="07841D7B"/>
    <w:rsid w:val="079466F6"/>
    <w:rsid w:val="07CF31BA"/>
    <w:rsid w:val="08350697"/>
    <w:rsid w:val="088D6E4C"/>
    <w:rsid w:val="088E6E07"/>
    <w:rsid w:val="08AB6853"/>
    <w:rsid w:val="08C23B9D"/>
    <w:rsid w:val="08CE0793"/>
    <w:rsid w:val="08DC4C5E"/>
    <w:rsid w:val="08E16B89"/>
    <w:rsid w:val="08F57ACE"/>
    <w:rsid w:val="091A625A"/>
    <w:rsid w:val="092C5630"/>
    <w:rsid w:val="096576D1"/>
    <w:rsid w:val="0988739D"/>
    <w:rsid w:val="098D703C"/>
    <w:rsid w:val="09A77BE3"/>
    <w:rsid w:val="0A4A3E4A"/>
    <w:rsid w:val="0AAE262A"/>
    <w:rsid w:val="0ADF27E4"/>
    <w:rsid w:val="0AFA1004"/>
    <w:rsid w:val="0B325009"/>
    <w:rsid w:val="0B621790"/>
    <w:rsid w:val="0B9610F4"/>
    <w:rsid w:val="0BA47589"/>
    <w:rsid w:val="0BCD088E"/>
    <w:rsid w:val="0BFF27E5"/>
    <w:rsid w:val="0C071EC6"/>
    <w:rsid w:val="0C085D6A"/>
    <w:rsid w:val="0C0D1E49"/>
    <w:rsid w:val="0C3E0055"/>
    <w:rsid w:val="0C950B29"/>
    <w:rsid w:val="0C987742"/>
    <w:rsid w:val="0C9C67E5"/>
    <w:rsid w:val="0CA8524F"/>
    <w:rsid w:val="0CD935C3"/>
    <w:rsid w:val="0D0273AB"/>
    <w:rsid w:val="0D211A66"/>
    <w:rsid w:val="0D7613D0"/>
    <w:rsid w:val="0D872580"/>
    <w:rsid w:val="0DCB6F7B"/>
    <w:rsid w:val="0DCE0778"/>
    <w:rsid w:val="0DD84FC2"/>
    <w:rsid w:val="0DF06AB6"/>
    <w:rsid w:val="0DFC545B"/>
    <w:rsid w:val="0E5B1A14"/>
    <w:rsid w:val="0E884F40"/>
    <w:rsid w:val="0EA91DE5"/>
    <w:rsid w:val="0EAF6971"/>
    <w:rsid w:val="0F0767AD"/>
    <w:rsid w:val="0F19203C"/>
    <w:rsid w:val="0F241091"/>
    <w:rsid w:val="0F390A43"/>
    <w:rsid w:val="0F930041"/>
    <w:rsid w:val="0FA36D3D"/>
    <w:rsid w:val="0FCD5301"/>
    <w:rsid w:val="0FD15FED"/>
    <w:rsid w:val="0FEB2295"/>
    <w:rsid w:val="0FFF0CB6"/>
    <w:rsid w:val="10135B48"/>
    <w:rsid w:val="10274A79"/>
    <w:rsid w:val="109A0CCD"/>
    <w:rsid w:val="10BC03C7"/>
    <w:rsid w:val="10C20BDE"/>
    <w:rsid w:val="11001706"/>
    <w:rsid w:val="112D6FC2"/>
    <w:rsid w:val="11427629"/>
    <w:rsid w:val="11C73FD2"/>
    <w:rsid w:val="11D82916"/>
    <w:rsid w:val="11EE77B0"/>
    <w:rsid w:val="120F3A28"/>
    <w:rsid w:val="123314AD"/>
    <w:rsid w:val="123D6042"/>
    <w:rsid w:val="124C123D"/>
    <w:rsid w:val="12521AED"/>
    <w:rsid w:val="12584489"/>
    <w:rsid w:val="126E58D4"/>
    <w:rsid w:val="127A5249"/>
    <w:rsid w:val="12983341"/>
    <w:rsid w:val="12A12A75"/>
    <w:rsid w:val="12CA3D79"/>
    <w:rsid w:val="130F4961"/>
    <w:rsid w:val="130F4A87"/>
    <w:rsid w:val="133E2592"/>
    <w:rsid w:val="1353662D"/>
    <w:rsid w:val="138A175B"/>
    <w:rsid w:val="13A42943"/>
    <w:rsid w:val="14116D82"/>
    <w:rsid w:val="14227173"/>
    <w:rsid w:val="14237C67"/>
    <w:rsid w:val="14282C58"/>
    <w:rsid w:val="143C4803"/>
    <w:rsid w:val="144B79E3"/>
    <w:rsid w:val="14660D3C"/>
    <w:rsid w:val="14A76864"/>
    <w:rsid w:val="14D02DF5"/>
    <w:rsid w:val="14E465C5"/>
    <w:rsid w:val="15113EE2"/>
    <w:rsid w:val="15875F52"/>
    <w:rsid w:val="159D260E"/>
    <w:rsid w:val="15A13C38"/>
    <w:rsid w:val="15E06325"/>
    <w:rsid w:val="163A5B6F"/>
    <w:rsid w:val="164B51D1"/>
    <w:rsid w:val="165A2530"/>
    <w:rsid w:val="16A02D2B"/>
    <w:rsid w:val="16AA3D7D"/>
    <w:rsid w:val="16B60189"/>
    <w:rsid w:val="16BE59A3"/>
    <w:rsid w:val="16BF796D"/>
    <w:rsid w:val="16C956B3"/>
    <w:rsid w:val="16CD208A"/>
    <w:rsid w:val="16DF6DDB"/>
    <w:rsid w:val="174116A4"/>
    <w:rsid w:val="175045F4"/>
    <w:rsid w:val="178F57E7"/>
    <w:rsid w:val="17B9616B"/>
    <w:rsid w:val="17C92852"/>
    <w:rsid w:val="17F11DA8"/>
    <w:rsid w:val="18056545"/>
    <w:rsid w:val="180B10BC"/>
    <w:rsid w:val="1814331C"/>
    <w:rsid w:val="182745FA"/>
    <w:rsid w:val="18866995"/>
    <w:rsid w:val="18B643C7"/>
    <w:rsid w:val="18DF05E5"/>
    <w:rsid w:val="18E1409A"/>
    <w:rsid w:val="18EE4736"/>
    <w:rsid w:val="18F034D6"/>
    <w:rsid w:val="18FF04F5"/>
    <w:rsid w:val="19017260"/>
    <w:rsid w:val="195C76F5"/>
    <w:rsid w:val="19777A51"/>
    <w:rsid w:val="197D32D9"/>
    <w:rsid w:val="19A54BF8"/>
    <w:rsid w:val="1A044015"/>
    <w:rsid w:val="1A143B2C"/>
    <w:rsid w:val="1A1850B4"/>
    <w:rsid w:val="1A22584D"/>
    <w:rsid w:val="1A435DAC"/>
    <w:rsid w:val="1A642D06"/>
    <w:rsid w:val="1AAE3F81"/>
    <w:rsid w:val="1AC612CA"/>
    <w:rsid w:val="1AF20311"/>
    <w:rsid w:val="1B010554"/>
    <w:rsid w:val="1B0940FF"/>
    <w:rsid w:val="1B4B5C73"/>
    <w:rsid w:val="1B6B1074"/>
    <w:rsid w:val="1B8B6070"/>
    <w:rsid w:val="1B9D6802"/>
    <w:rsid w:val="1BB4208A"/>
    <w:rsid w:val="1BBD7B09"/>
    <w:rsid w:val="1BE03EEE"/>
    <w:rsid w:val="1BF135C3"/>
    <w:rsid w:val="1C0155CC"/>
    <w:rsid w:val="1C483EC2"/>
    <w:rsid w:val="1C890385"/>
    <w:rsid w:val="1CBA04E6"/>
    <w:rsid w:val="1CBD66FD"/>
    <w:rsid w:val="1CBE36F0"/>
    <w:rsid w:val="1CC21F65"/>
    <w:rsid w:val="1CC852ED"/>
    <w:rsid w:val="1CF33ECD"/>
    <w:rsid w:val="1CFD2F9D"/>
    <w:rsid w:val="1D0151B5"/>
    <w:rsid w:val="1D064A15"/>
    <w:rsid w:val="1D4B1F5B"/>
    <w:rsid w:val="1D9E3B64"/>
    <w:rsid w:val="1DB47B00"/>
    <w:rsid w:val="1DD57E18"/>
    <w:rsid w:val="1E0F4D36"/>
    <w:rsid w:val="1E1973D5"/>
    <w:rsid w:val="1E375254"/>
    <w:rsid w:val="1E37603B"/>
    <w:rsid w:val="1E7770DE"/>
    <w:rsid w:val="1E7E1EBC"/>
    <w:rsid w:val="1EA82305"/>
    <w:rsid w:val="1EC870D9"/>
    <w:rsid w:val="1EDD3086"/>
    <w:rsid w:val="1F0D5D11"/>
    <w:rsid w:val="1F262338"/>
    <w:rsid w:val="1F294B74"/>
    <w:rsid w:val="1F322599"/>
    <w:rsid w:val="1F375532"/>
    <w:rsid w:val="1F83778A"/>
    <w:rsid w:val="1F884118"/>
    <w:rsid w:val="1FB578D4"/>
    <w:rsid w:val="1FB63615"/>
    <w:rsid w:val="1FC34680"/>
    <w:rsid w:val="1FCF54B9"/>
    <w:rsid w:val="1FE931B2"/>
    <w:rsid w:val="1FF71F26"/>
    <w:rsid w:val="200307FA"/>
    <w:rsid w:val="203B0065"/>
    <w:rsid w:val="20617458"/>
    <w:rsid w:val="20686980"/>
    <w:rsid w:val="207A1985"/>
    <w:rsid w:val="20A84B28"/>
    <w:rsid w:val="21007415"/>
    <w:rsid w:val="2103128B"/>
    <w:rsid w:val="21055681"/>
    <w:rsid w:val="21144335"/>
    <w:rsid w:val="211A411E"/>
    <w:rsid w:val="21260D15"/>
    <w:rsid w:val="217A4752"/>
    <w:rsid w:val="218626BB"/>
    <w:rsid w:val="21D30DC7"/>
    <w:rsid w:val="21EF74B1"/>
    <w:rsid w:val="22142615"/>
    <w:rsid w:val="221C2FEC"/>
    <w:rsid w:val="22364F87"/>
    <w:rsid w:val="223E0305"/>
    <w:rsid w:val="224F7DF7"/>
    <w:rsid w:val="22610E74"/>
    <w:rsid w:val="22833F45"/>
    <w:rsid w:val="228F33A1"/>
    <w:rsid w:val="229B41DA"/>
    <w:rsid w:val="22BC1436"/>
    <w:rsid w:val="22C62CF4"/>
    <w:rsid w:val="22C80558"/>
    <w:rsid w:val="22E5535D"/>
    <w:rsid w:val="23007343"/>
    <w:rsid w:val="23353491"/>
    <w:rsid w:val="23492A98"/>
    <w:rsid w:val="23654AB7"/>
    <w:rsid w:val="23757D31"/>
    <w:rsid w:val="23953D3B"/>
    <w:rsid w:val="23A06120"/>
    <w:rsid w:val="23B3124E"/>
    <w:rsid w:val="23B56380"/>
    <w:rsid w:val="23EB3B50"/>
    <w:rsid w:val="23FB7AB3"/>
    <w:rsid w:val="23FC3FAF"/>
    <w:rsid w:val="240D1D18"/>
    <w:rsid w:val="242B6642"/>
    <w:rsid w:val="24653902"/>
    <w:rsid w:val="248D4747"/>
    <w:rsid w:val="24E54A43"/>
    <w:rsid w:val="25837255"/>
    <w:rsid w:val="25DA0320"/>
    <w:rsid w:val="26056D25"/>
    <w:rsid w:val="262674AB"/>
    <w:rsid w:val="26315601"/>
    <w:rsid w:val="263A6832"/>
    <w:rsid w:val="266A1AC6"/>
    <w:rsid w:val="2683543F"/>
    <w:rsid w:val="27055E2C"/>
    <w:rsid w:val="2706779D"/>
    <w:rsid w:val="27186EC0"/>
    <w:rsid w:val="2725351F"/>
    <w:rsid w:val="273B3040"/>
    <w:rsid w:val="27524A83"/>
    <w:rsid w:val="2778308D"/>
    <w:rsid w:val="27AB7D0C"/>
    <w:rsid w:val="27BC5BF5"/>
    <w:rsid w:val="27F427FC"/>
    <w:rsid w:val="280F6544"/>
    <w:rsid w:val="28135FC7"/>
    <w:rsid w:val="28466A74"/>
    <w:rsid w:val="286B15D4"/>
    <w:rsid w:val="286E02B3"/>
    <w:rsid w:val="28834ADA"/>
    <w:rsid w:val="28AC24C6"/>
    <w:rsid w:val="28CD7B64"/>
    <w:rsid w:val="28DA73F5"/>
    <w:rsid w:val="28DC7F0B"/>
    <w:rsid w:val="28EA6ACC"/>
    <w:rsid w:val="28F129DA"/>
    <w:rsid w:val="29176F41"/>
    <w:rsid w:val="292C2C40"/>
    <w:rsid w:val="29473769"/>
    <w:rsid w:val="29487234"/>
    <w:rsid w:val="299E3412"/>
    <w:rsid w:val="29AE6B2F"/>
    <w:rsid w:val="29BF7550"/>
    <w:rsid w:val="29C25353"/>
    <w:rsid w:val="29D357B2"/>
    <w:rsid w:val="29F251A1"/>
    <w:rsid w:val="2A1B4A63"/>
    <w:rsid w:val="2A231CA8"/>
    <w:rsid w:val="2A295228"/>
    <w:rsid w:val="2A427E76"/>
    <w:rsid w:val="2A5B2299"/>
    <w:rsid w:val="2A627FD1"/>
    <w:rsid w:val="2A930A9D"/>
    <w:rsid w:val="2A9E4307"/>
    <w:rsid w:val="2AA64E47"/>
    <w:rsid w:val="2AE55335"/>
    <w:rsid w:val="2AE876A5"/>
    <w:rsid w:val="2B312790"/>
    <w:rsid w:val="2B3D2939"/>
    <w:rsid w:val="2B481888"/>
    <w:rsid w:val="2B9D0FF7"/>
    <w:rsid w:val="2BE5097B"/>
    <w:rsid w:val="2C047EA4"/>
    <w:rsid w:val="2C3D6F12"/>
    <w:rsid w:val="2C616407"/>
    <w:rsid w:val="2C8132A3"/>
    <w:rsid w:val="2C86594D"/>
    <w:rsid w:val="2CE61FCE"/>
    <w:rsid w:val="2CFC2BFE"/>
    <w:rsid w:val="2D083ED8"/>
    <w:rsid w:val="2D1C3F42"/>
    <w:rsid w:val="2D1F03E0"/>
    <w:rsid w:val="2D213733"/>
    <w:rsid w:val="2D306A77"/>
    <w:rsid w:val="2D377E06"/>
    <w:rsid w:val="2D3B209D"/>
    <w:rsid w:val="2D40078D"/>
    <w:rsid w:val="2D49182E"/>
    <w:rsid w:val="2D4C5349"/>
    <w:rsid w:val="2D594220"/>
    <w:rsid w:val="2D914AEC"/>
    <w:rsid w:val="2DAA6942"/>
    <w:rsid w:val="2DC51A8B"/>
    <w:rsid w:val="2DFE1FFB"/>
    <w:rsid w:val="2E333BE1"/>
    <w:rsid w:val="2E4D549D"/>
    <w:rsid w:val="2E516929"/>
    <w:rsid w:val="2E714F37"/>
    <w:rsid w:val="2E7976B0"/>
    <w:rsid w:val="2ECC0FF4"/>
    <w:rsid w:val="2ED52C6D"/>
    <w:rsid w:val="2EF266DA"/>
    <w:rsid w:val="2EF35FAE"/>
    <w:rsid w:val="2F2148C9"/>
    <w:rsid w:val="2F2D7712"/>
    <w:rsid w:val="2F452CAE"/>
    <w:rsid w:val="2FAE67A1"/>
    <w:rsid w:val="2FD37516"/>
    <w:rsid w:val="302E37D9"/>
    <w:rsid w:val="30521E7B"/>
    <w:rsid w:val="306B1B9C"/>
    <w:rsid w:val="306E31AE"/>
    <w:rsid w:val="30AD79A0"/>
    <w:rsid w:val="30C717D2"/>
    <w:rsid w:val="30CF1497"/>
    <w:rsid w:val="30EB692C"/>
    <w:rsid w:val="30EB71D3"/>
    <w:rsid w:val="30EF5FFA"/>
    <w:rsid w:val="313034EA"/>
    <w:rsid w:val="313A6212"/>
    <w:rsid w:val="314D028A"/>
    <w:rsid w:val="314F4A3F"/>
    <w:rsid w:val="3163566D"/>
    <w:rsid w:val="3174292F"/>
    <w:rsid w:val="31745184"/>
    <w:rsid w:val="31DF64A6"/>
    <w:rsid w:val="31ED676B"/>
    <w:rsid w:val="31F232FA"/>
    <w:rsid w:val="31F85A80"/>
    <w:rsid w:val="320E382B"/>
    <w:rsid w:val="321150C9"/>
    <w:rsid w:val="32401D3A"/>
    <w:rsid w:val="32A33879"/>
    <w:rsid w:val="32CF7DD0"/>
    <w:rsid w:val="32E10EB6"/>
    <w:rsid w:val="33044887"/>
    <w:rsid w:val="33196C24"/>
    <w:rsid w:val="333D521C"/>
    <w:rsid w:val="334A232C"/>
    <w:rsid w:val="334B0167"/>
    <w:rsid w:val="334B017B"/>
    <w:rsid w:val="336E6347"/>
    <w:rsid w:val="3392223A"/>
    <w:rsid w:val="33B10912"/>
    <w:rsid w:val="33B26438"/>
    <w:rsid w:val="33B66AB9"/>
    <w:rsid w:val="33CF6FEA"/>
    <w:rsid w:val="3414112E"/>
    <w:rsid w:val="34207846"/>
    <w:rsid w:val="34270BD4"/>
    <w:rsid w:val="3431496E"/>
    <w:rsid w:val="346076B1"/>
    <w:rsid w:val="34751000"/>
    <w:rsid w:val="34B24EB5"/>
    <w:rsid w:val="34E22D4D"/>
    <w:rsid w:val="352C33C6"/>
    <w:rsid w:val="355530AA"/>
    <w:rsid w:val="358838F4"/>
    <w:rsid w:val="35A02439"/>
    <w:rsid w:val="35A13F7A"/>
    <w:rsid w:val="35A93699"/>
    <w:rsid w:val="35D16601"/>
    <w:rsid w:val="35D968BA"/>
    <w:rsid w:val="36112F8E"/>
    <w:rsid w:val="36140CE4"/>
    <w:rsid w:val="361B39BB"/>
    <w:rsid w:val="3627310D"/>
    <w:rsid w:val="362C0724"/>
    <w:rsid w:val="364631D7"/>
    <w:rsid w:val="36625EF3"/>
    <w:rsid w:val="366F06C8"/>
    <w:rsid w:val="368928C2"/>
    <w:rsid w:val="36C4455F"/>
    <w:rsid w:val="36EA627A"/>
    <w:rsid w:val="36F46607"/>
    <w:rsid w:val="36F477C1"/>
    <w:rsid w:val="371E0226"/>
    <w:rsid w:val="37307DA0"/>
    <w:rsid w:val="37411FAD"/>
    <w:rsid w:val="37816E26"/>
    <w:rsid w:val="37850378"/>
    <w:rsid w:val="37866B0A"/>
    <w:rsid w:val="379B110E"/>
    <w:rsid w:val="37A64091"/>
    <w:rsid w:val="382B76C4"/>
    <w:rsid w:val="382E23D7"/>
    <w:rsid w:val="38391F04"/>
    <w:rsid w:val="384540AC"/>
    <w:rsid w:val="385E2E31"/>
    <w:rsid w:val="38802E6B"/>
    <w:rsid w:val="389600D6"/>
    <w:rsid w:val="38B1704F"/>
    <w:rsid w:val="38D834D0"/>
    <w:rsid w:val="38EF421A"/>
    <w:rsid w:val="38F00B77"/>
    <w:rsid w:val="38F30FDD"/>
    <w:rsid w:val="390E713D"/>
    <w:rsid w:val="39523581"/>
    <w:rsid w:val="39B06F76"/>
    <w:rsid w:val="39C50DBF"/>
    <w:rsid w:val="39E803A0"/>
    <w:rsid w:val="39FA28E7"/>
    <w:rsid w:val="3A045513"/>
    <w:rsid w:val="3A5C4419"/>
    <w:rsid w:val="3A802DEC"/>
    <w:rsid w:val="3A850402"/>
    <w:rsid w:val="3A982496"/>
    <w:rsid w:val="3A9834B4"/>
    <w:rsid w:val="3AA54601"/>
    <w:rsid w:val="3AB92FBF"/>
    <w:rsid w:val="3B1F29B6"/>
    <w:rsid w:val="3B223EA3"/>
    <w:rsid w:val="3B2F036E"/>
    <w:rsid w:val="3B49603E"/>
    <w:rsid w:val="3B4A33FA"/>
    <w:rsid w:val="3B4F0A10"/>
    <w:rsid w:val="3B52394A"/>
    <w:rsid w:val="3B783AC3"/>
    <w:rsid w:val="3B866FF0"/>
    <w:rsid w:val="3B8701AA"/>
    <w:rsid w:val="3BAD60C9"/>
    <w:rsid w:val="3BB80364"/>
    <w:rsid w:val="3BC2022B"/>
    <w:rsid w:val="3C1171B4"/>
    <w:rsid w:val="3C134CAD"/>
    <w:rsid w:val="3C261771"/>
    <w:rsid w:val="3C3012FF"/>
    <w:rsid w:val="3C3025F0"/>
    <w:rsid w:val="3CB43221"/>
    <w:rsid w:val="3CB854FA"/>
    <w:rsid w:val="3CD65976"/>
    <w:rsid w:val="3D365D6E"/>
    <w:rsid w:val="3D491BBB"/>
    <w:rsid w:val="3D5E561F"/>
    <w:rsid w:val="3DCB43A9"/>
    <w:rsid w:val="3DD1395F"/>
    <w:rsid w:val="3DE90CA8"/>
    <w:rsid w:val="3DFA2303"/>
    <w:rsid w:val="3E291911"/>
    <w:rsid w:val="3E6622F9"/>
    <w:rsid w:val="3E8B25F2"/>
    <w:rsid w:val="3E9735A8"/>
    <w:rsid w:val="3E9926CE"/>
    <w:rsid w:val="3E9B7635"/>
    <w:rsid w:val="3EA93905"/>
    <w:rsid w:val="3EC50F13"/>
    <w:rsid w:val="3EDB155A"/>
    <w:rsid w:val="3F161F71"/>
    <w:rsid w:val="3F2D7311"/>
    <w:rsid w:val="3F3770B6"/>
    <w:rsid w:val="3F520ACF"/>
    <w:rsid w:val="3F5B255F"/>
    <w:rsid w:val="3F746048"/>
    <w:rsid w:val="3FB83028"/>
    <w:rsid w:val="3FFB37D6"/>
    <w:rsid w:val="405C39B3"/>
    <w:rsid w:val="40D82635"/>
    <w:rsid w:val="40DC5A18"/>
    <w:rsid w:val="40F620D6"/>
    <w:rsid w:val="413B6DB7"/>
    <w:rsid w:val="4168282C"/>
    <w:rsid w:val="41B555B5"/>
    <w:rsid w:val="41C645C6"/>
    <w:rsid w:val="41D37CA5"/>
    <w:rsid w:val="41F870E1"/>
    <w:rsid w:val="420E5181"/>
    <w:rsid w:val="4216705F"/>
    <w:rsid w:val="423A5D78"/>
    <w:rsid w:val="425B28A2"/>
    <w:rsid w:val="427230A1"/>
    <w:rsid w:val="42C65A5C"/>
    <w:rsid w:val="42EE46D5"/>
    <w:rsid w:val="43016A94"/>
    <w:rsid w:val="43077BF5"/>
    <w:rsid w:val="43081BD1"/>
    <w:rsid w:val="431B5DA8"/>
    <w:rsid w:val="436B4046"/>
    <w:rsid w:val="43727D1C"/>
    <w:rsid w:val="43755A74"/>
    <w:rsid w:val="439116E1"/>
    <w:rsid w:val="43975E08"/>
    <w:rsid w:val="43B50E83"/>
    <w:rsid w:val="43E4263E"/>
    <w:rsid w:val="44240C8C"/>
    <w:rsid w:val="44557097"/>
    <w:rsid w:val="446708C5"/>
    <w:rsid w:val="44A973E3"/>
    <w:rsid w:val="44E4666D"/>
    <w:rsid w:val="451707F1"/>
    <w:rsid w:val="45687B0A"/>
    <w:rsid w:val="459334C7"/>
    <w:rsid w:val="45A92AE9"/>
    <w:rsid w:val="45AD350E"/>
    <w:rsid w:val="45B710E8"/>
    <w:rsid w:val="45C76709"/>
    <w:rsid w:val="45CF69D6"/>
    <w:rsid w:val="45E46FC0"/>
    <w:rsid w:val="460C3F98"/>
    <w:rsid w:val="467806FB"/>
    <w:rsid w:val="469039C8"/>
    <w:rsid w:val="46A15647"/>
    <w:rsid w:val="46A55988"/>
    <w:rsid w:val="46B02E88"/>
    <w:rsid w:val="46F541EF"/>
    <w:rsid w:val="46FD6269"/>
    <w:rsid w:val="4729280F"/>
    <w:rsid w:val="4733329F"/>
    <w:rsid w:val="473A0A0E"/>
    <w:rsid w:val="47413903"/>
    <w:rsid w:val="47782947"/>
    <w:rsid w:val="47B42327"/>
    <w:rsid w:val="47CA1B4A"/>
    <w:rsid w:val="47E0136E"/>
    <w:rsid w:val="47F6293F"/>
    <w:rsid w:val="47F97A1E"/>
    <w:rsid w:val="48042BC0"/>
    <w:rsid w:val="482A507A"/>
    <w:rsid w:val="48693111"/>
    <w:rsid w:val="48AD6E5F"/>
    <w:rsid w:val="48B12D0A"/>
    <w:rsid w:val="48C64F2D"/>
    <w:rsid w:val="494B0A69"/>
    <w:rsid w:val="49530185"/>
    <w:rsid w:val="497E3B0F"/>
    <w:rsid w:val="49A11F60"/>
    <w:rsid w:val="49AD04E5"/>
    <w:rsid w:val="49D9106B"/>
    <w:rsid w:val="49E35145"/>
    <w:rsid w:val="49EB7B56"/>
    <w:rsid w:val="49F17862"/>
    <w:rsid w:val="49F64E79"/>
    <w:rsid w:val="49FB423D"/>
    <w:rsid w:val="4A031FE2"/>
    <w:rsid w:val="4A153456"/>
    <w:rsid w:val="4A2C089A"/>
    <w:rsid w:val="4A8F6E89"/>
    <w:rsid w:val="4ADA02F6"/>
    <w:rsid w:val="4AE2174F"/>
    <w:rsid w:val="4B0C15B6"/>
    <w:rsid w:val="4B661B8A"/>
    <w:rsid w:val="4B6978CC"/>
    <w:rsid w:val="4B7324F9"/>
    <w:rsid w:val="4BC8467F"/>
    <w:rsid w:val="4BDC5D41"/>
    <w:rsid w:val="4BEB208F"/>
    <w:rsid w:val="4C0513A3"/>
    <w:rsid w:val="4C0A475B"/>
    <w:rsid w:val="4C101AF6"/>
    <w:rsid w:val="4C250295"/>
    <w:rsid w:val="4C2555A1"/>
    <w:rsid w:val="4C2D26A8"/>
    <w:rsid w:val="4C2F2351"/>
    <w:rsid w:val="4C3724EA"/>
    <w:rsid w:val="4C6B7A69"/>
    <w:rsid w:val="4C7402D7"/>
    <w:rsid w:val="4C7A3B96"/>
    <w:rsid w:val="4C8A0766"/>
    <w:rsid w:val="4CAA5AA7"/>
    <w:rsid w:val="4CBE0D82"/>
    <w:rsid w:val="4CC0351C"/>
    <w:rsid w:val="4CFE53E3"/>
    <w:rsid w:val="4D112219"/>
    <w:rsid w:val="4D122C85"/>
    <w:rsid w:val="4D1F146A"/>
    <w:rsid w:val="4D4C4DB0"/>
    <w:rsid w:val="4DB03590"/>
    <w:rsid w:val="4DB0533F"/>
    <w:rsid w:val="4DBF1A26"/>
    <w:rsid w:val="4DC1754C"/>
    <w:rsid w:val="4DE67660"/>
    <w:rsid w:val="4DF25957"/>
    <w:rsid w:val="4E0631B0"/>
    <w:rsid w:val="4E0F02B7"/>
    <w:rsid w:val="4E1874E8"/>
    <w:rsid w:val="4E3221F7"/>
    <w:rsid w:val="4E4E112E"/>
    <w:rsid w:val="4E5B180D"/>
    <w:rsid w:val="4E5F1690"/>
    <w:rsid w:val="4E6C5709"/>
    <w:rsid w:val="4E871CF6"/>
    <w:rsid w:val="4E8A5B90"/>
    <w:rsid w:val="4EDE7C89"/>
    <w:rsid w:val="4EF70D4B"/>
    <w:rsid w:val="4F0612C4"/>
    <w:rsid w:val="4F0A4599"/>
    <w:rsid w:val="4F302EBC"/>
    <w:rsid w:val="4F67588B"/>
    <w:rsid w:val="4F6F4D85"/>
    <w:rsid w:val="4F900BA2"/>
    <w:rsid w:val="4F912F4E"/>
    <w:rsid w:val="4F9662AF"/>
    <w:rsid w:val="4FE071DD"/>
    <w:rsid w:val="4FE63648"/>
    <w:rsid w:val="4FE87012"/>
    <w:rsid w:val="501166CB"/>
    <w:rsid w:val="50245B70"/>
    <w:rsid w:val="503F66A1"/>
    <w:rsid w:val="50443191"/>
    <w:rsid w:val="5056026F"/>
    <w:rsid w:val="50AF18DD"/>
    <w:rsid w:val="50B05655"/>
    <w:rsid w:val="50B066D9"/>
    <w:rsid w:val="50FB0FC7"/>
    <w:rsid w:val="50FC37C6"/>
    <w:rsid w:val="512A18AC"/>
    <w:rsid w:val="51786173"/>
    <w:rsid w:val="51BF55E6"/>
    <w:rsid w:val="51C12EF0"/>
    <w:rsid w:val="51C61046"/>
    <w:rsid w:val="51D42BF9"/>
    <w:rsid w:val="51DA77A1"/>
    <w:rsid w:val="51DB0D64"/>
    <w:rsid w:val="52020133"/>
    <w:rsid w:val="521F0CE5"/>
    <w:rsid w:val="52346A17"/>
    <w:rsid w:val="52CF0F4A"/>
    <w:rsid w:val="52E361B6"/>
    <w:rsid w:val="52E83B07"/>
    <w:rsid w:val="52EC6E19"/>
    <w:rsid w:val="53312A7E"/>
    <w:rsid w:val="5342371F"/>
    <w:rsid w:val="535B7135"/>
    <w:rsid w:val="53607807"/>
    <w:rsid w:val="53961E84"/>
    <w:rsid w:val="53A17691"/>
    <w:rsid w:val="53A2759C"/>
    <w:rsid w:val="53B90038"/>
    <w:rsid w:val="541F3479"/>
    <w:rsid w:val="54574766"/>
    <w:rsid w:val="54640C31"/>
    <w:rsid w:val="54992FD0"/>
    <w:rsid w:val="54AD4776"/>
    <w:rsid w:val="54F06565"/>
    <w:rsid w:val="54FD43B7"/>
    <w:rsid w:val="5504273B"/>
    <w:rsid w:val="552B174F"/>
    <w:rsid w:val="55302813"/>
    <w:rsid w:val="553A6954"/>
    <w:rsid w:val="55524F2D"/>
    <w:rsid w:val="55540C50"/>
    <w:rsid w:val="558B4D6C"/>
    <w:rsid w:val="55CF39F8"/>
    <w:rsid w:val="55D17195"/>
    <w:rsid w:val="55D65B5E"/>
    <w:rsid w:val="55DF54F8"/>
    <w:rsid w:val="562B40FC"/>
    <w:rsid w:val="564C7BCE"/>
    <w:rsid w:val="565020BD"/>
    <w:rsid w:val="567F17E0"/>
    <w:rsid w:val="5689497F"/>
    <w:rsid w:val="56A87127"/>
    <w:rsid w:val="56B37004"/>
    <w:rsid w:val="56BC4F55"/>
    <w:rsid w:val="56D51C18"/>
    <w:rsid w:val="56E47668"/>
    <w:rsid w:val="573B69A8"/>
    <w:rsid w:val="574216FD"/>
    <w:rsid w:val="574D00A2"/>
    <w:rsid w:val="57531CC2"/>
    <w:rsid w:val="577E46FF"/>
    <w:rsid w:val="578C0FB5"/>
    <w:rsid w:val="579E26AC"/>
    <w:rsid w:val="57B6364D"/>
    <w:rsid w:val="57B77970"/>
    <w:rsid w:val="57C10BC6"/>
    <w:rsid w:val="57C33A10"/>
    <w:rsid w:val="57CD70EC"/>
    <w:rsid w:val="57F563D4"/>
    <w:rsid w:val="57F64BE6"/>
    <w:rsid w:val="57F91F69"/>
    <w:rsid w:val="57FF46A2"/>
    <w:rsid w:val="580629F8"/>
    <w:rsid w:val="584E53FC"/>
    <w:rsid w:val="587E7C60"/>
    <w:rsid w:val="58810003"/>
    <w:rsid w:val="589113DD"/>
    <w:rsid w:val="58BA17E7"/>
    <w:rsid w:val="58EF3560"/>
    <w:rsid w:val="58FF1963"/>
    <w:rsid w:val="590E5642"/>
    <w:rsid w:val="593B1A09"/>
    <w:rsid w:val="59417CFE"/>
    <w:rsid w:val="59633BAD"/>
    <w:rsid w:val="597E175D"/>
    <w:rsid w:val="598C74CC"/>
    <w:rsid w:val="5995278E"/>
    <w:rsid w:val="59C7413C"/>
    <w:rsid w:val="59FB128F"/>
    <w:rsid w:val="5A096502"/>
    <w:rsid w:val="5A3570F8"/>
    <w:rsid w:val="5A946E95"/>
    <w:rsid w:val="5ACB03BF"/>
    <w:rsid w:val="5ACE5056"/>
    <w:rsid w:val="5ACE63A1"/>
    <w:rsid w:val="5B046076"/>
    <w:rsid w:val="5B25585B"/>
    <w:rsid w:val="5B7976B8"/>
    <w:rsid w:val="5B89006B"/>
    <w:rsid w:val="5B904CC4"/>
    <w:rsid w:val="5B9412CE"/>
    <w:rsid w:val="5BA6461A"/>
    <w:rsid w:val="5BD42B40"/>
    <w:rsid w:val="5BDA4433"/>
    <w:rsid w:val="5BE12FA3"/>
    <w:rsid w:val="5C084598"/>
    <w:rsid w:val="5C0E52A6"/>
    <w:rsid w:val="5C4C6B7A"/>
    <w:rsid w:val="5C4D6613"/>
    <w:rsid w:val="5CA72002"/>
    <w:rsid w:val="5CB169DD"/>
    <w:rsid w:val="5CC909BE"/>
    <w:rsid w:val="5CDD77D2"/>
    <w:rsid w:val="5CF27722"/>
    <w:rsid w:val="5CF52884"/>
    <w:rsid w:val="5D09448F"/>
    <w:rsid w:val="5D0D6309"/>
    <w:rsid w:val="5D573A29"/>
    <w:rsid w:val="5D8866EC"/>
    <w:rsid w:val="5DAB4ABF"/>
    <w:rsid w:val="5DB20C5F"/>
    <w:rsid w:val="5DDB1F64"/>
    <w:rsid w:val="5DDD5910"/>
    <w:rsid w:val="5E257CDA"/>
    <w:rsid w:val="5E455DA7"/>
    <w:rsid w:val="5E5A1B69"/>
    <w:rsid w:val="5E5A661E"/>
    <w:rsid w:val="5E781EA8"/>
    <w:rsid w:val="5E7864D5"/>
    <w:rsid w:val="5E895E64"/>
    <w:rsid w:val="5E8F3DCD"/>
    <w:rsid w:val="5EB815A0"/>
    <w:rsid w:val="5EBF421E"/>
    <w:rsid w:val="5EF32AEC"/>
    <w:rsid w:val="5F014169"/>
    <w:rsid w:val="5F142564"/>
    <w:rsid w:val="5F166FCB"/>
    <w:rsid w:val="5F1D3341"/>
    <w:rsid w:val="5F2C6B34"/>
    <w:rsid w:val="5F3A53B0"/>
    <w:rsid w:val="5F667F53"/>
    <w:rsid w:val="5F810AA6"/>
    <w:rsid w:val="5F9D5A16"/>
    <w:rsid w:val="5FCA6734"/>
    <w:rsid w:val="5FDB11E1"/>
    <w:rsid w:val="5FF936D5"/>
    <w:rsid w:val="601C5AAA"/>
    <w:rsid w:val="60B92304"/>
    <w:rsid w:val="6110236A"/>
    <w:rsid w:val="6118527D"/>
    <w:rsid w:val="611B3CDB"/>
    <w:rsid w:val="615D23FF"/>
    <w:rsid w:val="617D7488"/>
    <w:rsid w:val="618927A0"/>
    <w:rsid w:val="619C1FA6"/>
    <w:rsid w:val="61BA07EF"/>
    <w:rsid w:val="61BA6334"/>
    <w:rsid w:val="61C85F6E"/>
    <w:rsid w:val="61CE1DDF"/>
    <w:rsid w:val="61E829FD"/>
    <w:rsid w:val="61ED6709"/>
    <w:rsid w:val="61FE0917"/>
    <w:rsid w:val="6200468F"/>
    <w:rsid w:val="62210161"/>
    <w:rsid w:val="627A6223"/>
    <w:rsid w:val="62B13874"/>
    <w:rsid w:val="62BF638B"/>
    <w:rsid w:val="62C05BCC"/>
    <w:rsid w:val="62C236F2"/>
    <w:rsid w:val="62D665B5"/>
    <w:rsid w:val="62EF0E65"/>
    <w:rsid w:val="62F329B7"/>
    <w:rsid w:val="62F77414"/>
    <w:rsid w:val="630F26B0"/>
    <w:rsid w:val="63286AF3"/>
    <w:rsid w:val="632F0827"/>
    <w:rsid w:val="634E7E04"/>
    <w:rsid w:val="63672753"/>
    <w:rsid w:val="63957059"/>
    <w:rsid w:val="6396497C"/>
    <w:rsid w:val="63A94710"/>
    <w:rsid w:val="63BB4445"/>
    <w:rsid w:val="63CB597F"/>
    <w:rsid w:val="64072BF6"/>
    <w:rsid w:val="641641E5"/>
    <w:rsid w:val="64624634"/>
    <w:rsid w:val="647838E3"/>
    <w:rsid w:val="64792058"/>
    <w:rsid w:val="64882719"/>
    <w:rsid w:val="649B41FB"/>
    <w:rsid w:val="649E3CEB"/>
    <w:rsid w:val="64BD0615"/>
    <w:rsid w:val="64CA4A08"/>
    <w:rsid w:val="64D61C0B"/>
    <w:rsid w:val="64E97165"/>
    <w:rsid w:val="64EF2799"/>
    <w:rsid w:val="652D59E4"/>
    <w:rsid w:val="652F7039"/>
    <w:rsid w:val="65393A14"/>
    <w:rsid w:val="65526E86"/>
    <w:rsid w:val="655977BC"/>
    <w:rsid w:val="658A2539"/>
    <w:rsid w:val="65991C8C"/>
    <w:rsid w:val="65A53C6D"/>
    <w:rsid w:val="65A86053"/>
    <w:rsid w:val="65E62E7A"/>
    <w:rsid w:val="65FF07B9"/>
    <w:rsid w:val="6628143A"/>
    <w:rsid w:val="6659436D"/>
    <w:rsid w:val="665D0116"/>
    <w:rsid w:val="6677281C"/>
    <w:rsid w:val="66AA6C33"/>
    <w:rsid w:val="66B36653"/>
    <w:rsid w:val="66EC7F6C"/>
    <w:rsid w:val="67BB5990"/>
    <w:rsid w:val="67C25F42"/>
    <w:rsid w:val="67FE34B8"/>
    <w:rsid w:val="685002C6"/>
    <w:rsid w:val="685E1A04"/>
    <w:rsid w:val="689A52B4"/>
    <w:rsid w:val="68A15F0B"/>
    <w:rsid w:val="68AB2779"/>
    <w:rsid w:val="68C208E3"/>
    <w:rsid w:val="68F01AAC"/>
    <w:rsid w:val="68F35ED5"/>
    <w:rsid w:val="68F375F5"/>
    <w:rsid w:val="692B5CBF"/>
    <w:rsid w:val="69314228"/>
    <w:rsid w:val="694C640B"/>
    <w:rsid w:val="695B3372"/>
    <w:rsid w:val="69D74EB4"/>
    <w:rsid w:val="69E5460D"/>
    <w:rsid w:val="69F452BC"/>
    <w:rsid w:val="6A244C92"/>
    <w:rsid w:val="6A3D7EF0"/>
    <w:rsid w:val="6A554E4C"/>
    <w:rsid w:val="6A6652AB"/>
    <w:rsid w:val="6A871D41"/>
    <w:rsid w:val="6A8E0FBE"/>
    <w:rsid w:val="6A9826DA"/>
    <w:rsid w:val="6AA34132"/>
    <w:rsid w:val="6AAD178D"/>
    <w:rsid w:val="6AB73874"/>
    <w:rsid w:val="6ACA583A"/>
    <w:rsid w:val="6B052FD9"/>
    <w:rsid w:val="6B054AC4"/>
    <w:rsid w:val="6B19231D"/>
    <w:rsid w:val="6B3377DF"/>
    <w:rsid w:val="6B5746C2"/>
    <w:rsid w:val="6B6712DB"/>
    <w:rsid w:val="6B9C3CAA"/>
    <w:rsid w:val="6BBA5B6C"/>
    <w:rsid w:val="6BFB11C9"/>
    <w:rsid w:val="6C26132F"/>
    <w:rsid w:val="6C434291"/>
    <w:rsid w:val="6C680060"/>
    <w:rsid w:val="6C7D1B5B"/>
    <w:rsid w:val="6C8F121C"/>
    <w:rsid w:val="6CC649E7"/>
    <w:rsid w:val="6CF44DF0"/>
    <w:rsid w:val="6D047526"/>
    <w:rsid w:val="6D561607"/>
    <w:rsid w:val="6D8810F1"/>
    <w:rsid w:val="6DA71E62"/>
    <w:rsid w:val="6DAA3BEC"/>
    <w:rsid w:val="6DDA5CDD"/>
    <w:rsid w:val="6DF94B4B"/>
    <w:rsid w:val="6E4167E4"/>
    <w:rsid w:val="6E58077C"/>
    <w:rsid w:val="6E69245C"/>
    <w:rsid w:val="6E7C509D"/>
    <w:rsid w:val="6EEA775A"/>
    <w:rsid w:val="6F0671CF"/>
    <w:rsid w:val="6F086931"/>
    <w:rsid w:val="6F2971C4"/>
    <w:rsid w:val="6F4B5D20"/>
    <w:rsid w:val="6F4F4560"/>
    <w:rsid w:val="6F5F71DE"/>
    <w:rsid w:val="6F9A7AEE"/>
    <w:rsid w:val="6FC4095F"/>
    <w:rsid w:val="6FC7059A"/>
    <w:rsid w:val="6FF9271D"/>
    <w:rsid w:val="70030504"/>
    <w:rsid w:val="70134C80"/>
    <w:rsid w:val="701E2184"/>
    <w:rsid w:val="7024192F"/>
    <w:rsid w:val="703B2D36"/>
    <w:rsid w:val="705D0EFE"/>
    <w:rsid w:val="706A1D39"/>
    <w:rsid w:val="707D10C4"/>
    <w:rsid w:val="70C1148D"/>
    <w:rsid w:val="70C86AB0"/>
    <w:rsid w:val="70E83D79"/>
    <w:rsid w:val="70F10A19"/>
    <w:rsid w:val="70FD1A61"/>
    <w:rsid w:val="71325EE7"/>
    <w:rsid w:val="713F6856"/>
    <w:rsid w:val="714C1CC5"/>
    <w:rsid w:val="714F4CEB"/>
    <w:rsid w:val="714F6A99"/>
    <w:rsid w:val="71593474"/>
    <w:rsid w:val="719A58E0"/>
    <w:rsid w:val="719B567C"/>
    <w:rsid w:val="71AB5C99"/>
    <w:rsid w:val="71C0420A"/>
    <w:rsid w:val="71CB17A6"/>
    <w:rsid w:val="71CB1FE1"/>
    <w:rsid w:val="71EE1250"/>
    <w:rsid w:val="724114F6"/>
    <w:rsid w:val="72421725"/>
    <w:rsid w:val="724265FE"/>
    <w:rsid w:val="725105EF"/>
    <w:rsid w:val="72B55021"/>
    <w:rsid w:val="72BA43E6"/>
    <w:rsid w:val="72DC25AE"/>
    <w:rsid w:val="72E50FF0"/>
    <w:rsid w:val="72F0605A"/>
    <w:rsid w:val="7315786E"/>
    <w:rsid w:val="732E66F5"/>
    <w:rsid w:val="736E6FB0"/>
    <w:rsid w:val="73781BAB"/>
    <w:rsid w:val="73944605"/>
    <w:rsid w:val="73A66718"/>
    <w:rsid w:val="73BE45F5"/>
    <w:rsid w:val="73F954CD"/>
    <w:rsid w:val="740578E3"/>
    <w:rsid w:val="74582108"/>
    <w:rsid w:val="751D3132"/>
    <w:rsid w:val="752244C4"/>
    <w:rsid w:val="754840C1"/>
    <w:rsid w:val="755F5039"/>
    <w:rsid w:val="75823F55"/>
    <w:rsid w:val="75996CFB"/>
    <w:rsid w:val="759B0BCF"/>
    <w:rsid w:val="75B4121E"/>
    <w:rsid w:val="75B92C6A"/>
    <w:rsid w:val="75BC2223"/>
    <w:rsid w:val="75C31803"/>
    <w:rsid w:val="75D17FAF"/>
    <w:rsid w:val="75DD1F2C"/>
    <w:rsid w:val="76354602"/>
    <w:rsid w:val="76404C02"/>
    <w:rsid w:val="768858BC"/>
    <w:rsid w:val="768E1E11"/>
    <w:rsid w:val="76A076F1"/>
    <w:rsid w:val="76A809F9"/>
    <w:rsid w:val="76B53304"/>
    <w:rsid w:val="76EC740F"/>
    <w:rsid w:val="77093CF3"/>
    <w:rsid w:val="772351B4"/>
    <w:rsid w:val="77277DEF"/>
    <w:rsid w:val="77281627"/>
    <w:rsid w:val="772C64B4"/>
    <w:rsid w:val="772E130A"/>
    <w:rsid w:val="77371170"/>
    <w:rsid w:val="77972F48"/>
    <w:rsid w:val="77E453E1"/>
    <w:rsid w:val="783B2034"/>
    <w:rsid w:val="7857400D"/>
    <w:rsid w:val="78A243E5"/>
    <w:rsid w:val="78A667E7"/>
    <w:rsid w:val="78C77346"/>
    <w:rsid w:val="78FA649B"/>
    <w:rsid w:val="790D22C6"/>
    <w:rsid w:val="79E56A30"/>
    <w:rsid w:val="7A394056"/>
    <w:rsid w:val="7A4D1FE3"/>
    <w:rsid w:val="7A6115EB"/>
    <w:rsid w:val="7A8157E9"/>
    <w:rsid w:val="7B0E3521"/>
    <w:rsid w:val="7B3B3264"/>
    <w:rsid w:val="7B3E7C32"/>
    <w:rsid w:val="7B6D74DD"/>
    <w:rsid w:val="7B78100F"/>
    <w:rsid w:val="7B811F45"/>
    <w:rsid w:val="7B827A6B"/>
    <w:rsid w:val="7BBD1620"/>
    <w:rsid w:val="7C211BE0"/>
    <w:rsid w:val="7C3F5293"/>
    <w:rsid w:val="7C63789C"/>
    <w:rsid w:val="7C75025B"/>
    <w:rsid w:val="7C9061B7"/>
    <w:rsid w:val="7C907F65"/>
    <w:rsid w:val="7C934347"/>
    <w:rsid w:val="7CA103C5"/>
    <w:rsid w:val="7CE0713F"/>
    <w:rsid w:val="7CEA57AC"/>
    <w:rsid w:val="7D3D3A33"/>
    <w:rsid w:val="7D524231"/>
    <w:rsid w:val="7D630A43"/>
    <w:rsid w:val="7D6457E7"/>
    <w:rsid w:val="7D6C452F"/>
    <w:rsid w:val="7DA25EFC"/>
    <w:rsid w:val="7DC720AD"/>
    <w:rsid w:val="7DDD327C"/>
    <w:rsid w:val="7E184B5F"/>
    <w:rsid w:val="7E194B59"/>
    <w:rsid w:val="7E1C7D03"/>
    <w:rsid w:val="7E3E411D"/>
    <w:rsid w:val="7EEA0E80"/>
    <w:rsid w:val="7F025083"/>
    <w:rsid w:val="7F48189C"/>
    <w:rsid w:val="7F845D7D"/>
    <w:rsid w:val="7FA64132"/>
    <w:rsid w:val="7FB1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2">
    <w:name w:val="heading 3"/>
    <w:basedOn w:val="1"/>
    <w:next w:val="1"/>
    <w:link w:val="144"/>
    <w:autoRedefine/>
    <w:qFormat/>
    <w:uiPriority w:val="0"/>
    <w:pPr>
      <w:autoSpaceDE w:val="0"/>
      <w:autoSpaceDN w:val="0"/>
      <w:adjustRightInd w:val="0"/>
      <w:jc w:val="right"/>
      <w:outlineLvl w:val="2"/>
    </w:pPr>
    <w:rPr>
      <w:rFonts w:ascii="宋体" w:hAnsi="Calibri" w:eastAsia="宋体" w:cs="Times New Roman"/>
      <w:kern w:val="0"/>
      <w:sz w:val="24"/>
      <w:szCs w:val="24"/>
    </w:rPr>
  </w:style>
  <w:style w:type="paragraph" w:styleId="5">
    <w:name w:val="heading 4"/>
    <w:basedOn w:val="1"/>
    <w:next w:val="1"/>
    <w:link w:val="50"/>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3"/>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4"/>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4"/>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3"/>
    <w:autoRedefine/>
    <w:unhideWhenUsed/>
    <w:qFormat/>
    <w:uiPriority w:val="99"/>
    <w:pPr>
      <w:jc w:val="left"/>
    </w:pPr>
    <w:rPr>
      <w:rFonts w:ascii="宋体" w:hAnsi="宋体" w:eastAsia="宋体"/>
      <w:color w:val="000000" w:themeColor="text1"/>
      <w:szCs w:val="21"/>
      <w14:textFill>
        <w14:solidFill>
          <w14:schemeClr w14:val="tx1"/>
        </w14:solidFill>
      </w14:textFill>
    </w:rPr>
  </w:style>
  <w:style w:type="paragraph" w:styleId="17">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8"/>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next w:val="20"/>
    <w:link w:val="200"/>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First Indent 2"/>
    <w:basedOn w:val="21"/>
    <w:next w:val="12"/>
    <w:autoRedefine/>
    <w:unhideWhenUsed/>
    <w:qFormat/>
    <w:uiPriority w:val="99"/>
    <w:pPr>
      <w:tabs>
        <w:tab w:val="left" w:pos="0"/>
        <w:tab w:val="left" w:pos="540"/>
        <w:tab w:val="left" w:pos="630"/>
        <w:tab w:val="left" w:pos="1440"/>
      </w:tabs>
      <w:spacing w:after="120" w:line="360" w:lineRule="auto"/>
      <w:ind w:left="420" w:leftChars="200" w:firstLine="420" w:firstLineChars="200"/>
    </w:pPr>
    <w:rPr>
      <w:kern w:val="0"/>
      <w:sz w:val="20"/>
    </w:rPr>
  </w:style>
  <w:style w:type="paragraph" w:styleId="21">
    <w:name w:val="Body Text Indent"/>
    <w:basedOn w:val="1"/>
    <w:next w:val="20"/>
    <w:link w:val="92"/>
    <w:autoRedefine/>
    <w:qFormat/>
    <w:uiPriority w:val="0"/>
    <w:pPr>
      <w:ind w:left="567" w:leftChars="270"/>
    </w:pPr>
    <w:rPr>
      <w:rFonts w:ascii="Times New Roman" w:hAnsi="Times New Roman" w:eastAsia="宋体" w:cs="Times New Roman"/>
      <w:szCs w:val="20"/>
    </w:rPr>
  </w:style>
  <w:style w:type="paragraph" w:styleId="22">
    <w:name w:val="toc 3"/>
    <w:basedOn w:val="1"/>
    <w:next w:val="1"/>
    <w:autoRedefine/>
    <w:unhideWhenUsed/>
    <w:qFormat/>
    <w:uiPriority w:val="39"/>
    <w:pPr>
      <w:tabs>
        <w:tab w:val="right" w:leader="dot" w:pos="10144"/>
      </w:tabs>
      <w:spacing w:line="360" w:lineRule="auto"/>
      <w:ind w:left="840" w:leftChars="400"/>
    </w:pPr>
  </w:style>
  <w:style w:type="paragraph" w:styleId="23">
    <w:name w:val="Plain Text"/>
    <w:basedOn w:val="1"/>
    <w:link w:val="100"/>
    <w:qFormat/>
    <w:uiPriority w:val="0"/>
    <w:rPr>
      <w:rFonts w:ascii="宋体" w:hAnsi="Courier New" w:eastAsia="宋体"/>
    </w:rPr>
  </w:style>
  <w:style w:type="paragraph" w:styleId="24">
    <w:name w:val="Date"/>
    <w:basedOn w:val="1"/>
    <w:next w:val="1"/>
    <w:link w:val="108"/>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5">
    <w:name w:val="Body Text Indent 2"/>
    <w:basedOn w:val="1"/>
    <w:link w:val="101"/>
    <w:autoRedefine/>
    <w:qFormat/>
    <w:uiPriority w:val="0"/>
    <w:pPr>
      <w:tabs>
        <w:tab w:val="left" w:pos="8640"/>
      </w:tabs>
      <w:ind w:left="1260"/>
    </w:pPr>
    <w:rPr>
      <w:rFonts w:ascii="宋体" w:hAnsi="Times New Roman" w:eastAsia="宋体" w:cs="Times New Roman"/>
      <w:szCs w:val="20"/>
    </w:rPr>
  </w:style>
  <w:style w:type="paragraph" w:styleId="26">
    <w:name w:val="Balloon Text"/>
    <w:basedOn w:val="1"/>
    <w:link w:val="74"/>
    <w:autoRedefine/>
    <w:qFormat/>
    <w:uiPriority w:val="0"/>
    <w:rPr>
      <w:rFonts w:ascii="Times New Roman" w:hAnsi="Times New Roman" w:eastAsia="宋体" w:cs="Times New Roman"/>
      <w:sz w:val="18"/>
      <w:szCs w:val="18"/>
    </w:rPr>
  </w:style>
  <w:style w:type="paragraph" w:styleId="27">
    <w:name w:val="footer"/>
    <w:basedOn w:val="1"/>
    <w:link w:val="78"/>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8">
    <w:name w:val="header"/>
    <w:basedOn w:val="1"/>
    <w:link w:val="120"/>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9">
    <w:name w:val="toc 1"/>
    <w:basedOn w:val="1"/>
    <w:next w:val="1"/>
    <w:autoRedefine/>
    <w:unhideWhenUsed/>
    <w:qFormat/>
    <w:uiPriority w:val="39"/>
    <w:pPr>
      <w:tabs>
        <w:tab w:val="right" w:leader="dot" w:pos="10144"/>
      </w:tabs>
      <w:spacing w:line="360" w:lineRule="auto"/>
    </w:pPr>
  </w:style>
  <w:style w:type="paragraph" w:styleId="30">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1">
    <w:name w:val="Body Text Indent 3"/>
    <w:basedOn w:val="1"/>
    <w:link w:val="154"/>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2">
    <w:name w:val="Body Text 2"/>
    <w:basedOn w:val="1"/>
    <w:link w:val="143"/>
    <w:autoRedefine/>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3"/>
    <w:autoRedefine/>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8"/>
    <w:autoRedefine/>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110"/>
    <w:autoRedefine/>
    <w:qFormat/>
    <w:uiPriority w:val="99"/>
    <w:pPr>
      <w:autoSpaceDE w:val="0"/>
      <w:autoSpaceDN w:val="0"/>
      <w:adjustRightInd w:val="0"/>
    </w:pPr>
    <w:rPr>
      <w:rFonts w:hAnsi="Times New Roman" w:cs="Times New Roman"/>
      <w:b/>
      <w:bCs/>
      <w:kern w:val="0"/>
      <w:sz w:val="24"/>
      <w:szCs w:val="24"/>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FollowedHyperlink"/>
    <w:autoRedefine/>
    <w:unhideWhenUsed/>
    <w:qFormat/>
    <w:uiPriority w:val="99"/>
    <w:rPr>
      <w:color w:val="954F72"/>
      <w:u w:val="single"/>
    </w:rPr>
  </w:style>
  <w:style w:type="character" w:styleId="42">
    <w:name w:val="Emphasis"/>
    <w:autoRedefine/>
    <w:qFormat/>
    <w:uiPriority w:val="0"/>
    <w:rPr>
      <w:i/>
      <w:iCs/>
    </w:rPr>
  </w:style>
  <w:style w:type="character" w:styleId="43">
    <w:name w:val="Hyperlink"/>
    <w:autoRedefine/>
    <w:qFormat/>
    <w:uiPriority w:val="99"/>
    <w:rPr>
      <w:rFonts w:hint="default" w:ascii="Arial" w:hAnsi="Arial" w:cs="Arial"/>
      <w:color w:val="000000"/>
      <w:sz w:val="20"/>
      <w:szCs w:val="20"/>
      <w:u w:val="none"/>
    </w:rPr>
  </w:style>
  <w:style w:type="character" w:styleId="44">
    <w:name w:val="annotation reference"/>
    <w:autoRedefine/>
    <w:qFormat/>
    <w:uiPriority w:val="99"/>
    <w:rPr>
      <w:sz w:val="21"/>
      <w:szCs w:val="21"/>
    </w:rPr>
  </w:style>
  <w:style w:type="paragraph" w:customStyle="1" w:styleId="4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6">
    <w:name w:val="首行缩进"/>
    <w:basedOn w:val="1"/>
    <w:autoRedefine/>
    <w:qFormat/>
    <w:uiPriority w:val="0"/>
    <w:pPr>
      <w:ind w:firstLine="480" w:firstLineChars="200"/>
    </w:pPr>
    <w:rPr>
      <w:lang w:val="zh-CN"/>
    </w:rPr>
  </w:style>
  <w:style w:type="character" w:customStyle="1" w:styleId="47">
    <w:name w:val="标题 1 字符"/>
    <w:basedOn w:val="39"/>
    <w:autoRedefine/>
    <w:qFormat/>
    <w:uiPriority w:val="0"/>
    <w:rPr>
      <w:b/>
      <w:bCs/>
      <w:kern w:val="44"/>
      <w:sz w:val="44"/>
      <w:szCs w:val="44"/>
    </w:rPr>
  </w:style>
  <w:style w:type="character" w:customStyle="1" w:styleId="48">
    <w:name w:val="标题 2 Char"/>
    <w:basedOn w:val="39"/>
    <w:link w:val="4"/>
    <w:autoRedefine/>
    <w:qFormat/>
    <w:uiPriority w:val="0"/>
    <w:rPr>
      <w:rFonts w:ascii="宋体" w:hAnsi="Calibri" w:eastAsia="宋体" w:cs="Times New Roman"/>
      <w:kern w:val="0"/>
      <w:sz w:val="24"/>
      <w:szCs w:val="24"/>
    </w:rPr>
  </w:style>
  <w:style w:type="character" w:customStyle="1" w:styleId="49">
    <w:name w:val="标题 3 字符"/>
    <w:basedOn w:val="39"/>
    <w:autoRedefine/>
    <w:qFormat/>
    <w:uiPriority w:val="0"/>
    <w:rPr>
      <w:b/>
      <w:bCs/>
      <w:sz w:val="32"/>
      <w:szCs w:val="32"/>
    </w:rPr>
  </w:style>
  <w:style w:type="character" w:customStyle="1" w:styleId="50">
    <w:name w:val="标题 4 Char1"/>
    <w:basedOn w:val="39"/>
    <w:link w:val="5"/>
    <w:autoRedefine/>
    <w:qFormat/>
    <w:uiPriority w:val="9"/>
    <w:rPr>
      <w:rFonts w:ascii="Arial" w:hAnsi="Arial" w:eastAsia="黑体" w:cs="Times New Roman"/>
      <w:b/>
      <w:bCs/>
      <w:kern w:val="0"/>
      <w:sz w:val="28"/>
      <w:szCs w:val="28"/>
    </w:rPr>
  </w:style>
  <w:style w:type="character" w:customStyle="1" w:styleId="51">
    <w:name w:val="标题 5 字符"/>
    <w:basedOn w:val="39"/>
    <w:autoRedefine/>
    <w:qFormat/>
    <w:uiPriority w:val="9"/>
    <w:rPr>
      <w:b/>
      <w:bCs/>
      <w:sz w:val="28"/>
      <w:szCs w:val="28"/>
    </w:rPr>
  </w:style>
  <w:style w:type="character" w:customStyle="1" w:styleId="52">
    <w:name w:val="标题 6 字符"/>
    <w:basedOn w:val="39"/>
    <w:autoRedefine/>
    <w:qFormat/>
    <w:uiPriority w:val="0"/>
    <w:rPr>
      <w:rFonts w:asciiTheme="majorHAnsi" w:hAnsiTheme="majorHAnsi" w:eastAsiaTheme="majorEastAsia" w:cstheme="majorBidi"/>
      <w:b/>
      <w:bCs/>
      <w:sz w:val="24"/>
      <w:szCs w:val="24"/>
    </w:rPr>
  </w:style>
  <w:style w:type="character" w:customStyle="1" w:styleId="53">
    <w:name w:val="标题 7 Char"/>
    <w:basedOn w:val="39"/>
    <w:link w:val="9"/>
    <w:autoRedefine/>
    <w:qFormat/>
    <w:uiPriority w:val="9"/>
    <w:rPr>
      <w:rFonts w:ascii="Times New Roman" w:hAnsi="Calibri" w:eastAsia="黑体" w:cs="Times New Roman"/>
      <w:b/>
      <w:bCs/>
      <w:kern w:val="0"/>
      <w:sz w:val="28"/>
      <w:szCs w:val="24"/>
    </w:rPr>
  </w:style>
  <w:style w:type="character" w:customStyle="1" w:styleId="54">
    <w:name w:val="标题 8 Char"/>
    <w:basedOn w:val="39"/>
    <w:link w:val="10"/>
    <w:autoRedefine/>
    <w:qFormat/>
    <w:uiPriority w:val="9"/>
    <w:rPr>
      <w:rFonts w:ascii="Times New Roman" w:hAnsi="Calibri" w:eastAsia="黑体" w:cs="Times New Roman"/>
      <w:b/>
      <w:kern w:val="0"/>
      <w:sz w:val="28"/>
      <w:szCs w:val="24"/>
    </w:rPr>
  </w:style>
  <w:style w:type="character" w:customStyle="1" w:styleId="55">
    <w:name w:val="标题 9 Char"/>
    <w:basedOn w:val="39"/>
    <w:link w:val="11"/>
    <w:autoRedefine/>
    <w:qFormat/>
    <w:uiPriority w:val="9"/>
    <w:rPr>
      <w:rFonts w:ascii="Times New Roman" w:hAnsi="Calibri" w:eastAsia="黑体" w:cs="Times New Roman"/>
      <w:b/>
      <w:kern w:val="0"/>
      <w:sz w:val="28"/>
      <w:szCs w:val="24"/>
    </w:rPr>
  </w:style>
  <w:style w:type="character" w:customStyle="1" w:styleId="56">
    <w:name w:val="正文文本缩进 字符"/>
    <w:autoRedefine/>
    <w:qFormat/>
    <w:uiPriority w:val="0"/>
    <w:rPr>
      <w:rFonts w:ascii="Times New Roman" w:hAnsi="Times New Roman" w:eastAsia="宋体" w:cs="Times New Roman"/>
      <w:szCs w:val="20"/>
    </w:rPr>
  </w:style>
  <w:style w:type="character" w:customStyle="1" w:styleId="57">
    <w:name w:val="普通(网站) Char"/>
    <w:autoRedefine/>
    <w:qFormat/>
    <w:locked/>
    <w:uiPriority w:val="0"/>
    <w:rPr>
      <w:rFonts w:ascii="宋体" w:hAnsi="宋体"/>
      <w:sz w:val="15"/>
      <w:szCs w:val="15"/>
    </w:rPr>
  </w:style>
  <w:style w:type="character" w:customStyle="1" w:styleId="58">
    <w:name w:val="标题 Char"/>
    <w:link w:val="35"/>
    <w:autoRedefine/>
    <w:qFormat/>
    <w:uiPriority w:val="10"/>
    <w:rPr>
      <w:rFonts w:ascii="等线 Light" w:hAnsi="等线 Light" w:eastAsia="仿宋"/>
      <w:b/>
      <w:bCs/>
      <w:sz w:val="28"/>
      <w:szCs w:val="32"/>
    </w:rPr>
  </w:style>
  <w:style w:type="character" w:customStyle="1" w:styleId="59">
    <w:name w:val="日期 Char"/>
    <w:autoRedefine/>
    <w:semiHidden/>
    <w:qFormat/>
    <w:uiPriority w:val="99"/>
    <w:rPr>
      <w:kern w:val="2"/>
      <w:sz w:val="21"/>
    </w:rPr>
  </w:style>
  <w:style w:type="character" w:customStyle="1" w:styleId="60">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1">
    <w:name w:val="批注文字 Char"/>
    <w:autoRedefine/>
    <w:semiHidden/>
    <w:qFormat/>
    <w:uiPriority w:val="99"/>
    <w:rPr>
      <w:kern w:val="2"/>
      <w:sz w:val="21"/>
    </w:rPr>
  </w:style>
  <w:style w:type="character" w:customStyle="1" w:styleId="62">
    <w:name w:val="正文缩进2格 Char"/>
    <w:link w:val="63"/>
    <w:autoRedefine/>
    <w:qFormat/>
    <w:uiPriority w:val="0"/>
    <w:rPr>
      <w:rFonts w:ascii="仿宋_GB2312" w:hAnsi="宋体" w:eastAsia="仿宋_GB2312"/>
      <w:sz w:val="31"/>
      <w:szCs w:val="28"/>
    </w:rPr>
  </w:style>
  <w:style w:type="paragraph" w:customStyle="1" w:styleId="63">
    <w:name w:val="正文缩进2格"/>
    <w:basedOn w:val="1"/>
    <w:link w:val="62"/>
    <w:autoRedefine/>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autoRedefine/>
    <w:semiHidden/>
    <w:qFormat/>
    <w:uiPriority w:val="99"/>
    <w:rPr>
      <w:rFonts w:ascii="Times New Roman" w:hAnsi="Times New Roman"/>
      <w:kern w:val="2"/>
      <w:sz w:val="24"/>
      <w:szCs w:val="24"/>
    </w:rPr>
  </w:style>
  <w:style w:type="character" w:customStyle="1" w:styleId="65">
    <w:name w:val="正文文本缩进 Char"/>
    <w:autoRedefine/>
    <w:qFormat/>
    <w:uiPriority w:val="0"/>
    <w:rPr>
      <w:rFonts w:ascii="Times New Roman" w:hAnsi="Times New Roman" w:eastAsia="宋体" w:cs="Times New Roman"/>
      <w:szCs w:val="20"/>
      <w:lang w:val="en-US" w:eastAsia="zh-CN"/>
    </w:rPr>
  </w:style>
  <w:style w:type="character" w:customStyle="1" w:styleId="66">
    <w:name w:val="批注框文本 字符1"/>
    <w:autoRedefine/>
    <w:semiHidden/>
    <w:qFormat/>
    <w:uiPriority w:val="99"/>
    <w:rPr>
      <w:rFonts w:ascii="宋体" w:hAnsi="Calibri" w:eastAsia="宋体" w:cs="Times New Roman"/>
      <w:kern w:val="0"/>
      <w:sz w:val="18"/>
      <w:szCs w:val="18"/>
    </w:rPr>
  </w:style>
  <w:style w:type="character" w:customStyle="1" w:styleId="67">
    <w:name w:val="List Paragraph Char"/>
    <w:link w:val="68"/>
    <w:autoRedefine/>
    <w:qFormat/>
    <w:uiPriority w:val="34"/>
    <w:rPr>
      <w:rFonts w:ascii="Calibri" w:hAnsi="Calibri"/>
    </w:rPr>
  </w:style>
  <w:style w:type="paragraph" w:customStyle="1" w:styleId="68">
    <w:name w:val="列出段落1"/>
    <w:basedOn w:val="1"/>
    <w:link w:val="67"/>
    <w:autoRedefine/>
    <w:qFormat/>
    <w:uiPriority w:val="34"/>
    <w:pPr>
      <w:ind w:firstLine="420" w:firstLineChars="200"/>
    </w:pPr>
    <w:rPr>
      <w:rFonts w:ascii="Calibri" w:hAnsi="Calibri"/>
    </w:rPr>
  </w:style>
  <w:style w:type="character" w:customStyle="1" w:styleId="69">
    <w:name w:val="标书正文 字符"/>
    <w:link w:val="70"/>
    <w:autoRedefine/>
    <w:qFormat/>
    <w:uiPriority w:val="0"/>
    <w:rPr>
      <w:rFonts w:ascii="Calibri" w:hAnsi="Calibri" w:eastAsia="仿宋"/>
      <w:sz w:val="24"/>
      <w:szCs w:val="21"/>
    </w:rPr>
  </w:style>
  <w:style w:type="paragraph" w:customStyle="1" w:styleId="70">
    <w:name w:val="标书正文"/>
    <w:basedOn w:val="1"/>
    <w:link w:val="69"/>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autoRedefine/>
    <w:semiHidden/>
    <w:qFormat/>
    <w:uiPriority w:val="99"/>
    <w:rPr>
      <w:rFonts w:ascii="Times New Roman" w:hAnsi="Times New Roman"/>
      <w:kern w:val="2"/>
      <w:sz w:val="24"/>
      <w:szCs w:val="24"/>
    </w:rPr>
  </w:style>
  <w:style w:type="character" w:customStyle="1" w:styleId="72">
    <w:name w:val="页脚 Char"/>
    <w:autoRedefine/>
    <w:qFormat/>
    <w:uiPriority w:val="0"/>
    <w:rPr>
      <w:kern w:val="2"/>
      <w:sz w:val="18"/>
      <w:szCs w:val="18"/>
    </w:rPr>
  </w:style>
  <w:style w:type="character" w:customStyle="1" w:styleId="73">
    <w:name w:val="neir1"/>
    <w:autoRedefine/>
    <w:qFormat/>
    <w:uiPriority w:val="0"/>
    <w:rPr>
      <w:rFonts w:hint="default" w:ascii="ˎ̥" w:hAnsi="ˎ̥"/>
      <w:color w:val="333333"/>
      <w:sz w:val="21"/>
      <w:szCs w:val="21"/>
      <w:u w:val="none"/>
    </w:rPr>
  </w:style>
  <w:style w:type="character" w:customStyle="1" w:styleId="74">
    <w:name w:val="批注框文本 Char1"/>
    <w:link w:val="26"/>
    <w:autoRedefine/>
    <w:qFormat/>
    <w:uiPriority w:val="0"/>
    <w:rPr>
      <w:rFonts w:ascii="Times New Roman" w:hAnsi="Times New Roman" w:eastAsia="宋体" w:cs="Times New Roman"/>
      <w:sz w:val="18"/>
      <w:szCs w:val="18"/>
    </w:rPr>
  </w:style>
  <w:style w:type="character" w:customStyle="1" w:styleId="75">
    <w:name w:val="正文文本 3 字符1"/>
    <w:autoRedefine/>
    <w:semiHidden/>
    <w:qFormat/>
    <w:uiPriority w:val="99"/>
    <w:rPr>
      <w:rFonts w:ascii="宋体" w:hAnsi="Calibri" w:eastAsia="宋体" w:cs="Times New Roman"/>
      <w:kern w:val="0"/>
      <w:sz w:val="16"/>
      <w:szCs w:val="16"/>
    </w:rPr>
  </w:style>
  <w:style w:type="character" w:customStyle="1" w:styleId="76">
    <w:name w:val="正文文本 字符3"/>
    <w:autoRedefine/>
    <w:semiHidden/>
    <w:qFormat/>
    <w:uiPriority w:val="99"/>
    <w:rPr>
      <w:rFonts w:ascii="宋体" w:hAnsi="Calibri" w:eastAsia="宋体" w:cs="Times New Roman"/>
      <w:kern w:val="0"/>
      <w:sz w:val="24"/>
      <w:szCs w:val="24"/>
    </w:rPr>
  </w:style>
  <w:style w:type="character" w:customStyle="1" w:styleId="77">
    <w:name w:val="日期 字符1"/>
    <w:autoRedefine/>
    <w:semiHidden/>
    <w:qFormat/>
    <w:uiPriority w:val="99"/>
    <w:rPr>
      <w:rFonts w:ascii="宋体" w:hAnsi="Calibri" w:eastAsia="宋体" w:cs="Times New Roman"/>
      <w:kern w:val="0"/>
      <w:sz w:val="24"/>
      <w:szCs w:val="24"/>
    </w:rPr>
  </w:style>
  <w:style w:type="character" w:customStyle="1" w:styleId="78">
    <w:name w:val="页脚 Char2"/>
    <w:link w:val="27"/>
    <w:autoRedefine/>
    <w:qFormat/>
    <w:uiPriority w:val="99"/>
    <w:rPr>
      <w:rFonts w:ascii="宋体" w:eastAsia="宋体"/>
      <w:sz w:val="18"/>
      <w:szCs w:val="18"/>
    </w:rPr>
  </w:style>
  <w:style w:type="character" w:customStyle="1" w:styleId="79">
    <w:name w:val="吉奥正文 Char"/>
    <w:link w:val="80"/>
    <w:autoRedefine/>
    <w:qFormat/>
    <w:locked/>
    <w:uiPriority w:val="0"/>
    <w:rPr>
      <w:rFonts w:eastAsia="仿宋_GB2312"/>
      <w:sz w:val="28"/>
    </w:rPr>
  </w:style>
  <w:style w:type="paragraph" w:customStyle="1" w:styleId="80">
    <w:name w:val="吉奥正文"/>
    <w:basedOn w:val="1"/>
    <w:link w:val="79"/>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autoRedefine/>
    <w:qFormat/>
    <w:uiPriority w:val="99"/>
    <w:rPr>
      <w:rFonts w:ascii="宋体" w:hAnsi="Times New Roman" w:eastAsia="宋体" w:cs="Times New Roman"/>
      <w:kern w:val="0"/>
      <w:sz w:val="18"/>
      <w:szCs w:val="18"/>
    </w:rPr>
  </w:style>
  <w:style w:type="character" w:customStyle="1" w:styleId="82">
    <w:name w:val="标题 字符"/>
    <w:autoRedefine/>
    <w:qFormat/>
    <w:uiPriority w:val="10"/>
    <w:rPr>
      <w:rFonts w:ascii="Cambria" w:hAnsi="Cambria" w:eastAsia="宋体" w:cs="Times New Roman"/>
      <w:b/>
      <w:bCs/>
      <w:kern w:val="0"/>
      <w:sz w:val="32"/>
      <w:szCs w:val="32"/>
      <w:lang w:val="en-US" w:eastAsia="zh-CN"/>
    </w:rPr>
  </w:style>
  <w:style w:type="character" w:customStyle="1" w:styleId="83">
    <w:name w:val="题注 Char"/>
    <w:link w:val="13"/>
    <w:autoRedefine/>
    <w:qFormat/>
    <w:uiPriority w:val="0"/>
    <w:rPr>
      <w:rFonts w:ascii="Arial" w:hAnsi="Arial" w:eastAsia="黑体" w:cs="Arial"/>
    </w:rPr>
  </w:style>
  <w:style w:type="character" w:customStyle="1" w:styleId="84">
    <w:name w:val="批注文字 字符2"/>
    <w:autoRedefine/>
    <w:qFormat/>
    <w:uiPriority w:val="99"/>
    <w:rPr>
      <w:rFonts w:ascii="宋体" w:hAnsi="Times New Roman" w:eastAsia="宋体" w:cs="Times New Roman"/>
      <w:kern w:val="0"/>
      <w:sz w:val="24"/>
      <w:szCs w:val="24"/>
    </w:rPr>
  </w:style>
  <w:style w:type="character" w:customStyle="1" w:styleId="85">
    <w:name w:val="批注主题 字符1"/>
    <w:autoRedefine/>
    <w:semiHidden/>
    <w:qFormat/>
    <w:uiPriority w:val="99"/>
    <w:rPr>
      <w:rFonts w:ascii="宋体" w:hAnsi="Calibri" w:eastAsia="宋体" w:cs="Times New Roman"/>
      <w:b/>
      <w:bCs/>
      <w:kern w:val="0"/>
      <w:sz w:val="24"/>
      <w:szCs w:val="24"/>
    </w:rPr>
  </w:style>
  <w:style w:type="character" w:customStyle="1" w:styleId="86">
    <w:name w:val="HTML 预设格式 Char"/>
    <w:link w:val="33"/>
    <w:autoRedefine/>
    <w:qFormat/>
    <w:uiPriority w:val="99"/>
    <w:rPr>
      <w:rFonts w:ascii="Arial" w:hAnsi="Arial" w:eastAsia="宋体" w:cs="Arial"/>
      <w:szCs w:val="21"/>
    </w:rPr>
  </w:style>
  <w:style w:type="character" w:customStyle="1" w:styleId="87">
    <w:name w:val="标题 3.1 Char"/>
    <w:link w:val="88"/>
    <w:autoRedefine/>
    <w:qFormat/>
    <w:uiPriority w:val="0"/>
    <w:rPr>
      <w:rFonts w:ascii="宋体" w:hAnsi="宋体"/>
      <w:b/>
      <w:bCs/>
      <w:sz w:val="32"/>
      <w:szCs w:val="32"/>
    </w:rPr>
  </w:style>
  <w:style w:type="paragraph" w:customStyle="1" w:styleId="88">
    <w:name w:val="标题 3.1"/>
    <w:basedOn w:val="2"/>
    <w:link w:val="87"/>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autoRedefine/>
    <w:semiHidden/>
    <w:qFormat/>
    <w:uiPriority w:val="99"/>
    <w:rPr>
      <w:rFonts w:ascii="Courier New" w:hAnsi="Courier New" w:eastAsia="宋体" w:cs="Courier New"/>
      <w:kern w:val="0"/>
      <w:sz w:val="20"/>
      <w:szCs w:val="20"/>
    </w:rPr>
  </w:style>
  <w:style w:type="character" w:customStyle="1" w:styleId="90">
    <w:name w:val="批注文字 字符1"/>
    <w:autoRedefine/>
    <w:qFormat/>
    <w:uiPriority w:val="0"/>
    <w:rPr>
      <w:rFonts w:eastAsia="宋体"/>
      <w:kern w:val="2"/>
      <w:sz w:val="24"/>
      <w:szCs w:val="24"/>
      <w:lang w:val="en-US" w:eastAsia="zh-CN" w:bidi="ar-SA"/>
    </w:rPr>
  </w:style>
  <w:style w:type="character" w:customStyle="1" w:styleId="91">
    <w:name w:val="正文文本缩进 字符2"/>
    <w:autoRedefine/>
    <w:semiHidden/>
    <w:qFormat/>
    <w:uiPriority w:val="99"/>
    <w:rPr>
      <w:rFonts w:ascii="宋体" w:hAnsi="Calibri" w:eastAsia="宋体" w:cs="Times New Roman"/>
      <w:kern w:val="0"/>
      <w:sz w:val="24"/>
      <w:szCs w:val="24"/>
    </w:rPr>
  </w:style>
  <w:style w:type="character" w:customStyle="1" w:styleId="92">
    <w:name w:val="正文文本缩进 Char1"/>
    <w:link w:val="21"/>
    <w:autoRedefine/>
    <w:qFormat/>
    <w:uiPriority w:val="0"/>
    <w:rPr>
      <w:rFonts w:ascii="Times New Roman" w:hAnsi="Times New Roman" w:eastAsia="宋体" w:cs="Times New Roman"/>
      <w:szCs w:val="20"/>
    </w:rPr>
  </w:style>
  <w:style w:type="character" w:customStyle="1" w:styleId="93">
    <w:name w:val="普通(网站) Char1"/>
    <w:link w:val="34"/>
    <w:autoRedefine/>
    <w:qFormat/>
    <w:locked/>
    <w:uiPriority w:val="0"/>
    <w:rPr>
      <w:rFonts w:ascii="宋体" w:hAnsi="宋体"/>
      <w:sz w:val="15"/>
      <w:szCs w:val="15"/>
    </w:rPr>
  </w:style>
  <w:style w:type="character" w:customStyle="1" w:styleId="94">
    <w:name w:val="模板正文 Char"/>
    <w:link w:val="8"/>
    <w:autoRedefine/>
    <w:qFormat/>
    <w:uiPriority w:val="0"/>
    <w:rPr>
      <w:rFonts w:ascii="宋体" w:eastAsia="仿宋"/>
      <w:sz w:val="24"/>
      <w:szCs w:val="21"/>
    </w:rPr>
  </w:style>
  <w:style w:type="character" w:customStyle="1" w:styleId="95">
    <w:name w:val="批注主题 Char"/>
    <w:autoRedefine/>
    <w:semiHidden/>
    <w:qFormat/>
    <w:uiPriority w:val="99"/>
    <w:rPr>
      <w:b/>
      <w:bCs/>
      <w:kern w:val="2"/>
      <w:sz w:val="21"/>
    </w:rPr>
  </w:style>
  <w:style w:type="character" w:customStyle="1" w:styleId="96">
    <w:name w:val="正文文本 Char1"/>
    <w:autoRedefine/>
    <w:qFormat/>
    <w:uiPriority w:val="0"/>
    <w:rPr>
      <w:rFonts w:ascii="宋体" w:hAnsi="Times New Roman" w:eastAsia="宋体" w:cs="Times New Roman"/>
      <w:kern w:val="0"/>
      <w:sz w:val="24"/>
      <w:szCs w:val="24"/>
    </w:rPr>
  </w:style>
  <w:style w:type="character" w:customStyle="1" w:styleId="97">
    <w:name w:val="正文文本 字符1"/>
    <w:autoRedefine/>
    <w:qFormat/>
    <w:uiPriority w:val="99"/>
    <w:rPr>
      <w:rFonts w:ascii="宋体" w:eastAsia="宋体"/>
      <w:b/>
      <w:bCs/>
      <w:sz w:val="84"/>
      <w:szCs w:val="84"/>
      <w:lang w:val="zh-CN"/>
    </w:rPr>
  </w:style>
  <w:style w:type="character" w:customStyle="1" w:styleId="98">
    <w:name w:val="标题 1 Char"/>
    <w:autoRedefine/>
    <w:qFormat/>
    <w:uiPriority w:val="9"/>
    <w:rPr>
      <w:rFonts w:ascii="宋体" w:hAnsi="Times New Roman" w:eastAsia="宋体" w:cs="Times New Roman"/>
      <w:kern w:val="0"/>
      <w:sz w:val="24"/>
      <w:szCs w:val="24"/>
    </w:rPr>
  </w:style>
  <w:style w:type="character" w:customStyle="1" w:styleId="99">
    <w:name w:val="正文文本 Char2"/>
    <w:autoRedefine/>
    <w:qFormat/>
    <w:uiPriority w:val="99"/>
    <w:rPr>
      <w:rFonts w:ascii="宋体" w:eastAsia="宋体"/>
      <w:b/>
      <w:bCs/>
      <w:sz w:val="84"/>
      <w:szCs w:val="84"/>
      <w:lang w:val="zh-CN"/>
    </w:rPr>
  </w:style>
  <w:style w:type="character" w:customStyle="1" w:styleId="100">
    <w:name w:val="纯文本 Char2"/>
    <w:link w:val="23"/>
    <w:autoRedefine/>
    <w:qFormat/>
    <w:uiPriority w:val="0"/>
    <w:rPr>
      <w:rFonts w:ascii="宋体" w:hAnsi="Courier New" w:eastAsia="宋体"/>
    </w:rPr>
  </w:style>
  <w:style w:type="character" w:customStyle="1" w:styleId="101">
    <w:name w:val="正文文本缩进 2 Char"/>
    <w:link w:val="25"/>
    <w:autoRedefine/>
    <w:qFormat/>
    <w:uiPriority w:val="0"/>
    <w:rPr>
      <w:rFonts w:ascii="宋体" w:hAnsi="Times New Roman" w:eastAsia="宋体" w:cs="Times New Roman"/>
      <w:szCs w:val="20"/>
    </w:rPr>
  </w:style>
  <w:style w:type="character" w:customStyle="1" w:styleId="102">
    <w:name w:val="HTML Markup"/>
    <w:autoRedefine/>
    <w:qFormat/>
    <w:uiPriority w:val="0"/>
    <w:rPr>
      <w:vanish/>
      <w:color w:val="FF0000"/>
    </w:rPr>
  </w:style>
  <w:style w:type="character" w:customStyle="1" w:styleId="103">
    <w:name w:val="页眉 Char1"/>
    <w:autoRedefine/>
    <w:qFormat/>
    <w:uiPriority w:val="0"/>
    <w:rPr>
      <w:rFonts w:ascii="宋体" w:hAnsi="Times New Roman" w:eastAsia="宋体" w:cs="Times New Roman"/>
      <w:kern w:val="0"/>
      <w:sz w:val="18"/>
      <w:szCs w:val="18"/>
    </w:rPr>
  </w:style>
  <w:style w:type="character" w:customStyle="1" w:styleId="104">
    <w:name w:val="font11"/>
    <w:autoRedefine/>
    <w:qFormat/>
    <w:uiPriority w:val="0"/>
    <w:rPr>
      <w:rFonts w:hint="eastAsia" w:ascii="宋体" w:hAnsi="宋体" w:eastAsia="宋体" w:cs="宋体"/>
      <w:color w:val="FF0000"/>
      <w:sz w:val="22"/>
      <w:szCs w:val="22"/>
      <w:u w:val="none"/>
    </w:rPr>
  </w:style>
  <w:style w:type="character" w:customStyle="1" w:styleId="105">
    <w:name w:val="style61"/>
    <w:autoRedefine/>
    <w:qFormat/>
    <w:uiPriority w:val="0"/>
    <w:rPr>
      <w:b/>
      <w:bCs/>
    </w:rPr>
  </w:style>
  <w:style w:type="character" w:customStyle="1" w:styleId="106">
    <w:name w:val="表头文字 Char"/>
    <w:link w:val="107"/>
    <w:autoRedefine/>
    <w:qFormat/>
    <w:uiPriority w:val="0"/>
    <w:rPr>
      <w:rFonts w:eastAsia="仿宋_GB2312"/>
      <w:b/>
      <w:sz w:val="28"/>
      <w:szCs w:val="21"/>
    </w:rPr>
  </w:style>
  <w:style w:type="paragraph" w:customStyle="1" w:styleId="107">
    <w:name w:val="表头文字"/>
    <w:basedOn w:val="1"/>
    <w:link w:val="106"/>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4"/>
    <w:autoRedefine/>
    <w:qFormat/>
    <w:uiPriority w:val="99"/>
    <w:rPr>
      <w:rFonts w:ascii="宋体" w:hAnsi="Times New Roman" w:eastAsia="宋体" w:cs="Times New Roman"/>
      <w:b/>
      <w:bCs/>
      <w:szCs w:val="21"/>
      <w:lang w:val="zh-CN"/>
    </w:rPr>
  </w:style>
  <w:style w:type="character" w:customStyle="1" w:styleId="109">
    <w:name w:val="纯文本 Char1"/>
    <w:autoRedefine/>
    <w:qFormat/>
    <w:uiPriority w:val="0"/>
    <w:rPr>
      <w:rFonts w:ascii="宋体" w:hAnsi="Courier New" w:eastAsia="宋体" w:cs="Courier New"/>
      <w:kern w:val="0"/>
      <w:szCs w:val="21"/>
    </w:rPr>
  </w:style>
  <w:style w:type="character" w:customStyle="1" w:styleId="110">
    <w:name w:val="批注主题 Char1"/>
    <w:link w:val="36"/>
    <w:autoRedefine/>
    <w:qFormat/>
    <w:uiPriority w:val="99"/>
    <w:rPr>
      <w:rFonts w:ascii="宋体" w:hAnsi="Times New Roman" w:eastAsia="宋体" w:cs="Times New Roman"/>
      <w:b/>
      <w:bCs/>
      <w:kern w:val="0"/>
      <w:sz w:val="24"/>
      <w:szCs w:val="24"/>
    </w:rPr>
  </w:style>
  <w:style w:type="character" w:customStyle="1" w:styleId="111">
    <w:name w:val="纯文本 字符"/>
    <w:autoRedefine/>
    <w:qFormat/>
    <w:uiPriority w:val="99"/>
    <w:rPr>
      <w:rFonts w:ascii="宋体" w:hAnsi="Courier New" w:eastAsia="宋体" w:cs="Times New Roman"/>
      <w:szCs w:val="20"/>
      <w:lang w:val="en-US" w:eastAsia="zh-CN"/>
    </w:rPr>
  </w:style>
  <w:style w:type="character" w:customStyle="1" w:styleId="112">
    <w:name w:val="font71"/>
    <w:autoRedefine/>
    <w:qFormat/>
    <w:uiPriority w:val="0"/>
    <w:rPr>
      <w:rFonts w:hint="eastAsia" w:ascii="宋体" w:hAnsi="宋体" w:eastAsia="宋体" w:cs="宋体"/>
      <w:color w:val="FF0000"/>
      <w:sz w:val="18"/>
      <w:szCs w:val="18"/>
      <w:u w:val="none"/>
    </w:rPr>
  </w:style>
  <w:style w:type="character" w:customStyle="1" w:styleId="113">
    <w:name w:val="font21"/>
    <w:autoRedefine/>
    <w:qFormat/>
    <w:uiPriority w:val="0"/>
    <w:rPr>
      <w:rFonts w:hint="eastAsia" w:ascii="宋体" w:hAnsi="宋体" w:eastAsia="宋体" w:cs="宋体"/>
      <w:b/>
      <w:color w:val="000000"/>
      <w:sz w:val="21"/>
      <w:szCs w:val="21"/>
      <w:u w:val="none"/>
    </w:rPr>
  </w:style>
  <w:style w:type="character" w:customStyle="1" w:styleId="114">
    <w:name w:val="纯文本 字符3"/>
    <w:autoRedefine/>
    <w:semiHidden/>
    <w:qFormat/>
    <w:uiPriority w:val="99"/>
    <w:rPr>
      <w:rFonts w:ascii="等线" w:hAnsi="Courier New" w:cs="Courier New"/>
      <w:kern w:val="0"/>
      <w:sz w:val="24"/>
      <w:szCs w:val="24"/>
    </w:rPr>
  </w:style>
  <w:style w:type="character" w:customStyle="1" w:styleId="115">
    <w:name w:val="font31"/>
    <w:autoRedefine/>
    <w:qFormat/>
    <w:uiPriority w:val="0"/>
    <w:rPr>
      <w:rFonts w:hint="eastAsia" w:ascii="宋体" w:hAnsi="宋体" w:eastAsia="宋体" w:cs="宋体"/>
      <w:color w:val="000000"/>
      <w:sz w:val="18"/>
      <w:szCs w:val="18"/>
      <w:u w:val="none"/>
    </w:rPr>
  </w:style>
  <w:style w:type="character" w:customStyle="1" w:styleId="116">
    <w:name w:val="文档结构图 Char"/>
    <w:link w:val="14"/>
    <w:autoRedefine/>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autoRedefine/>
    <w:qFormat/>
    <w:locked/>
    <w:uiPriority w:val="0"/>
    <w:rPr>
      <w:rFonts w:ascii="宋体" w:hAnsi="宋体"/>
      <w:sz w:val="15"/>
      <w:szCs w:val="15"/>
    </w:rPr>
  </w:style>
  <w:style w:type="character" w:customStyle="1" w:styleId="118">
    <w:name w:val="正文文本 Char3"/>
    <w:link w:val="18"/>
    <w:autoRedefine/>
    <w:qFormat/>
    <w:uiPriority w:val="99"/>
    <w:rPr>
      <w:rFonts w:ascii="宋体" w:eastAsia="宋体"/>
      <w:b/>
      <w:bCs/>
      <w:sz w:val="84"/>
      <w:szCs w:val="84"/>
      <w:lang w:val="zh-CN"/>
    </w:rPr>
  </w:style>
  <w:style w:type="character" w:customStyle="1" w:styleId="119">
    <w:name w:val="标题 5 Char"/>
    <w:autoRedefine/>
    <w:semiHidden/>
    <w:qFormat/>
    <w:uiPriority w:val="9"/>
    <w:rPr>
      <w:b/>
      <w:bCs/>
      <w:kern w:val="2"/>
      <w:sz w:val="28"/>
      <w:szCs w:val="28"/>
    </w:rPr>
  </w:style>
  <w:style w:type="character" w:customStyle="1" w:styleId="120">
    <w:name w:val="页眉 Char2"/>
    <w:link w:val="28"/>
    <w:autoRedefine/>
    <w:qFormat/>
    <w:uiPriority w:val="99"/>
    <w:rPr>
      <w:rFonts w:ascii="宋体" w:eastAsia="宋体"/>
      <w:sz w:val="18"/>
      <w:szCs w:val="18"/>
    </w:rPr>
  </w:style>
  <w:style w:type="character" w:customStyle="1" w:styleId="121">
    <w:name w:val="表格文字 Char"/>
    <w:link w:val="122"/>
    <w:autoRedefine/>
    <w:qFormat/>
    <w:uiPriority w:val="0"/>
    <w:rPr>
      <w:rFonts w:eastAsia="仿宋_GB2312"/>
      <w:sz w:val="28"/>
      <w:szCs w:val="24"/>
    </w:rPr>
  </w:style>
  <w:style w:type="paragraph" w:customStyle="1" w:styleId="122">
    <w:name w:val="表格文字"/>
    <w:basedOn w:val="1"/>
    <w:link w:val="121"/>
    <w:autoRedefine/>
    <w:qFormat/>
    <w:uiPriority w:val="0"/>
    <w:rPr>
      <w:rFonts w:eastAsia="仿宋_GB2312"/>
      <w:sz w:val="28"/>
      <w:szCs w:val="24"/>
    </w:rPr>
  </w:style>
  <w:style w:type="character" w:customStyle="1" w:styleId="123">
    <w:name w:val="标题 字符2"/>
    <w:autoRedefine/>
    <w:qFormat/>
    <w:uiPriority w:val="10"/>
    <w:rPr>
      <w:rFonts w:ascii="等线 Light" w:hAnsi="等线 Light" w:eastAsia="等线 Light" w:cs="Times New Roman"/>
      <w:b/>
      <w:bCs/>
      <w:kern w:val="0"/>
      <w:sz w:val="32"/>
      <w:szCs w:val="32"/>
    </w:rPr>
  </w:style>
  <w:style w:type="character" w:customStyle="1" w:styleId="124">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5">
    <w:name w:val="小 Char"/>
    <w:autoRedefine/>
    <w:qFormat/>
    <w:uiPriority w:val="0"/>
    <w:rPr>
      <w:rFonts w:ascii="宋体" w:hAnsi="Courier New" w:eastAsia="宋体"/>
      <w:kern w:val="2"/>
      <w:sz w:val="21"/>
      <w:lang w:val="en-US" w:eastAsia="zh-CN" w:bidi="ar-SA"/>
    </w:rPr>
  </w:style>
  <w:style w:type="character" w:customStyle="1" w:styleId="126">
    <w:name w:val="themebody1"/>
    <w:autoRedefine/>
    <w:qFormat/>
    <w:uiPriority w:val="0"/>
    <w:rPr>
      <w:color w:val="FFFFFF"/>
    </w:rPr>
  </w:style>
  <w:style w:type="character" w:customStyle="1" w:styleId="127">
    <w:name w:val="页脚 字符1"/>
    <w:autoRedefine/>
    <w:semiHidden/>
    <w:qFormat/>
    <w:uiPriority w:val="99"/>
    <w:rPr>
      <w:rFonts w:ascii="宋体" w:hAnsi="Calibri" w:eastAsia="宋体" w:cs="Times New Roman"/>
      <w:kern w:val="0"/>
      <w:sz w:val="18"/>
      <w:szCs w:val="18"/>
    </w:rPr>
  </w:style>
  <w:style w:type="character" w:customStyle="1" w:styleId="128">
    <w:name w:val="列出段落 Char"/>
    <w:link w:val="129"/>
    <w:autoRedefine/>
    <w:qFormat/>
    <w:uiPriority w:val="34"/>
    <w:rPr>
      <w:kern w:val="2"/>
      <w:sz w:val="21"/>
      <w:szCs w:val="22"/>
    </w:rPr>
  </w:style>
  <w:style w:type="paragraph" w:styleId="129">
    <w:name w:val="List Paragraph"/>
    <w:basedOn w:val="1"/>
    <w:link w:val="128"/>
    <w:autoRedefine/>
    <w:qFormat/>
    <w:uiPriority w:val="34"/>
    <w:pPr>
      <w:ind w:firstLine="420" w:firstLineChars="200"/>
    </w:pPr>
  </w:style>
  <w:style w:type="character" w:customStyle="1" w:styleId="130">
    <w:name w:val="正文文本 Char"/>
    <w:autoRedefine/>
    <w:qFormat/>
    <w:uiPriority w:val="99"/>
    <w:rPr>
      <w:rFonts w:ascii="宋体" w:eastAsia="宋体"/>
      <w:b/>
      <w:bCs/>
      <w:sz w:val="84"/>
      <w:szCs w:val="84"/>
      <w:lang w:val="zh-CN"/>
    </w:rPr>
  </w:style>
  <w:style w:type="character" w:customStyle="1" w:styleId="131">
    <w:name w:val="页眉 字符1"/>
    <w:autoRedefine/>
    <w:semiHidden/>
    <w:qFormat/>
    <w:uiPriority w:val="99"/>
    <w:rPr>
      <w:rFonts w:ascii="宋体" w:hAnsi="Calibri" w:eastAsia="宋体" w:cs="Times New Roman"/>
      <w:kern w:val="0"/>
      <w:sz w:val="18"/>
      <w:szCs w:val="18"/>
    </w:rPr>
  </w:style>
  <w:style w:type="character" w:customStyle="1" w:styleId="132">
    <w:name w:val="标题 5 Char1"/>
    <w:link w:val="6"/>
    <w:autoRedefine/>
    <w:qFormat/>
    <w:uiPriority w:val="9"/>
    <w:rPr>
      <w:rFonts w:ascii="宋体" w:hAnsi="Calibri" w:eastAsia="宋体" w:cs="Times New Roman"/>
      <w:b/>
      <w:bCs/>
      <w:kern w:val="0"/>
      <w:sz w:val="28"/>
      <w:szCs w:val="28"/>
    </w:rPr>
  </w:style>
  <w:style w:type="character" w:customStyle="1" w:styleId="133">
    <w:name w:val="keyfeatures1"/>
    <w:autoRedefine/>
    <w:qFormat/>
    <w:uiPriority w:val="0"/>
    <w:rPr>
      <w:rFonts w:hint="default" w:ascii="Arial" w:hAnsi="Arial" w:cs="Arial"/>
      <w:color w:val="003366"/>
      <w:sz w:val="17"/>
      <w:szCs w:val="17"/>
      <w:u w:val="none"/>
    </w:rPr>
  </w:style>
  <w:style w:type="character" w:customStyle="1" w:styleId="134">
    <w:name w:val="题注 字符"/>
    <w:autoRedefine/>
    <w:qFormat/>
    <w:uiPriority w:val="0"/>
    <w:rPr>
      <w:rFonts w:ascii="宋体" w:hAnsi="宋体" w:eastAsia="黑体" w:cs="Times New Roman"/>
      <w:b/>
      <w:szCs w:val="21"/>
    </w:rPr>
  </w:style>
  <w:style w:type="character" w:customStyle="1" w:styleId="135">
    <w:name w:val="标题 4 Char"/>
    <w:autoRedefine/>
    <w:qFormat/>
    <w:uiPriority w:val="0"/>
    <w:rPr>
      <w:rFonts w:ascii="宋体" w:hAnsi="宋体" w:eastAsia="宋体"/>
      <w:b/>
      <w:kern w:val="2"/>
      <w:sz w:val="21"/>
      <w:szCs w:val="24"/>
      <w:lang w:val="en-US" w:eastAsia="zh-CN" w:bidi="ar-SA"/>
    </w:rPr>
  </w:style>
  <w:style w:type="character" w:customStyle="1" w:styleId="136">
    <w:name w:val="批注文字 字符3"/>
    <w:autoRedefine/>
    <w:semiHidden/>
    <w:qFormat/>
    <w:uiPriority w:val="99"/>
    <w:rPr>
      <w:rFonts w:ascii="宋体" w:hAnsi="Calibri" w:eastAsia="宋体" w:cs="Times New Roman"/>
      <w:kern w:val="0"/>
      <w:sz w:val="24"/>
      <w:szCs w:val="24"/>
    </w:rPr>
  </w:style>
  <w:style w:type="character" w:customStyle="1" w:styleId="137">
    <w:name w:val="纯文本 字符1"/>
    <w:autoRedefine/>
    <w:qFormat/>
    <w:uiPriority w:val="0"/>
    <w:rPr>
      <w:rFonts w:ascii="宋体" w:hAnsi="Courier New" w:eastAsia="宋体"/>
      <w:kern w:val="2"/>
      <w:sz w:val="21"/>
      <w:szCs w:val="24"/>
      <w:lang w:val="en-US" w:eastAsia="zh-CN" w:bidi="ar-SA"/>
    </w:rPr>
  </w:style>
  <w:style w:type="character" w:customStyle="1" w:styleId="138">
    <w:name w:val="列出段落 Char1"/>
    <w:autoRedefine/>
    <w:qFormat/>
    <w:uiPriority w:val="34"/>
    <w:rPr>
      <w:rFonts w:ascii="宋体"/>
      <w:sz w:val="24"/>
      <w:szCs w:val="24"/>
    </w:rPr>
  </w:style>
  <w:style w:type="character" w:customStyle="1" w:styleId="139">
    <w:name w:val="彩色列表 - 着色 1 字符"/>
    <w:link w:val="140"/>
    <w:autoRedefine/>
    <w:qFormat/>
    <w:uiPriority w:val="0"/>
    <w:rPr>
      <w:rFonts w:ascii="Calibri" w:hAnsi="Calibri"/>
    </w:rPr>
  </w:style>
  <w:style w:type="paragraph" w:customStyle="1" w:styleId="140">
    <w:name w:val="彩色列表 - 着色 11"/>
    <w:basedOn w:val="1"/>
    <w:link w:val="139"/>
    <w:autoRedefine/>
    <w:qFormat/>
    <w:uiPriority w:val="0"/>
    <w:pPr>
      <w:ind w:firstLine="420" w:firstLineChars="200"/>
    </w:pPr>
    <w:rPr>
      <w:rFonts w:ascii="Calibri" w:hAnsi="Calibri"/>
    </w:rPr>
  </w:style>
  <w:style w:type="character" w:customStyle="1" w:styleId="141">
    <w:name w:val="纯文本 Char"/>
    <w:autoRedefine/>
    <w:qFormat/>
    <w:uiPriority w:val="0"/>
    <w:rPr>
      <w:rFonts w:ascii="宋体" w:hAnsi="Courier New" w:eastAsia="宋体" w:cs="Times New Roman"/>
      <w:szCs w:val="20"/>
    </w:rPr>
  </w:style>
  <w:style w:type="character" w:customStyle="1" w:styleId="142">
    <w:name w:val="标题 6 Char"/>
    <w:link w:val="7"/>
    <w:autoRedefine/>
    <w:qFormat/>
    <w:uiPriority w:val="9"/>
    <w:rPr>
      <w:rFonts w:ascii="Times New Roman" w:hAnsi="Calibri" w:eastAsia="黑体" w:cs="Times New Roman"/>
      <w:b/>
      <w:bCs/>
      <w:kern w:val="0"/>
      <w:sz w:val="28"/>
      <w:szCs w:val="24"/>
    </w:rPr>
  </w:style>
  <w:style w:type="character" w:customStyle="1" w:styleId="143">
    <w:name w:val="正文文本 2 Char"/>
    <w:link w:val="32"/>
    <w:autoRedefine/>
    <w:qFormat/>
    <w:uiPriority w:val="0"/>
    <w:rPr>
      <w:rFonts w:ascii="Arial" w:hAnsi="Arial" w:eastAsia="宋体" w:cs="Times New Roman"/>
      <w:color w:val="000000"/>
      <w:szCs w:val="24"/>
    </w:rPr>
  </w:style>
  <w:style w:type="character" w:customStyle="1" w:styleId="144">
    <w:name w:val="标题 3 Char"/>
    <w:link w:val="2"/>
    <w:qFormat/>
    <w:uiPriority w:val="0"/>
    <w:rPr>
      <w:rFonts w:ascii="宋体" w:hAnsi="Calibri"/>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autoRedefine/>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Char1"/>
    <w:link w:val="3"/>
    <w:qFormat/>
    <w:uiPriority w:val="0"/>
    <w:rPr>
      <w:rFonts w:ascii="宋体" w:hAnsi="Calibri" w:eastAsia="宋体" w:cs="Times New Roman"/>
      <w:kern w:val="0"/>
      <w:sz w:val="24"/>
      <w:szCs w:val="24"/>
    </w:rPr>
  </w:style>
  <w:style w:type="character" w:customStyle="1" w:styleId="151">
    <w:name w:val="批注文字 Char1"/>
    <w:autoRedefine/>
    <w:qFormat/>
    <w:uiPriority w:val="0"/>
    <w:rPr>
      <w:kern w:val="2"/>
      <w:sz w:val="21"/>
      <w:szCs w:val="24"/>
    </w:rPr>
  </w:style>
  <w:style w:type="character" w:customStyle="1" w:styleId="152">
    <w:name w:val="批注框文本 Char"/>
    <w:semiHidden/>
    <w:qFormat/>
    <w:uiPriority w:val="99"/>
    <w:rPr>
      <w:kern w:val="2"/>
      <w:sz w:val="18"/>
      <w:szCs w:val="18"/>
    </w:rPr>
  </w:style>
  <w:style w:type="character" w:customStyle="1" w:styleId="153">
    <w:name w:val="DAS正文 Char"/>
    <w:autoRedefine/>
    <w:qFormat/>
    <w:uiPriority w:val="0"/>
    <w:rPr>
      <w:rFonts w:ascii="Verdana" w:hAnsi="Verdana" w:eastAsia="宋体"/>
      <w:kern w:val="2"/>
      <w:sz w:val="21"/>
      <w:szCs w:val="21"/>
      <w:lang w:val="en-US" w:eastAsia="zh-CN" w:bidi="ar-SA"/>
    </w:rPr>
  </w:style>
  <w:style w:type="character" w:customStyle="1" w:styleId="154">
    <w:name w:val="正文文本缩进 3 Char"/>
    <w:link w:val="31"/>
    <w:autoRedefine/>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Char"/>
    <w:link w:val="17"/>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autoRedefine/>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autoRedefine/>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semiHidden/>
    <w:qFormat/>
    <w:uiPriority w:val="99"/>
    <w:rPr>
      <w:rFonts w:hAnsi="Courier New" w:cs="Courier New" w:asciiTheme="minorEastAsia"/>
    </w:rPr>
  </w:style>
  <w:style w:type="character" w:customStyle="1" w:styleId="163">
    <w:name w:val="批注文字 Char2"/>
    <w:basedOn w:val="39"/>
    <w:link w:val="16"/>
    <w:qFormat/>
    <w:uiPriority w:val="99"/>
    <w:rPr>
      <w:rFonts w:ascii="宋体" w:hAnsi="宋体" w:cstheme="minorBidi"/>
      <w:color w:val="000000" w:themeColor="text1"/>
      <w:kern w:val="2"/>
      <w:sz w:val="21"/>
      <w:szCs w:val="21"/>
      <w14:textFill>
        <w14:solidFill>
          <w14:schemeClr w14:val="tx1"/>
        </w14:solidFill>
      </w14:textFill>
    </w:rPr>
  </w:style>
  <w:style w:type="character" w:customStyle="1" w:styleId="164">
    <w:name w:val="批注主题 字符2"/>
    <w:basedOn w:val="163"/>
    <w:semiHidden/>
    <w:qFormat/>
    <w:uiPriority w:val="99"/>
    <w:rPr>
      <w:rFonts w:ascii="宋体" w:hAnsi="宋体" w:cstheme="minorBidi"/>
      <w:b/>
      <w:bCs/>
      <w:color w:val="000000" w:themeColor="text1"/>
      <w:kern w:val="2"/>
      <w:sz w:val="21"/>
      <w:szCs w:val="21"/>
      <w14:textFill>
        <w14:solidFill>
          <w14:schemeClr w14:val="tx1"/>
        </w14:solidFill>
      </w14:textFill>
    </w:rPr>
  </w:style>
  <w:style w:type="character" w:customStyle="1" w:styleId="165">
    <w:name w:val="标题 字符3"/>
    <w:basedOn w:val="39"/>
    <w:autoRedefine/>
    <w:qFormat/>
    <w:uiPriority w:val="10"/>
    <w:rPr>
      <w:rFonts w:asciiTheme="majorHAnsi" w:hAnsiTheme="majorHAnsi" w:eastAsiaTheme="majorEastAsia" w:cstheme="majorBidi"/>
      <w:b/>
      <w:bCs/>
      <w:sz w:val="32"/>
      <w:szCs w:val="32"/>
    </w:rPr>
  </w:style>
  <w:style w:type="character" w:customStyle="1" w:styleId="166">
    <w:name w:val="正文文本缩进 字符3"/>
    <w:basedOn w:val="39"/>
    <w:autoRedefine/>
    <w:semiHidden/>
    <w:qFormat/>
    <w:uiPriority w:val="99"/>
  </w:style>
  <w:style w:type="character" w:customStyle="1" w:styleId="167">
    <w:name w:val="正文文本 字符4"/>
    <w:basedOn w:val="39"/>
    <w:autoRedefine/>
    <w:semiHidden/>
    <w:qFormat/>
    <w:uiPriority w:val="99"/>
  </w:style>
  <w:style w:type="character" w:customStyle="1" w:styleId="168">
    <w:name w:val="正文文本缩进 3 字符2"/>
    <w:basedOn w:val="39"/>
    <w:semiHidden/>
    <w:qFormat/>
    <w:uiPriority w:val="99"/>
    <w:rPr>
      <w:sz w:val="16"/>
      <w:szCs w:val="16"/>
    </w:rPr>
  </w:style>
  <w:style w:type="character" w:customStyle="1" w:styleId="169">
    <w:name w:val="页眉 字符2"/>
    <w:basedOn w:val="39"/>
    <w:semiHidden/>
    <w:qFormat/>
    <w:uiPriority w:val="99"/>
    <w:rPr>
      <w:sz w:val="18"/>
      <w:szCs w:val="18"/>
    </w:rPr>
  </w:style>
  <w:style w:type="character" w:customStyle="1" w:styleId="170">
    <w:name w:val="批注框文本 字符2"/>
    <w:basedOn w:val="39"/>
    <w:autoRedefine/>
    <w:semiHidden/>
    <w:qFormat/>
    <w:uiPriority w:val="99"/>
    <w:rPr>
      <w:sz w:val="18"/>
      <w:szCs w:val="18"/>
    </w:rPr>
  </w:style>
  <w:style w:type="character" w:customStyle="1" w:styleId="171">
    <w:name w:val="HTML 预设格式 字符2"/>
    <w:basedOn w:val="39"/>
    <w:semiHidden/>
    <w:qFormat/>
    <w:uiPriority w:val="99"/>
    <w:rPr>
      <w:rFonts w:ascii="Courier New" w:hAnsi="Courier New" w:cs="Courier New"/>
      <w:sz w:val="20"/>
      <w:szCs w:val="20"/>
    </w:rPr>
  </w:style>
  <w:style w:type="character" w:customStyle="1" w:styleId="172">
    <w:name w:val="页脚 字符2"/>
    <w:basedOn w:val="39"/>
    <w:semiHidden/>
    <w:qFormat/>
    <w:uiPriority w:val="99"/>
    <w:rPr>
      <w:sz w:val="18"/>
      <w:szCs w:val="18"/>
    </w:rPr>
  </w:style>
  <w:style w:type="character" w:customStyle="1" w:styleId="173">
    <w:name w:val="正文文本缩进 2 字符2"/>
    <w:basedOn w:val="39"/>
    <w:semiHidden/>
    <w:qFormat/>
    <w:uiPriority w:val="99"/>
  </w:style>
  <w:style w:type="character" w:customStyle="1" w:styleId="174">
    <w:name w:val="正文文本 3 字符2"/>
    <w:basedOn w:val="39"/>
    <w:autoRedefine/>
    <w:semiHidden/>
    <w:qFormat/>
    <w:uiPriority w:val="99"/>
    <w:rPr>
      <w:sz w:val="16"/>
      <w:szCs w:val="16"/>
    </w:rPr>
  </w:style>
  <w:style w:type="character" w:customStyle="1" w:styleId="175">
    <w:name w:val="正文文本 2 字符2"/>
    <w:basedOn w:val="39"/>
    <w:autoRedefine/>
    <w:semiHidden/>
    <w:qFormat/>
    <w:uiPriority w:val="99"/>
  </w:style>
  <w:style w:type="paragraph" w:customStyle="1" w:styleId="176">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autoRedefine/>
    <w:semiHidden/>
    <w:qFormat/>
    <w:uiPriority w:val="99"/>
    <w:rPr>
      <w:rFonts w:ascii="Microsoft YaHei UI" w:eastAsia="Microsoft YaHei UI"/>
      <w:sz w:val="18"/>
      <w:szCs w:val="18"/>
    </w:rPr>
  </w:style>
  <w:style w:type="character" w:customStyle="1" w:styleId="179">
    <w:name w:val="日期 字符2"/>
    <w:basedOn w:val="39"/>
    <w:autoRedefine/>
    <w:semiHidden/>
    <w:qFormat/>
    <w:uiPriority w:val="99"/>
  </w:style>
  <w:style w:type="paragraph" w:customStyle="1" w:styleId="180">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1">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autoRedefine/>
    <w:semiHidden/>
    <w:qFormat/>
    <w:uiPriority w:val="99"/>
    <w:rPr>
      <w:rFonts w:ascii="宋体" w:hAnsi="Calibri" w:eastAsia="宋体" w:cs="Times New Roman"/>
      <w:sz w:val="24"/>
      <w:szCs w:val="24"/>
      <w:lang w:val="en-US" w:eastAsia="zh-CN" w:bidi="ar-SA"/>
    </w:rPr>
  </w:style>
  <w:style w:type="paragraph" w:customStyle="1" w:styleId="183">
    <w:name w:val="图/图注"/>
    <w:basedOn w:val="8"/>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autoRedefine/>
    <w:qFormat/>
    <w:uiPriority w:val="0"/>
    <w:pPr>
      <w:widowControl/>
    </w:pPr>
    <w:rPr>
      <w:rFonts w:ascii="Times New Roman" w:hAnsi="Calibri" w:eastAsia="宋体" w:cs="Times New Roman"/>
      <w:kern w:val="0"/>
      <w:szCs w:val="20"/>
    </w:rPr>
  </w:style>
  <w:style w:type="paragraph" w:customStyle="1" w:styleId="187">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autoRedefine/>
    <w:qFormat/>
    <w:uiPriority w:val="0"/>
    <w:rPr>
      <w:rFonts w:ascii="Calibri" w:hAnsi="Calibri" w:eastAsia="宋体" w:cs="Times New Roman"/>
      <w:lang w:val="en-US" w:eastAsia="zh-CN" w:bidi="ar-SA"/>
    </w:rPr>
  </w:style>
  <w:style w:type="paragraph" w:customStyle="1" w:styleId="191">
    <w:name w:val="_Style 69"/>
    <w:basedOn w:val="1"/>
    <w:next w:val="129"/>
    <w:autoRedefine/>
    <w:qFormat/>
    <w:uiPriority w:val="34"/>
    <w:pPr>
      <w:spacing w:line="360" w:lineRule="auto"/>
      <w:ind w:firstLine="420" w:firstLineChars="200"/>
    </w:pPr>
    <w:rPr>
      <w:rFonts w:ascii="Calibri" w:hAnsi="Calibri" w:eastAsia="宋体" w:cs="Times New Roman"/>
    </w:rPr>
  </w:style>
  <w:style w:type="paragraph" w:customStyle="1" w:styleId="192">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5">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2"/>
    <w:autoRedefine/>
    <w:qFormat/>
    <w:uiPriority w:val="0"/>
    <w:pPr>
      <w:jc w:val="center"/>
    </w:pPr>
    <w:rPr>
      <w:rFonts w:cs="宋体"/>
      <w:szCs w:val="20"/>
    </w:rPr>
  </w:style>
  <w:style w:type="paragraph" w:customStyle="1" w:styleId="198">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8"/>
    <w:link w:val="19"/>
    <w:autoRedefine/>
    <w:semiHidden/>
    <w:qFormat/>
    <w:uiPriority w:val="99"/>
    <w:rPr>
      <w:rFonts w:ascii="宋体" w:eastAsia="宋体"/>
      <w:b w:val="0"/>
      <w:bCs w:val="0"/>
      <w:sz w:val="84"/>
      <w:szCs w:val="84"/>
      <w:lang w:val="zh-CN"/>
    </w:rPr>
  </w:style>
  <w:style w:type="paragraph" w:customStyle="1" w:styleId="201">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正文 New New New New New"/>
    <w:autoRedefine/>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203">
    <w:name w:val="Table Paragraph"/>
    <w:basedOn w:val="1"/>
    <w:autoRedefine/>
    <w:qFormat/>
    <w:uiPriority w:val="1"/>
    <w:rPr>
      <w:rFonts w:cs="宋体"/>
    </w:rPr>
  </w:style>
  <w:style w:type="paragraph" w:customStyle="1" w:styleId="204">
    <w:name w:val="正文文本缩进 21"/>
    <w:basedOn w:val="1"/>
    <w:autoRedefine/>
    <w:qFormat/>
    <w:uiPriority w:val="0"/>
    <w:pPr>
      <w:adjustRightInd w:val="0"/>
      <w:spacing w:line="480" w:lineRule="auto"/>
      <w:ind w:firstLine="540"/>
      <w:textAlignment w:val="baseline"/>
    </w:pPr>
    <w:rPr>
      <w:rFonts w:ascii="Calibri" w:hAnsi="Calibri" w:eastAsia="宋体" w:cs="Times New Roman"/>
      <w:szCs w:val="21"/>
    </w:rPr>
  </w:style>
  <w:style w:type="paragraph" w:customStyle="1" w:styleId="205">
    <w:name w:val="Blockquote"/>
    <w:basedOn w:val="1"/>
    <w:autoRedefine/>
    <w:qFormat/>
    <w:uiPriority w:val="0"/>
    <w:pPr>
      <w:spacing w:before="100" w:after="100"/>
      <w:ind w:left="360" w:right="360"/>
    </w:pPr>
    <w:rPr>
      <w:rFonts w:ascii="Times New Roman"/>
      <w:szCs w:val="20"/>
    </w:rPr>
  </w:style>
  <w:style w:type="paragraph" w:customStyle="1" w:styleId="206">
    <w:name w:val="表格字体"/>
    <w:basedOn w:val="1"/>
    <w:autoRedefine/>
    <w:qFormat/>
    <w:uiPriority w:val="0"/>
    <w:pPr>
      <w:snapToGrid w:val="0"/>
    </w:pPr>
    <w:rPr>
      <w:rFonts w:ascii="微软雅黑" w:hAnsi="微软雅黑" w:eastAsia="仿宋"/>
      <w:sz w:val="20"/>
    </w:rPr>
  </w:style>
  <w:style w:type="paragraph" w:customStyle="1" w:styleId="207">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8">
    <w:name w:val="hightword"/>
    <w:basedOn w:val="39"/>
    <w:autoRedefine/>
    <w:qFormat/>
    <w:uiPriority w:val="0"/>
  </w:style>
  <w:style w:type="paragraph" w:customStyle="1" w:styleId="209">
    <w:name w:val="law-kuan"/>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0">
    <w:name w:val="修订4"/>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1">
    <w:name w:val="修订5"/>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B783A9-0BB8-4D80-AC26-35A1D5EB3F19}">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10919</Words>
  <Characters>62241</Characters>
  <Lines>518</Lines>
  <Paragraphs>146</Paragraphs>
  <TotalTime>13</TotalTime>
  <ScaleCrop>false</ScaleCrop>
  <LinksUpToDate>false</LinksUpToDate>
  <CharactersWithSpaces>73014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2024-03-20T08:07:00Z</dcterms:created>
  <dc:creator>HS</dc:creator>
  <cp:lastModifiedBy>建成</cp:lastModifiedBy>
  <cp:lastPrinted>2024-01-31T07:36:00Z</cp:lastPrinted>
  <dcterms:modified xsi:type="dcterms:W3CDTF">2024-04-29T02:22:32Z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FB2225A6A8DC41048F176E176871BBEC_13</vt:lpwstr>
  </property>
</Properties>
</file>