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东莞市众源环境投资有限公司污泥脱水减量配合服务采购项目</w:t>
      </w:r>
    </w:p>
    <w:p>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pPr>
        <w:autoSpaceDE w:val="0"/>
        <w:autoSpaceDN w:val="0"/>
        <w:adjustRightInd w:val="0"/>
        <w:ind w:right="-23" w:rightChars="-11"/>
        <w:jc w:val="left"/>
        <w:rPr>
          <w:rFonts w:ascii="宋体" w:hAnsi="宋体" w:eastAsia="宋体" w:cs="宋体"/>
          <w:b/>
          <w:bCs/>
          <w:color w:val="auto"/>
          <w:sz w:val="44"/>
          <w:szCs w:val="44"/>
          <w:highlight w:val="none"/>
          <w:lang w:val="zh-CN"/>
        </w:rPr>
      </w:pPr>
    </w:p>
    <w:p>
      <w:pPr>
        <w:autoSpaceDE w:val="0"/>
        <w:autoSpaceDN w:val="0"/>
        <w:adjustRightInd w:val="0"/>
        <w:ind w:right="-23" w:rightChars="-11"/>
        <w:jc w:val="center"/>
        <w:rPr>
          <w:rFonts w:ascii="宋体" w:hAnsi="宋体" w:eastAsia="宋体" w:cs="宋体"/>
          <w:b/>
          <w:bCs/>
          <w:color w:val="auto"/>
          <w:sz w:val="72"/>
          <w:szCs w:val="72"/>
          <w:highlight w:val="none"/>
          <w:lang w:val="zh-CN"/>
        </w:rPr>
      </w:pPr>
    </w:p>
    <w:p>
      <w:pPr>
        <w:autoSpaceDE w:val="0"/>
        <w:autoSpaceDN w:val="0"/>
        <w:adjustRightInd w:val="0"/>
        <w:ind w:right="-23" w:rightChars="-11"/>
        <w:jc w:val="center"/>
        <w:rPr>
          <w:rFonts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pPr>
        <w:autoSpaceDE w:val="0"/>
        <w:autoSpaceDN w:val="0"/>
        <w:adjustRightInd w:val="0"/>
        <w:ind w:right="-23" w:rightChars="-11"/>
        <w:jc w:val="center"/>
        <w:rPr>
          <w:rFonts w:ascii="宋体" w:hAnsi="宋体" w:eastAsia="宋体" w:cs="宋体"/>
          <w:b/>
          <w:bCs/>
          <w:color w:val="auto"/>
          <w:sz w:val="32"/>
          <w:szCs w:val="32"/>
          <w:highlight w:val="none"/>
          <w:lang w:val="zh-CN"/>
        </w:rPr>
      </w:pPr>
    </w:p>
    <w:p>
      <w:pPr>
        <w:autoSpaceDE w:val="0"/>
        <w:autoSpaceDN w:val="0"/>
        <w:adjustRightInd w:val="0"/>
        <w:ind w:right="-23" w:rightChars="-11"/>
        <w:jc w:val="center"/>
        <w:rPr>
          <w:rFonts w:ascii="宋体" w:hAnsi="宋体" w:eastAsia="宋体" w:cs="宋体"/>
          <w:b/>
          <w:bCs/>
          <w:color w:val="auto"/>
          <w:sz w:val="44"/>
          <w:szCs w:val="44"/>
          <w:highlight w:val="none"/>
          <w:lang w:val="zh-CN"/>
        </w:rPr>
      </w:pPr>
    </w:p>
    <w:p>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pPr>
        <w:autoSpaceDE w:val="0"/>
        <w:autoSpaceDN w:val="0"/>
        <w:adjustRightInd w:val="0"/>
        <w:spacing w:line="480" w:lineRule="auto"/>
        <w:ind w:left="1842" w:leftChars="877" w:firstLine="19" w:firstLineChars="6"/>
        <w:jc w:val="left"/>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号：YDZB23DGQY0240</w:t>
      </w:r>
    </w:p>
    <w:p>
      <w:pPr>
        <w:autoSpaceDE w:val="0"/>
        <w:autoSpaceDN w:val="0"/>
        <w:adjustRightInd w:val="0"/>
        <w:spacing w:line="480" w:lineRule="auto"/>
        <w:ind w:left="1842" w:leftChars="877" w:firstLine="19" w:firstLineChars="6"/>
        <w:jc w:val="left"/>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人：东莞市众源环境投资有限公司</w:t>
      </w:r>
    </w:p>
    <w:p>
      <w:pPr>
        <w:autoSpaceDE w:val="0"/>
        <w:autoSpaceDN w:val="0"/>
        <w:adjustRightInd w:val="0"/>
        <w:spacing w:line="480" w:lineRule="auto"/>
        <w:ind w:left="1842" w:leftChars="877" w:firstLine="19" w:firstLineChars="6"/>
        <w:jc w:val="left"/>
        <w:rPr>
          <w:rFonts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pPr>
        <w:autoSpaceDE w:val="0"/>
        <w:autoSpaceDN w:val="0"/>
        <w:adjustRightInd w:val="0"/>
        <w:ind w:right="-23" w:rightChars="-11"/>
        <w:jc w:val="left"/>
        <w:rPr>
          <w:rFonts w:ascii="宋体" w:hAnsi="宋体" w:eastAsia="宋体" w:cs="宋体"/>
          <w:b/>
          <w:bCs/>
          <w:color w:val="auto"/>
          <w:kern w:val="0"/>
          <w:sz w:val="32"/>
          <w:szCs w:val="32"/>
          <w:highlight w:val="none"/>
          <w:lang w:val="zh-CN"/>
        </w:rPr>
      </w:pPr>
    </w:p>
    <w:p>
      <w:pPr>
        <w:autoSpaceDE w:val="0"/>
        <w:autoSpaceDN w:val="0"/>
        <w:adjustRightInd w:val="0"/>
        <w:ind w:right="-23" w:rightChars="-11"/>
        <w:jc w:val="center"/>
        <w:rPr>
          <w:rFonts w:ascii="宋体" w:hAnsi="宋体" w:eastAsia="宋体" w:cs="宋体"/>
          <w:b/>
          <w:bCs/>
          <w:color w:val="auto"/>
          <w:kern w:val="0"/>
          <w:sz w:val="84"/>
          <w:szCs w:val="84"/>
          <w:highlight w:val="none"/>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2024</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8</w:t>
      </w:r>
      <w:r>
        <w:rPr>
          <w:rFonts w:hint="eastAsia" w:ascii="宋体" w:hAnsi="宋体" w:eastAsia="宋体" w:cs="宋体"/>
          <w:b/>
          <w:bCs/>
          <w:color w:val="auto"/>
          <w:sz w:val="32"/>
          <w:szCs w:val="32"/>
          <w:highlight w:val="none"/>
          <w:lang w:val="zh-CN"/>
        </w:rPr>
        <w:t>日</w:t>
      </w:r>
    </w:p>
    <w:sdt>
      <w:sdtPr>
        <w:rPr>
          <w:rFonts w:ascii="宋体" w:hAnsi="宋体" w:eastAsia="宋体" w:cstheme="minorBidi"/>
          <w:color w:val="auto"/>
          <w:kern w:val="2"/>
          <w:sz w:val="21"/>
          <w:szCs w:val="22"/>
          <w:highlight w:val="none"/>
          <w:lang w:val="en-US" w:eastAsia="zh-CN" w:bidi="ar-SA"/>
        </w:rPr>
        <w:id w:val="147456854"/>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2"/>
              <w:highlight w:val="none"/>
              <w:lang w:val="en-US" w:eastAsia="zh-CN" w:bidi="ar-SA"/>
            </w:rPr>
          </w:pPr>
          <w:bookmarkStart w:id="0" w:name="_Toc4869"/>
          <w:bookmarkStart w:id="1" w:name="_Toc17326"/>
          <w:bookmarkStart w:id="2" w:name="_Toc142508310"/>
          <w:bookmarkStart w:id="3" w:name="_Toc20249"/>
          <w:bookmarkStart w:id="4" w:name="_Toc450662846"/>
          <w:bookmarkStart w:id="5" w:name="_Toc486167660"/>
          <w:bookmarkStart w:id="6" w:name="_Toc2723_WPSOffice_Level1"/>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2"/>
              <w:highlight w:val="none"/>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2"/>
              <w:highlight w:val="none"/>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384"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目录</w:t>
          </w:r>
        </w:p>
        <w:p>
          <w:pPr>
            <w:pStyle w:val="29"/>
            <w:keepNext w:val="0"/>
            <w:keepLines w:val="0"/>
            <w:pageBreakBefore w:val="0"/>
            <w:tabs>
              <w:tab w:val="right" w:leader="dot" w:pos="10154"/>
            </w:tabs>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_Toc29869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_Toc29869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_Toc15587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_Toc15587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84" w:lineRule="auto"/>
            <w:ind w:left="210" w:left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_Toc27539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_Toc9208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_Toc24092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_Toc13223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_Toc23886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_Toc23886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84" w:lineRule="auto"/>
            <w:ind w:left="210" w:left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_Toc32497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_Toc32497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_Toc9718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_Toc9718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_Toc5646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_Toc5646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84" w:lineRule="auto"/>
            <w:ind w:left="210" w:left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_Toc14959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_Toc14959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_Toc16003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_Toc907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_Toc907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_Toc808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_Toc26424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_Toc11539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_Toc11539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_Toc6289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证明服务的合格性并符合招标文件规定的声明文件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_Toc6289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_Toc9562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_Toc9562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_Toc15845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_Toc15845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_Toc29057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84" w:lineRule="auto"/>
            <w:ind w:left="210" w:left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_Toc28962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_Toc28962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84" w:lineRule="auto"/>
            <w:ind w:left="210" w:left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_Toc6967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_Toc6967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_Toc8514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_Toc29963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kern w:val="0"/>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_Toc29963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_Toc26657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_Toc26657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_Toc8958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投标文件的初审（评标委员会将按包组的顺序，以包组为单位分别进行评审）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_Toc8958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_Toc22464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_Toc25691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_Toc27924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_Toc27924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_Toc31164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_Toc1663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32"/>
            <w:keepNext w:val="0"/>
            <w:keepLines w:val="0"/>
            <w:pageBreakBefore w:val="0"/>
            <w:widowControl w:val="0"/>
            <w:tabs>
              <w:tab w:val="right" w:leader="dot" w:pos="10154"/>
            </w:tabs>
            <w:kinsoku/>
            <w:wordWrap/>
            <w:overflowPunct/>
            <w:topLinePunct w:val="0"/>
            <w:autoSpaceDE/>
            <w:autoSpaceDN/>
            <w:bidi w:val="0"/>
            <w:adjustRightInd/>
            <w:snapToGrid/>
            <w:spacing w:line="384" w:lineRule="auto"/>
            <w:ind w:left="210" w:left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_Toc32087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_Toc32087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_Toc14117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_Toc14117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_Toc3694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_Toc3694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_Toc7017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_Toc7017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_Toc6438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_Toc6438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_Toc23120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_Toc23120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_Toc11870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_Toc11870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_Toc22406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_Toc22406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_Toc26697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_Toc26697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keepNext w:val="0"/>
            <w:keepLines w:val="0"/>
            <w:pageBreakBefore w:val="0"/>
            <w:widowControl w:val="0"/>
            <w:tabs>
              <w:tab w:val="right" w:leader="dot" w:pos="10154"/>
              <w:tab w:val="clear" w:pos="10144"/>
            </w:tabs>
            <w:kinsoku/>
            <w:wordWrap/>
            <w:overflowPunct/>
            <w:topLinePunct w:val="0"/>
            <w:autoSpaceDE/>
            <w:autoSpaceDN/>
            <w:bidi w:val="0"/>
            <w:adjustRightInd/>
            <w:snapToGrid/>
            <w:spacing w:line="384" w:lineRule="auto"/>
            <w:ind w:left="420"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_Toc23739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_Toc26850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_Toc26850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_Toc12005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_Toc12005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_Toc26785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_Toc26785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_Toc30352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_Toc30352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9"/>
            <w:keepNext w:val="0"/>
            <w:keepLines w:val="0"/>
            <w:pageBreakBefore w:val="0"/>
            <w:tabs>
              <w:tab w:val="right" w:leader="dot" w:pos="10154"/>
            </w:tabs>
            <w:kinsoku/>
            <w:wordWrap/>
            <w:overflowPunct/>
            <w:topLinePunct w:val="0"/>
            <w:autoSpaceDE/>
            <w:autoSpaceDN/>
            <w:bidi w:val="0"/>
            <w:adjustRightInd/>
            <w:snapToGrid/>
            <w:spacing w:line="384"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keepNext w:val="0"/>
            <w:keepLines w:val="0"/>
            <w:pageBreakBefore w:val="0"/>
            <w:kinsoku/>
            <w:wordWrap/>
            <w:overflowPunct/>
            <w:topLinePunct w:val="0"/>
            <w:autoSpaceDE/>
            <w:autoSpaceDN/>
            <w:bidi w:val="0"/>
            <w:adjustRightInd/>
            <w:snapToGrid/>
            <w:spacing w:line="384" w:lineRule="auto"/>
            <w:textAlignment w:val="auto"/>
            <w:rPr>
              <w:color w:val="auto"/>
              <w:highlight w:val="none"/>
            </w:rPr>
          </w:pPr>
          <w:r>
            <w:rPr>
              <w:rFonts w:hint="eastAsia" w:ascii="宋体" w:hAnsi="宋体" w:eastAsia="宋体" w:cs="宋体"/>
              <w:color w:val="auto"/>
              <w:sz w:val="21"/>
              <w:szCs w:val="21"/>
              <w:highlight w:val="none"/>
            </w:rPr>
            <w:fldChar w:fldCharType="end"/>
          </w:r>
        </w:p>
      </w:sdtContent>
    </w:sdt>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44"/>
          <w:szCs w:val="44"/>
          <w:highlight w:val="none"/>
          <w:lang w:val="zh-CN"/>
        </w:rPr>
      </w:pPr>
      <w:bookmarkStart w:id="7" w:name="_Toc29869"/>
      <w:r>
        <w:rPr>
          <w:rFonts w:hint="eastAsia" w:ascii="宋体" w:hAnsi="宋体" w:eastAsia="宋体" w:cs="宋体"/>
          <w:b/>
          <w:bCs/>
          <w:color w:val="auto"/>
          <w:kern w:val="44"/>
          <w:sz w:val="32"/>
          <w:szCs w:val="32"/>
          <w:highlight w:val="none"/>
          <w:lang w:val="zh-CN"/>
        </w:rPr>
        <w:t>第一篇 招标公告</w:t>
      </w:r>
      <w:bookmarkEnd w:id="0"/>
      <w:bookmarkEnd w:id="1"/>
      <w:bookmarkEnd w:id="2"/>
      <w:bookmarkEnd w:id="3"/>
      <w:bookmarkEnd w:id="4"/>
      <w:bookmarkEnd w:id="5"/>
      <w:bookmarkEnd w:id="6"/>
      <w:bookmarkEnd w:id="7"/>
    </w:p>
    <w:p>
      <w:pPr>
        <w:autoSpaceDE w:val="0"/>
        <w:autoSpaceDN w:val="0"/>
        <w:adjustRightInd w:val="0"/>
        <w:snapToGrid w:val="0"/>
        <w:spacing w:line="360" w:lineRule="auto"/>
        <w:ind w:right="-34" w:firstLine="420" w:firstLineChars="20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广东有德招标采购有限公司</w:t>
      </w:r>
      <w:r>
        <w:rPr>
          <w:rFonts w:hint="eastAsia" w:ascii="宋体" w:hAnsi="宋体" w:eastAsia="宋体" w:cs="宋体"/>
          <w:color w:val="auto"/>
          <w:szCs w:val="21"/>
          <w:highlight w:val="none"/>
          <w:lang w:val="zh-CN"/>
        </w:rPr>
        <w:t>（以下简称“招标代理机构”）受</w:t>
      </w:r>
      <w:r>
        <w:rPr>
          <w:rFonts w:hint="eastAsia" w:ascii="宋体" w:hAnsi="宋体" w:eastAsia="宋体" w:cs="宋体"/>
          <w:color w:val="auto"/>
          <w:kern w:val="0"/>
          <w:szCs w:val="21"/>
          <w:highlight w:val="none"/>
        </w:rPr>
        <w:t>东莞市众源环境投资有限公司</w:t>
      </w:r>
      <w:r>
        <w:rPr>
          <w:rFonts w:hint="eastAsia" w:ascii="宋体" w:hAnsi="宋体" w:eastAsia="宋体" w:cs="宋体"/>
          <w:color w:val="auto"/>
          <w:szCs w:val="21"/>
          <w:highlight w:val="none"/>
          <w:lang w:val="zh-CN"/>
        </w:rPr>
        <w:t>（以下简称“招标人”）的委托，对</w:t>
      </w:r>
      <w:r>
        <w:rPr>
          <w:rFonts w:hint="eastAsia" w:ascii="宋体" w:hAnsi="宋体" w:eastAsia="宋体" w:cs="宋体"/>
          <w:color w:val="auto"/>
          <w:kern w:val="0"/>
          <w:szCs w:val="21"/>
          <w:highlight w:val="none"/>
        </w:rPr>
        <w:t>东莞市众源环境投资有限公司污泥脱水减量配合服务采购项目(招标编号：YDZB23DGQY0240)</w:t>
      </w:r>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pPr>
        <w:autoSpaceDE w:val="0"/>
        <w:autoSpaceDN w:val="0"/>
        <w:adjustRightInd w:val="0"/>
        <w:spacing w:line="360" w:lineRule="auto"/>
        <w:ind w:right="-29" w:rightChars="-14" w:firstLine="420" w:firstLineChars="200"/>
        <w:rPr>
          <w:rFonts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招标范围：（具体内容详见：第三篇用户需求书）</w:t>
      </w:r>
    </w:p>
    <w:tbl>
      <w:tblPr>
        <w:tblStyle w:val="39"/>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027"/>
        <w:gridCol w:w="2395"/>
        <w:gridCol w:w="206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29"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包组号</w:t>
            </w:r>
          </w:p>
        </w:tc>
        <w:tc>
          <w:tcPr>
            <w:tcW w:w="3027"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服务内容</w:t>
            </w:r>
          </w:p>
        </w:tc>
        <w:tc>
          <w:tcPr>
            <w:tcW w:w="2395"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服务范围</w:t>
            </w:r>
          </w:p>
        </w:tc>
        <w:tc>
          <w:tcPr>
            <w:tcW w:w="2066"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预估污泥量（按含水率80%湿泥计，吨）</w:t>
            </w:r>
          </w:p>
        </w:tc>
        <w:tc>
          <w:tcPr>
            <w:tcW w:w="1273"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829"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w:t>
            </w:r>
          </w:p>
        </w:tc>
        <w:tc>
          <w:tcPr>
            <w:tcW w:w="3027" w:type="dxa"/>
            <w:vMerge w:val="restart"/>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服务单位根据项目需求，配备充足的设备操作人员，使用招标人的设备及配套设施、药剂，为招标人提供生产运营服务，负责生产现场的设备操作，协助设备维护数据记录及其他现场的工作。</w:t>
            </w:r>
          </w:p>
        </w:tc>
        <w:tc>
          <w:tcPr>
            <w:tcW w:w="2395"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包含东引运河片区和东江下游片区合计15个污泥脱水减量项目点</w:t>
            </w:r>
          </w:p>
        </w:tc>
        <w:tc>
          <w:tcPr>
            <w:tcW w:w="2066"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334</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0</w:t>
            </w:r>
          </w:p>
        </w:tc>
        <w:tc>
          <w:tcPr>
            <w:tcW w:w="1273" w:type="dxa"/>
            <w:vMerge w:val="restart"/>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自招标人</w:t>
            </w:r>
            <w:r>
              <w:rPr>
                <w:rFonts w:hint="eastAsia" w:ascii="宋体" w:hAnsi="宋体" w:eastAsia="宋体" w:cs="宋体"/>
                <w:color w:val="auto"/>
                <w:szCs w:val="21"/>
                <w:highlight w:val="none"/>
                <w:lang w:val="en-US" w:eastAsia="zh-CN"/>
              </w:rPr>
              <w:t>发出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进场通知书</w:t>
            </w:r>
            <w:r>
              <w:rPr>
                <w:rFonts w:hint="eastAsia" w:ascii="宋体" w:hAnsi="宋体" w:eastAsia="宋体" w:cs="宋体"/>
                <w:color w:val="auto"/>
                <w:szCs w:val="21"/>
                <w:highlight w:val="none"/>
                <w:lang w:val="zh-CN"/>
              </w:rPr>
              <w:t>》之日起至2025年12月31日止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9"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B</w:t>
            </w:r>
          </w:p>
        </w:tc>
        <w:tc>
          <w:tcPr>
            <w:tcW w:w="3027" w:type="dxa"/>
            <w:vMerge w:val="continue"/>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p>
        </w:tc>
        <w:tc>
          <w:tcPr>
            <w:tcW w:w="2395" w:type="dxa"/>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包含滨海湾片区和石马河片区合计12个污泥脱水减量项目点</w:t>
            </w:r>
          </w:p>
        </w:tc>
        <w:tc>
          <w:tcPr>
            <w:tcW w:w="2066" w:type="dxa"/>
            <w:vAlign w:val="center"/>
          </w:tcPr>
          <w:p>
            <w:pPr>
              <w:autoSpaceDE w:val="0"/>
              <w:autoSpaceDN w:val="0"/>
              <w:adjustRightInd w:val="0"/>
              <w:snapToGrid w:val="0"/>
              <w:spacing w:line="360" w:lineRule="auto"/>
              <w:ind w:right="-34"/>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836</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71</w:t>
            </w:r>
          </w:p>
        </w:tc>
        <w:tc>
          <w:tcPr>
            <w:tcW w:w="1273" w:type="dxa"/>
            <w:vMerge w:val="continue"/>
            <w:vAlign w:val="center"/>
          </w:tcPr>
          <w:p>
            <w:pPr>
              <w:autoSpaceDE w:val="0"/>
              <w:autoSpaceDN w:val="0"/>
              <w:adjustRightInd w:val="0"/>
              <w:snapToGrid w:val="0"/>
              <w:spacing w:line="360" w:lineRule="auto"/>
              <w:ind w:right="-34"/>
              <w:jc w:val="center"/>
              <w:rPr>
                <w:rFonts w:ascii="宋体" w:hAnsi="宋体" w:eastAsia="宋体" w:cs="宋体"/>
                <w:color w:val="auto"/>
                <w:szCs w:val="21"/>
                <w:highlight w:val="none"/>
                <w:lang w:val="zh-CN"/>
              </w:rPr>
            </w:pPr>
          </w:p>
        </w:tc>
      </w:tr>
    </w:tbl>
    <w:p>
      <w:pPr>
        <w:autoSpaceDE w:val="0"/>
        <w:autoSpaceDN w:val="0"/>
        <w:adjustRightInd w:val="0"/>
        <w:snapToGrid w:val="0"/>
        <w:spacing w:line="360" w:lineRule="auto"/>
        <w:ind w:left="637" w:leftChars="200" w:right="-34" w:hanging="217" w:hangingChars="103"/>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备注：</w:t>
      </w:r>
    </w:p>
    <w:p>
      <w:pPr>
        <w:autoSpaceDE w:val="0"/>
        <w:autoSpaceDN w:val="0"/>
        <w:adjustRightInd w:val="0"/>
        <w:snapToGrid w:val="0"/>
        <w:spacing w:line="360" w:lineRule="auto"/>
        <w:ind w:left="420" w:leftChars="200" w:right="-34"/>
        <w:jc w:val="left"/>
        <w:rPr>
          <w:rFonts w:hint="eastAsia" w:ascii="宋体" w:hAnsi="宋体" w:eastAsia="宋体" w:cs="宋体"/>
          <w:b/>
          <w:bCs/>
          <w:color w:val="auto"/>
          <w:szCs w:val="21"/>
          <w:highlight w:val="none"/>
          <w:u w:val="none"/>
          <w:lang w:val="zh-CN"/>
        </w:rPr>
      </w:pPr>
      <w:r>
        <w:rPr>
          <w:rFonts w:hint="eastAsia" w:ascii="宋体" w:hAnsi="宋体" w:eastAsia="宋体" w:cs="宋体"/>
          <w:b/>
          <w:bCs/>
          <w:color w:val="auto"/>
          <w:szCs w:val="21"/>
          <w:highlight w:val="none"/>
          <w:u w:val="none"/>
          <w:lang w:val="zh-CN"/>
        </w:rPr>
        <w:t>（1）本次招标，投标人可同时参加本项目两个包组的投标，但仅可在其中一个包组被推荐为第一中标候选</w:t>
      </w:r>
    </w:p>
    <w:p>
      <w:pPr>
        <w:keepNext w:val="0"/>
        <w:keepLines w:val="0"/>
        <w:pageBreakBefore w:val="0"/>
        <w:widowControl w:val="0"/>
        <w:kinsoku/>
        <w:wordWrap/>
        <w:overflowPunct/>
        <w:topLinePunct w:val="0"/>
        <w:autoSpaceDE w:val="0"/>
        <w:autoSpaceDN w:val="0"/>
        <w:bidi w:val="0"/>
        <w:adjustRightInd w:val="0"/>
        <w:snapToGrid w:val="0"/>
        <w:spacing w:line="360" w:lineRule="auto"/>
        <w:ind w:left="945" w:leftChars="450" w:right="0"/>
        <w:jc w:val="left"/>
        <w:textAlignment w:val="auto"/>
        <w:rPr>
          <w:rFonts w:ascii="宋体" w:hAnsi="宋体" w:eastAsia="宋体" w:cs="宋体"/>
          <w:b/>
          <w:bCs/>
          <w:color w:val="auto"/>
          <w:szCs w:val="21"/>
          <w:highlight w:val="none"/>
          <w:u w:val="none"/>
          <w:lang w:val="zh-CN"/>
        </w:rPr>
      </w:pPr>
      <w:r>
        <w:rPr>
          <w:rFonts w:hint="eastAsia" w:ascii="宋体" w:hAnsi="宋体" w:eastAsia="宋体" w:cs="宋体"/>
          <w:b/>
          <w:bCs/>
          <w:color w:val="auto"/>
          <w:szCs w:val="21"/>
          <w:highlight w:val="none"/>
          <w:u w:val="none"/>
          <w:lang w:val="zh-CN"/>
        </w:rPr>
        <w:t>人，一旦被推荐为第一中标候选人，参加其他包组投标时，该投标人不再被推荐为中标候选人。本项目依次从A包组到B包组的顺序评审，若投标人已在A包组的评审中被推荐为第一中标候选人，</w:t>
      </w:r>
      <w:r>
        <w:rPr>
          <w:rFonts w:hint="eastAsia" w:ascii="宋体" w:hAnsi="宋体" w:eastAsia="宋体" w:cs="宋体"/>
          <w:b/>
          <w:bCs/>
          <w:color w:val="auto"/>
          <w:szCs w:val="21"/>
          <w:highlight w:val="none"/>
          <w:u w:val="none"/>
          <w:lang w:val="en-US" w:eastAsia="zh-CN"/>
        </w:rPr>
        <w:t>则</w:t>
      </w:r>
      <w:r>
        <w:rPr>
          <w:rFonts w:hint="eastAsia" w:ascii="宋体" w:hAnsi="宋体" w:eastAsia="宋体" w:cs="宋体"/>
          <w:b/>
          <w:bCs/>
          <w:color w:val="auto"/>
          <w:szCs w:val="21"/>
          <w:highlight w:val="none"/>
          <w:u w:val="none"/>
          <w:lang w:val="zh-CN"/>
        </w:rPr>
        <w:t>在B包组的评审时，该投标人不可被推荐为B包组的中标候选人，若该投标人在B包组中的综合评分最高，则B包组的第一中标候选人由得分第二高的投标人替代，以此类推。最终招标人确认中标结果时，同一个投标人最多只能中一个包组。</w:t>
      </w:r>
    </w:p>
    <w:p>
      <w:pPr>
        <w:autoSpaceDE w:val="0"/>
        <w:autoSpaceDN w:val="0"/>
        <w:adjustRightInd w:val="0"/>
        <w:snapToGrid w:val="0"/>
        <w:spacing w:line="360" w:lineRule="auto"/>
        <w:ind w:left="420" w:leftChars="200" w:right="-34"/>
        <w:jc w:val="left"/>
        <w:rPr>
          <w:rFonts w:ascii="宋体" w:hAnsi="宋体" w:eastAsia="宋体" w:cs="宋体"/>
          <w:b/>
          <w:bCs/>
          <w:color w:val="auto"/>
          <w:szCs w:val="21"/>
          <w:highlight w:val="none"/>
          <w:u w:val="none"/>
          <w:lang w:val="zh-CN"/>
        </w:rPr>
      </w:pPr>
      <w:r>
        <w:rPr>
          <w:rFonts w:hint="eastAsia" w:ascii="宋体" w:hAnsi="宋体" w:eastAsia="宋体" w:cs="宋体"/>
          <w:b/>
          <w:bCs/>
          <w:color w:val="auto"/>
          <w:szCs w:val="21"/>
          <w:highlight w:val="none"/>
          <w:u w:val="none"/>
          <w:lang w:val="zh-CN"/>
        </w:rPr>
        <w:t>（2）要求每个包组独立编制、密封、标明包组号提交投标文件。</w:t>
      </w:r>
    </w:p>
    <w:p>
      <w:pPr>
        <w:autoSpaceDE w:val="0"/>
        <w:autoSpaceDN w:val="0"/>
        <w:adjustRightInd w:val="0"/>
        <w:snapToGrid w:val="0"/>
        <w:spacing w:line="360" w:lineRule="auto"/>
        <w:ind w:left="420" w:leftChars="200" w:right="-34"/>
        <w:jc w:val="left"/>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u w:val="none"/>
          <w:lang w:val="zh-CN"/>
        </w:rPr>
        <w:t>（3）如无特殊说明，招标文件规定的条款同时适用所有包组</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right="-29" w:rightChars="-14"/>
        <w:rPr>
          <w:rFonts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pPr>
        <w:pStyle w:val="159"/>
        <w:spacing w:line="360" w:lineRule="auto"/>
        <w:ind w:left="422" w:right="-29" w:rightChars="-14" w:hanging="422" w:hangingChars="200"/>
        <w:jc w:val="both"/>
        <w:rPr>
          <w:rFonts w:hAnsi="宋体" w:eastAsia="宋体" w:cs="宋体"/>
          <w:b/>
          <w:color w:val="auto"/>
          <w:sz w:val="21"/>
          <w:szCs w:val="21"/>
          <w:highlight w:val="none"/>
          <w:lang w:val="zh-CN"/>
        </w:rPr>
      </w:pPr>
      <w:r>
        <w:rPr>
          <w:rFonts w:hint="eastAsia" w:hAnsi="宋体" w:eastAsia="宋体" w:cs="宋体"/>
          <w:b/>
          <w:color w:val="auto"/>
          <w:sz w:val="21"/>
          <w:szCs w:val="21"/>
          <w:highlight w:val="none"/>
          <w:lang w:val="zh-CN"/>
        </w:rPr>
        <w:t>2.1 在中华人民共和国境内登记注册的、合法存续、正常经营且具有独立承担民事责任能力的法人或其他组织；</w:t>
      </w:r>
    </w:p>
    <w:p>
      <w:pPr>
        <w:pStyle w:val="159"/>
        <w:spacing w:line="360" w:lineRule="auto"/>
        <w:ind w:left="422" w:right="-29" w:rightChars="-14" w:hanging="422" w:hangingChars="200"/>
        <w:jc w:val="both"/>
        <w:rPr>
          <w:rFonts w:hAnsi="宋体" w:eastAsia="宋体" w:cs="宋体"/>
          <w:b/>
          <w:color w:val="auto"/>
          <w:sz w:val="21"/>
          <w:szCs w:val="21"/>
          <w:highlight w:val="none"/>
        </w:rPr>
      </w:pPr>
      <w:bookmarkStart w:id="8" w:name="_Toc25819"/>
      <w:r>
        <w:rPr>
          <w:rFonts w:hint="eastAsia" w:hAnsi="宋体" w:eastAsia="宋体" w:cs="宋体"/>
          <w:b/>
          <w:color w:val="auto"/>
          <w:sz w:val="21"/>
          <w:szCs w:val="21"/>
          <w:highlight w:val="none"/>
          <w:lang w:val="zh-CN"/>
        </w:rPr>
        <w:t xml:space="preserve">2.2 </w:t>
      </w:r>
      <w:r>
        <w:rPr>
          <w:rFonts w:hint="eastAsia" w:hAnsi="宋体" w:eastAsia="宋体" w:cs="宋体"/>
          <w:b/>
          <w:color w:val="auto"/>
          <w:sz w:val="21"/>
          <w:szCs w:val="21"/>
          <w:highlight w:val="none"/>
        </w:rPr>
        <w:t>投标人202</w:t>
      </w:r>
      <w:r>
        <w:rPr>
          <w:rFonts w:hint="eastAsia" w:hAnsi="宋体" w:eastAsia="宋体" w:cs="宋体"/>
          <w:b/>
          <w:color w:val="auto"/>
          <w:sz w:val="21"/>
          <w:szCs w:val="21"/>
          <w:highlight w:val="none"/>
          <w:lang w:val="en-US" w:eastAsia="zh-CN"/>
        </w:rPr>
        <w:t>1</w:t>
      </w:r>
      <w:r>
        <w:rPr>
          <w:rFonts w:hint="eastAsia" w:hAnsi="宋体" w:eastAsia="宋体" w:cs="宋体"/>
          <w:b/>
          <w:color w:val="auto"/>
          <w:sz w:val="21"/>
          <w:szCs w:val="21"/>
          <w:highlight w:val="none"/>
        </w:rPr>
        <w:t>年1月1日以来具有一份污泥脱水减量化处理服务或污泥脱水减量配合服务业绩（合同签订日期为202</w:t>
      </w:r>
      <w:r>
        <w:rPr>
          <w:rFonts w:hint="eastAsia" w:hAnsi="宋体" w:eastAsia="宋体" w:cs="宋体"/>
          <w:b/>
          <w:color w:val="auto"/>
          <w:sz w:val="21"/>
          <w:szCs w:val="21"/>
          <w:highlight w:val="none"/>
          <w:lang w:val="en-US" w:eastAsia="zh-CN"/>
        </w:rPr>
        <w:t>1</w:t>
      </w:r>
      <w:r>
        <w:rPr>
          <w:rFonts w:hint="eastAsia" w:hAnsi="宋体" w:eastAsia="宋体" w:cs="宋体"/>
          <w:b/>
          <w:color w:val="auto"/>
          <w:sz w:val="21"/>
          <w:szCs w:val="21"/>
          <w:highlight w:val="none"/>
        </w:rPr>
        <w:t>年1月1日或以后）</w:t>
      </w:r>
      <w:r>
        <w:rPr>
          <w:rFonts w:hint="eastAsia" w:hAnsi="宋体" w:eastAsia="宋体" w:cs="宋体"/>
          <w:b/>
          <w:color w:val="auto"/>
          <w:sz w:val="21"/>
          <w:szCs w:val="21"/>
          <w:highlight w:val="none"/>
          <w:lang w:val="zh-CN"/>
        </w:rPr>
        <w:t>；</w:t>
      </w:r>
    </w:p>
    <w:p>
      <w:pPr>
        <w:pStyle w:val="159"/>
        <w:spacing w:line="360" w:lineRule="auto"/>
        <w:ind w:right="-29" w:rightChars="-14" w:firstLine="0" w:firstLineChars="0"/>
        <w:jc w:val="both"/>
        <w:rPr>
          <w:rFonts w:hAnsi="宋体" w:eastAsia="宋体" w:cs="宋体"/>
          <w:b/>
          <w:color w:val="auto"/>
          <w:sz w:val="21"/>
          <w:szCs w:val="21"/>
          <w:highlight w:val="none"/>
          <w:lang w:val="zh-CN"/>
        </w:rPr>
      </w:pPr>
      <w:r>
        <w:rPr>
          <w:rFonts w:hint="eastAsia" w:hAnsi="宋体" w:eastAsia="宋体" w:cs="宋体"/>
          <w:b/>
          <w:color w:val="auto"/>
          <w:sz w:val="21"/>
          <w:szCs w:val="21"/>
          <w:highlight w:val="none"/>
        </w:rPr>
        <w:t xml:space="preserve">2.3 </w:t>
      </w:r>
      <w:r>
        <w:rPr>
          <w:rFonts w:hint="eastAsia" w:hAnsi="宋体" w:eastAsia="宋体" w:cs="宋体"/>
          <w:b/>
          <w:color w:val="auto"/>
          <w:sz w:val="21"/>
          <w:szCs w:val="21"/>
          <w:highlight w:val="none"/>
          <w:lang w:val="zh-CN"/>
        </w:rPr>
        <w:t>本项目不接受联合体投标。</w:t>
      </w:r>
      <w:bookmarkEnd w:id="8"/>
    </w:p>
    <w:p>
      <w:pPr>
        <w:autoSpaceDE w:val="0"/>
        <w:autoSpaceDN w:val="0"/>
        <w:adjustRightInd w:val="0"/>
        <w:spacing w:line="360" w:lineRule="auto"/>
        <w:ind w:right="-29" w:rightChars="-14" w:firstLine="420" w:firstLineChars="200"/>
        <w:rPr>
          <w:rFonts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w:t>
      </w:r>
      <w:r>
        <w:rPr>
          <w:rFonts w:hint="eastAsia" w:ascii="宋体" w:hAnsi="宋体" w:eastAsia="宋体" w:cs="宋体"/>
          <w:color w:val="auto"/>
          <w:szCs w:val="21"/>
          <w:highlight w:val="none"/>
          <w:lang w:val="en-US" w:eastAsia="zh-CN"/>
        </w:rPr>
        <w:t>方式</w:t>
      </w:r>
      <w:r>
        <w:rPr>
          <w:rFonts w:hint="eastAsia" w:ascii="宋体" w:hAnsi="宋体" w:eastAsia="宋体" w:cs="宋体"/>
          <w:color w:val="auto"/>
          <w:szCs w:val="21"/>
          <w:highlight w:val="none"/>
          <w:lang w:val="zh-CN"/>
        </w:rPr>
        <w:t>：本项目采用“不记名网上下载”的方式发布招标文件，有意向的投标人可于本项目投标截止时间前，在本项目招标信息发布媒介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r>
        <w:rPr>
          <w:rFonts w:hint="eastAsia" w:ascii="宋体" w:hAnsi="宋体" w:eastAsia="宋体" w:cs="宋体"/>
          <w:color w:val="auto"/>
          <w:szCs w:val="21"/>
          <w:highlight w:val="none"/>
          <w:lang w:val="en-US" w:eastAsia="zh-CN"/>
        </w:rPr>
        <w:t>本招标公告第7点</w:t>
      </w:r>
      <w:r>
        <w:rPr>
          <w:rFonts w:hint="eastAsia" w:ascii="宋体" w:hAnsi="宋体" w:eastAsia="宋体" w:cs="宋体"/>
          <w:color w:val="auto"/>
          <w:szCs w:val="21"/>
          <w:highlight w:val="none"/>
          <w:lang w:val="zh-CN"/>
        </w:rPr>
        <w:t>媒介</w:t>
      </w:r>
      <w:r>
        <w:rPr>
          <w:rFonts w:hint="eastAsia" w:ascii="宋体" w:hAnsi="宋体" w:eastAsia="宋体" w:cs="宋体"/>
          <w:color w:val="auto"/>
          <w:szCs w:val="21"/>
          <w:highlight w:val="none"/>
          <w:lang w:val="en-US" w:eastAsia="zh-CN"/>
        </w:rPr>
        <w:t>发布招标文件不一致时，以</w:t>
      </w:r>
      <w:r>
        <w:rPr>
          <w:rFonts w:hint="eastAsia" w:ascii="宋体" w:hAnsi="宋体" w:eastAsia="宋体" w:cs="宋体"/>
          <w:bCs/>
          <w:color w:val="auto"/>
          <w:szCs w:val="21"/>
          <w:highlight w:val="none"/>
        </w:rPr>
        <w:t>东莞市水务集团有限公司网（www.dgswjt.cn）</w:t>
      </w:r>
      <w:r>
        <w:rPr>
          <w:rFonts w:hint="eastAsia" w:ascii="宋体" w:hAnsi="宋体" w:eastAsia="宋体" w:cs="宋体"/>
          <w:bCs/>
          <w:color w:val="auto"/>
          <w:szCs w:val="21"/>
          <w:highlight w:val="none"/>
          <w:lang w:val="en-US" w:eastAsia="zh-CN"/>
        </w:rPr>
        <w:t>发布的招标文件为准</w:t>
      </w:r>
      <w:r>
        <w:rPr>
          <w:rFonts w:hint="eastAsia" w:ascii="宋体" w:hAnsi="宋体" w:eastAsia="宋体" w:cs="宋体"/>
          <w:color w:val="auto"/>
          <w:szCs w:val="21"/>
          <w:highlight w:val="none"/>
          <w:lang w:val="zh-CN"/>
        </w:rPr>
        <w:t>】。</w:t>
      </w:r>
    </w:p>
    <w:p>
      <w:pPr>
        <w:autoSpaceDE w:val="0"/>
        <w:autoSpaceDN w:val="0"/>
        <w:adjustRightInd w:val="0"/>
        <w:spacing w:line="360" w:lineRule="auto"/>
        <w:ind w:left="630" w:leftChars="100" w:right="-29" w:rightChars="-14" w:hanging="420" w:hangingChars="200"/>
        <w:rPr>
          <w:rFonts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pPr>
        <w:autoSpaceDE w:val="0"/>
        <w:autoSpaceDN w:val="0"/>
        <w:adjustRightInd w:val="0"/>
        <w:spacing w:line="360" w:lineRule="auto"/>
        <w:ind w:right="-29" w:rightChars="-14" w:firstLine="420"/>
        <w:rPr>
          <w:rFonts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pPr>
        <w:autoSpaceDE w:val="0"/>
        <w:autoSpaceDN w:val="0"/>
        <w:adjustRightInd w:val="0"/>
        <w:spacing w:line="360" w:lineRule="auto"/>
        <w:ind w:right="-29" w:rightChars="-14"/>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29</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8</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30</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u w:val="single"/>
          <w:lang w:val="en-US" w:eastAsia="zh-CN"/>
        </w:rPr>
        <w:t>9</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eastAsia="宋体" w:cs="宋体"/>
          <w:color w:val="auto"/>
          <w:szCs w:val="21"/>
          <w:highlight w:val="none"/>
          <w:u w:val="single"/>
          <w:lang w:val="en-US" w:eastAsia="zh-CN"/>
        </w:rPr>
        <w:t>2024</w:t>
      </w:r>
      <w:r>
        <w:rPr>
          <w:rFonts w:hint="eastAsia" w:ascii="宋体" w:hAnsi="宋体" w:eastAsia="宋体" w:cs="宋体"/>
          <w:bCs/>
          <w:color w:val="auto"/>
          <w:kern w:val="0"/>
          <w:szCs w:val="21"/>
          <w:highlight w:val="none"/>
        </w:rPr>
        <w:t>年</w:t>
      </w:r>
      <w:bookmarkStart w:id="734" w:name="_GoBack"/>
      <w:bookmarkEnd w:id="734"/>
      <w:r>
        <w:rPr>
          <w:rFonts w:hint="eastAsia" w:ascii="宋体" w:hAnsi="宋体" w:eastAsia="宋体" w:cs="宋体"/>
          <w:color w:val="auto"/>
          <w:szCs w:val="21"/>
          <w:highlight w:val="none"/>
          <w:u w:val="single"/>
          <w:lang w:val="en-US" w:eastAsia="zh-CN"/>
        </w:rPr>
        <w:t>4</w:t>
      </w:r>
      <w:r>
        <w:rPr>
          <w:rFonts w:hint="eastAsia" w:ascii="宋体" w:hAnsi="宋体" w:eastAsia="宋体" w:cs="宋体"/>
          <w:bCs/>
          <w:color w:val="auto"/>
          <w:kern w:val="0"/>
          <w:szCs w:val="21"/>
          <w:highlight w:val="none"/>
        </w:rPr>
        <w:t>月</w:t>
      </w:r>
      <w:r>
        <w:rPr>
          <w:rFonts w:hint="eastAsia" w:ascii="宋体" w:hAnsi="宋体" w:eastAsia="宋体" w:cs="宋体"/>
          <w:color w:val="auto"/>
          <w:szCs w:val="21"/>
          <w:highlight w:val="none"/>
          <w:u w:val="single"/>
          <w:lang w:val="en-US" w:eastAsia="zh-CN"/>
        </w:rPr>
        <w:t>29</w:t>
      </w:r>
      <w:r>
        <w:rPr>
          <w:rFonts w:hint="eastAsia" w:ascii="宋体" w:hAnsi="宋体" w:eastAsia="宋体" w:cs="宋体"/>
          <w:bCs/>
          <w:color w:val="auto"/>
          <w:kern w:val="0"/>
          <w:szCs w:val="21"/>
          <w:highlight w:val="none"/>
        </w:rPr>
        <w:t>日</w:t>
      </w:r>
      <w:r>
        <w:rPr>
          <w:rFonts w:hint="eastAsia" w:ascii="宋体" w:hAnsi="宋体" w:eastAsia="宋体" w:cs="宋体"/>
          <w:color w:val="auto"/>
          <w:szCs w:val="21"/>
          <w:highlight w:val="none"/>
          <w:u w:val="single"/>
          <w:lang w:val="en-US" w:eastAsia="zh-CN"/>
        </w:rPr>
        <w:t>9</w:t>
      </w:r>
      <w:r>
        <w:rPr>
          <w:rFonts w:hint="eastAsia" w:ascii="宋体" w:hAnsi="宋体" w:eastAsia="宋体" w:cs="宋体"/>
          <w:bCs/>
          <w:color w:val="auto"/>
          <w:kern w:val="0"/>
          <w:szCs w:val="21"/>
          <w:highlight w:val="none"/>
          <w:u w:val="single"/>
        </w:rPr>
        <w:t>:</w:t>
      </w:r>
      <w:r>
        <w:rPr>
          <w:rFonts w:hint="eastAsia" w:ascii="宋体" w:hAnsi="宋体" w:eastAsia="宋体" w:cs="宋体"/>
          <w:color w:val="auto"/>
          <w:szCs w:val="21"/>
          <w:highlight w:val="none"/>
          <w:u w:val="single"/>
          <w:lang w:val="en-US" w:eastAsia="zh-CN"/>
        </w:rPr>
        <w:t>00</w:t>
      </w:r>
      <w:r>
        <w:rPr>
          <w:rFonts w:hint="eastAsia" w:ascii="宋体" w:hAnsi="宋体" w:eastAsia="宋体" w:cs="宋体"/>
          <w:bCs/>
          <w:color w:val="auto"/>
          <w:kern w:val="0"/>
          <w:szCs w:val="21"/>
          <w:highlight w:val="none"/>
        </w:rPr>
        <w:t>；</w:t>
      </w:r>
    </w:p>
    <w:p>
      <w:pPr>
        <w:autoSpaceDE w:val="0"/>
        <w:autoSpaceDN w:val="0"/>
        <w:adjustRightInd w:val="0"/>
        <w:spacing w:line="360" w:lineRule="auto"/>
        <w:ind w:right="-29" w:rightChars="-14"/>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投标及开标地点：广东省东莞市南城区西平社区宏伟三路45号东莞市公共资源交易中心开标</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lang w:val="en-US" w:eastAsia="zh-CN"/>
        </w:rPr>
        <w:t>13</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室</w:t>
      </w:r>
      <w:r>
        <w:rPr>
          <w:rFonts w:hint="eastAsia" w:ascii="宋体" w:hAnsi="宋体" w:eastAsia="宋体" w:cs="宋体"/>
          <w:color w:val="auto"/>
          <w:kern w:val="0"/>
          <w:szCs w:val="21"/>
          <w:highlight w:val="none"/>
        </w:rPr>
        <w:t>。</w:t>
      </w:r>
    </w:p>
    <w:p>
      <w:pPr>
        <w:autoSpaceDE w:val="0"/>
        <w:autoSpaceDN w:val="0"/>
        <w:adjustRightInd w:val="0"/>
        <w:spacing w:line="360" w:lineRule="auto"/>
        <w:ind w:right="-29" w:rightChars="-14" w:firstLine="210" w:firstLineChars="100"/>
        <w:rPr>
          <w:rFonts w:ascii="宋体" w:hAnsi="宋体" w:eastAsia="宋体" w:cs="宋体"/>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宋体"/>
          <w:color w:val="auto"/>
          <w:szCs w:val="21"/>
          <w:highlight w:val="none"/>
          <w:lang w:val="zh-CN"/>
        </w:rPr>
      </w:pPr>
    </w:p>
    <w:p>
      <w:pPr>
        <w:numPr>
          <w:ilvl w:val="0"/>
          <w:numId w:val="1"/>
        </w:numPr>
        <w:autoSpaceDE w:val="0"/>
        <w:autoSpaceDN w:val="0"/>
        <w:adjustRightInd w:val="0"/>
        <w:snapToGrid w:val="0"/>
        <w:spacing w:line="360" w:lineRule="auto"/>
        <w:ind w:right="-34"/>
        <w:jc w:val="left"/>
        <w:rPr>
          <w:rFonts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本项目相关公告在以下媒介发布：广东省公共资源交易平台（ygp.gdzwfw.gov.cn）、中国招标投标公共服务平台（www.cebpubservice.com）、东莞市水务集团有限公司网（www.dgswjt.cn）、招标代理机构网站（www.youde.net）</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right="-34"/>
        <w:jc w:val="left"/>
        <w:rPr>
          <w:rFonts w:ascii="宋体" w:hAnsi="宋体" w:eastAsia="宋体" w:cs="宋体"/>
          <w:bCs/>
          <w:color w:val="auto"/>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w:t>
      </w:r>
      <w:r>
        <w:rPr>
          <w:rFonts w:hint="eastAsia" w:ascii="宋体" w:hAnsi="宋体" w:eastAsia="宋体" w:cs="宋体"/>
          <w:color w:val="auto"/>
          <w:szCs w:val="21"/>
          <w:highlight w:val="none"/>
        </w:rPr>
        <w:t>东莞市众源环境投资有限公司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szCs w:val="21"/>
          <w:highlight w:val="none"/>
        </w:rPr>
        <w:t>东莞市南城街道滨河路100号二期（东莞市水务集团净水有限公司）新大门内3号楼3楼</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龚浩</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rPr>
        <w:t>0769-22621996</w:t>
      </w:r>
    </w:p>
    <w:p>
      <w:pPr>
        <w:autoSpaceDE w:val="0"/>
        <w:autoSpaceDN w:val="0"/>
        <w:adjustRightInd w:val="0"/>
        <w:spacing w:line="360" w:lineRule="auto"/>
        <w:ind w:right="-29" w:rightChars="-14" w:firstLine="420"/>
        <w:rPr>
          <w:rFonts w:ascii="宋体" w:hAnsi="宋体" w:eastAsia="宋体" w:cs="宋体"/>
          <w:color w:val="auto"/>
          <w:kern w:val="0"/>
          <w:szCs w:val="21"/>
          <w:highlight w:val="none"/>
        </w:rPr>
      </w:pPr>
    </w:p>
    <w:p>
      <w:pPr>
        <w:numPr>
          <w:ilvl w:val="0"/>
          <w:numId w:val="1"/>
        </w:numPr>
        <w:autoSpaceDE w:val="0"/>
        <w:autoSpaceDN w:val="0"/>
        <w:adjustRightInd w:val="0"/>
        <w:snapToGrid w:val="0"/>
        <w:spacing w:line="360" w:lineRule="auto"/>
        <w:ind w:right="-34"/>
        <w:jc w:val="left"/>
        <w:rPr>
          <w:rFonts w:ascii="宋体" w:hAnsi="宋体" w:eastAsia="宋体" w:cs="宋体"/>
          <w:color w:val="auto"/>
          <w:szCs w:val="21"/>
          <w:highlight w:val="none"/>
        </w:rPr>
      </w:pPr>
      <w:r>
        <w:rPr>
          <w:rFonts w:hint="eastAsia" w:ascii="宋体" w:hAnsi="宋体" w:eastAsia="宋体" w:cs="宋体"/>
          <w:color w:val="auto"/>
          <w:szCs w:val="21"/>
          <w:highlight w:val="none"/>
        </w:rPr>
        <w:t>招标代理机构联系方式</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highlight w:val="none"/>
        </w:rPr>
      </w:pPr>
      <w:bookmarkStart w:id="9" w:name="_Toc450662847"/>
      <w:bookmarkStart w:id="10" w:name="_Toc31764_WPSOffice_Level1"/>
      <w:bookmarkStart w:id="11" w:name="_Toc486167661"/>
      <w:r>
        <w:rPr>
          <w:rFonts w:hint="eastAsia" w:ascii="宋体" w:hAnsi="宋体" w:eastAsia="宋体" w:cs="宋体"/>
          <w:color w:val="auto"/>
          <w:kern w:val="0"/>
          <w:szCs w:val="21"/>
          <w:highlight w:val="none"/>
        </w:rPr>
        <w:t>招标代理机构：</w:t>
      </w:r>
      <w:r>
        <w:rPr>
          <w:rFonts w:hint="eastAsia" w:ascii="宋体" w:hAnsi="宋体" w:eastAsia="宋体" w:cs="宋体"/>
          <w:color w:val="auto"/>
          <w:szCs w:val="21"/>
          <w:highlight w:val="none"/>
        </w:rPr>
        <w:t>广东有德招标采购有限公司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r>
        <w:rPr>
          <w:rFonts w:hint="eastAsia" w:ascii="宋体" w:hAnsi="宋体" w:eastAsia="宋体" w:cs="宋体"/>
          <w:color w:val="auto"/>
          <w:szCs w:val="21"/>
          <w:highlight w:val="none"/>
          <w:lang w:val="zh-CN"/>
        </w:rPr>
        <w:t>东莞市东城街道新源路海德琥珀台6栋1703室</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szCs w:val="21"/>
          <w:highlight w:val="none"/>
        </w:rPr>
        <w:t>郑翠婷</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color w:val="auto"/>
          <w:szCs w:val="21"/>
          <w:highlight w:val="none"/>
        </w:rPr>
        <w:t>0769-23362836-8019</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2" w:name="_Toc18212"/>
      <w:bookmarkStart w:id="13" w:name="_Toc142508311"/>
      <w:bookmarkStart w:id="14" w:name="_Toc15111"/>
      <w:bookmarkStart w:id="15" w:name="_Toc15587"/>
      <w:bookmarkStart w:id="16" w:name="_Toc31498"/>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9"/>
      <w:bookmarkEnd w:id="10"/>
      <w:bookmarkEnd w:id="11"/>
      <w:bookmarkEnd w:id="12"/>
      <w:bookmarkEnd w:id="13"/>
      <w:bookmarkEnd w:id="14"/>
      <w:bookmarkEnd w:id="15"/>
      <w:bookmarkEnd w:id="16"/>
    </w:p>
    <w:p>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7" w:name="_Toc142508312"/>
      <w:bookmarkStart w:id="18" w:name="_Toc24479"/>
      <w:bookmarkStart w:id="19" w:name="_Toc140596871"/>
      <w:bookmarkStart w:id="20" w:name="_Toc11520"/>
      <w:bookmarkStart w:id="21" w:name="_Toc450662848"/>
      <w:bookmarkStart w:id="22" w:name="_Toc9555"/>
      <w:bookmarkStart w:id="23" w:name="_Toc15366_WPSOffice_Level2"/>
      <w:bookmarkStart w:id="24" w:name="_Toc27539"/>
      <w:bookmarkStart w:id="25" w:name="_Toc486167662"/>
      <w:r>
        <w:rPr>
          <w:rFonts w:hint="eastAsia" w:ascii="宋体" w:hAnsi="宋体" w:eastAsia="宋体" w:cs="宋体"/>
          <w:b/>
          <w:bCs/>
          <w:color w:val="auto"/>
          <w:kern w:val="44"/>
          <w:szCs w:val="21"/>
          <w:highlight w:val="none"/>
          <w:lang w:val="zh-CN"/>
        </w:rPr>
        <w:t>一、总则</w:t>
      </w:r>
      <w:bookmarkEnd w:id="17"/>
      <w:bookmarkEnd w:id="18"/>
      <w:bookmarkEnd w:id="19"/>
      <w:bookmarkEnd w:id="20"/>
      <w:bookmarkEnd w:id="21"/>
      <w:bookmarkEnd w:id="22"/>
      <w:bookmarkEnd w:id="23"/>
      <w:bookmarkEnd w:id="24"/>
      <w:bookmarkEnd w:id="25"/>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 w:name="_Toc16303"/>
      <w:bookmarkStart w:id="27" w:name="_Toc9608"/>
      <w:bookmarkStart w:id="28" w:name="_Toc9208"/>
      <w:bookmarkStart w:id="29" w:name="_Toc486167663"/>
      <w:bookmarkStart w:id="30" w:name="_Toc21710_WPSOffice_Level3"/>
      <w:bookmarkStart w:id="31" w:name="_Toc450662849"/>
      <w:bookmarkStart w:id="32" w:name="_Toc142508313"/>
      <w:bookmarkStart w:id="33" w:name="_Toc23333"/>
      <w:r>
        <w:rPr>
          <w:rFonts w:hint="eastAsia" w:ascii="宋体" w:hAnsi="宋体" w:eastAsia="宋体" w:cs="宋体"/>
          <w:color w:val="auto"/>
          <w:szCs w:val="21"/>
          <w:highlight w:val="none"/>
          <w:lang w:val="zh-CN"/>
        </w:rPr>
        <w:t>1 资金来源：企业自筹资金。</w:t>
      </w:r>
      <w:bookmarkEnd w:id="26"/>
      <w:bookmarkEnd w:id="27"/>
      <w:bookmarkEnd w:id="28"/>
      <w:bookmarkEnd w:id="29"/>
      <w:bookmarkEnd w:id="30"/>
      <w:bookmarkEnd w:id="31"/>
      <w:bookmarkEnd w:id="32"/>
      <w:bookmarkEnd w:id="33"/>
    </w:p>
    <w:p>
      <w:pPr>
        <w:autoSpaceDE w:val="0"/>
        <w:autoSpaceDN w:val="0"/>
        <w:adjustRightInd w:val="0"/>
        <w:jc w:val="left"/>
        <w:rPr>
          <w:rFonts w:ascii="宋体" w:hAnsi="宋体" w:eastAsia="宋体" w:cs="宋体"/>
          <w:color w:val="auto"/>
          <w:kern w:val="0"/>
          <w:sz w:val="24"/>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4" w:name="_Toc18557"/>
      <w:bookmarkStart w:id="35" w:name="_Toc28698"/>
      <w:bookmarkStart w:id="36" w:name="_Toc142508314"/>
      <w:bookmarkStart w:id="37" w:name="_Toc32244"/>
      <w:bookmarkStart w:id="38" w:name="_Toc450662850"/>
      <w:bookmarkStart w:id="39" w:name="_Toc80_WPSOffice_Level3"/>
      <w:bookmarkStart w:id="40" w:name="_Toc486167664"/>
      <w:bookmarkStart w:id="41" w:name="_Toc24092"/>
      <w:r>
        <w:rPr>
          <w:rFonts w:hint="eastAsia" w:ascii="宋体" w:hAnsi="宋体" w:eastAsia="宋体" w:cs="宋体"/>
          <w:b/>
          <w:color w:val="auto"/>
          <w:szCs w:val="21"/>
          <w:highlight w:val="none"/>
          <w:lang w:val="zh-CN"/>
        </w:rPr>
        <w:t>2 合格的投标人</w:t>
      </w:r>
      <w:bookmarkEnd w:id="34"/>
      <w:bookmarkEnd w:id="35"/>
      <w:bookmarkEnd w:id="36"/>
      <w:bookmarkEnd w:id="37"/>
      <w:bookmarkEnd w:id="38"/>
      <w:bookmarkEnd w:id="39"/>
      <w:bookmarkEnd w:id="40"/>
      <w:bookmarkEnd w:id="41"/>
    </w:p>
    <w:p>
      <w:pPr>
        <w:autoSpaceDE w:val="0"/>
        <w:autoSpaceDN w:val="0"/>
        <w:adjustRightInd w:val="0"/>
        <w:spacing w:line="360" w:lineRule="auto"/>
        <w:ind w:left="317" w:leftChars="-100" w:hanging="527" w:hangingChars="25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lang w:val="zh-CN"/>
        </w:rPr>
        <w:t xml:space="preserve">2.1 </w:t>
      </w:r>
      <w:r>
        <w:rPr>
          <w:rFonts w:hint="eastAsia" w:ascii="宋体" w:hAnsi="宋体" w:eastAsia="宋体" w:cs="宋体"/>
          <w:b/>
          <w:color w:val="auto"/>
          <w:szCs w:val="21"/>
          <w:highlight w:val="none"/>
          <w:u w:val="single"/>
          <w:lang w:val="zh-CN"/>
        </w:rPr>
        <w:t>合格的投标人条件见第一篇《招标公告》中第2条的“合格投标人资格要求”及本条以下2.2款至</w:t>
      </w:r>
      <w:r>
        <w:rPr>
          <w:rFonts w:hint="eastAsia" w:ascii="宋体" w:hAnsi="宋体" w:eastAsia="宋体" w:cs="宋体"/>
          <w:b/>
          <w:color w:val="auto"/>
          <w:szCs w:val="21"/>
          <w:highlight w:val="none"/>
          <w:u w:val="single"/>
        </w:rPr>
        <w:t>2.</w:t>
      </w:r>
      <w:r>
        <w:rPr>
          <w:rFonts w:hint="eastAsia" w:ascii="宋体" w:hAnsi="宋体" w:eastAsia="宋体" w:cs="宋体"/>
          <w:b/>
          <w:color w:val="auto"/>
          <w:szCs w:val="21"/>
          <w:highlight w:val="none"/>
          <w:u w:val="single"/>
          <w:lang w:val="en-US" w:eastAsia="zh-CN"/>
        </w:rPr>
        <w:t>5</w:t>
      </w:r>
      <w:r>
        <w:rPr>
          <w:rFonts w:hint="eastAsia" w:ascii="宋体" w:hAnsi="宋体" w:eastAsia="宋体" w:cs="宋体"/>
          <w:b/>
          <w:color w:val="auto"/>
          <w:szCs w:val="21"/>
          <w:highlight w:val="none"/>
          <w:u w:val="single"/>
          <w:lang w:val="zh-CN"/>
        </w:rPr>
        <w:t>款的通用</w:t>
      </w:r>
    </w:p>
    <w:p>
      <w:pPr>
        <w:autoSpaceDE w:val="0"/>
        <w:autoSpaceDN w:val="0"/>
        <w:adjustRightInd w:val="0"/>
        <w:spacing w:line="360" w:lineRule="auto"/>
        <w:ind w:left="315" w:leftChars="100" w:hanging="105" w:hangingChars="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要求</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9" w:leftChars="-100" w:hanging="569" w:hangingChars="27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u w:val="single"/>
        </w:rPr>
        <w:t>投标人在参加本项目投标前的三年内不得在投标活动中存在《中华人民共和国招标投标法》第五十三条（相</w:t>
      </w:r>
    </w:p>
    <w:p>
      <w:pPr>
        <w:autoSpaceDE w:val="0"/>
        <w:autoSpaceDN w:val="0"/>
        <w:adjustRightInd w:val="0"/>
        <w:spacing w:line="360" w:lineRule="auto"/>
        <w:ind w:left="358" w:leftChars="100" w:hanging="148" w:hangingChars="7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互串通投标或者与招标人串通投标，以向招标人或者评标委员会成员行贿的手段谋取中标）、第五十四条（以</w:t>
      </w:r>
    </w:p>
    <w:p>
      <w:pPr>
        <w:autoSpaceDE w:val="0"/>
        <w:autoSpaceDN w:val="0"/>
        <w:adjustRightInd w:val="0"/>
        <w:spacing w:line="360" w:lineRule="auto"/>
        <w:ind w:left="358" w:leftChars="100" w:hanging="148" w:hangingChars="7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他人名义投标或者以其他方式弄虚作假，骗取中标）、第六十条（中标人不履行与招标人订立的合同）、《中</w:t>
      </w:r>
    </w:p>
    <w:p>
      <w:pPr>
        <w:autoSpaceDE w:val="0"/>
        <w:autoSpaceDN w:val="0"/>
        <w:adjustRightInd w:val="0"/>
        <w:spacing w:line="360" w:lineRule="auto"/>
        <w:ind w:left="358" w:leftChars="100" w:hanging="148" w:hangingChars="7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华人民共和国招标投标法实施条例》第七十六条（将中标项目转让给他人的，将中标项目肢解后分别转让给</w:t>
      </w:r>
    </w:p>
    <w:p>
      <w:pPr>
        <w:autoSpaceDE w:val="0"/>
        <w:autoSpaceDN w:val="0"/>
        <w:adjustRightInd w:val="0"/>
        <w:spacing w:line="360" w:lineRule="auto"/>
        <w:ind w:left="358" w:leftChars="100" w:hanging="148" w:hangingChars="7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他人的，违反招标投标法和本条例规定将中标项目的部分主体、关键性工作分包给他人的，或者分包人再次</w:t>
      </w:r>
    </w:p>
    <w:p>
      <w:pPr>
        <w:autoSpaceDE w:val="0"/>
        <w:autoSpaceDN w:val="0"/>
        <w:adjustRightInd w:val="0"/>
        <w:spacing w:line="360" w:lineRule="auto"/>
        <w:ind w:left="358" w:leftChars="100" w:hanging="148" w:hangingChars="7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分包）、第七十七条（捏造事实、伪造材料或者以非法手段取得证明材料进行投诉）规定的违法行为，而受</w:t>
      </w:r>
    </w:p>
    <w:p>
      <w:pPr>
        <w:autoSpaceDE w:val="0"/>
        <w:autoSpaceDN w:val="0"/>
        <w:adjustRightInd w:val="0"/>
        <w:spacing w:line="360" w:lineRule="auto"/>
        <w:ind w:left="358" w:leftChars="100" w:hanging="148" w:hangingChars="7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到各级管理部门的处罚。投标人存在前述处罚的，在投标文件中必须主动按招标文件的要求填报“最近3年投</w:t>
      </w:r>
    </w:p>
    <w:p>
      <w:pPr>
        <w:autoSpaceDE w:val="0"/>
        <w:autoSpaceDN w:val="0"/>
        <w:adjustRightInd w:val="0"/>
        <w:spacing w:line="360" w:lineRule="auto"/>
        <w:ind w:left="358" w:leftChars="100" w:hanging="148" w:hangingChars="7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标人牵涉的其他（失信和违法）</w:t>
      </w:r>
      <w:r>
        <w:rPr>
          <w:rFonts w:hint="eastAsia" w:ascii="宋体" w:hAnsi="宋体" w:eastAsia="宋体" w:cs="宋体"/>
          <w:b/>
          <w:color w:val="auto"/>
          <w:kern w:val="0"/>
          <w:szCs w:val="21"/>
          <w:highlight w:val="none"/>
          <w:u w:val="single"/>
          <w:lang w:val="zh-CN"/>
        </w:rPr>
        <w:t>处罚说明</w:t>
      </w:r>
      <w:r>
        <w:rPr>
          <w:rFonts w:hint="eastAsia" w:ascii="宋体" w:hAnsi="宋体" w:eastAsia="宋体" w:cs="宋体"/>
          <w:b/>
          <w:color w:val="auto"/>
          <w:kern w:val="0"/>
          <w:szCs w:val="21"/>
          <w:highlight w:val="none"/>
          <w:u w:val="single"/>
        </w:rPr>
        <w:t>”，如果不主动填报而被事后发现的，将取消其投标（中标）资格，</w:t>
      </w:r>
    </w:p>
    <w:p>
      <w:pPr>
        <w:autoSpaceDE w:val="0"/>
        <w:autoSpaceDN w:val="0"/>
        <w:adjustRightInd w:val="0"/>
        <w:spacing w:line="360" w:lineRule="auto"/>
        <w:ind w:left="358" w:leftChars="100" w:hanging="148" w:hangingChars="7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并按有关规定从重处理</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 xml:space="preserve">2.3 </w:t>
      </w:r>
      <w:r>
        <w:rPr>
          <w:rFonts w:hint="eastAsia" w:ascii="宋体" w:hAnsi="宋体" w:eastAsia="宋体" w:cs="宋体"/>
          <w:b/>
          <w:color w:val="auto"/>
          <w:kern w:val="0"/>
          <w:szCs w:val="21"/>
          <w:highlight w:val="none"/>
          <w:u w:val="single"/>
          <w:lang w:val="zh-CN"/>
        </w:rPr>
        <w:t>投标人</w:t>
      </w:r>
      <w:r>
        <w:rPr>
          <w:rFonts w:hint="eastAsia" w:ascii="宋体" w:hAnsi="宋体" w:eastAsia="宋体" w:cs="宋体"/>
          <w:b/>
          <w:color w:val="auto"/>
          <w:szCs w:val="21"/>
          <w:highlight w:val="none"/>
          <w:u w:val="single"/>
          <w:lang w:val="zh-CN"/>
        </w:rPr>
        <w:t>符合《中华人民共和国招标投标法》第二十六条规定</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9" w:leftChars="-99" w:hanging="567" w:hangingChars="269"/>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rPr>
        <w:t xml:space="preserve">2.4 </w:t>
      </w:r>
      <w:r>
        <w:rPr>
          <w:rFonts w:hint="eastAsia" w:ascii="宋体" w:hAnsi="宋体" w:eastAsia="宋体" w:cs="宋体"/>
          <w:b/>
          <w:color w:val="auto"/>
          <w:kern w:val="0"/>
          <w:szCs w:val="21"/>
          <w:highlight w:val="none"/>
          <w:u w:val="single"/>
        </w:rPr>
        <w:t xml:space="preserve">投标人（含其不具有独立法人资格的分支机构）未被列入“信用中国”网站（ </w:t>
      </w:r>
      <w:r>
        <w:rPr>
          <w:rFonts w:hint="eastAsia" w:ascii="宋体" w:hAnsi="宋体" w:eastAsia="宋体" w:cs="宋体"/>
          <w:b/>
          <w:color w:val="auto"/>
          <w:kern w:val="0"/>
          <w:szCs w:val="21"/>
          <w:highlight w:val="none"/>
          <w:u w:val="single"/>
        </w:rPr>
        <w:fldChar w:fldCharType="begin"/>
      </w:r>
      <w:r>
        <w:rPr>
          <w:rFonts w:hint="eastAsia" w:ascii="宋体" w:hAnsi="宋体" w:eastAsia="宋体" w:cs="宋体"/>
          <w:b/>
          <w:color w:val="auto"/>
          <w:kern w:val="0"/>
          <w:szCs w:val="21"/>
          <w:highlight w:val="none"/>
          <w:u w:val="single"/>
        </w:rPr>
        <w:instrText xml:space="preserve"> HYPERLINK "http://www.creditchina.gov.cn）失" </w:instrText>
      </w:r>
      <w:r>
        <w:rPr>
          <w:rFonts w:hint="eastAsia" w:ascii="宋体" w:hAnsi="宋体" w:eastAsia="宋体" w:cs="宋体"/>
          <w:b/>
          <w:color w:val="auto"/>
          <w:kern w:val="0"/>
          <w:szCs w:val="21"/>
          <w:highlight w:val="none"/>
          <w:u w:val="single"/>
        </w:rPr>
        <w:fldChar w:fldCharType="separate"/>
      </w:r>
      <w:r>
        <w:rPr>
          <w:rStyle w:val="44"/>
          <w:rFonts w:hint="eastAsia" w:ascii="宋体" w:hAnsi="宋体" w:eastAsia="宋体" w:cs="宋体"/>
          <w:b/>
          <w:color w:val="auto"/>
          <w:kern w:val="0"/>
          <w:szCs w:val="21"/>
          <w:highlight w:val="none"/>
          <w:u w:val="single"/>
        </w:rPr>
        <w:t>www.creditchina.gov.cn）失</w:t>
      </w:r>
      <w:r>
        <w:rPr>
          <w:rFonts w:hint="eastAsia" w:ascii="宋体" w:hAnsi="宋体" w:eastAsia="宋体" w:cs="宋体"/>
          <w:b/>
          <w:color w:val="auto"/>
          <w:kern w:val="0"/>
          <w:szCs w:val="21"/>
          <w:highlight w:val="none"/>
          <w:u w:val="single"/>
        </w:rPr>
        <w:fldChar w:fldCharType="end"/>
      </w:r>
    </w:p>
    <w:p>
      <w:pPr>
        <w:autoSpaceDE w:val="0"/>
        <w:autoSpaceDN w:val="0"/>
        <w:adjustRightInd w:val="0"/>
        <w:spacing w:line="360" w:lineRule="auto"/>
        <w:ind w:left="355" w:leftChars="100" w:hanging="145" w:hangingChars="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7" w:leftChars="-100" w:hanging="527" w:hangingChars="250"/>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u w:val="single"/>
        </w:rPr>
        <w:t>根据《中华人民共和国招标投标法实施条例》第三十四条规定，与招标人存在利害关系可能影响招标公正性</w:t>
      </w:r>
    </w:p>
    <w:p>
      <w:pPr>
        <w:autoSpaceDE w:val="0"/>
        <w:autoSpaceDN w:val="0"/>
        <w:adjustRightInd w:val="0"/>
        <w:spacing w:line="360" w:lineRule="auto"/>
        <w:ind w:left="315" w:leftChars="100" w:hanging="105" w:hangingChars="5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1"/>
          <w:highlight w:val="none"/>
          <w:u w:val="single"/>
        </w:rPr>
        <w:t>的法人、其他组织或者个人，不得参加投标；投标人负责人为同一人或者存在控股、管理关系的不同投标人，</w:t>
      </w:r>
    </w:p>
    <w:p>
      <w:pPr>
        <w:autoSpaceDE w:val="0"/>
        <w:autoSpaceDN w:val="0"/>
        <w:adjustRightInd w:val="0"/>
        <w:spacing w:line="360" w:lineRule="auto"/>
        <w:ind w:left="315" w:leftChars="100" w:hanging="105" w:hangingChars="5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u w:val="single"/>
        </w:rPr>
        <w:t>不得参加同一项目投标。上述情况一经发现，相关投标均无效</w:t>
      </w:r>
      <w:r>
        <w:rPr>
          <w:rFonts w:hint="eastAsia" w:ascii="宋体" w:hAnsi="宋体" w:eastAsia="宋体" w:cs="宋体"/>
          <w:b/>
          <w:color w:val="auto"/>
          <w:szCs w:val="21"/>
          <w:highlight w:val="none"/>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2" w:name="_Toc142508315"/>
      <w:bookmarkStart w:id="43" w:name="_Toc23847_WPSOffice_Level3"/>
      <w:bookmarkStart w:id="44" w:name="_Toc11689"/>
      <w:bookmarkStart w:id="45" w:name="_Toc19774"/>
      <w:bookmarkStart w:id="46" w:name="_Toc13223"/>
      <w:bookmarkStart w:id="47" w:name="_Toc16100"/>
      <w:bookmarkStart w:id="48" w:name="_Toc486167665"/>
      <w:bookmarkStart w:id="49" w:name="_Toc450662851"/>
      <w:r>
        <w:rPr>
          <w:rFonts w:hint="eastAsia" w:ascii="宋体" w:hAnsi="宋体" w:eastAsia="宋体" w:cs="宋体"/>
          <w:b/>
          <w:color w:val="auto"/>
          <w:szCs w:val="21"/>
          <w:highlight w:val="none"/>
          <w:lang w:val="zh-CN"/>
        </w:rPr>
        <w:t>3 合格的</w:t>
      </w:r>
      <w:bookmarkEnd w:id="42"/>
      <w:bookmarkEnd w:id="43"/>
      <w:r>
        <w:rPr>
          <w:rFonts w:hint="eastAsia" w:ascii="宋体" w:hAnsi="宋体" w:eastAsia="宋体" w:cs="宋体"/>
          <w:b/>
          <w:color w:val="auto"/>
          <w:szCs w:val="21"/>
          <w:highlight w:val="none"/>
        </w:rPr>
        <w:t>服务</w:t>
      </w:r>
      <w:bookmarkEnd w:id="44"/>
      <w:bookmarkEnd w:id="45"/>
      <w:bookmarkEnd w:id="46"/>
      <w:bookmarkEnd w:id="47"/>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“服务”是指投标人按招标文件规定完成的全部服务内容，其中包括完成服务所需的货物和工程，及须承担</w:t>
      </w:r>
    </w:p>
    <w:p>
      <w:pPr>
        <w:autoSpaceDE w:val="0"/>
        <w:autoSpaceDN w:val="0"/>
        <w:adjustRightInd w:val="0"/>
        <w:spacing w:line="360" w:lineRule="auto"/>
        <w:ind w:left="315" w:leftChars="100" w:hanging="105" w:hangingChars="50"/>
        <w:rPr>
          <w:rFonts w:ascii="宋体" w:hAnsi="宋体" w:eastAsia="宋体" w:cs="宋体"/>
          <w:color w:val="auto"/>
          <w:szCs w:val="21"/>
          <w:highlight w:val="none"/>
          <w:lang w:val="zh-CN"/>
        </w:rPr>
      </w:pPr>
      <w:r>
        <w:rPr>
          <w:rFonts w:hint="eastAsia" w:ascii="宋体" w:hAnsi="宋体" w:eastAsia="宋体" w:cs="宋体"/>
          <w:color w:val="auto"/>
          <w:szCs w:val="21"/>
          <w:highlight w:val="none"/>
        </w:rPr>
        <w:t>的技术支持、培训和其它伴随服务。</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50" w:name="_Toc533708063"/>
      <w:bookmarkStart w:id="51" w:name="_Toc1977663"/>
      <w:r>
        <w:rPr>
          <w:rFonts w:hint="eastAsia" w:ascii="宋体" w:hAnsi="宋体" w:eastAsia="宋体" w:cs="宋体"/>
          <w:color w:val="auto"/>
          <w:szCs w:val="21"/>
          <w:highlight w:val="none"/>
          <w:lang w:val="zh-CN"/>
        </w:rPr>
        <w:t xml:space="preserve">3.2 </w:t>
      </w:r>
      <w:bookmarkEnd w:id="50"/>
      <w:bookmarkEnd w:id="51"/>
      <w:bookmarkStart w:id="52" w:name="_Toc1977665"/>
      <w:bookmarkStart w:id="53" w:name="_Toc5337080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val="zh-CN"/>
        </w:rPr>
        <w:t>的任何部分均为最新正式版本。</w:t>
      </w:r>
      <w:bookmarkEnd w:id="52"/>
      <w:bookmarkEnd w:id="53"/>
    </w:p>
    <w:p>
      <w:pPr>
        <w:autoSpaceDE w:val="0"/>
        <w:autoSpaceDN w:val="0"/>
        <w:adjustRightInd w:val="0"/>
        <w:spacing w:line="360" w:lineRule="auto"/>
        <w:ind w:left="315" w:leftChars="-100" w:hanging="525" w:hangingChars="250"/>
        <w:rPr>
          <w:rFonts w:hint="eastAsia" w:ascii="宋体" w:hAnsi="宋体" w:eastAsia="宋体" w:cs="宋体"/>
          <w:color w:val="auto"/>
          <w:kern w:val="0"/>
          <w:szCs w:val="21"/>
          <w:highlight w:val="none"/>
        </w:rPr>
      </w:pPr>
      <w:bookmarkStart w:id="54" w:name="_Toc1977666"/>
      <w:bookmarkStart w:id="55"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 xml:space="preserve"> </w:t>
      </w:r>
      <w:bookmarkEnd w:id="54"/>
      <w:bookmarkEnd w:id="55"/>
      <w:bookmarkStart w:id="56" w:name="_Toc1977667"/>
      <w:bookmarkStart w:id="57" w:name="_Toc5337080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应保证招标人在中华人民共和国使用服务或服务的任何一部分时，招标人免受第三方提出侵犯其专利</w:t>
      </w:r>
    </w:p>
    <w:p>
      <w:pPr>
        <w:autoSpaceDE w:val="0"/>
        <w:autoSpaceDN w:val="0"/>
        <w:adjustRightInd w:val="0"/>
        <w:spacing w:line="360" w:lineRule="auto"/>
        <w:ind w:left="315" w:leftChars="100" w:hanging="105" w:hanging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权、商标权或其它知识产权的起诉。如果投标人不拥有相应的知识产权，则须在报价中包括合法获取该知识</w:t>
      </w:r>
    </w:p>
    <w:p>
      <w:pPr>
        <w:autoSpaceDE w:val="0"/>
        <w:autoSpaceDN w:val="0"/>
        <w:adjustRightInd w:val="0"/>
        <w:spacing w:line="360" w:lineRule="auto"/>
        <w:ind w:left="315" w:leftChars="100" w:hanging="105" w:hanging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产权的相关费用，并在招标文件中附有相关证明文件。如有违反，造成招标人任何经济损失或其他损失的，</w:t>
      </w:r>
    </w:p>
    <w:p>
      <w:pPr>
        <w:autoSpaceDE w:val="0"/>
        <w:autoSpaceDN w:val="0"/>
        <w:adjustRightInd w:val="0"/>
        <w:spacing w:line="360" w:lineRule="auto"/>
        <w:ind w:left="315" w:leftChars="100" w:hanging="105" w:hangingChars="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由投标人承担全部赔偿责任</w:t>
      </w:r>
      <w:r>
        <w:rPr>
          <w:rFonts w:hint="eastAsia" w:ascii="宋体" w:hAnsi="宋体" w:eastAsia="宋体" w:cs="宋体"/>
          <w:color w:val="auto"/>
          <w:szCs w:val="21"/>
          <w:highlight w:val="none"/>
          <w:lang w:val="zh-CN"/>
        </w:rPr>
        <w:t>。</w:t>
      </w:r>
      <w:bookmarkEnd w:id="56"/>
      <w:bookmarkEnd w:id="57"/>
    </w:p>
    <w:p>
      <w:pPr>
        <w:autoSpaceDE w:val="0"/>
        <w:autoSpaceDN w:val="0"/>
        <w:adjustRightInd w:val="0"/>
        <w:spacing w:line="360" w:lineRule="auto"/>
        <w:ind w:left="315" w:leftChars="-100" w:hanging="525" w:hangingChars="250"/>
        <w:rPr>
          <w:rFonts w:hint="eastAsia" w:ascii="宋体" w:hAnsi="宋体" w:eastAsia="宋体" w:cs="宋体"/>
          <w:color w:val="auto"/>
          <w:kern w:val="0"/>
          <w:szCs w:val="21"/>
          <w:highlight w:val="none"/>
        </w:rPr>
      </w:pPr>
      <w:bookmarkStart w:id="58" w:name="_Toc1977668"/>
      <w:bookmarkStart w:id="59"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rPr>
        <w:t>4</w:t>
      </w:r>
      <w:bookmarkEnd w:id="58"/>
      <w:bookmarkEnd w:id="59"/>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是否在投标报价表中明示，均视为投标报价已包含所有应支付的对专利权、商标权和版权、设计</w:t>
      </w:r>
    </w:p>
    <w:p>
      <w:pPr>
        <w:autoSpaceDE w:val="0"/>
        <w:autoSpaceDN w:val="0"/>
        <w:adjustRightInd w:val="0"/>
        <w:spacing w:line="360" w:lineRule="auto"/>
        <w:ind w:left="315" w:leftChars="100" w:hanging="105" w:hangingChars="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或其他知识产权而需要向其他方支付的版税和使用费等相关费用。如投标人未依法向第三方支付应缴版税和</w:t>
      </w:r>
    </w:p>
    <w:p>
      <w:pPr>
        <w:autoSpaceDE w:val="0"/>
        <w:autoSpaceDN w:val="0"/>
        <w:adjustRightInd w:val="0"/>
        <w:spacing w:line="360" w:lineRule="auto"/>
        <w:ind w:left="315" w:leftChars="100" w:hanging="105" w:hangingChars="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使用费等相关费用的，造成招标人任何经济损失的，由投标人承担全部赔偿责任</w:t>
      </w:r>
      <w:r>
        <w:rPr>
          <w:rFonts w:hint="eastAsia" w:ascii="宋体" w:hAnsi="宋体" w:eastAsia="宋体" w:cs="宋体"/>
          <w:color w:val="auto"/>
          <w:szCs w:val="21"/>
          <w:highlight w:val="none"/>
          <w:lang w:val="zh-CN"/>
        </w:rPr>
        <w:t>。</w:t>
      </w:r>
    </w:p>
    <w:p>
      <w:pPr>
        <w:autoSpaceDE w:val="0"/>
        <w:autoSpaceDN w:val="0"/>
        <w:adjustRightInd w:val="0"/>
        <w:spacing w:line="360" w:lineRule="auto"/>
        <w:jc w:val="left"/>
        <w:rPr>
          <w:rFonts w:ascii="宋体" w:hAnsi="宋体" w:eastAsia="宋体" w:cs="宋体"/>
          <w:color w:val="auto"/>
          <w:szCs w:val="21"/>
          <w:highlight w:val="none"/>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0" w:name="_Toc23886"/>
      <w:bookmarkStart w:id="61" w:name="_Toc3404"/>
      <w:bookmarkStart w:id="62" w:name="_Toc11533"/>
      <w:bookmarkStart w:id="63" w:name="_Toc9753"/>
      <w:bookmarkStart w:id="64" w:name="_Toc142508316"/>
      <w:bookmarkStart w:id="65" w:name="_Toc9658_WPSOffice_Level3"/>
      <w:r>
        <w:rPr>
          <w:rFonts w:hint="eastAsia" w:ascii="宋体" w:hAnsi="宋体" w:eastAsia="宋体" w:cs="宋体"/>
          <w:color w:val="auto"/>
          <w:szCs w:val="21"/>
          <w:highlight w:val="none"/>
          <w:lang w:val="zh-CN"/>
        </w:rPr>
        <w:t>4 其它说明</w:t>
      </w:r>
      <w:bookmarkEnd w:id="60"/>
      <w:bookmarkEnd w:id="61"/>
      <w:bookmarkEnd w:id="62"/>
      <w:bookmarkEnd w:id="63"/>
      <w:bookmarkEnd w:id="64"/>
      <w:bookmarkEnd w:id="65"/>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6" w:name="_Toc533708070"/>
      <w:bookmarkStart w:id="67" w:name="_Toc1977670"/>
      <w:r>
        <w:rPr>
          <w:rFonts w:hint="eastAsia" w:ascii="宋体" w:hAnsi="宋体" w:eastAsia="宋体" w:cs="宋体"/>
          <w:color w:val="auto"/>
          <w:szCs w:val="21"/>
          <w:highlight w:val="none"/>
          <w:lang w:val="zh-CN"/>
        </w:rPr>
        <w:t>4.1 投标费用</w:t>
      </w:r>
      <w:bookmarkEnd w:id="66"/>
      <w:bookmarkEnd w:id="67"/>
    </w:p>
    <w:p>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68" w:name="_Toc533708072"/>
      <w:bookmarkStart w:id="69"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68"/>
      <w:bookmarkEnd w:id="69"/>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0" w:name="_Toc533708073"/>
      <w:bookmarkStart w:id="71" w:name="_Toc1977673"/>
      <w:r>
        <w:rPr>
          <w:rFonts w:hint="eastAsia" w:ascii="宋体" w:hAnsi="宋体" w:eastAsia="宋体" w:cs="宋体"/>
          <w:color w:val="auto"/>
          <w:szCs w:val="21"/>
          <w:highlight w:val="none"/>
          <w:lang w:val="zh-CN"/>
        </w:rPr>
        <w:t>4.2 踏勘现场</w:t>
      </w:r>
      <w:bookmarkEnd w:id="70"/>
      <w:bookmarkEnd w:id="71"/>
    </w:p>
    <w:p>
      <w:pPr>
        <w:autoSpaceDE w:val="0"/>
        <w:autoSpaceDN w:val="0"/>
        <w:adjustRightInd w:val="0"/>
        <w:spacing w:line="360" w:lineRule="auto"/>
        <w:ind w:left="300" w:leftChars="-59" w:hanging="424" w:hangingChars="202"/>
        <w:jc w:val="left"/>
        <w:rPr>
          <w:rFonts w:ascii="宋体" w:hAnsi="宋体" w:eastAsia="宋体" w:cs="宋体"/>
          <w:color w:val="auto"/>
          <w:kern w:val="0"/>
          <w:szCs w:val="21"/>
          <w:highlight w:val="none"/>
        </w:rPr>
      </w:pPr>
      <w:bookmarkStart w:id="72" w:name="_Toc533708076"/>
      <w:bookmarkStart w:id="73" w:name="_Toc1977676"/>
      <w:r>
        <w:rPr>
          <w:rFonts w:hint="eastAsia" w:ascii="宋体" w:hAnsi="宋体" w:eastAsia="宋体" w:cs="宋体"/>
          <w:color w:val="auto"/>
          <w:kern w:val="0"/>
          <w:szCs w:val="21"/>
          <w:highlight w:val="none"/>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w:t>
      </w:r>
    </w:p>
    <w:p>
      <w:pPr>
        <w:keepNext w:val="0"/>
        <w:keepLines w:val="0"/>
        <w:pageBreakBefore w:val="0"/>
        <w:widowControl w:val="0"/>
        <w:kinsoku/>
        <w:wordWrap/>
        <w:overflowPunct/>
        <w:topLinePunct w:val="0"/>
        <w:autoSpaceDE/>
        <w:autoSpaceDN/>
        <w:bidi w:val="0"/>
        <w:adjustRightInd/>
        <w:snapToGrid/>
        <w:spacing w:line="360" w:lineRule="auto"/>
        <w:ind w:left="395" w:leftChars="188"/>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参考，招标人不对投标人据此作出的判断和决策负责。</w:t>
      </w:r>
    </w:p>
    <w:p>
      <w:pPr>
        <w:spacing w:line="360" w:lineRule="auto"/>
        <w:ind w:left="300" w:leftChars="-59" w:hanging="424" w:hangingChars="202"/>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w:t>
      </w:r>
    </w:p>
    <w:p>
      <w:pPr>
        <w:keepNext w:val="0"/>
        <w:keepLines w:val="0"/>
        <w:pageBreakBefore w:val="0"/>
        <w:widowControl w:val="0"/>
        <w:kinsoku/>
        <w:wordWrap/>
        <w:overflowPunct/>
        <w:topLinePunct w:val="0"/>
        <w:autoSpaceDE/>
        <w:autoSpaceDN/>
        <w:bidi w:val="0"/>
        <w:adjustRightInd/>
        <w:snapToGrid/>
        <w:spacing w:line="360" w:lineRule="auto"/>
        <w:ind w:left="395" w:leftChars="188"/>
        <w:textAlignment w:val="auto"/>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纪律与保密事项</w:t>
      </w:r>
      <w:bookmarkEnd w:id="48"/>
      <w:bookmarkEnd w:id="49"/>
      <w:bookmarkEnd w:id="72"/>
      <w:bookmarkEnd w:id="73"/>
    </w:p>
    <w:p>
      <w:pPr>
        <w:autoSpaceDE w:val="0"/>
        <w:autoSpaceDN w:val="0"/>
        <w:adjustRightInd w:val="0"/>
        <w:spacing w:line="360" w:lineRule="auto"/>
        <w:ind w:left="441" w:leftChars="-6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（3）开标后，直至向中标人授予合同期间，凡与审查、澄清、评价和比较报价的有关资料以及授标意见等，参与评标工作的有关人员均不得向投标人及与评标无关的其他人透露。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74" w:name="_Toc486167667"/>
      <w:bookmarkStart w:id="75" w:name="_Toc30507_WPSOffice_Level2"/>
      <w:bookmarkStart w:id="76" w:name="_Toc140596876"/>
      <w:bookmarkStart w:id="77" w:name="_Toc1565"/>
      <w:bookmarkStart w:id="78" w:name="_Toc142508317"/>
      <w:bookmarkStart w:id="79" w:name="_Toc23213"/>
      <w:bookmarkStart w:id="80" w:name="_Toc32497"/>
      <w:bookmarkStart w:id="81" w:name="_Toc5395"/>
      <w:bookmarkStart w:id="82" w:name="_Toc450662853"/>
      <w:r>
        <w:rPr>
          <w:rFonts w:hint="eastAsia" w:ascii="宋体" w:hAnsi="宋体" w:eastAsia="宋体" w:cs="宋体"/>
          <w:b/>
          <w:bCs/>
          <w:color w:val="auto"/>
          <w:kern w:val="44"/>
          <w:szCs w:val="21"/>
          <w:highlight w:val="none"/>
          <w:lang w:val="zh-CN"/>
        </w:rPr>
        <w:t>二、招标文件</w:t>
      </w:r>
      <w:bookmarkEnd w:id="74"/>
      <w:bookmarkEnd w:id="75"/>
      <w:bookmarkEnd w:id="76"/>
      <w:bookmarkEnd w:id="77"/>
      <w:bookmarkEnd w:id="78"/>
      <w:bookmarkEnd w:id="79"/>
      <w:bookmarkEnd w:id="80"/>
      <w:bookmarkEnd w:id="81"/>
      <w:bookmarkEnd w:id="82"/>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83" w:name="_Toc142508318"/>
      <w:bookmarkStart w:id="84" w:name="_Toc28893"/>
      <w:bookmarkStart w:id="85" w:name="_Toc2406"/>
      <w:bookmarkStart w:id="86" w:name="_Toc9718"/>
      <w:bookmarkStart w:id="87" w:name="_Toc3978"/>
      <w:bookmarkStart w:id="88" w:name="_Toc486167668"/>
      <w:bookmarkStart w:id="89" w:name="_Toc450662854"/>
      <w:bookmarkStart w:id="90" w:name="_Toc26635_WPSOffice_Level3"/>
      <w:r>
        <w:rPr>
          <w:rFonts w:hint="eastAsia" w:ascii="宋体" w:hAnsi="宋体" w:eastAsia="宋体" w:cs="宋体"/>
          <w:color w:val="auto"/>
          <w:szCs w:val="21"/>
          <w:highlight w:val="none"/>
          <w:lang w:val="zh-CN"/>
        </w:rPr>
        <w:t>5 招标文件的构成</w:t>
      </w:r>
      <w:bookmarkEnd w:id="83"/>
      <w:bookmarkEnd w:id="84"/>
      <w:bookmarkEnd w:id="85"/>
      <w:bookmarkEnd w:id="86"/>
      <w:bookmarkEnd w:id="87"/>
      <w:bookmarkEnd w:id="88"/>
      <w:bookmarkEnd w:id="89"/>
      <w:bookmarkEnd w:id="90"/>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招标文件包括：</w:t>
      </w:r>
    </w:p>
    <w:p>
      <w:pPr>
        <w:tabs>
          <w:tab w:val="left" w:pos="1890"/>
        </w:tabs>
        <w:autoSpaceDE w:val="0"/>
        <w:autoSpaceDN w:val="0"/>
        <w:adjustRightInd w:val="0"/>
        <w:spacing w:line="360" w:lineRule="auto"/>
        <w:ind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pPr>
        <w:tabs>
          <w:tab w:val="left" w:pos="1890"/>
        </w:tabs>
        <w:autoSpaceDE w:val="0"/>
        <w:autoSpaceDN w:val="0"/>
        <w:adjustRightInd w:val="0"/>
        <w:spacing w:line="360" w:lineRule="auto"/>
        <w:ind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pPr>
        <w:tabs>
          <w:tab w:val="left" w:pos="1890"/>
        </w:tabs>
        <w:autoSpaceDE w:val="0"/>
        <w:autoSpaceDN w:val="0"/>
        <w:adjustRightInd w:val="0"/>
        <w:spacing w:line="360" w:lineRule="auto"/>
        <w:ind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pPr>
        <w:tabs>
          <w:tab w:val="left" w:pos="1890"/>
        </w:tabs>
        <w:autoSpaceDE w:val="0"/>
        <w:autoSpaceDN w:val="0"/>
        <w:adjustRightInd w:val="0"/>
        <w:spacing w:line="360" w:lineRule="auto"/>
        <w:ind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pPr>
        <w:tabs>
          <w:tab w:val="left" w:pos="1890"/>
        </w:tabs>
        <w:autoSpaceDE w:val="0"/>
        <w:autoSpaceDN w:val="0"/>
        <w:adjustRightInd w:val="0"/>
        <w:spacing w:line="360" w:lineRule="auto"/>
        <w:ind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pPr>
        <w:tabs>
          <w:tab w:val="left" w:pos="1890"/>
        </w:tabs>
        <w:autoSpaceDE w:val="0"/>
        <w:autoSpaceDN w:val="0"/>
        <w:adjustRightInd w:val="0"/>
        <w:spacing w:line="360" w:lineRule="auto"/>
        <w:ind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pPr>
        <w:tabs>
          <w:tab w:val="left" w:pos="1890"/>
        </w:tabs>
        <w:autoSpaceDE w:val="0"/>
        <w:autoSpaceDN w:val="0"/>
        <w:adjustRightInd w:val="0"/>
        <w:spacing w:line="360" w:lineRule="auto"/>
        <w:ind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w:t>
      </w:r>
    </w:p>
    <w:p>
      <w:pPr>
        <w:autoSpaceDE w:val="0"/>
        <w:autoSpaceDN w:val="0"/>
        <w:adjustRightInd w:val="0"/>
        <w:spacing w:line="360" w:lineRule="auto"/>
        <w:ind w:left="355" w:leftChars="100" w:hanging="145" w:hangingChars="69"/>
        <w:rPr>
          <w:rFonts w:hint="eastAsia" w:ascii="宋体" w:hAnsi="宋体" w:eastAsia="宋体" w:cs="宋体"/>
          <w:b/>
          <w:bCs/>
          <w:color w:val="auto"/>
          <w:szCs w:val="21"/>
          <w:highlight w:val="none"/>
          <w:u w:val="single"/>
          <w:lang w:val="zh-CN"/>
        </w:rPr>
      </w:pPr>
      <w:r>
        <w:rPr>
          <w:rFonts w:hint="eastAsia" w:ascii="宋体" w:hAnsi="宋体" w:eastAsia="宋体" w:cs="宋体"/>
          <w:b/>
          <w:bCs/>
          <w:color w:val="auto"/>
          <w:szCs w:val="21"/>
          <w:highlight w:val="none"/>
          <w:u w:val="single"/>
          <w:lang w:val="zh-CN"/>
        </w:rPr>
        <w:t>标文件未对招标文件作出实质性响应（★标志的部分为投标人、投标拟供服务必备的条件或重要指示），那</w:t>
      </w:r>
    </w:p>
    <w:p>
      <w:pPr>
        <w:autoSpaceDE w:val="0"/>
        <w:autoSpaceDN w:val="0"/>
        <w:adjustRightInd w:val="0"/>
        <w:spacing w:line="360" w:lineRule="auto"/>
        <w:ind w:left="355" w:leftChars="100" w:hanging="145" w:hangingChars="69"/>
        <w:rPr>
          <w:rFonts w:ascii="宋体" w:hAnsi="宋体" w:eastAsia="宋体" w:cs="宋体"/>
          <w:b/>
          <w:bCs/>
          <w:color w:val="auto"/>
          <w:szCs w:val="21"/>
          <w:highlight w:val="none"/>
          <w:u w:val="single"/>
          <w:lang w:val="zh-CN"/>
        </w:rPr>
      </w:pPr>
      <w:r>
        <w:rPr>
          <w:rFonts w:hint="eastAsia" w:ascii="宋体" w:hAnsi="宋体" w:eastAsia="宋体" w:cs="宋体"/>
          <w:b/>
          <w:bCs/>
          <w:color w:val="auto"/>
          <w:szCs w:val="21"/>
          <w:highlight w:val="none"/>
          <w:u w:val="single"/>
          <w:lang w:val="zh-CN"/>
        </w:rPr>
        <w:t>么投标人的投标文件将有可能被拒绝接收或评审为无效投标文件。</w:t>
      </w:r>
    </w:p>
    <w:p>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w:t>
      </w:r>
      <w:r>
        <w:rPr>
          <w:rFonts w:hint="eastAsia" w:ascii="宋体" w:hAnsi="宋体" w:eastAsia="宋体" w:cs="宋体"/>
          <w:color w:val="auto"/>
          <w:szCs w:val="21"/>
          <w:highlight w:val="none"/>
          <w:lang w:val="zh-CN"/>
        </w:rPr>
        <w:t>东莞市众源环境投资有限公司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w:t>
      </w:r>
      <w:r>
        <w:rPr>
          <w:rFonts w:hint="eastAsia" w:ascii="宋体" w:hAnsi="宋体" w:eastAsia="宋体" w:cs="宋体"/>
          <w:color w:val="auto"/>
          <w:szCs w:val="21"/>
          <w:highlight w:val="none"/>
          <w:lang w:val="zh-CN"/>
        </w:rPr>
        <w:t>广东有德招标采购有限公司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w:t>
      </w:r>
      <w:r>
        <w:rPr>
          <w:rFonts w:hint="eastAsia" w:ascii="宋体" w:hAnsi="宋体" w:eastAsia="宋体" w:cs="宋体"/>
          <w:color w:val="auto"/>
          <w:szCs w:val="21"/>
          <w:highlight w:val="none"/>
          <w:lang w:val="zh-CN"/>
        </w:rPr>
        <w:t>东莞市众源环境投资有限公司污泥脱水减量配合服务采购项目</w:t>
      </w:r>
      <w:r>
        <w:rPr>
          <w:rFonts w:hint="eastAsia" w:ascii="宋体" w:hAnsi="宋体" w:eastAsia="宋体" w:cs="宋体"/>
          <w:color w:val="auto"/>
          <w:kern w:val="0"/>
          <w:szCs w:val="21"/>
          <w:highlight w:val="none"/>
        </w:rPr>
        <w:t>所需的服务的投标，并向招标代理机构提交投标文件的当事人；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w:t>
      </w:r>
      <w:r>
        <w:rPr>
          <w:rFonts w:hint="eastAsia" w:ascii="宋体" w:hAnsi="宋体" w:eastAsia="宋体" w:cs="宋体"/>
          <w:color w:val="auto"/>
          <w:szCs w:val="21"/>
          <w:highlight w:val="none"/>
          <w:lang w:val="zh-CN"/>
        </w:rPr>
        <w:t>东莞市众源环境投资有限公司</w:t>
      </w:r>
      <w:r>
        <w:rPr>
          <w:rFonts w:hint="eastAsia" w:ascii="宋体" w:hAnsi="宋体" w:eastAsia="宋体" w:cs="宋体"/>
          <w:color w:val="auto"/>
          <w:kern w:val="0"/>
          <w:szCs w:val="21"/>
          <w:highlight w:val="none"/>
        </w:rPr>
        <w:t>；</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（8）“招标文件”指由招标代理机构发出的本招标文件，包括全部章节和附件；</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1" w:name="_Toc486167669"/>
      <w:bookmarkStart w:id="92" w:name="_Toc3727"/>
      <w:bookmarkStart w:id="93" w:name="_Toc29125_WPSOffice_Level3"/>
      <w:bookmarkStart w:id="94" w:name="_Toc5646"/>
      <w:bookmarkStart w:id="95" w:name="_Toc11346"/>
      <w:bookmarkStart w:id="96" w:name="_Toc450662855"/>
      <w:bookmarkStart w:id="97" w:name="_Toc142508319"/>
      <w:bookmarkStart w:id="98" w:name="_Toc1433"/>
      <w:r>
        <w:rPr>
          <w:rFonts w:hint="eastAsia" w:ascii="宋体" w:hAnsi="宋体" w:eastAsia="宋体" w:cs="宋体"/>
          <w:color w:val="auto"/>
          <w:szCs w:val="21"/>
          <w:highlight w:val="none"/>
          <w:lang w:val="zh-CN"/>
        </w:rPr>
        <w:t>6 招标文件的异议</w:t>
      </w:r>
      <w:bookmarkEnd w:id="91"/>
      <w:bookmarkEnd w:id="92"/>
      <w:bookmarkEnd w:id="93"/>
      <w:bookmarkEnd w:id="94"/>
      <w:bookmarkEnd w:id="95"/>
      <w:bookmarkEnd w:id="96"/>
      <w:bookmarkEnd w:id="97"/>
      <w:bookmarkEnd w:id="98"/>
    </w:p>
    <w:p>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9" w:name="_Toc23483_WPSOffice_Level3"/>
      <w:bookmarkStart w:id="100" w:name="_Toc17145"/>
      <w:bookmarkStart w:id="101" w:name="_Toc486167670"/>
      <w:bookmarkStart w:id="102" w:name="_Toc15231"/>
      <w:bookmarkStart w:id="103" w:name="_Toc29864"/>
      <w:bookmarkStart w:id="104" w:name="_Toc39"/>
      <w:bookmarkStart w:id="105" w:name="_Toc142508320"/>
      <w:bookmarkStart w:id="106" w:name="_Toc450662856"/>
      <w:r>
        <w:rPr>
          <w:rFonts w:hint="eastAsia" w:ascii="宋体" w:hAnsi="宋体" w:eastAsia="宋体" w:cs="宋体"/>
          <w:color w:val="auto"/>
          <w:szCs w:val="21"/>
          <w:highlight w:val="none"/>
          <w:lang w:val="zh-CN"/>
        </w:rPr>
        <w:t>7 招标文件的澄清及修改</w:t>
      </w:r>
      <w:bookmarkEnd w:id="99"/>
      <w:bookmarkEnd w:id="100"/>
      <w:bookmarkEnd w:id="101"/>
      <w:bookmarkEnd w:id="102"/>
      <w:bookmarkEnd w:id="103"/>
      <w:bookmarkEnd w:id="104"/>
      <w:bookmarkEnd w:id="105"/>
      <w:bookmarkEnd w:id="106"/>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招标代理机构对已发出的招标文件进行必要澄清或者修改的，将在招标文件要求提交投标文件截止时间15日</w:t>
      </w:r>
    </w:p>
    <w:p>
      <w:pPr>
        <w:autoSpaceDE w:val="0"/>
        <w:autoSpaceDN w:val="0"/>
        <w:adjustRightInd w:val="0"/>
        <w:spacing w:line="360" w:lineRule="auto"/>
        <w:ind w:left="357" w:leftChars="100" w:hanging="147" w:hangingChars="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前，在招标信息发布媒介上发布更正公告，</w:t>
      </w:r>
      <w:r>
        <w:rPr>
          <w:rFonts w:hint="eastAsia" w:ascii="宋体" w:hAnsi="宋体" w:eastAsia="宋体" w:cs="宋体"/>
          <w:color w:val="auto"/>
          <w:szCs w:val="21"/>
          <w:highlight w:val="none"/>
          <w:lang w:val="en-US" w:eastAsia="zh-CN"/>
        </w:rPr>
        <w:t>请各投标人密切留意</w:t>
      </w:r>
      <w:r>
        <w:rPr>
          <w:rFonts w:hint="eastAsia" w:ascii="宋体" w:hAnsi="宋体" w:eastAsia="宋体" w:cs="宋体"/>
          <w:color w:val="auto"/>
          <w:szCs w:val="21"/>
          <w:highlight w:val="none"/>
          <w:lang w:val="zh-CN"/>
        </w:rPr>
        <w:t>。该澄清或者修改的内容为招标文件的组成</w:t>
      </w:r>
    </w:p>
    <w:p>
      <w:pPr>
        <w:autoSpaceDE w:val="0"/>
        <w:autoSpaceDN w:val="0"/>
        <w:adjustRightInd w:val="0"/>
        <w:spacing w:line="360" w:lineRule="auto"/>
        <w:ind w:left="357" w:leftChars="100" w:hanging="147" w:hangingChars="7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部分。</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w:t>
      </w:r>
    </w:p>
    <w:p>
      <w:pPr>
        <w:autoSpaceDE w:val="0"/>
        <w:autoSpaceDN w:val="0"/>
        <w:adjustRightInd w:val="0"/>
        <w:spacing w:line="360" w:lineRule="auto"/>
        <w:ind w:left="357" w:leftChars="100" w:hanging="147" w:hangingChars="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止时间前，在招标信息发布媒介上发布变更公告。</w:t>
      </w:r>
    </w:p>
    <w:p>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宋体"/>
          <w:bCs/>
          <w:color w:val="auto"/>
          <w:szCs w:val="21"/>
          <w:highlight w:val="none"/>
        </w:rPr>
        <w:t>广东省公共资源交易平台（ygp.gdzwfw.gov.cn）、</w:t>
      </w:r>
      <w:r>
        <w:rPr>
          <w:rFonts w:hint="eastAsia" w:ascii="宋体" w:hAnsi="宋体" w:eastAsia="宋体" w:cs="宋体"/>
          <w:color w:val="auto"/>
          <w:szCs w:val="21"/>
          <w:highlight w:val="none"/>
          <w:lang w:val="zh-CN"/>
        </w:rPr>
        <w:t>中国招标投标公共服务平台</w:t>
      </w:r>
    </w:p>
    <w:p>
      <w:pPr>
        <w:autoSpaceDE w:val="0"/>
        <w:autoSpaceDN w:val="0"/>
        <w:adjustRightInd w:val="0"/>
        <w:spacing w:line="360" w:lineRule="auto"/>
        <w:ind w:left="357" w:leftChars="100" w:hanging="147" w:hangingChars="70"/>
        <w:rPr>
          <w:rStyle w:val="44"/>
          <w:rFonts w:hint="eastAsia" w:ascii="宋体" w:hAnsi="宋体" w:eastAsia="宋体" w:cs="宋体"/>
          <w:bCs/>
          <w:color w:val="auto"/>
          <w:kern w:val="0"/>
          <w:sz w:val="21"/>
          <w:szCs w:val="21"/>
          <w:highlight w:val="none"/>
        </w:rPr>
      </w:pPr>
      <w:r>
        <w:rPr>
          <w:rFonts w:hint="eastAsia" w:ascii="宋体" w:hAnsi="宋体" w:eastAsia="宋体" w:cs="宋体"/>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4"/>
          <w:rFonts w:hint="eastAsia" w:ascii="宋体" w:hAnsi="宋体" w:eastAsia="宋体" w:cs="宋体"/>
          <w:color w:val="auto"/>
          <w:sz w:val="21"/>
          <w:szCs w:val="21"/>
          <w:highlight w:val="none"/>
        </w:rPr>
        <w:t>www.dgswjt.cn）</w:t>
      </w:r>
      <w:r>
        <w:rPr>
          <w:rStyle w:val="44"/>
          <w:rFonts w:hint="eastAsia" w:ascii="宋体" w:hAnsi="宋体" w:eastAsia="宋体" w:cs="宋体"/>
          <w:color w:val="auto"/>
          <w:sz w:val="21"/>
          <w:szCs w:val="21"/>
          <w:highlight w:val="none"/>
          <w:lang w:val="zh-CN"/>
        </w:rPr>
        <w:t>、</w:t>
      </w:r>
      <w:r>
        <w:rPr>
          <w:rStyle w:val="44"/>
          <w:rFonts w:hint="eastAsia" w:ascii="宋体" w:hAnsi="宋体" w:eastAsia="宋体" w:cs="宋体"/>
          <w:bCs/>
          <w:color w:val="auto"/>
          <w:kern w:val="0"/>
          <w:sz w:val="21"/>
          <w:szCs w:val="21"/>
          <w:highlight w:val="none"/>
        </w:rPr>
        <w:t>招标代理机构网站</w:t>
      </w:r>
    </w:p>
    <w:p>
      <w:pPr>
        <w:autoSpaceDE w:val="0"/>
        <w:autoSpaceDN w:val="0"/>
        <w:adjustRightInd w:val="0"/>
        <w:spacing w:line="360" w:lineRule="auto"/>
        <w:ind w:left="357" w:leftChars="100" w:hanging="147" w:hangingChars="70"/>
        <w:rPr>
          <w:rFonts w:ascii="宋体" w:hAnsi="宋体" w:eastAsia="宋体" w:cs="宋体"/>
          <w:color w:val="auto"/>
          <w:szCs w:val="21"/>
          <w:highlight w:val="none"/>
          <w:lang w:val="zh-CN"/>
        </w:rPr>
      </w:pPr>
      <w:r>
        <w:rPr>
          <w:rStyle w:val="44"/>
          <w:rFonts w:hint="eastAsia" w:ascii="宋体" w:hAnsi="宋体" w:eastAsia="宋体" w:cs="宋体"/>
          <w:bCs/>
          <w:color w:val="auto"/>
          <w:kern w:val="0"/>
          <w:sz w:val="21"/>
          <w:szCs w:val="21"/>
          <w:highlight w:val="none"/>
        </w:rPr>
        <w:t>（</w:t>
      </w:r>
      <w:r>
        <w:rPr>
          <w:rStyle w:val="44"/>
          <w:rFonts w:hint="eastAsia" w:ascii="宋体" w:hAnsi="宋体" w:eastAsia="宋体" w:cs="宋体"/>
          <w:bCs/>
          <w:color w:val="auto"/>
          <w:kern w:val="0"/>
          <w:sz w:val="21"/>
          <w:szCs w:val="21"/>
          <w:highlight w:val="none"/>
          <w:lang w:val="zh-CN"/>
        </w:rPr>
        <w:t>www.youde.net</w:t>
      </w:r>
      <w:r>
        <w:rPr>
          <w:rStyle w:val="44"/>
          <w:rFonts w:hint="eastAsia" w:ascii="宋体" w:hAnsi="宋体" w:eastAsia="宋体" w:cs="宋体"/>
          <w:bCs/>
          <w:color w:val="auto"/>
          <w:kern w:val="0"/>
          <w:sz w:val="21"/>
          <w:szCs w:val="21"/>
          <w:highlight w:val="none"/>
        </w:rPr>
        <w:t>）</w:t>
      </w:r>
      <w:r>
        <w:rPr>
          <w:rStyle w:val="44"/>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w:t>
      </w:r>
      <w:r>
        <w:rPr>
          <w:rFonts w:hint="eastAsia" w:ascii="宋体" w:hAnsi="宋体" w:eastAsia="宋体" w:cs="宋体"/>
          <w:color w:val="auto"/>
          <w:szCs w:val="21"/>
          <w:highlight w:val="none"/>
          <w:lang w:val="en-US" w:eastAsia="zh-CN"/>
        </w:rPr>
        <w:t>请各投标人密切留意</w:t>
      </w:r>
      <w:r>
        <w:rPr>
          <w:rFonts w:hint="eastAsia" w:ascii="宋体" w:hAnsi="宋体" w:eastAsia="宋体" w:cs="宋体"/>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p>
    <w:p>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107" w:name="_Toc27196"/>
      <w:bookmarkStart w:id="108" w:name="_Toc486167671"/>
      <w:bookmarkStart w:id="109" w:name="_Toc8711"/>
      <w:bookmarkStart w:id="110" w:name="_Toc450662857"/>
      <w:bookmarkStart w:id="111" w:name="_Toc23342"/>
      <w:bookmarkStart w:id="112" w:name="_Toc142508321"/>
      <w:bookmarkStart w:id="113" w:name="_Toc29659_WPSOffice_Level2"/>
      <w:bookmarkStart w:id="114" w:name="_Toc14959"/>
      <w:bookmarkStart w:id="115" w:name="_Toc140596880"/>
      <w:r>
        <w:rPr>
          <w:rFonts w:hint="eastAsia" w:ascii="宋体" w:hAnsi="宋体" w:eastAsia="宋体" w:cs="宋体"/>
          <w:b/>
          <w:bCs/>
          <w:color w:val="auto"/>
          <w:kern w:val="44"/>
          <w:szCs w:val="21"/>
          <w:highlight w:val="none"/>
          <w:lang w:val="zh-CN"/>
        </w:rPr>
        <w:t>三、投标文件的编制</w:t>
      </w:r>
      <w:bookmarkEnd w:id="107"/>
      <w:bookmarkEnd w:id="108"/>
      <w:bookmarkEnd w:id="109"/>
      <w:bookmarkEnd w:id="110"/>
      <w:bookmarkEnd w:id="111"/>
      <w:bookmarkEnd w:id="112"/>
      <w:bookmarkEnd w:id="113"/>
      <w:bookmarkEnd w:id="114"/>
      <w:bookmarkEnd w:id="115"/>
    </w:p>
    <w:p>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6" w:name="_Toc450662858"/>
      <w:bookmarkStart w:id="117" w:name="_Toc10015_WPSOffice_Level3"/>
      <w:bookmarkStart w:id="118" w:name="_Toc486167672"/>
      <w:bookmarkStart w:id="119" w:name="_Toc3827"/>
      <w:bookmarkStart w:id="120" w:name="_Toc6244"/>
      <w:bookmarkStart w:id="121" w:name="_Toc31162"/>
      <w:bookmarkStart w:id="122" w:name="_Toc16003"/>
      <w:bookmarkStart w:id="123" w:name="_Toc142508322"/>
      <w:r>
        <w:rPr>
          <w:rFonts w:hint="eastAsia" w:ascii="宋体" w:hAnsi="宋体" w:eastAsia="宋体" w:cs="宋体"/>
          <w:color w:val="auto"/>
          <w:szCs w:val="21"/>
          <w:highlight w:val="none"/>
          <w:lang w:val="zh-CN"/>
        </w:rPr>
        <w:t>8 投标使用的文字及度量衡单位</w:t>
      </w:r>
      <w:bookmarkEnd w:id="116"/>
      <w:bookmarkEnd w:id="117"/>
      <w:bookmarkEnd w:id="118"/>
      <w:bookmarkEnd w:id="119"/>
      <w:bookmarkEnd w:id="120"/>
      <w:bookmarkEnd w:id="121"/>
      <w:bookmarkEnd w:id="122"/>
      <w:bookmarkEnd w:id="123"/>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color w:val="auto"/>
          <w:szCs w:val="21"/>
          <w:highlight w:val="none"/>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24" w:name="_Toc142508323"/>
      <w:bookmarkStart w:id="125" w:name="_Toc24916_WPSOffice_Level3"/>
      <w:bookmarkStart w:id="126" w:name="_Toc26462"/>
      <w:bookmarkStart w:id="127" w:name="_Toc14943"/>
      <w:bookmarkStart w:id="128" w:name="_Toc7348"/>
      <w:bookmarkStart w:id="129" w:name="_Toc450662859"/>
      <w:bookmarkStart w:id="130" w:name="_Toc907"/>
      <w:bookmarkStart w:id="131" w:name="_Toc486167673"/>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24"/>
      <w:bookmarkEnd w:id="125"/>
      <w:bookmarkEnd w:id="126"/>
      <w:bookmarkEnd w:id="127"/>
      <w:bookmarkEnd w:id="128"/>
      <w:bookmarkEnd w:id="129"/>
      <w:bookmarkEnd w:id="130"/>
      <w:bookmarkEnd w:id="131"/>
    </w:p>
    <w:p>
      <w:pPr>
        <w:autoSpaceDE w:val="0"/>
        <w:autoSpaceDN w:val="0"/>
        <w:adjustRightInd w:val="0"/>
        <w:spacing w:line="360" w:lineRule="auto"/>
        <w:ind w:left="422" w:leftChars="-100" w:hanging="632" w:hangingChars="300"/>
        <w:rPr>
          <w:rFonts w:hint="eastAsia" w:ascii="宋体" w:hAnsi="宋体" w:eastAsia="宋体" w:cs="宋体"/>
          <w:b/>
          <w:color w:val="auto"/>
          <w:kern w:val="0"/>
          <w:szCs w:val="21"/>
          <w:highlight w:val="none"/>
          <w:u w:val="singl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lang w:val="en-US" w:eastAsia="zh-CN"/>
        </w:rPr>
        <w:t>投标人需按包组编制投标文件，</w:t>
      </w:r>
      <w:r>
        <w:rPr>
          <w:rFonts w:hint="eastAsia" w:ascii="宋体" w:hAnsi="宋体" w:eastAsia="宋体" w:cs="宋体"/>
          <w:b/>
          <w:color w:val="auto"/>
          <w:kern w:val="0"/>
          <w:szCs w:val="21"/>
          <w:highlight w:val="none"/>
          <w:u w:val="single"/>
        </w:rPr>
        <w:t>商务文件、技术文件由投标人根据各自文件的实际情况决</w:t>
      </w:r>
    </w:p>
    <w:p>
      <w:pPr>
        <w:keepNext w:val="0"/>
        <w:keepLines w:val="0"/>
        <w:pageBreakBefore w:val="0"/>
        <w:widowControl w:val="0"/>
        <w:kinsoku/>
        <w:wordWrap/>
        <w:overflowPunct/>
        <w:topLinePunct w:val="0"/>
        <w:autoSpaceDE w:val="0"/>
        <w:autoSpaceDN w:val="0"/>
        <w:bidi w:val="0"/>
        <w:adjustRightInd w:val="0"/>
        <w:snapToGrid/>
        <w:spacing w:line="360" w:lineRule="auto"/>
        <w:ind w:left="210" w:leftChars="100"/>
        <w:textAlignment w:val="auto"/>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定是否分册装订，招标文件不做限制</w:t>
      </w:r>
      <w:r>
        <w:rPr>
          <w:rFonts w:hint="eastAsia" w:ascii="宋体" w:hAnsi="宋体" w:eastAsia="宋体" w:cs="宋体"/>
          <w:b/>
          <w:color w:val="auto"/>
          <w:kern w:val="0"/>
          <w:szCs w:val="21"/>
          <w:highlight w:val="none"/>
        </w:rPr>
        <w:t>。</w:t>
      </w:r>
    </w:p>
    <w:p>
      <w:pPr>
        <w:autoSpaceDE w:val="0"/>
        <w:autoSpaceDN w:val="0"/>
        <w:adjustRightInd w:val="0"/>
        <w:spacing w:line="360" w:lineRule="auto"/>
        <w:ind w:left="422" w:leftChars="-100"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pPr>
        <w:autoSpaceDE w:val="0"/>
        <w:autoSpaceDN w:val="0"/>
        <w:adjustRightInd w:val="0"/>
        <w:spacing w:line="360" w:lineRule="auto"/>
        <w:jc w:val="left"/>
        <w:rPr>
          <w:rFonts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）投标报价表；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）投标人资格证明文件：</w:t>
      </w:r>
    </w:p>
    <w:p>
      <w:pPr>
        <w:autoSpaceDE w:val="0"/>
        <w:autoSpaceDN w:val="0"/>
        <w:adjustRightInd w:val="0"/>
        <w:spacing w:line="360" w:lineRule="auto"/>
        <w:ind w:left="283" w:hanging="283" w:hangingChars="13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pPr>
        <w:autoSpaceDE w:val="0"/>
        <w:autoSpaceDN w:val="0"/>
        <w:adjustRightInd w:val="0"/>
        <w:spacing w:line="360" w:lineRule="auto"/>
        <w:ind w:left="283" w:hanging="283" w:hangingChars="135"/>
        <w:rPr>
          <w:rFonts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p>
    <w:p>
      <w:pPr>
        <w:autoSpaceDE w:val="0"/>
        <w:autoSpaceDN w:val="0"/>
        <w:adjustRightInd w:val="0"/>
        <w:spacing w:line="360" w:lineRule="auto"/>
        <w:ind w:left="283" w:hanging="283" w:hangingChars="135"/>
        <w:rPr>
          <w:rFonts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pPr>
        <w:tabs>
          <w:tab w:val="left" w:pos="1276"/>
        </w:tabs>
        <w:spacing w:line="360" w:lineRule="auto"/>
        <w:ind w:left="283" w:hanging="283" w:hangingChars="135"/>
        <w:rPr>
          <w:rFonts w:ascii="宋体" w:hAnsi="宋体" w:eastAsia="宋体" w:cs="宋体"/>
          <w:color w:val="auto"/>
          <w:szCs w:val="21"/>
          <w:highlight w:val="none"/>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）资格业绩【投标人</w:t>
      </w:r>
      <w:r>
        <w:rPr>
          <w:rFonts w:hint="eastAsia" w:ascii="宋体" w:hAnsi="宋体" w:eastAsia="宋体" w:cs="宋体"/>
          <w:color w:val="auto"/>
          <w:szCs w:val="21"/>
          <w:highlight w:val="none"/>
          <w:lang w:val="en-US" w:eastAsia="zh-CN"/>
        </w:rPr>
        <w:t>提供一项</w:t>
      </w:r>
      <w:r>
        <w:rPr>
          <w:rFonts w:hint="eastAsia" w:ascii="宋体" w:hAnsi="宋体" w:eastAsia="宋体" w:cs="宋体"/>
          <w:color w:val="auto"/>
          <w:szCs w:val="21"/>
          <w:highlight w:val="none"/>
        </w:rPr>
        <w:t>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年1月1日以来</w:t>
      </w:r>
      <w:r>
        <w:rPr>
          <w:rFonts w:hint="eastAsia" w:ascii="宋体" w:hAnsi="宋体" w:eastAsia="宋体" w:cs="宋体"/>
          <w:bCs/>
          <w:color w:val="auto"/>
          <w:szCs w:val="21"/>
          <w:highlight w:val="none"/>
        </w:rPr>
        <w:t>具有</w:t>
      </w:r>
      <w:r>
        <w:rPr>
          <w:rFonts w:hint="eastAsia" w:ascii="宋体" w:hAnsi="宋体" w:eastAsia="宋体" w:cs="宋体"/>
          <w:b/>
          <w:bCs w:val="0"/>
          <w:color w:val="auto"/>
          <w:szCs w:val="21"/>
          <w:highlight w:val="none"/>
        </w:rPr>
        <w:t>污泥脱水减量化处理服务或污泥脱水减量配合服务业绩</w:t>
      </w:r>
      <w:r>
        <w:rPr>
          <w:rFonts w:hint="eastAsia" w:ascii="宋体" w:hAnsi="宋体" w:eastAsia="宋体" w:cs="宋体"/>
          <w:color w:val="auto"/>
          <w:szCs w:val="21"/>
          <w:highlight w:val="none"/>
        </w:rPr>
        <w:t>（合同签订日期为202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年1月1日或以后），资格业绩证明材料提交要求详见招标文件第六篇投标文件格式</w:t>
      </w:r>
      <w:r>
        <w:rPr>
          <w:rFonts w:hint="eastAsia" w:ascii="宋体" w:hAnsi="宋体" w:eastAsia="宋体" w:cs="宋体"/>
          <w:color w:val="auto"/>
          <w:szCs w:val="21"/>
          <w:highlight w:val="none"/>
          <w:u w:val="single"/>
        </w:rPr>
        <w:t>5.4</w:t>
      </w:r>
      <w:r>
        <w:rPr>
          <w:rFonts w:hint="eastAsia" w:ascii="宋体" w:hAnsi="宋体" w:eastAsia="宋体" w:cs="宋体"/>
          <w:color w:val="auto"/>
          <w:szCs w:val="21"/>
          <w:highlight w:val="none"/>
        </w:rPr>
        <w:t>】；</w:t>
      </w:r>
    </w:p>
    <w:p>
      <w:pPr>
        <w:autoSpaceDE w:val="0"/>
        <w:autoSpaceDN w:val="0"/>
        <w:adjustRightInd w:val="0"/>
        <w:spacing w:line="360" w:lineRule="auto"/>
        <w:ind w:left="913" w:hanging="913" w:hangingChars="435"/>
        <w:rPr>
          <w:rFonts w:ascii="宋体" w:hAnsi="宋体" w:eastAsia="宋体" w:cs="宋体"/>
          <w:color w:val="auto"/>
          <w:szCs w:val="21"/>
          <w:highlight w:val="none"/>
          <w:lang w:val="zh-CN"/>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val="zh-CN"/>
        </w:rPr>
        <w:t>标准化体系认证；</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pPr>
        <w:autoSpaceDE w:val="0"/>
        <w:autoSpaceDN w:val="0"/>
        <w:adjustRightInd w:val="0"/>
        <w:spacing w:line="360" w:lineRule="auto"/>
        <w:ind w:right="-23" w:rightChars="-11"/>
        <w:jc w:val="left"/>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总体服务方案（投标人自行编写）</w:t>
      </w:r>
      <w:r>
        <w:rPr>
          <w:rFonts w:hint="eastAsia" w:ascii="宋体" w:hAnsi="宋体" w:eastAsia="宋体" w:cs="宋体"/>
          <w:color w:val="auto"/>
          <w:kern w:val="0"/>
          <w:szCs w:val="21"/>
          <w:highlight w:val="none"/>
          <w:lang w:val="zh-CN"/>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lang w:val="en-US" w:eastAsia="zh-CN"/>
        </w:rPr>
        <w:t>服务团队</w:t>
      </w:r>
      <w:r>
        <w:rPr>
          <w:rFonts w:hint="eastAsia" w:ascii="宋体" w:hAnsi="宋体" w:eastAsia="宋体" w:cs="宋体"/>
          <w:color w:val="auto"/>
          <w:szCs w:val="21"/>
          <w:highlight w:val="none"/>
        </w:rPr>
        <w:t>情况</w:t>
      </w:r>
      <w:r>
        <w:rPr>
          <w:rFonts w:hint="eastAsia" w:ascii="宋体" w:hAnsi="宋体" w:eastAsia="宋体" w:cs="宋体"/>
          <w:color w:val="auto"/>
          <w:kern w:val="0"/>
          <w:szCs w:val="21"/>
          <w:highlight w:val="none"/>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应急预案和保障措施（投标人自行编写</w:t>
      </w:r>
      <w:r>
        <w:rPr>
          <w:rFonts w:hint="eastAsia" w:ascii="宋体" w:hAnsi="宋体" w:eastAsia="宋体" w:cs="宋体"/>
          <w:color w:val="auto"/>
          <w:szCs w:val="21"/>
          <w:highlight w:val="none"/>
          <w:lang w:eastAsia="zh-CN"/>
        </w:rPr>
        <w:t>）</w:t>
      </w:r>
      <w:r>
        <w:rPr>
          <w:rFonts w:hint="eastAsia" w:ascii="宋体" w:hAnsi="宋体" w:eastAsia="宋体" w:cs="宋体"/>
          <w:color w:val="auto"/>
          <w:kern w:val="0"/>
          <w:szCs w:val="21"/>
          <w:highlight w:val="none"/>
        </w:rPr>
        <w:t>；</w:t>
      </w:r>
    </w:p>
    <w:p>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 xml:space="preserve">9.1.3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pPr>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w:t>
      </w:r>
    </w:p>
    <w:p>
      <w:pPr>
        <w:autoSpaceDE w:val="0"/>
        <w:autoSpaceDN w:val="0"/>
        <w:adjustRightInd w:val="0"/>
        <w:spacing w:line="360" w:lineRule="auto"/>
        <w:ind w:left="315" w:leftChars="100" w:hanging="105" w:hangingChars="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式的，严格按照招标文件的要求编制，投标文件未含格式的，投标人自行编制。投标文件编制中要求的复印</w:t>
      </w:r>
    </w:p>
    <w:p>
      <w:pPr>
        <w:autoSpaceDE w:val="0"/>
        <w:autoSpaceDN w:val="0"/>
        <w:adjustRightInd w:val="0"/>
        <w:spacing w:line="360" w:lineRule="auto"/>
        <w:ind w:left="315" w:leftChars="100" w:hanging="105" w:hangingChars="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件、照片可为该资料扫描件的打印件。</w:t>
      </w:r>
    </w:p>
    <w:p>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u w:val="singl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w:t>
      </w:r>
    </w:p>
    <w:p>
      <w:pPr>
        <w:tabs>
          <w:tab w:val="left" w:pos="567"/>
        </w:tabs>
        <w:autoSpaceDE w:val="0"/>
        <w:autoSpaceDN w:val="0"/>
        <w:adjustRightInd w:val="0"/>
        <w:spacing w:line="360" w:lineRule="auto"/>
        <w:ind w:left="358" w:leftChars="100" w:hanging="148" w:hangingChars="7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认，否则视为无效证明材料；投标文件中存在外文资料的，投标人必须同时提供中文译本，且必须保证中文</w:t>
      </w:r>
    </w:p>
    <w:p>
      <w:pPr>
        <w:tabs>
          <w:tab w:val="left" w:pos="567"/>
        </w:tabs>
        <w:autoSpaceDE w:val="0"/>
        <w:autoSpaceDN w:val="0"/>
        <w:adjustRightInd w:val="0"/>
        <w:spacing w:line="360" w:lineRule="auto"/>
        <w:ind w:left="358" w:leftChars="100" w:hanging="148" w:hangingChars="70"/>
        <w:rPr>
          <w:rFonts w:hint="eastAsia" w:ascii="宋体" w:hAnsi="宋体" w:eastAsia="宋体" w:cs="宋体"/>
          <w:b/>
          <w:color w:val="auto"/>
          <w:szCs w:val="21"/>
          <w:highlight w:val="none"/>
          <w:u w:val="single"/>
          <w:lang w:val="zh-CN"/>
        </w:rPr>
      </w:pPr>
      <w:r>
        <w:rPr>
          <w:rFonts w:hint="eastAsia" w:ascii="宋体" w:hAnsi="宋体" w:eastAsia="宋体" w:cs="宋体"/>
          <w:b/>
          <w:color w:val="auto"/>
          <w:szCs w:val="21"/>
          <w:highlight w:val="none"/>
          <w:u w:val="single"/>
          <w:lang w:val="zh-CN"/>
        </w:rPr>
        <w:t>译本的准确，否则招标人不予认可，视为无效材料；投标人须承担因此对应造成投标无效，或评标时因无效</w:t>
      </w:r>
    </w:p>
    <w:p>
      <w:pPr>
        <w:tabs>
          <w:tab w:val="left" w:pos="567"/>
        </w:tabs>
        <w:autoSpaceDE w:val="0"/>
        <w:autoSpaceDN w:val="0"/>
        <w:adjustRightInd w:val="0"/>
        <w:spacing w:line="360" w:lineRule="auto"/>
        <w:ind w:left="358" w:leftChars="100" w:hanging="148" w:hangingChars="70"/>
        <w:rPr>
          <w:rFonts w:ascii="宋体" w:hAnsi="宋体" w:eastAsia="宋体" w:cs="宋体"/>
          <w:color w:val="auto"/>
          <w:szCs w:val="21"/>
          <w:highlight w:val="none"/>
          <w:lang w:val="zh-CN"/>
        </w:rPr>
      </w:pPr>
      <w:r>
        <w:rPr>
          <w:rFonts w:hint="eastAsia" w:ascii="宋体" w:hAnsi="宋体" w:eastAsia="宋体" w:cs="宋体"/>
          <w:b/>
          <w:color w:val="auto"/>
          <w:szCs w:val="21"/>
          <w:highlight w:val="none"/>
          <w:u w:val="single"/>
          <w:lang w:val="zh-CN"/>
        </w:rPr>
        <w:t>证明材料不得分，或拒绝接受投标的风险</w:t>
      </w:r>
      <w:r>
        <w:rPr>
          <w:rFonts w:hint="eastAsia" w:ascii="宋体" w:hAnsi="宋体" w:eastAsia="宋体" w:cs="宋体"/>
          <w:color w:val="auto"/>
          <w:szCs w:val="21"/>
          <w:highlight w:val="none"/>
          <w:lang w:val="zh-CN"/>
        </w:rPr>
        <w:t>。</w:t>
      </w:r>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2" w:name="_Toc13214"/>
      <w:bookmarkStart w:id="133" w:name="_Toc450662860"/>
      <w:bookmarkStart w:id="134" w:name="_Toc8675_WPSOffice_Level3"/>
      <w:bookmarkStart w:id="135" w:name="_Toc142508324"/>
      <w:bookmarkStart w:id="136" w:name="_Toc31771"/>
      <w:bookmarkStart w:id="137" w:name="_Toc1243"/>
      <w:bookmarkStart w:id="138" w:name="_Toc486167674"/>
      <w:bookmarkStart w:id="139" w:name="_Toc11170"/>
      <w:r>
        <w:rPr>
          <w:rFonts w:hint="eastAsia" w:ascii="宋体" w:hAnsi="宋体" w:eastAsia="宋体" w:cs="宋体"/>
          <w:color w:val="auto"/>
          <w:szCs w:val="21"/>
          <w:highlight w:val="none"/>
          <w:lang w:val="zh-CN"/>
        </w:rPr>
        <w:t>10 投标函</w:t>
      </w:r>
      <w:bookmarkEnd w:id="132"/>
      <w:bookmarkEnd w:id="133"/>
      <w:bookmarkEnd w:id="134"/>
      <w:bookmarkEnd w:id="135"/>
      <w:bookmarkEnd w:id="136"/>
      <w:bookmarkEnd w:id="137"/>
      <w:bookmarkEnd w:id="138"/>
      <w:bookmarkEnd w:id="139"/>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0" w:name="_Toc15427"/>
      <w:bookmarkStart w:id="141" w:name="_Toc4385_WPSOffice_Level3"/>
      <w:bookmarkStart w:id="142" w:name="_Toc450662861"/>
      <w:bookmarkStart w:id="143" w:name="_Toc20186"/>
      <w:bookmarkStart w:id="144" w:name="_Toc486167675"/>
      <w:bookmarkStart w:id="145" w:name="_Toc808"/>
      <w:bookmarkStart w:id="146" w:name="_Toc24311"/>
      <w:bookmarkStart w:id="147" w:name="_Toc142508325"/>
      <w:r>
        <w:rPr>
          <w:rFonts w:hint="eastAsia" w:ascii="宋体" w:hAnsi="宋体" w:eastAsia="宋体" w:cs="宋体"/>
          <w:color w:val="auto"/>
          <w:szCs w:val="21"/>
          <w:highlight w:val="none"/>
          <w:lang w:val="zh-CN"/>
        </w:rPr>
        <w:t>11 投标报价</w:t>
      </w:r>
      <w:bookmarkEnd w:id="140"/>
      <w:bookmarkEnd w:id="141"/>
      <w:bookmarkEnd w:id="142"/>
      <w:bookmarkEnd w:id="143"/>
      <w:bookmarkEnd w:id="144"/>
      <w:bookmarkEnd w:id="145"/>
      <w:bookmarkEnd w:id="146"/>
      <w:bookmarkEnd w:id="147"/>
    </w:p>
    <w:p>
      <w:pPr>
        <w:tabs>
          <w:tab w:val="left" w:pos="567"/>
        </w:tabs>
        <w:autoSpaceDE w:val="0"/>
        <w:autoSpaceDN w:val="0"/>
        <w:adjustRightInd w:val="0"/>
        <w:spacing w:line="360" w:lineRule="auto"/>
        <w:ind w:left="357" w:leftChars="-100" w:hanging="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11.1 </w:t>
      </w:r>
      <w:r>
        <w:rPr>
          <w:rFonts w:hint="eastAsia" w:ascii="宋体" w:hAnsi="宋体" w:eastAsia="宋体" w:cs="宋体"/>
          <w:b/>
          <w:color w:val="auto"/>
          <w:szCs w:val="21"/>
          <w:highlight w:val="none"/>
          <w:u w:val="single"/>
          <w:lang w:val="zh-CN"/>
        </w:rPr>
        <w:t>本项目只允许有一个报价价格，任何有选择的或</w:t>
      </w:r>
      <w:r>
        <w:rPr>
          <w:rFonts w:hint="eastAsia" w:ascii="宋体" w:hAnsi="宋体" w:eastAsia="宋体" w:cs="宋体"/>
          <w:b/>
          <w:color w:val="auto"/>
          <w:kern w:val="0"/>
          <w:szCs w:val="21"/>
          <w:highlight w:val="none"/>
          <w:u w:val="single"/>
          <w:lang w:val="zh-CN"/>
        </w:rPr>
        <w:t>不是固定价的</w:t>
      </w:r>
      <w:r>
        <w:rPr>
          <w:rFonts w:hint="eastAsia" w:ascii="宋体" w:hAnsi="宋体" w:eastAsia="宋体" w:cs="宋体"/>
          <w:b/>
          <w:color w:val="auto"/>
          <w:szCs w:val="21"/>
          <w:highlight w:val="none"/>
          <w:u w:val="single"/>
          <w:lang w:val="zh-CN"/>
        </w:rPr>
        <w:t>投标报价将不予接受，</w:t>
      </w:r>
      <w:r>
        <w:rPr>
          <w:rFonts w:hint="eastAsia" w:ascii="宋体" w:hAnsi="宋体" w:eastAsia="宋体" w:cs="宋体"/>
          <w:b/>
          <w:color w:val="auto"/>
          <w:kern w:val="0"/>
          <w:szCs w:val="21"/>
          <w:highlight w:val="none"/>
          <w:u w:val="single"/>
          <w:lang w:val="zh-CN"/>
        </w:rPr>
        <w:t>作为非实质性响应投标而予以拒绝。</w:t>
      </w:r>
      <w:r>
        <w:rPr>
          <w:rFonts w:hint="eastAsia" w:ascii="宋体" w:hAnsi="宋体" w:eastAsia="宋体" w:cs="宋体"/>
          <w:b/>
          <w:color w:val="auto"/>
          <w:kern w:val="0"/>
          <w:szCs w:val="21"/>
          <w:highlight w:val="none"/>
          <w:u w:val="single"/>
        </w:rPr>
        <w:t>投标人不得以低于企业自身成本的价格竞投</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left="420" w:leftChars="200" w:firstLine="422" w:firstLineChars="200"/>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r>
        <w:rPr>
          <w:rFonts w:hint="eastAsia" w:ascii="宋体" w:hAnsi="宋体" w:eastAsia="宋体" w:cs="宋体"/>
          <w:b/>
          <w:color w:val="auto"/>
          <w:szCs w:val="21"/>
          <w:highlight w:val="none"/>
          <w:lang w:val="zh-CN"/>
        </w:rPr>
        <w:t>。</w:t>
      </w:r>
    </w:p>
    <w:p>
      <w:pPr>
        <w:tabs>
          <w:tab w:val="left" w:pos="567"/>
        </w:tabs>
        <w:autoSpaceDE w:val="0"/>
        <w:autoSpaceDN w:val="0"/>
        <w:adjustRightInd w:val="0"/>
        <w:spacing w:line="360" w:lineRule="auto"/>
        <w:ind w:left="420" w:leftChars="200" w:firstLine="422" w:firstLineChars="200"/>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对是否低于企业成本价报价的事宜有争议的投标文件，评标委员会成员将以记名方式表决，</w:t>
      </w:r>
      <w:r>
        <w:rPr>
          <w:rFonts w:hint="eastAsia" w:ascii="宋体" w:hAnsi="宋体" w:eastAsia="宋体" w:cs="宋体"/>
          <w:b/>
          <w:color w:val="auto"/>
          <w:szCs w:val="21"/>
          <w:highlight w:val="none"/>
          <w:u w:val="single"/>
        </w:rPr>
        <w:t>根据少数服从多数的原则，获多数表决通过</w:t>
      </w:r>
      <w:r>
        <w:rPr>
          <w:rFonts w:hint="eastAsia" w:ascii="宋体" w:hAnsi="宋体" w:eastAsia="宋体" w:cs="宋体"/>
          <w:b/>
          <w:color w:val="auto"/>
          <w:szCs w:val="21"/>
          <w:highlight w:val="none"/>
          <w:u w:val="single"/>
          <w:lang w:val="zh-CN"/>
        </w:rPr>
        <w:t>的投标人才有资格进入下一阶段的评审，否则将按无效投标处理</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本项目投标报价</w:t>
      </w:r>
      <w:r>
        <w:rPr>
          <w:rFonts w:hint="eastAsia" w:ascii="宋体" w:hAnsi="宋体" w:eastAsia="宋体" w:cs="宋体"/>
          <w:b/>
          <w:color w:val="auto"/>
          <w:szCs w:val="21"/>
          <w:highlight w:val="none"/>
          <w:u w:val="single"/>
          <w:lang w:val="en-US" w:eastAsia="zh-CN"/>
        </w:rPr>
        <w:t>污泥脱水减量配合服务综合单价</w:t>
      </w:r>
      <w:r>
        <w:rPr>
          <w:rFonts w:hint="eastAsia" w:ascii="宋体" w:hAnsi="宋体" w:eastAsia="宋体" w:cs="宋体"/>
          <w:b/>
          <w:color w:val="auto"/>
          <w:szCs w:val="21"/>
          <w:highlight w:val="none"/>
          <w:u w:val="single"/>
          <w:lang w:val="zh-CN"/>
        </w:rPr>
        <w:t>（按含水率80%的湿泥计）为不含税价，即为《中华人民共和国增值税暂行条例》（国务院令第691号修订版）规定的销售额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r>
        <w:rPr>
          <w:rFonts w:hint="eastAsia" w:ascii="宋体" w:hAnsi="宋体" w:eastAsia="宋体" w:cs="宋体"/>
          <w:color w:val="auto"/>
          <w:szCs w:val="21"/>
          <w:highlight w:val="none"/>
        </w:rPr>
        <w:t>配合服务中人工费（工资及加班工资、福利、社保、住房公积金、节日补贴、高温津贴、劳保、服装和膳食、意外伤害保险、住宿补贴、市内交通补贴、培训、经济补偿等）、办公费、交通费、保险、利润、污泥脱水减量配合服务项目所发生的投标人销项税额以外的税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法律法规、商业公认、</w:t>
      </w:r>
      <w:r>
        <w:rPr>
          <w:rFonts w:hint="eastAsia" w:ascii="宋体" w:hAnsi="宋体" w:eastAsia="宋体" w:cs="宋体"/>
          <w:color w:val="auto"/>
          <w:szCs w:val="21"/>
          <w:highlight w:val="none"/>
          <w:lang w:val="zh-CN"/>
        </w:rPr>
        <w:t>完成合同实施过程中由</w:t>
      </w:r>
      <w:r>
        <w:rPr>
          <w:rFonts w:hint="eastAsia" w:ascii="宋体" w:hAnsi="宋体" w:eastAsia="宋体" w:cs="宋体"/>
          <w:color w:val="auto"/>
          <w:szCs w:val="21"/>
          <w:highlight w:val="none"/>
        </w:rPr>
        <w:t>投标人承担的其他直接及间接费用。</w:t>
      </w:r>
      <w:r>
        <w:rPr>
          <w:rFonts w:hint="eastAsia" w:ascii="宋体" w:hAnsi="宋体" w:eastAsia="宋体" w:cs="宋体"/>
          <w:bCs/>
          <w:color w:val="auto"/>
          <w:szCs w:val="21"/>
          <w:highlight w:val="none"/>
        </w:rPr>
        <w:t>未经招标人书面同意，投标人（包括但不限于投标人制定的第三方）不得要求招标人另行支付其他任何费用。</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u w:val="single"/>
          <w:lang w:val="zh-CN"/>
        </w:rPr>
        <w:t>合同项下，招标人需要的</w:t>
      </w:r>
      <w:r>
        <w:rPr>
          <w:rFonts w:hint="eastAsia" w:ascii="宋体" w:hAnsi="宋体" w:eastAsia="宋体" w:cs="宋体"/>
          <w:b/>
          <w:bCs/>
          <w:color w:val="auto"/>
          <w:szCs w:val="21"/>
          <w:highlight w:val="none"/>
          <w:u w:val="single"/>
        </w:rPr>
        <w:t>相关</w:t>
      </w:r>
      <w:r>
        <w:rPr>
          <w:rFonts w:hint="eastAsia" w:ascii="宋体" w:hAnsi="宋体" w:eastAsia="宋体" w:cs="宋体"/>
          <w:b/>
          <w:bCs/>
          <w:color w:val="auto"/>
          <w:szCs w:val="21"/>
          <w:highlight w:val="none"/>
          <w:u w:val="single"/>
          <w:lang w:val="zh-CN"/>
        </w:rPr>
        <w:t>服务所需的费用，投标人都应计入投标报价</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w:t>
      </w:r>
      <w:r>
        <w:rPr>
          <w:rFonts w:hint="eastAsia" w:ascii="宋体" w:hAnsi="宋体" w:eastAsia="宋体" w:cs="宋体"/>
          <w:b/>
          <w:color w:val="auto"/>
          <w:szCs w:val="21"/>
          <w:highlight w:val="none"/>
          <w:u w:val="single"/>
        </w:rPr>
        <w:t>投标人的投标报价高于最高投标限价的，该投标人的投标文件将被视为无效投标，A</w:t>
      </w:r>
      <w:r>
        <w:rPr>
          <w:rFonts w:hint="eastAsia" w:ascii="宋体" w:hAnsi="宋体" w:eastAsia="宋体" w:cs="宋体"/>
          <w:b/>
          <w:color w:val="auto"/>
          <w:szCs w:val="21"/>
          <w:highlight w:val="none"/>
          <w:u w:val="single"/>
          <w:lang w:eastAsia="zh-CN"/>
        </w:rPr>
        <w:t>包组</w:t>
      </w:r>
      <w:r>
        <w:rPr>
          <w:rFonts w:hint="eastAsia" w:ascii="宋体" w:hAnsi="宋体" w:eastAsia="宋体" w:cs="宋体"/>
          <w:b/>
          <w:color w:val="auto"/>
          <w:szCs w:val="21"/>
          <w:highlight w:val="none"/>
          <w:u w:val="single"/>
        </w:rPr>
        <w:t>的污泥脱水减量配合服务综合单价不含税的最高投标限价为</w:t>
      </w:r>
      <w:r>
        <w:rPr>
          <w:rFonts w:hint="eastAsia" w:ascii="宋体" w:hAnsi="宋体" w:eastAsia="宋体" w:cs="宋体"/>
          <w:b/>
          <w:color w:val="auto"/>
          <w:szCs w:val="21"/>
          <w:highlight w:val="none"/>
          <w:u w:val="single"/>
          <w:lang w:val="en-US" w:eastAsia="zh-CN"/>
        </w:rPr>
        <w:t>42.83</w:t>
      </w:r>
      <w:r>
        <w:rPr>
          <w:rFonts w:hint="eastAsia" w:ascii="宋体" w:hAnsi="宋体" w:eastAsia="宋体" w:cs="宋体"/>
          <w:b/>
          <w:color w:val="auto"/>
          <w:szCs w:val="21"/>
          <w:highlight w:val="none"/>
          <w:u w:val="single"/>
        </w:rPr>
        <w:t>元/吨（大写：每吨</w:t>
      </w:r>
      <w:r>
        <w:rPr>
          <w:rFonts w:hint="eastAsia" w:ascii="宋体" w:hAnsi="宋体" w:eastAsia="宋体" w:cs="宋体"/>
          <w:b/>
          <w:color w:val="auto"/>
          <w:szCs w:val="21"/>
          <w:highlight w:val="none"/>
          <w:u w:val="single"/>
          <w:lang w:val="en-US" w:eastAsia="zh-CN"/>
        </w:rPr>
        <w:t>肆拾贰元捌角叁分</w:t>
      </w:r>
      <w:r>
        <w:rPr>
          <w:rFonts w:hint="eastAsia" w:ascii="宋体" w:hAnsi="宋体" w:eastAsia="宋体" w:cs="宋体"/>
          <w:b/>
          <w:color w:val="auto"/>
          <w:szCs w:val="21"/>
          <w:highlight w:val="none"/>
          <w:u w:val="single"/>
        </w:rPr>
        <w:t>）、B</w:t>
      </w:r>
      <w:r>
        <w:rPr>
          <w:rFonts w:hint="eastAsia" w:ascii="宋体" w:hAnsi="宋体" w:eastAsia="宋体" w:cs="宋体"/>
          <w:b/>
          <w:color w:val="auto"/>
          <w:szCs w:val="21"/>
          <w:highlight w:val="none"/>
          <w:u w:val="single"/>
          <w:lang w:eastAsia="zh-CN"/>
        </w:rPr>
        <w:t>包组</w:t>
      </w:r>
      <w:r>
        <w:rPr>
          <w:rFonts w:hint="eastAsia" w:ascii="宋体" w:hAnsi="宋体" w:eastAsia="宋体" w:cs="宋体"/>
          <w:b/>
          <w:color w:val="auto"/>
          <w:szCs w:val="21"/>
          <w:highlight w:val="none"/>
          <w:u w:val="single"/>
        </w:rPr>
        <w:t>的污泥脱水减量配合服务综合单价不含税的最高投标限价为</w:t>
      </w:r>
      <w:r>
        <w:rPr>
          <w:rFonts w:hint="eastAsia" w:ascii="宋体" w:hAnsi="宋体" w:eastAsia="宋体" w:cs="宋体"/>
          <w:b/>
          <w:color w:val="auto"/>
          <w:szCs w:val="21"/>
          <w:highlight w:val="none"/>
          <w:u w:val="single"/>
          <w:lang w:val="en-US" w:eastAsia="zh-CN"/>
        </w:rPr>
        <w:t>44.32</w:t>
      </w:r>
      <w:r>
        <w:rPr>
          <w:rFonts w:hint="eastAsia" w:ascii="宋体" w:hAnsi="宋体" w:eastAsia="宋体" w:cs="宋体"/>
          <w:b/>
          <w:color w:val="auto"/>
          <w:szCs w:val="21"/>
          <w:highlight w:val="none"/>
          <w:u w:val="single"/>
        </w:rPr>
        <w:t>元/吨（大写：每吨</w:t>
      </w:r>
      <w:r>
        <w:rPr>
          <w:rFonts w:hint="eastAsia" w:ascii="宋体" w:hAnsi="宋体" w:eastAsia="宋体" w:cs="宋体"/>
          <w:b/>
          <w:color w:val="auto"/>
          <w:szCs w:val="21"/>
          <w:highlight w:val="none"/>
          <w:u w:val="single"/>
          <w:lang w:val="en-US" w:eastAsia="zh-CN"/>
        </w:rPr>
        <w:t>肆拾肆元叁角贰分</w:t>
      </w:r>
      <w:r>
        <w:rPr>
          <w:rFonts w:hint="eastAsia" w:ascii="宋体" w:hAnsi="宋体" w:eastAsia="宋体" w:cs="宋体"/>
          <w:b/>
          <w:color w:val="auto"/>
          <w:szCs w:val="21"/>
          <w:highlight w:val="none"/>
          <w:u w:val="single"/>
        </w:rPr>
        <w:t>）</w:t>
      </w:r>
      <w:r>
        <w:rPr>
          <w:rFonts w:hint="eastAsia" w:ascii="宋体" w:hAnsi="宋体" w:eastAsia="宋体" w:cs="宋体"/>
          <w:b/>
          <w:color w:val="auto"/>
          <w:szCs w:val="21"/>
          <w:highlight w:val="none"/>
          <w:u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48" w:name="_Toc20312"/>
      <w:bookmarkStart w:id="149" w:name="_Toc30042_WPSOffice_Level3"/>
      <w:bookmarkStart w:id="150" w:name="_Toc450662862"/>
      <w:bookmarkStart w:id="151" w:name="_Toc142508326"/>
      <w:bookmarkStart w:id="152" w:name="_Toc8937"/>
      <w:bookmarkStart w:id="153" w:name="_Toc3469"/>
      <w:bookmarkStart w:id="154" w:name="_Toc26424"/>
      <w:bookmarkStart w:id="155" w:name="_Toc486167676"/>
      <w:r>
        <w:rPr>
          <w:rFonts w:hint="eastAsia" w:ascii="宋体" w:hAnsi="宋体" w:eastAsia="宋体" w:cs="宋体"/>
          <w:b/>
          <w:color w:val="auto"/>
          <w:szCs w:val="21"/>
          <w:highlight w:val="none"/>
          <w:lang w:val="zh-CN"/>
        </w:rPr>
        <w:t>12 投标报价货币</w:t>
      </w:r>
      <w:bookmarkEnd w:id="148"/>
      <w:bookmarkEnd w:id="149"/>
      <w:bookmarkEnd w:id="150"/>
      <w:bookmarkEnd w:id="151"/>
      <w:bookmarkEnd w:id="152"/>
      <w:bookmarkEnd w:id="153"/>
      <w:bookmarkEnd w:id="154"/>
      <w:bookmarkEnd w:id="155"/>
    </w:p>
    <w:p>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投标报价表上的价格须以人民币报价，以其</w:t>
      </w:r>
      <w:r>
        <w:rPr>
          <w:rFonts w:hint="eastAsia" w:ascii="宋体" w:hAnsi="宋体" w:eastAsia="宋体" w:cs="宋体"/>
          <w:b/>
          <w:color w:val="auto"/>
          <w:szCs w:val="21"/>
          <w:highlight w:val="none"/>
          <w:u w:val="single"/>
        </w:rPr>
        <w:t>他</w:t>
      </w:r>
      <w:r>
        <w:rPr>
          <w:rFonts w:hint="eastAsia" w:ascii="宋体" w:hAnsi="宋体" w:eastAsia="宋体" w:cs="宋体"/>
          <w:b/>
          <w:color w:val="auto"/>
          <w:szCs w:val="21"/>
          <w:highlight w:val="none"/>
          <w:u w:val="single"/>
          <w:lang w:val="zh-CN"/>
        </w:rPr>
        <w:t>货币标价的投标将予以拒绝</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265" w:leftChars="119" w:hanging="15"/>
        <w:rPr>
          <w:rFonts w:ascii="宋体" w:hAnsi="宋体" w:eastAsia="宋体" w:cs="宋体"/>
          <w:color w:val="auto"/>
          <w:szCs w:val="21"/>
          <w:highlight w:val="none"/>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6" w:name="_Toc486167677"/>
      <w:bookmarkStart w:id="157" w:name="_Toc3961"/>
      <w:bookmarkStart w:id="158" w:name="_Toc20031"/>
      <w:bookmarkStart w:id="159" w:name="_Toc142508327"/>
      <w:bookmarkStart w:id="160" w:name="_Toc450662863"/>
      <w:bookmarkStart w:id="161" w:name="_Toc1091"/>
      <w:bookmarkStart w:id="162" w:name="_Toc9411_WPSOffice_Level3"/>
      <w:bookmarkStart w:id="163" w:name="_Toc11539"/>
      <w:r>
        <w:rPr>
          <w:rFonts w:hint="eastAsia" w:ascii="宋体" w:hAnsi="宋体" w:eastAsia="宋体" w:cs="宋体"/>
          <w:color w:val="auto"/>
          <w:szCs w:val="21"/>
          <w:highlight w:val="none"/>
          <w:lang w:val="zh-CN"/>
        </w:rPr>
        <w:t>13 证明投标人的合格性和资格的声明文件</w:t>
      </w:r>
      <w:bookmarkEnd w:id="156"/>
      <w:bookmarkEnd w:id="157"/>
      <w:bookmarkEnd w:id="158"/>
      <w:bookmarkEnd w:id="159"/>
      <w:bookmarkEnd w:id="160"/>
      <w:bookmarkEnd w:id="161"/>
      <w:bookmarkEnd w:id="162"/>
      <w:bookmarkEnd w:id="163"/>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4" w:name="_Toc8615"/>
      <w:bookmarkStart w:id="165" w:name="_Toc29754"/>
      <w:bookmarkStart w:id="166" w:name="_Toc27771_WPSOffice_Level3"/>
      <w:bookmarkStart w:id="167" w:name="_Toc6289"/>
      <w:bookmarkStart w:id="168" w:name="_Toc142508328"/>
      <w:bookmarkStart w:id="169" w:name="_Toc450662864"/>
      <w:bookmarkStart w:id="170" w:name="_Toc486167678"/>
      <w:bookmarkStart w:id="171" w:name="_Toc16467"/>
      <w:r>
        <w:rPr>
          <w:rFonts w:hint="eastAsia" w:ascii="宋体" w:hAnsi="宋体" w:eastAsia="宋体" w:cs="宋体"/>
          <w:color w:val="auto"/>
          <w:szCs w:val="21"/>
          <w:highlight w:val="none"/>
          <w:lang w:val="zh-CN"/>
        </w:rPr>
        <w:t>14 证明服务的合格性并符合招标文件规定的声明文件</w:t>
      </w:r>
      <w:bookmarkEnd w:id="164"/>
      <w:bookmarkEnd w:id="165"/>
      <w:bookmarkEnd w:id="166"/>
      <w:bookmarkEnd w:id="167"/>
      <w:bookmarkEnd w:id="168"/>
      <w:bookmarkEnd w:id="169"/>
      <w:bookmarkEnd w:id="170"/>
      <w:bookmarkEnd w:id="171"/>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rPr>
        <w:t>服务</w:t>
      </w:r>
      <w:r>
        <w:rPr>
          <w:rFonts w:hint="eastAsia" w:ascii="宋体" w:hAnsi="宋体" w:eastAsia="宋体" w:cs="宋体"/>
          <w:color w:val="auto"/>
          <w:szCs w:val="21"/>
          <w:highlight w:val="none"/>
          <w:lang w:val="zh-CN"/>
        </w:rPr>
        <w:t>的合格性并符合招标文件规定的声明文件，作为投标文件的一部分。</w:t>
      </w:r>
    </w:p>
    <w:p>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rPr>
        <w:t>相关服务</w:t>
      </w:r>
      <w:r>
        <w:rPr>
          <w:rFonts w:hint="eastAsia" w:ascii="宋体" w:hAnsi="宋体" w:eastAsia="宋体" w:cs="宋体"/>
          <w:color w:val="auto"/>
          <w:szCs w:val="21"/>
          <w:highlight w:val="none"/>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u w:val="single"/>
          <w:lang w:val="zh-CN"/>
        </w:rPr>
        <w:t>为说明第14.2款的规定，投标人应注意本招标文件在《用户需求书》中对服务要求</w:t>
      </w:r>
      <w:r>
        <w:rPr>
          <w:rFonts w:hint="eastAsia" w:ascii="宋体" w:hAnsi="宋体" w:eastAsia="宋体" w:cs="宋体"/>
          <w:b/>
          <w:color w:val="auto"/>
          <w:szCs w:val="21"/>
          <w:highlight w:val="none"/>
          <w:u w:val="single"/>
        </w:rPr>
        <w:t>的</w:t>
      </w:r>
      <w:r>
        <w:rPr>
          <w:rFonts w:hint="eastAsia" w:ascii="宋体" w:hAnsi="宋体" w:eastAsia="宋体" w:cs="宋体"/>
          <w:b/>
          <w:color w:val="auto"/>
          <w:szCs w:val="21"/>
          <w:highlight w:val="none"/>
          <w:u w:val="singl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auto"/>
          <w:szCs w:val="21"/>
          <w:highlight w:val="none"/>
          <w:lang w:val="zh-CN"/>
        </w:rPr>
        <w:t>。</w:t>
      </w:r>
    </w:p>
    <w:p>
      <w:pPr>
        <w:autoSpaceDE w:val="0"/>
        <w:autoSpaceDN w:val="0"/>
        <w:adjustRightInd w:val="0"/>
        <w:spacing w:line="360" w:lineRule="auto"/>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2" w:name="_Toc5356_WPSOffice_Level3"/>
      <w:bookmarkStart w:id="173" w:name="_Toc142508329"/>
      <w:bookmarkStart w:id="174" w:name="_Toc30555"/>
      <w:bookmarkStart w:id="175" w:name="_Toc16828"/>
      <w:bookmarkStart w:id="176" w:name="_Toc8644"/>
      <w:bookmarkStart w:id="177" w:name="_Toc486167679"/>
      <w:bookmarkStart w:id="178" w:name="_Toc9562"/>
      <w:r>
        <w:rPr>
          <w:rFonts w:hint="eastAsia" w:ascii="宋体" w:hAnsi="宋体" w:eastAsia="宋体" w:cs="宋体"/>
          <w:color w:val="auto"/>
          <w:szCs w:val="21"/>
          <w:highlight w:val="none"/>
          <w:lang w:val="zh-CN"/>
        </w:rPr>
        <w:t>15 投标保证金</w:t>
      </w:r>
      <w:bookmarkEnd w:id="172"/>
      <w:bookmarkEnd w:id="173"/>
      <w:bookmarkEnd w:id="174"/>
      <w:bookmarkEnd w:id="175"/>
      <w:bookmarkEnd w:id="176"/>
      <w:bookmarkEnd w:id="177"/>
      <w:bookmarkEnd w:id="178"/>
    </w:p>
    <w:p>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w:t>
      </w:r>
      <w:r>
        <w:rPr>
          <w:rFonts w:hint="eastAsia" w:ascii="宋体" w:hAnsi="宋体" w:eastAsia="宋体" w:cs="宋体"/>
          <w:b/>
          <w:bCs/>
          <w:color w:val="auto"/>
          <w:kern w:val="0"/>
          <w:szCs w:val="21"/>
          <w:highlight w:val="none"/>
          <w:u w:val="single"/>
          <w:lang w:val="en-US" w:eastAsia="zh-CN"/>
        </w:rPr>
        <w:t>提交投标保证金19</w:t>
      </w:r>
      <w:r>
        <w:rPr>
          <w:rFonts w:hint="eastAsia" w:ascii="宋体" w:hAnsi="宋体" w:eastAsia="宋体" w:cs="宋体"/>
          <w:b/>
          <w:bCs/>
          <w:color w:val="auto"/>
          <w:kern w:val="0"/>
          <w:szCs w:val="21"/>
          <w:highlight w:val="none"/>
          <w:u w:val="single"/>
          <w:lang w:val="zh-CN"/>
        </w:rPr>
        <w:t>0,000.00元（大写：人民币</w:t>
      </w:r>
      <w:r>
        <w:rPr>
          <w:rFonts w:hint="eastAsia" w:ascii="宋体" w:hAnsi="宋体" w:eastAsia="宋体" w:cs="宋体"/>
          <w:b/>
          <w:bCs/>
          <w:color w:val="auto"/>
          <w:kern w:val="0"/>
          <w:szCs w:val="21"/>
          <w:highlight w:val="none"/>
          <w:u w:val="single"/>
          <w:lang w:val="en-US" w:eastAsia="zh-CN"/>
        </w:rPr>
        <w:t>壹</w:t>
      </w:r>
      <w:r>
        <w:rPr>
          <w:rFonts w:hint="eastAsia" w:ascii="宋体" w:hAnsi="宋体" w:eastAsia="宋体" w:cs="宋体"/>
          <w:b/>
          <w:bCs/>
          <w:color w:val="auto"/>
          <w:kern w:val="0"/>
          <w:szCs w:val="21"/>
          <w:highlight w:val="none"/>
          <w:u w:val="single"/>
          <w:lang w:val="zh-CN"/>
        </w:rPr>
        <w:t>拾</w:t>
      </w:r>
      <w:r>
        <w:rPr>
          <w:rFonts w:hint="eastAsia" w:ascii="宋体" w:hAnsi="宋体" w:eastAsia="宋体" w:cs="宋体"/>
          <w:b/>
          <w:bCs/>
          <w:color w:val="auto"/>
          <w:kern w:val="0"/>
          <w:szCs w:val="21"/>
          <w:highlight w:val="none"/>
          <w:u w:val="single"/>
          <w:lang w:val="en-US" w:eastAsia="zh-CN"/>
        </w:rPr>
        <w:t>玖</w:t>
      </w:r>
      <w:r>
        <w:rPr>
          <w:rFonts w:hint="eastAsia" w:ascii="宋体" w:hAnsi="宋体" w:eastAsia="宋体" w:cs="宋体"/>
          <w:b/>
          <w:bCs/>
          <w:color w:val="auto"/>
          <w:kern w:val="0"/>
          <w:szCs w:val="21"/>
          <w:highlight w:val="none"/>
          <w:u w:val="single"/>
          <w:lang w:val="zh-CN"/>
        </w:rPr>
        <w:t>万元整），本项目投标保证金适用所有包组，投标人同时参加本项目</w:t>
      </w:r>
      <w:r>
        <w:rPr>
          <w:rFonts w:hint="eastAsia" w:ascii="宋体" w:hAnsi="宋体" w:eastAsia="宋体" w:cs="宋体"/>
          <w:b/>
          <w:bCs/>
          <w:color w:val="auto"/>
          <w:kern w:val="0"/>
          <w:szCs w:val="21"/>
          <w:highlight w:val="none"/>
          <w:u w:val="single"/>
          <w:lang w:val="en-US" w:eastAsia="zh-CN"/>
        </w:rPr>
        <w:t>二</w:t>
      </w:r>
      <w:r>
        <w:rPr>
          <w:rFonts w:hint="eastAsia" w:ascii="宋体" w:hAnsi="宋体" w:eastAsia="宋体" w:cs="宋体"/>
          <w:b/>
          <w:bCs/>
          <w:color w:val="auto"/>
          <w:kern w:val="0"/>
          <w:szCs w:val="21"/>
          <w:highlight w:val="none"/>
          <w:u w:val="single"/>
          <w:lang w:val="zh-CN"/>
        </w:rPr>
        <w:t>个包</w:t>
      </w:r>
      <w:r>
        <w:rPr>
          <w:rFonts w:hint="eastAsia" w:ascii="宋体" w:hAnsi="宋体" w:eastAsia="宋体" w:cs="宋体"/>
          <w:b/>
          <w:bCs/>
          <w:color w:val="auto"/>
          <w:kern w:val="0"/>
          <w:szCs w:val="21"/>
          <w:highlight w:val="none"/>
          <w:u w:val="single"/>
          <w:lang w:val="en-US" w:eastAsia="zh-CN"/>
        </w:rPr>
        <w:t>组</w:t>
      </w:r>
      <w:r>
        <w:rPr>
          <w:rFonts w:hint="eastAsia" w:ascii="宋体" w:hAnsi="宋体" w:eastAsia="宋体" w:cs="宋体"/>
          <w:b/>
          <w:bCs/>
          <w:color w:val="auto"/>
          <w:kern w:val="0"/>
          <w:szCs w:val="21"/>
          <w:highlight w:val="none"/>
          <w:u w:val="single"/>
          <w:lang w:val="zh-CN"/>
        </w:rPr>
        <w:t>的投标时，仅须提交一次投标保证金，无须按照本项目包组重复提交投标保证金</w:t>
      </w:r>
      <w:r>
        <w:rPr>
          <w:rFonts w:hint="eastAsia" w:ascii="宋体" w:hAnsi="宋体" w:eastAsia="宋体" w:cs="宋体"/>
          <w:b/>
          <w:bCs/>
          <w:color w:val="auto"/>
          <w:kern w:val="0"/>
          <w:szCs w:val="21"/>
          <w:highlight w:val="none"/>
          <w:u w:val="none"/>
          <w:lang w:val="zh-CN"/>
        </w:rPr>
        <w:t>。</w:t>
      </w:r>
    </w:p>
    <w:p>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p>
    <w:p>
      <w:pPr>
        <w:autoSpaceDE w:val="0"/>
        <w:autoSpaceDN w:val="0"/>
        <w:adjustRightInd w:val="0"/>
        <w:spacing w:line="360" w:lineRule="auto"/>
        <w:ind w:left="225" w:leftChars="107" w:firstLine="489" w:firstLineChars="233"/>
        <w:jc w:val="left"/>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开户名称：东莞市众源环境投资有限公司 </w:t>
      </w:r>
    </w:p>
    <w:p>
      <w:pPr>
        <w:autoSpaceDE w:val="0"/>
        <w:autoSpaceDN w:val="0"/>
        <w:adjustRightInd w:val="0"/>
        <w:spacing w:line="360" w:lineRule="auto"/>
        <w:ind w:left="225" w:leftChars="107" w:firstLine="489" w:firstLineChars="233"/>
        <w:jc w:val="left"/>
        <w:rPr>
          <w:rFonts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lang w:val="zh-CN"/>
        </w:rPr>
        <w:t>开户银行：招商银行股份有限公司东莞分行</w:t>
      </w:r>
      <w:r>
        <w:rPr>
          <w:rFonts w:hint="eastAsia" w:ascii="宋体" w:hAnsi="宋体" w:eastAsia="宋体" w:cs="宋体"/>
          <w:b/>
          <w:bCs/>
          <w:color w:val="auto"/>
          <w:kern w:val="0"/>
          <w:szCs w:val="21"/>
          <w:highlight w:val="none"/>
          <w:lang w:val="zh-CN"/>
        </w:rPr>
        <w:t xml:space="preserve"> </w:t>
      </w:r>
    </w:p>
    <w:p>
      <w:pPr>
        <w:autoSpaceDE w:val="0"/>
        <w:autoSpaceDN w:val="0"/>
        <w:adjustRightInd w:val="0"/>
        <w:spacing w:line="360" w:lineRule="auto"/>
        <w:ind w:left="225" w:leftChars="107" w:firstLine="489" w:firstLineChars="233"/>
        <w:jc w:val="left"/>
        <w:rPr>
          <w:rFonts w:ascii="宋体" w:hAnsi="宋体" w:eastAsia="宋体" w:cs="宋体"/>
          <w:b/>
          <w:bCs/>
          <w:color w:val="auto"/>
          <w:kern w:val="0"/>
          <w:szCs w:val="21"/>
          <w:highlight w:val="none"/>
          <w:u w:val="single"/>
        </w:rPr>
      </w:pPr>
      <w:r>
        <w:rPr>
          <w:rFonts w:hint="eastAsia" w:ascii="宋体" w:hAnsi="宋体" w:eastAsia="宋体" w:cs="宋体"/>
          <w:color w:val="auto"/>
          <w:kern w:val="0"/>
          <w:szCs w:val="21"/>
          <w:highlight w:val="none"/>
          <w:lang w:val="zh-CN"/>
        </w:rPr>
        <w:t>银行账号：769908269610828</w:t>
      </w:r>
    </w:p>
    <w:p>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pPr>
        <w:autoSpaceDE w:val="0"/>
        <w:autoSpaceDN w:val="0"/>
        <w:adjustRightInd w:val="0"/>
        <w:spacing w:line="360" w:lineRule="auto"/>
        <w:ind w:left="357" w:leftChars="-100" w:hanging="567" w:hangingChars="270"/>
        <w:jc w:val="left"/>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315" w:leftChars="150"/>
        <w:jc w:val="left"/>
        <w:textAlignment w:val="auto"/>
        <w:rPr>
          <w:rFonts w:ascii="宋体" w:hAnsi="宋体" w:eastAsia="宋体" w:cs="宋体"/>
          <w:b/>
          <w:bCs/>
          <w:color w:val="auto"/>
          <w:kern w:val="0"/>
          <w:szCs w:val="24"/>
          <w:highlight w:val="none"/>
        </w:rPr>
      </w:pPr>
      <w:r>
        <w:rPr>
          <w:rFonts w:hint="eastAsia" w:ascii="宋体" w:hAnsi="宋体" w:eastAsia="宋体" w:cs="宋体"/>
          <w:b/>
          <w:color w:val="auto"/>
          <w:kern w:val="0"/>
          <w:szCs w:val="24"/>
          <w:highlight w:val="none"/>
          <w:u w:val="single"/>
          <w:lang w:val="zh-CN" w:eastAsia="zh-CN"/>
        </w:rPr>
        <w:t>为更快捷将投标保证金关联到本项目，投标人应在转账时</w:t>
      </w:r>
      <w:r>
        <w:rPr>
          <w:rFonts w:hint="eastAsia" w:ascii="宋体" w:hAnsi="宋体" w:eastAsia="宋体" w:cs="宋体"/>
          <w:b/>
          <w:color w:val="auto"/>
          <w:kern w:val="0"/>
          <w:szCs w:val="24"/>
          <w:highlight w:val="none"/>
          <w:u w:val="single"/>
          <w:lang w:val="zh-CN"/>
        </w:rPr>
        <w:t>注明招标编号</w:t>
      </w:r>
      <w:r>
        <w:rPr>
          <w:rFonts w:hint="eastAsia" w:ascii="宋体" w:hAnsi="宋体" w:eastAsia="宋体" w:cs="宋体"/>
          <w:b/>
          <w:color w:val="auto"/>
          <w:kern w:val="0"/>
          <w:szCs w:val="24"/>
          <w:highlight w:val="none"/>
          <w:u w:val="single"/>
          <w:lang w:val="zh-CN" w:eastAsia="zh-CN"/>
        </w:rPr>
        <w:t>，否则</w:t>
      </w:r>
      <w:r>
        <w:rPr>
          <w:rFonts w:hint="eastAsia" w:ascii="宋体" w:hAnsi="宋体" w:eastAsia="宋体" w:cs="宋体"/>
          <w:b/>
          <w:color w:val="auto"/>
          <w:kern w:val="0"/>
          <w:szCs w:val="24"/>
          <w:highlight w:val="none"/>
          <w:u w:val="single"/>
          <w:lang w:val="en-US" w:eastAsia="zh-CN"/>
        </w:rPr>
        <w:t>因此</w:t>
      </w:r>
      <w:r>
        <w:rPr>
          <w:rFonts w:hint="eastAsia" w:ascii="宋体" w:hAnsi="宋体" w:eastAsia="宋体" w:cs="宋体"/>
          <w:b/>
          <w:color w:val="auto"/>
          <w:kern w:val="0"/>
          <w:szCs w:val="24"/>
          <w:highlight w:val="none"/>
          <w:u w:val="single"/>
          <w:lang w:val="zh-CN" w:eastAsia="zh-CN"/>
        </w:rPr>
        <w:t>导致</w:t>
      </w:r>
      <w:r>
        <w:rPr>
          <w:rFonts w:hint="eastAsia" w:ascii="宋体" w:hAnsi="宋体" w:eastAsia="宋体" w:cs="宋体"/>
          <w:b/>
          <w:color w:val="auto"/>
          <w:kern w:val="0"/>
          <w:szCs w:val="24"/>
          <w:highlight w:val="none"/>
          <w:u w:val="single"/>
          <w:lang w:val="en-US" w:eastAsia="zh-CN"/>
        </w:rPr>
        <w:t>的无法识别投标保证金对应项目等</w:t>
      </w:r>
      <w:r>
        <w:rPr>
          <w:rFonts w:hint="eastAsia" w:ascii="宋体" w:hAnsi="宋体" w:eastAsia="宋体" w:cs="宋体"/>
          <w:b/>
          <w:color w:val="auto"/>
          <w:kern w:val="0"/>
          <w:szCs w:val="24"/>
          <w:highlight w:val="none"/>
          <w:u w:val="single"/>
          <w:lang w:val="zh-CN" w:eastAsia="zh-CN"/>
        </w:rPr>
        <w:t>不利后果将由投标人承担</w:t>
      </w:r>
      <w:r>
        <w:rPr>
          <w:rFonts w:hint="eastAsia" w:ascii="宋体" w:hAnsi="宋体" w:eastAsia="宋体" w:cs="宋体"/>
          <w:b/>
          <w:color w:val="auto"/>
          <w:kern w:val="0"/>
          <w:szCs w:val="24"/>
          <w:highlight w:val="none"/>
          <w:lang w:val="zh-CN" w:eastAsia="zh-CN"/>
        </w:rPr>
        <w:t>。</w:t>
      </w:r>
    </w:p>
    <w:p>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w:t>
      </w:r>
      <w:r>
        <w:rPr>
          <w:rFonts w:hint="eastAsia" w:ascii="宋体" w:hAnsi="宋体" w:eastAsia="宋体" w:cs="宋体"/>
          <w:color w:val="auto"/>
          <w:kern w:val="0"/>
          <w:szCs w:val="21"/>
          <w:highlight w:val="none"/>
          <w:lang w:val="en-US" w:eastAsia="zh-CN"/>
        </w:rPr>
        <w:t>最迟应</w:t>
      </w:r>
      <w:r>
        <w:rPr>
          <w:rFonts w:hint="eastAsia" w:ascii="宋体" w:hAnsi="宋体" w:eastAsia="宋体" w:cs="宋体"/>
          <w:color w:val="auto"/>
          <w:kern w:val="0"/>
          <w:szCs w:val="21"/>
          <w:highlight w:val="none"/>
        </w:rPr>
        <w:t>在本项目的书面合同签订后5日内，按照其投标保证金支付凭证上注明的收款人名称和账号予以退还，除非投标保证金有效期已延长。</w:t>
      </w:r>
    </w:p>
    <w:p>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w:t>
      </w:r>
      <w:r>
        <w:rPr>
          <w:rFonts w:hint="eastAsia" w:ascii="宋体" w:hAnsi="宋体" w:eastAsia="宋体" w:cs="宋体"/>
          <w:color w:val="auto"/>
          <w:kern w:val="0"/>
          <w:szCs w:val="21"/>
          <w:highlight w:val="none"/>
          <w:lang w:val="en-US" w:eastAsia="zh-CN"/>
        </w:rPr>
        <w:t>最迟应</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本项目的书面</w:t>
      </w:r>
      <w:r>
        <w:rPr>
          <w:rFonts w:hint="eastAsia" w:ascii="宋体" w:hAnsi="宋体" w:eastAsia="宋体" w:cs="宋体"/>
          <w:color w:val="auto"/>
          <w:kern w:val="0"/>
          <w:szCs w:val="21"/>
          <w:highlight w:val="none"/>
        </w:rPr>
        <w:t>合同签订后5日内退还。</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w:t>
      </w:r>
      <w:r>
        <w:rPr>
          <w:rFonts w:hint="eastAsia" w:ascii="宋体" w:hAnsi="宋体" w:eastAsia="宋体" w:cs="宋体"/>
          <w:color w:val="auto"/>
          <w:szCs w:val="21"/>
          <w:highlight w:val="none"/>
          <w:lang w:val="en-US" w:eastAsia="zh-CN"/>
        </w:rPr>
        <w:t>分包</w:t>
      </w:r>
      <w:r>
        <w:rPr>
          <w:rFonts w:hint="eastAsia" w:ascii="宋体" w:hAnsi="宋体" w:eastAsia="宋体" w:cs="宋体"/>
          <w:color w:val="auto"/>
          <w:szCs w:val="21"/>
          <w:highlight w:val="none"/>
          <w:lang w:val="zh-CN"/>
        </w:rPr>
        <w:t>给第三方的；</w:t>
      </w:r>
    </w:p>
    <w:p>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9" w:name="_Toc22649_WPSOffice_Level3"/>
      <w:bookmarkStart w:id="180" w:name="_Toc15845"/>
      <w:bookmarkStart w:id="181" w:name="_Toc23267"/>
      <w:bookmarkStart w:id="182" w:name="_Toc1458"/>
      <w:bookmarkStart w:id="183" w:name="_Toc29607"/>
      <w:bookmarkStart w:id="184" w:name="_Toc450662865"/>
      <w:bookmarkStart w:id="185" w:name="_Toc142508330"/>
      <w:bookmarkStart w:id="186" w:name="_Toc486167680"/>
      <w:r>
        <w:rPr>
          <w:rFonts w:hint="eastAsia" w:ascii="宋体" w:hAnsi="宋体" w:eastAsia="宋体" w:cs="宋体"/>
          <w:color w:val="auto"/>
          <w:szCs w:val="21"/>
          <w:highlight w:val="none"/>
          <w:lang w:val="zh-CN"/>
        </w:rPr>
        <w:t>16 投标有效期</w:t>
      </w:r>
      <w:bookmarkEnd w:id="179"/>
      <w:bookmarkEnd w:id="180"/>
      <w:bookmarkEnd w:id="181"/>
      <w:bookmarkEnd w:id="182"/>
      <w:bookmarkEnd w:id="183"/>
      <w:bookmarkEnd w:id="184"/>
      <w:bookmarkEnd w:id="185"/>
      <w:bookmarkEnd w:id="186"/>
    </w:p>
    <w:p>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87" w:name="_Toc932"/>
      <w:bookmarkStart w:id="188" w:name="_Toc486167681"/>
      <w:bookmarkStart w:id="189" w:name="_Toc25637_WPSOffice_Level3"/>
      <w:bookmarkStart w:id="190" w:name="_Toc15544"/>
      <w:bookmarkStart w:id="191" w:name="_Toc20422"/>
      <w:bookmarkStart w:id="192" w:name="_Toc142508331"/>
      <w:bookmarkStart w:id="193" w:name="_Toc450662866"/>
      <w:bookmarkStart w:id="194" w:name="_Toc29057"/>
      <w:r>
        <w:rPr>
          <w:rFonts w:hint="eastAsia" w:ascii="宋体" w:hAnsi="宋体" w:eastAsia="宋体" w:cs="宋体"/>
          <w:color w:val="auto"/>
          <w:szCs w:val="21"/>
          <w:highlight w:val="none"/>
          <w:lang w:val="zh-CN"/>
        </w:rPr>
        <w:t>17 投标文件的式样和签署</w:t>
      </w:r>
      <w:bookmarkEnd w:id="187"/>
      <w:bookmarkEnd w:id="188"/>
      <w:bookmarkEnd w:id="189"/>
      <w:bookmarkEnd w:id="190"/>
      <w:bookmarkEnd w:id="191"/>
      <w:bookmarkEnd w:id="192"/>
      <w:bookmarkEnd w:id="193"/>
      <w:bookmarkEnd w:id="194"/>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w:t>
      </w:r>
      <w:r>
        <w:rPr>
          <w:rFonts w:hint="eastAsia" w:ascii="宋体" w:hAnsi="宋体" w:eastAsia="宋体" w:cs="宋体"/>
          <w:b/>
          <w:color w:val="auto"/>
          <w:szCs w:val="21"/>
          <w:highlight w:val="none"/>
          <w:u w:val="single"/>
        </w:rPr>
        <w:t>七</w:t>
      </w:r>
      <w:r>
        <w:rPr>
          <w:rFonts w:hint="eastAsia" w:ascii="宋体" w:hAnsi="宋体" w:eastAsia="宋体" w:cs="宋体"/>
          <w:b/>
          <w:color w:val="auto"/>
          <w:szCs w:val="21"/>
          <w:highlight w:val="none"/>
          <w:u w:val="single"/>
          <w:lang w:val="zh-CN"/>
        </w:rPr>
        <w:t>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人授权委托证明书”以书面形式附在投标文件中。</w:t>
      </w:r>
      <w:r>
        <w:rPr>
          <w:rFonts w:hint="eastAsia" w:ascii="宋体" w:hAnsi="宋体" w:eastAsia="宋体" w:cs="宋体"/>
          <w:color w:val="auto"/>
          <w:szCs w:val="21"/>
          <w:highlight w:val="none"/>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w:t>
      </w:r>
      <w:r>
        <w:rPr>
          <w:rFonts w:hint="eastAsia" w:ascii="宋体" w:hAnsi="宋体" w:eastAsia="宋体" w:cs="宋体"/>
          <w:color w:val="auto"/>
          <w:szCs w:val="21"/>
          <w:highlight w:val="none"/>
          <w:lang w:val="en-US" w:eastAsia="zh-CN"/>
        </w:rPr>
        <w:t>包组号、</w:t>
      </w:r>
      <w:r>
        <w:rPr>
          <w:rFonts w:hint="eastAsia" w:ascii="宋体" w:hAnsi="宋体" w:eastAsia="宋体" w:cs="宋体"/>
          <w:color w:val="auto"/>
          <w:szCs w:val="21"/>
          <w:highlight w:val="none"/>
          <w:lang w:val="zh-CN"/>
        </w:rPr>
        <w:t>投标人名称、投标日期等”。</w:t>
      </w:r>
    </w:p>
    <w:p>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w:t>
      </w:r>
      <w:r>
        <w:rPr>
          <w:rFonts w:hint="eastAsia" w:ascii="宋体" w:hAnsi="宋体" w:eastAsia="宋体" w:cs="宋体"/>
          <w:color w:val="auto"/>
          <w:szCs w:val="21"/>
          <w:highlight w:val="none"/>
          <w:lang w:val="en-US" w:eastAsia="zh-CN"/>
        </w:rPr>
        <w:t>包组号、</w:t>
      </w:r>
      <w:r>
        <w:rPr>
          <w:rFonts w:hint="eastAsia" w:ascii="宋体" w:hAnsi="宋体" w:eastAsia="宋体" w:cs="宋体"/>
          <w:color w:val="auto"/>
          <w:szCs w:val="21"/>
          <w:highlight w:val="none"/>
          <w:lang w:val="zh-CN"/>
        </w:rPr>
        <w:t>投标人单位名称，并加盖投标人法人公章）。</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pPr>
        <w:autoSpaceDE w:val="0"/>
        <w:autoSpaceDN w:val="0"/>
        <w:adjustRightInd w:val="0"/>
        <w:jc w:val="left"/>
        <w:rPr>
          <w:rFonts w:ascii="宋体" w:hAnsi="宋体" w:eastAsia="宋体" w:cs="宋体"/>
          <w:color w:val="auto"/>
          <w:kern w:val="0"/>
          <w:sz w:val="24"/>
          <w:szCs w:val="24"/>
          <w:highlight w:val="none"/>
        </w:rPr>
      </w:pPr>
      <w:bookmarkStart w:id="195" w:name="_Toc450662867"/>
    </w:p>
    <w:p>
      <w:pPr>
        <w:keepNext/>
        <w:keepLines/>
        <w:tabs>
          <w:tab w:val="left" w:pos="509"/>
        </w:tabs>
        <w:autoSpaceDE w:val="0"/>
        <w:autoSpaceDN w:val="0"/>
        <w:adjustRightInd w:val="0"/>
        <w:spacing w:line="360" w:lineRule="auto"/>
        <w:jc w:val="left"/>
        <w:outlineLvl w:val="1"/>
        <w:rPr>
          <w:rFonts w:ascii="宋体" w:hAnsi="宋体" w:eastAsia="宋体" w:cs="宋体"/>
          <w:color w:val="auto"/>
          <w:kern w:val="0"/>
          <w:sz w:val="24"/>
          <w:szCs w:val="24"/>
          <w:highlight w:val="none"/>
        </w:rPr>
      </w:pPr>
      <w:bookmarkStart w:id="196" w:name="_Toc22356_WPSOffice_Level2"/>
      <w:bookmarkStart w:id="197" w:name="_Toc17199"/>
      <w:bookmarkStart w:id="198" w:name="_Toc28962"/>
      <w:bookmarkStart w:id="199" w:name="_Toc140596891"/>
      <w:bookmarkStart w:id="200" w:name="_Toc16145"/>
      <w:bookmarkStart w:id="201" w:name="_Toc142508332"/>
      <w:bookmarkStart w:id="202" w:name="_Toc486167682"/>
      <w:bookmarkStart w:id="203" w:name="_Toc26605"/>
      <w:r>
        <w:rPr>
          <w:rFonts w:hint="eastAsia" w:ascii="宋体" w:hAnsi="宋体" w:eastAsia="宋体" w:cs="宋体"/>
          <w:b/>
          <w:bCs/>
          <w:color w:val="auto"/>
          <w:kern w:val="44"/>
          <w:szCs w:val="21"/>
          <w:highlight w:val="none"/>
          <w:lang w:val="zh-CN"/>
        </w:rPr>
        <w:t>四、投标文件的递交</w:t>
      </w:r>
      <w:bookmarkEnd w:id="195"/>
      <w:bookmarkEnd w:id="196"/>
      <w:bookmarkEnd w:id="197"/>
      <w:bookmarkEnd w:id="198"/>
      <w:bookmarkEnd w:id="199"/>
      <w:bookmarkEnd w:id="200"/>
      <w:bookmarkEnd w:id="201"/>
      <w:bookmarkEnd w:id="202"/>
      <w:bookmarkEnd w:id="203"/>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4" w:name="_Toc11347"/>
      <w:bookmarkStart w:id="205" w:name="_Toc450662868"/>
      <w:bookmarkStart w:id="206" w:name="_Toc31551"/>
      <w:bookmarkStart w:id="207" w:name="_Toc29885"/>
      <w:bookmarkStart w:id="208" w:name="_Toc29038"/>
      <w:bookmarkStart w:id="209" w:name="_Toc142508333"/>
      <w:bookmarkStart w:id="210" w:name="_Toc12192_WPSOffice_Level3"/>
      <w:bookmarkStart w:id="211" w:name="_Toc486167683"/>
      <w:r>
        <w:rPr>
          <w:rFonts w:hint="eastAsia" w:ascii="宋体" w:hAnsi="宋体" w:eastAsia="宋体" w:cs="宋体"/>
          <w:color w:val="auto"/>
          <w:szCs w:val="21"/>
          <w:highlight w:val="none"/>
          <w:lang w:val="zh-CN"/>
        </w:rPr>
        <w:t>18 投标文件的密封和标记</w:t>
      </w:r>
      <w:bookmarkEnd w:id="204"/>
      <w:bookmarkEnd w:id="205"/>
      <w:bookmarkEnd w:id="206"/>
      <w:bookmarkEnd w:id="207"/>
      <w:bookmarkEnd w:id="208"/>
      <w:bookmarkEnd w:id="209"/>
      <w:bookmarkEnd w:id="210"/>
      <w:bookmarkEnd w:id="211"/>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唱标信封应单独密封，与18.1款的投标文件一同提交</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投标文件密封封装标记：</w:t>
      </w:r>
    </w:p>
    <w:p>
      <w:pPr>
        <w:autoSpaceDE w:val="0"/>
        <w:autoSpaceDN w:val="0"/>
        <w:adjustRightInd w:val="0"/>
        <w:spacing w:line="360" w:lineRule="auto"/>
        <w:ind w:left="319"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w:t>
      </w:r>
      <w:r>
        <w:rPr>
          <w:rFonts w:hint="eastAsia" w:ascii="宋体" w:hAnsi="宋体" w:eastAsia="宋体" w:cs="宋体"/>
          <w:color w:val="auto"/>
          <w:szCs w:val="21"/>
          <w:highlight w:val="none"/>
          <w:lang w:val="en-US" w:eastAsia="zh-CN"/>
        </w:rPr>
        <w:t>包组号、</w:t>
      </w:r>
      <w:r>
        <w:rPr>
          <w:rFonts w:hint="eastAsia" w:ascii="宋体" w:hAnsi="宋体" w:eastAsia="宋体" w:cs="宋体"/>
          <w:color w:val="auto"/>
          <w:szCs w:val="21"/>
          <w:highlight w:val="none"/>
          <w:lang w:val="zh-CN"/>
        </w:rPr>
        <w:t>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u w:val="single"/>
          <w:lang w:val="zh-CN"/>
        </w:rPr>
        <w:t>如果密封封装未按本款规定密封和标记，招标代理机构对投标文件的误投或提前拆封不负责任。对由此造成提前开封的投标文件，招标代理机构予以拒绝，并退回投标人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2" w:name="_Toc12582"/>
      <w:bookmarkStart w:id="213" w:name="_Toc28720"/>
      <w:bookmarkStart w:id="214" w:name="_Toc29665_WPSOffice_Level3"/>
      <w:bookmarkStart w:id="215" w:name="_Toc23369"/>
      <w:bookmarkStart w:id="216" w:name="_Toc450662869"/>
      <w:bookmarkStart w:id="217" w:name="_Toc142508334"/>
      <w:bookmarkStart w:id="218" w:name="_Toc4979"/>
      <w:bookmarkStart w:id="219" w:name="_Toc486167684"/>
      <w:r>
        <w:rPr>
          <w:rFonts w:hint="eastAsia" w:ascii="宋体" w:hAnsi="宋体" w:eastAsia="宋体" w:cs="宋体"/>
          <w:color w:val="auto"/>
          <w:szCs w:val="21"/>
          <w:highlight w:val="none"/>
          <w:lang w:val="zh-CN"/>
        </w:rPr>
        <w:t>19 递交投标文件的截止日期</w:t>
      </w:r>
      <w:bookmarkEnd w:id="212"/>
      <w:bookmarkEnd w:id="213"/>
      <w:bookmarkEnd w:id="214"/>
      <w:bookmarkEnd w:id="215"/>
      <w:bookmarkEnd w:id="216"/>
      <w:bookmarkEnd w:id="217"/>
      <w:bookmarkEnd w:id="218"/>
      <w:bookmarkEnd w:id="219"/>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20" w:name="_Toc30287"/>
      <w:bookmarkStart w:id="221" w:name="_Toc6457"/>
      <w:bookmarkStart w:id="222" w:name="_Toc22431_WPSOffice_Level3"/>
      <w:bookmarkStart w:id="223" w:name="_Toc450662870"/>
      <w:bookmarkStart w:id="224" w:name="_Toc142508335"/>
      <w:bookmarkStart w:id="225" w:name="_Toc20835"/>
      <w:bookmarkStart w:id="226" w:name="_Toc486167685"/>
      <w:bookmarkStart w:id="227" w:name="_Toc21327"/>
      <w:r>
        <w:rPr>
          <w:rFonts w:hint="eastAsia" w:ascii="宋体" w:hAnsi="宋体" w:eastAsia="宋体" w:cs="宋体"/>
          <w:color w:val="auto"/>
          <w:szCs w:val="21"/>
          <w:highlight w:val="none"/>
          <w:lang w:val="zh-CN"/>
        </w:rPr>
        <w:t>20 迟交的投标文件</w:t>
      </w:r>
      <w:bookmarkEnd w:id="220"/>
      <w:bookmarkEnd w:id="221"/>
      <w:bookmarkEnd w:id="222"/>
      <w:bookmarkEnd w:id="223"/>
      <w:bookmarkEnd w:id="224"/>
      <w:bookmarkEnd w:id="225"/>
      <w:bookmarkEnd w:id="226"/>
      <w:bookmarkEnd w:id="227"/>
    </w:p>
    <w:p>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8" w:name="_Toc4883_WPSOffice_Level3"/>
      <w:bookmarkStart w:id="229" w:name="_Toc450662871"/>
      <w:bookmarkStart w:id="230" w:name="_Toc3814"/>
      <w:bookmarkStart w:id="231" w:name="_Toc371"/>
      <w:bookmarkStart w:id="232" w:name="_Toc486167686"/>
      <w:bookmarkStart w:id="233" w:name="_Toc24876"/>
      <w:bookmarkStart w:id="234" w:name="_Toc27851"/>
      <w:bookmarkStart w:id="235" w:name="_Toc142508336"/>
      <w:r>
        <w:rPr>
          <w:rFonts w:hint="eastAsia" w:ascii="宋体" w:hAnsi="宋体" w:eastAsia="宋体" w:cs="宋体"/>
          <w:color w:val="auto"/>
          <w:szCs w:val="21"/>
          <w:highlight w:val="none"/>
          <w:lang w:val="zh-CN"/>
        </w:rPr>
        <w:t>21 投标文件的修改和撤回</w:t>
      </w:r>
      <w:bookmarkEnd w:id="228"/>
      <w:bookmarkEnd w:id="229"/>
      <w:bookmarkEnd w:id="230"/>
      <w:bookmarkEnd w:id="231"/>
      <w:bookmarkEnd w:id="232"/>
      <w:bookmarkEnd w:id="233"/>
      <w:bookmarkEnd w:id="234"/>
      <w:bookmarkEnd w:id="235"/>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val="zh-CN"/>
        </w:rPr>
        <w:t>将按第15.7款（1）规定不予退还其投标保证金。</w:t>
      </w:r>
    </w:p>
    <w:p>
      <w:pPr>
        <w:keepNext/>
        <w:keepLines/>
        <w:tabs>
          <w:tab w:val="left" w:pos="509"/>
        </w:tab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236" w:name="_Toc142508337"/>
      <w:bookmarkStart w:id="237" w:name="_Toc450662872"/>
      <w:bookmarkStart w:id="238" w:name="_Toc28824"/>
      <w:bookmarkStart w:id="239" w:name="_Toc20923"/>
      <w:bookmarkStart w:id="240" w:name="_Toc30428"/>
      <w:bookmarkStart w:id="241" w:name="_Toc486167687"/>
      <w:bookmarkStart w:id="242" w:name="_Toc140596896"/>
      <w:bookmarkStart w:id="243" w:name="_Toc6967"/>
      <w:bookmarkStart w:id="244" w:name="_Toc1049_WPSOffice_Level2"/>
      <w:r>
        <w:rPr>
          <w:rFonts w:hint="eastAsia" w:ascii="宋体" w:hAnsi="宋体" w:eastAsia="宋体" w:cs="宋体"/>
          <w:b/>
          <w:bCs/>
          <w:color w:val="auto"/>
          <w:kern w:val="44"/>
          <w:szCs w:val="21"/>
          <w:highlight w:val="none"/>
          <w:lang w:val="zh-CN"/>
        </w:rPr>
        <w:t>五、开标与评标</w:t>
      </w:r>
      <w:bookmarkEnd w:id="236"/>
      <w:bookmarkEnd w:id="237"/>
      <w:bookmarkEnd w:id="238"/>
      <w:bookmarkEnd w:id="239"/>
      <w:bookmarkEnd w:id="240"/>
      <w:bookmarkEnd w:id="241"/>
      <w:bookmarkEnd w:id="242"/>
      <w:bookmarkEnd w:id="243"/>
      <w:bookmarkEnd w:id="244"/>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5" w:name="_Toc11256"/>
      <w:bookmarkStart w:id="246" w:name="_Toc8728"/>
      <w:bookmarkStart w:id="247" w:name="_Toc32206"/>
      <w:bookmarkStart w:id="248" w:name="_Toc8514"/>
      <w:bookmarkStart w:id="249" w:name="_Toc142508338"/>
      <w:bookmarkStart w:id="250" w:name="_Toc486167688"/>
      <w:bookmarkStart w:id="251" w:name="_Toc144_WPSOffice_Level3"/>
      <w:bookmarkStart w:id="252" w:name="_Toc450662873"/>
      <w:r>
        <w:rPr>
          <w:rFonts w:hint="eastAsia" w:ascii="宋体" w:hAnsi="宋体" w:eastAsia="宋体" w:cs="宋体"/>
          <w:color w:val="auto"/>
          <w:szCs w:val="21"/>
          <w:highlight w:val="none"/>
          <w:lang w:val="zh-CN"/>
        </w:rPr>
        <w:t>22 开标</w:t>
      </w:r>
      <w:bookmarkEnd w:id="245"/>
      <w:bookmarkEnd w:id="246"/>
      <w:bookmarkEnd w:id="247"/>
      <w:bookmarkEnd w:id="248"/>
      <w:bookmarkEnd w:id="249"/>
      <w:bookmarkEnd w:id="250"/>
      <w:bookmarkEnd w:id="251"/>
      <w:bookmarkEnd w:id="252"/>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rPr>
        <w:t>相关内容</w:t>
      </w:r>
      <w:r>
        <w:rPr>
          <w:rFonts w:hint="eastAsia" w:ascii="宋体" w:hAnsi="宋体" w:eastAsia="宋体" w:cs="宋体"/>
          <w:color w:val="auto"/>
          <w:szCs w:val="21"/>
          <w:highlight w:val="none"/>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3" w:name="_Toc486167689"/>
      <w:bookmarkStart w:id="254" w:name="_Toc450662874"/>
      <w:bookmarkStart w:id="255" w:name="_Toc32534"/>
      <w:bookmarkStart w:id="256" w:name="_Toc23059"/>
      <w:bookmarkStart w:id="257" w:name="_Toc23491"/>
      <w:bookmarkStart w:id="258" w:name="_Toc142508339"/>
      <w:bookmarkStart w:id="259" w:name="_Toc29963"/>
      <w:bookmarkStart w:id="260" w:name="_Toc12165_WPSOffice_Level3"/>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53"/>
      <w:bookmarkEnd w:id="254"/>
      <w:bookmarkEnd w:id="255"/>
      <w:bookmarkEnd w:id="256"/>
      <w:bookmarkEnd w:id="257"/>
      <w:bookmarkEnd w:id="258"/>
      <w:bookmarkEnd w:id="259"/>
      <w:bookmarkEnd w:id="260"/>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1" w:name="_Toc26657"/>
      <w:bookmarkStart w:id="262" w:name="_Toc450662875"/>
      <w:bookmarkStart w:id="263" w:name="_Toc142508340"/>
      <w:bookmarkStart w:id="264" w:name="_Toc800"/>
      <w:bookmarkStart w:id="265" w:name="_Toc16920"/>
      <w:bookmarkStart w:id="266" w:name="_Toc18693"/>
      <w:bookmarkStart w:id="267" w:name="_Toc15565_WPSOffice_Level3"/>
      <w:bookmarkStart w:id="268" w:name="_Toc486167690"/>
      <w:r>
        <w:rPr>
          <w:rFonts w:hint="eastAsia" w:ascii="宋体" w:hAnsi="宋体" w:eastAsia="宋体" w:cs="宋体"/>
          <w:color w:val="auto"/>
          <w:szCs w:val="21"/>
          <w:highlight w:val="none"/>
          <w:lang w:val="zh-CN"/>
        </w:rPr>
        <w:t>24 评标委员会</w:t>
      </w:r>
      <w:bookmarkEnd w:id="261"/>
      <w:bookmarkEnd w:id="262"/>
      <w:bookmarkEnd w:id="263"/>
      <w:bookmarkEnd w:id="264"/>
      <w:bookmarkEnd w:id="265"/>
      <w:bookmarkEnd w:id="266"/>
      <w:bookmarkEnd w:id="267"/>
      <w:bookmarkEnd w:id="268"/>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69" w:name="_Toc8908"/>
      <w:bookmarkStart w:id="270" w:name="_Toc12715"/>
      <w:bookmarkStart w:id="271" w:name="_Toc18668"/>
      <w:bookmarkStart w:id="272" w:name="_Toc486167691"/>
      <w:bookmarkStart w:id="273" w:name="_Toc142508341"/>
      <w:bookmarkStart w:id="274" w:name="_Toc28910_WPSOffice_Level3"/>
      <w:bookmarkStart w:id="275" w:name="_Toc450662876"/>
      <w:bookmarkStart w:id="276" w:name="_Toc8958"/>
      <w:r>
        <w:rPr>
          <w:rFonts w:hint="eastAsia" w:ascii="宋体" w:hAnsi="宋体" w:eastAsia="宋体" w:cs="宋体"/>
          <w:b/>
          <w:color w:val="auto"/>
          <w:szCs w:val="21"/>
          <w:highlight w:val="none"/>
          <w:lang w:val="zh-CN"/>
        </w:rPr>
        <w:t>25 投标文件的初审</w:t>
      </w:r>
      <w:bookmarkEnd w:id="269"/>
      <w:bookmarkEnd w:id="270"/>
      <w:bookmarkEnd w:id="271"/>
      <w:bookmarkEnd w:id="272"/>
      <w:bookmarkEnd w:id="273"/>
      <w:bookmarkEnd w:id="274"/>
      <w:bookmarkEnd w:id="275"/>
      <w:r>
        <w:rPr>
          <w:rFonts w:hint="eastAsia" w:ascii="宋体" w:hAnsi="宋体" w:eastAsia="宋体" w:cs="宋体"/>
          <w:b/>
          <w:color w:val="auto"/>
          <w:szCs w:val="21"/>
          <w:highlight w:val="none"/>
          <w:lang w:val="zh-CN"/>
        </w:rPr>
        <w:t>（评标委员会将按包组的顺序，以包组为单位分别进行评审）</w:t>
      </w:r>
      <w:bookmarkEnd w:id="276"/>
    </w:p>
    <w:p>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 xml:space="preserve">25.1 </w:t>
      </w:r>
      <w:r>
        <w:rPr>
          <w:rFonts w:hint="eastAsia" w:ascii="宋体" w:hAnsi="宋体" w:eastAsia="宋体" w:cs="宋体"/>
          <w:b/>
          <w:color w:val="auto"/>
          <w:szCs w:val="21"/>
          <w:highlight w:val="none"/>
          <w:u w:val="single"/>
          <w:lang w:val="zh-CN"/>
        </w:rPr>
        <w:t>资格性检查：依据法律法规和招标文件的规定，对投标文件中的资格证明、投标保证金等进行审查，以确定投标人是否具备投标资格</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25.2 </w:t>
      </w:r>
      <w:r>
        <w:rPr>
          <w:rFonts w:hint="eastAsia" w:ascii="宋体" w:hAnsi="宋体" w:eastAsia="宋体" w:cs="宋体"/>
          <w:b/>
          <w:color w:val="auto"/>
          <w:szCs w:val="21"/>
          <w:highlight w:val="none"/>
          <w:u w:val="single"/>
          <w:lang w:val="zh-CN"/>
        </w:rPr>
        <w:t>符合性检查：依据招标文件的规定，从投标文件的有效性、完整性和对招标文件的响应程度进行审查，以确定是否对招标文件的实质性要求作出响应</w:t>
      </w:r>
      <w:r>
        <w:rPr>
          <w:rFonts w:hint="eastAsia" w:ascii="宋体" w:hAnsi="宋体" w:eastAsia="宋体" w:cs="宋体"/>
          <w:b/>
          <w:color w:val="auto"/>
          <w:szCs w:val="21"/>
          <w:highlight w:val="none"/>
          <w:lang w:val="zh-CN"/>
        </w:rPr>
        <w:t>。</w:t>
      </w:r>
    </w:p>
    <w:p>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77" w:name="_Toc30225"/>
      <w:bookmarkStart w:id="278" w:name="_Toc4837"/>
      <w:bookmarkStart w:id="279" w:name="_Toc19456"/>
      <w:bookmarkStart w:id="280" w:name="_Toc450662877"/>
      <w:bookmarkStart w:id="281" w:name="_Toc22464"/>
      <w:bookmarkStart w:id="282" w:name="_Toc142508342"/>
      <w:bookmarkStart w:id="283" w:name="_Toc486167692"/>
      <w:bookmarkStart w:id="284" w:name="_Toc338_WPSOffice_Level3"/>
      <w:r>
        <w:rPr>
          <w:rFonts w:hint="eastAsia" w:ascii="宋体" w:hAnsi="宋体" w:eastAsia="宋体" w:cs="宋体"/>
          <w:color w:val="auto"/>
          <w:szCs w:val="21"/>
          <w:highlight w:val="none"/>
          <w:lang w:val="zh-CN"/>
        </w:rPr>
        <w:t>26 投标文件的澄清</w:t>
      </w:r>
      <w:bookmarkEnd w:id="277"/>
      <w:bookmarkEnd w:id="278"/>
      <w:bookmarkEnd w:id="279"/>
      <w:bookmarkEnd w:id="280"/>
      <w:bookmarkEnd w:id="281"/>
      <w:bookmarkEnd w:id="282"/>
      <w:bookmarkEnd w:id="283"/>
      <w:bookmarkEnd w:id="284"/>
    </w:p>
    <w:p>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285"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285"/>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6" w:name="_Toc6970"/>
      <w:bookmarkStart w:id="287" w:name="_Toc522047355"/>
      <w:bookmarkStart w:id="288" w:name="_Toc25691"/>
      <w:bookmarkStart w:id="289" w:name="_Toc142508343"/>
      <w:bookmarkStart w:id="290" w:name="_Toc10967"/>
      <w:bookmarkStart w:id="291" w:name="_Toc521918096"/>
      <w:bookmarkStart w:id="292" w:name="_Toc22065"/>
      <w:bookmarkStart w:id="293" w:name="_Toc18368_WPSOffice_Level3"/>
      <w:r>
        <w:rPr>
          <w:rFonts w:hint="eastAsia" w:ascii="宋体" w:hAnsi="宋体" w:eastAsia="宋体" w:cs="宋体"/>
          <w:color w:val="auto"/>
          <w:szCs w:val="21"/>
          <w:highlight w:val="none"/>
          <w:lang w:val="zh-CN"/>
        </w:rPr>
        <w:t>27 对投标文件的比较和评价</w:t>
      </w:r>
      <w:bookmarkEnd w:id="286"/>
      <w:bookmarkEnd w:id="287"/>
      <w:bookmarkEnd w:id="288"/>
      <w:bookmarkEnd w:id="289"/>
      <w:bookmarkEnd w:id="290"/>
      <w:bookmarkEnd w:id="291"/>
      <w:bookmarkEnd w:id="292"/>
      <w:bookmarkEnd w:id="293"/>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294" w:name="_Toc521918097"/>
      <w:bookmarkStart w:id="295" w:name="_Toc522047356"/>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6" w:name="_Toc16829"/>
      <w:bookmarkStart w:id="297" w:name="_Toc21460_WPSOffice_Level3"/>
      <w:bookmarkStart w:id="298" w:name="_Toc27924"/>
      <w:bookmarkStart w:id="299" w:name="_Toc27026"/>
      <w:bookmarkStart w:id="300" w:name="_Toc14804"/>
      <w:bookmarkStart w:id="301" w:name="_Toc142508344"/>
      <w:r>
        <w:rPr>
          <w:rFonts w:hint="eastAsia" w:ascii="宋体" w:hAnsi="宋体" w:eastAsia="宋体" w:cs="宋体"/>
          <w:color w:val="auto"/>
          <w:szCs w:val="21"/>
          <w:highlight w:val="none"/>
          <w:lang w:val="zh-CN"/>
        </w:rPr>
        <w:t>28 评标原则及方法</w:t>
      </w:r>
      <w:bookmarkEnd w:id="294"/>
      <w:bookmarkEnd w:id="295"/>
      <w:bookmarkEnd w:id="296"/>
      <w:bookmarkEnd w:id="297"/>
      <w:bookmarkEnd w:id="298"/>
      <w:bookmarkEnd w:id="299"/>
      <w:bookmarkEnd w:id="300"/>
      <w:bookmarkEnd w:id="301"/>
    </w:p>
    <w:p>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u w:val="single"/>
          <w:lang w:val="zh-CN"/>
        </w:rPr>
        <w:t>若本次招标过程中</w:t>
      </w:r>
      <w:r>
        <w:rPr>
          <w:rFonts w:hint="eastAsia" w:ascii="宋体" w:hAnsi="宋体" w:eastAsia="宋体" w:cs="宋体"/>
          <w:b/>
          <w:bCs/>
          <w:color w:val="auto"/>
          <w:szCs w:val="21"/>
          <w:highlight w:val="none"/>
          <w:u w:val="single"/>
        </w:rPr>
        <w:t>单个</w:t>
      </w:r>
      <w:r>
        <w:rPr>
          <w:rFonts w:hint="eastAsia" w:ascii="宋体" w:hAnsi="宋体" w:eastAsia="宋体" w:cs="宋体"/>
          <w:b/>
          <w:bCs/>
          <w:color w:val="auto"/>
          <w:szCs w:val="21"/>
          <w:highlight w:val="none"/>
          <w:u w:val="single"/>
          <w:lang w:eastAsia="zh-CN"/>
        </w:rPr>
        <w:t>包组</w:t>
      </w:r>
      <w:r>
        <w:rPr>
          <w:rFonts w:hint="eastAsia" w:ascii="宋体" w:hAnsi="宋体" w:eastAsia="宋体" w:cs="宋体"/>
          <w:b/>
          <w:bCs/>
          <w:color w:val="auto"/>
          <w:szCs w:val="21"/>
          <w:highlight w:val="none"/>
          <w:u w:val="single"/>
          <w:lang w:val="zh-CN"/>
        </w:rPr>
        <w:t>有效投标人不足3个时，</w:t>
      </w:r>
      <w:r>
        <w:rPr>
          <w:rFonts w:hint="eastAsia" w:ascii="宋体" w:hAnsi="宋体" w:eastAsia="宋体" w:cs="宋体"/>
          <w:b/>
          <w:bCs/>
          <w:color w:val="auto"/>
          <w:szCs w:val="21"/>
          <w:highlight w:val="none"/>
          <w:u w:val="single"/>
        </w:rPr>
        <w:t>对应</w:t>
      </w:r>
      <w:r>
        <w:rPr>
          <w:rFonts w:hint="eastAsia" w:ascii="宋体" w:hAnsi="宋体" w:eastAsia="宋体" w:cs="宋体"/>
          <w:b/>
          <w:bCs/>
          <w:color w:val="auto"/>
          <w:szCs w:val="21"/>
          <w:highlight w:val="none"/>
          <w:u w:val="single"/>
          <w:lang w:eastAsia="zh-CN"/>
        </w:rPr>
        <w:t>包组</w:t>
      </w:r>
      <w:r>
        <w:rPr>
          <w:rFonts w:hint="eastAsia" w:ascii="宋体" w:hAnsi="宋体" w:eastAsia="宋体" w:cs="宋体"/>
          <w:b/>
          <w:bCs/>
          <w:color w:val="auto"/>
          <w:szCs w:val="21"/>
          <w:highlight w:val="none"/>
          <w:u w:val="single"/>
          <w:lang w:val="zh-CN"/>
        </w:rPr>
        <w:t>公开招标失败</w:t>
      </w:r>
      <w:r>
        <w:rPr>
          <w:rFonts w:hint="eastAsia" w:ascii="宋体" w:hAnsi="宋体" w:eastAsia="宋体" w:cs="宋体"/>
          <w:b/>
          <w:bCs/>
          <w:color w:val="auto"/>
          <w:szCs w:val="21"/>
          <w:highlight w:val="none"/>
          <w:lang w:val="zh-CN"/>
        </w:rPr>
        <w:t>。</w:t>
      </w:r>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2" w:name="_Toc29588"/>
      <w:bookmarkStart w:id="303" w:name="_Toc142508345"/>
      <w:bookmarkStart w:id="304" w:name="_Toc32498_WPSOffice_Level3"/>
      <w:bookmarkStart w:id="305" w:name="_Toc4819"/>
      <w:bookmarkStart w:id="306" w:name="_Toc465358969"/>
      <w:bookmarkStart w:id="307" w:name="_Toc11615"/>
      <w:bookmarkStart w:id="308" w:name="_Toc31164"/>
      <w:bookmarkStart w:id="309" w:name="_Toc486167694"/>
      <w:bookmarkStart w:id="310" w:name="_Toc466882017"/>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302"/>
      <w:bookmarkEnd w:id="303"/>
      <w:bookmarkEnd w:id="304"/>
      <w:bookmarkEnd w:id="305"/>
      <w:bookmarkEnd w:id="306"/>
      <w:bookmarkEnd w:id="307"/>
      <w:bookmarkEnd w:id="308"/>
      <w:bookmarkEnd w:id="309"/>
      <w:bookmarkEnd w:id="310"/>
    </w:p>
    <w:p>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招标代理机构在招标公告发布媒介公示中标候选人，公示期为3日。投标人或者其他利害关系人对评标结果有异议的，应当在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pPr>
        <w:autoSpaceDE w:val="0"/>
        <w:autoSpaceDN w:val="0"/>
        <w:adjustRightInd w:val="0"/>
        <w:spacing w:line="360" w:lineRule="auto"/>
        <w:ind w:left="284" w:hanging="568"/>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u w:val="single"/>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r>
        <w:rPr>
          <w:rFonts w:hint="eastAsia" w:ascii="宋体" w:hAnsi="宋体" w:eastAsia="宋体" w:cs="宋体"/>
          <w:b/>
          <w:color w:val="auto"/>
          <w:szCs w:val="21"/>
          <w:highlight w:val="none"/>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宋体"/>
          <w:b/>
          <w:color w:val="auto"/>
          <w:szCs w:val="21"/>
          <w:highlight w:val="none"/>
          <w:lang w:val="zh-CN"/>
        </w:rPr>
      </w:pPr>
      <w:r>
        <w:rPr>
          <w:rFonts w:hint="eastAsia" w:ascii="宋体" w:hAnsi="宋体" w:eastAsia="宋体" w:cs="宋体"/>
          <w:b/>
          <w:color w:val="auto"/>
          <w:szCs w:val="21"/>
          <w:highlight w:val="none"/>
          <w:u w:val="singl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u w:val="singl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u w:val="single"/>
          <w:lang w:val="zh-CN"/>
        </w:rPr>
        <w:t>，视为其无法提供真实的资料，招标人有权取消其中标候选人资格</w:t>
      </w:r>
      <w:r>
        <w:rPr>
          <w:rFonts w:hint="eastAsia" w:ascii="宋体" w:hAnsi="宋体" w:eastAsia="宋体" w:cs="宋体"/>
          <w:b/>
          <w:color w:val="auto"/>
          <w:szCs w:val="21"/>
          <w:highlight w:val="none"/>
          <w:lang w:val="zh-CN"/>
        </w:rPr>
        <w:t>。</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11" w:name="_Toc26354"/>
      <w:bookmarkStart w:id="312" w:name="_Toc486167695"/>
      <w:bookmarkStart w:id="313" w:name="_Toc142508346"/>
      <w:bookmarkStart w:id="314" w:name="_Toc466882018"/>
      <w:bookmarkStart w:id="315" w:name="_Toc465358970"/>
      <w:bookmarkStart w:id="316" w:name="_Toc2077"/>
      <w:bookmarkStart w:id="317" w:name="_Toc3154"/>
      <w:bookmarkStart w:id="318" w:name="_Toc2045"/>
      <w:bookmarkStart w:id="319" w:name="_Toc1848_WPSOffice_Level3"/>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11"/>
      <w:bookmarkEnd w:id="312"/>
      <w:bookmarkEnd w:id="313"/>
      <w:bookmarkEnd w:id="314"/>
      <w:bookmarkEnd w:id="315"/>
      <w:bookmarkEnd w:id="316"/>
      <w:bookmarkEnd w:id="317"/>
      <w:bookmarkEnd w:id="318"/>
      <w:bookmarkEnd w:id="319"/>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30.1 </w:t>
      </w:r>
      <w:r>
        <w:rPr>
          <w:rFonts w:hint="eastAsia" w:ascii="宋体" w:hAnsi="宋体" w:eastAsia="宋体" w:cs="宋体"/>
          <w:b/>
          <w:color w:val="auto"/>
          <w:szCs w:val="21"/>
          <w:highlight w:val="none"/>
          <w:u w:val="single"/>
        </w:rPr>
        <w:t>在</w:t>
      </w:r>
      <w:r>
        <w:rPr>
          <w:rFonts w:hint="eastAsia" w:ascii="宋体" w:hAnsi="宋体" w:eastAsia="宋体" w:cs="宋体"/>
          <w:b/>
          <w:color w:val="auto"/>
          <w:kern w:val="0"/>
          <w:szCs w:val="21"/>
          <w:highlight w:val="none"/>
          <w:u w:val="singl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u w:val="singl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u w:val="singl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30.2 </w:t>
      </w:r>
      <w:r>
        <w:rPr>
          <w:rFonts w:hint="eastAsia" w:ascii="宋体" w:hAnsi="宋体" w:eastAsia="宋体" w:cs="宋体"/>
          <w:b/>
          <w:color w:val="auto"/>
          <w:szCs w:val="21"/>
          <w:highlight w:val="none"/>
          <w:u w:val="single"/>
        </w:rPr>
        <w:t>投标人</w:t>
      </w:r>
      <w:r>
        <w:rPr>
          <w:rFonts w:hint="eastAsia" w:ascii="宋体" w:hAnsi="宋体" w:eastAsia="宋体" w:cs="宋体"/>
          <w:b/>
          <w:color w:val="auto"/>
          <w:kern w:val="0"/>
          <w:szCs w:val="21"/>
          <w:highlight w:val="none"/>
          <w:u w:val="single"/>
        </w:rPr>
        <w:t>在招标人（或其委托的招标代理机构）、或评标委员会通知其提供</w:t>
      </w:r>
      <w:r>
        <w:rPr>
          <w:rFonts w:hint="eastAsia" w:ascii="宋体" w:hAnsi="宋体" w:eastAsia="宋体" w:cs="宋体"/>
          <w:b/>
          <w:color w:val="auto"/>
          <w:szCs w:val="21"/>
          <w:highlight w:val="none"/>
          <w:u w:val="singl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u w:val="singl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 xml:space="preserve">30.3 </w:t>
      </w:r>
      <w:r>
        <w:rPr>
          <w:rFonts w:hint="eastAsia" w:ascii="宋体" w:hAnsi="宋体" w:eastAsia="宋体" w:cs="宋体"/>
          <w:b/>
          <w:color w:val="auto"/>
          <w:szCs w:val="21"/>
          <w:highlight w:val="none"/>
          <w:u w:val="single"/>
        </w:rPr>
        <w:t>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r>
        <w:rPr>
          <w:rFonts w:hint="eastAsia" w:ascii="宋体" w:hAnsi="宋体" w:eastAsia="宋体" w:cs="宋体"/>
          <w:b/>
          <w:color w:val="auto"/>
          <w:szCs w:val="21"/>
          <w:highlight w:val="none"/>
        </w:rPr>
        <w:t>。</w:t>
      </w:r>
    </w:p>
    <w:p>
      <w:pPr>
        <w:autoSpaceDE w:val="0"/>
        <w:autoSpaceDN w:val="0"/>
        <w:adjustRightInd w:val="0"/>
        <w:snapToGrid w:val="0"/>
        <w:spacing w:line="360" w:lineRule="auto"/>
        <w:jc w:val="left"/>
        <w:rPr>
          <w:rFonts w:ascii="宋体" w:hAnsi="宋体" w:eastAsia="宋体" w:cs="宋体"/>
          <w:color w:val="auto"/>
          <w:szCs w:val="21"/>
          <w:highlight w:val="none"/>
        </w:rPr>
      </w:pPr>
      <w:bookmarkStart w:id="320" w:name="_Toc466882019"/>
      <w:bookmarkStart w:id="321" w:name="_Toc465358971"/>
    </w:p>
    <w:p>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22" w:name="_Toc15815"/>
      <w:bookmarkStart w:id="323" w:name="_Toc142508347"/>
      <w:bookmarkStart w:id="324" w:name="_Toc10867_WPSOffice_Level3"/>
      <w:bookmarkStart w:id="325" w:name="_Toc486167696"/>
      <w:bookmarkStart w:id="326" w:name="_Toc23672"/>
      <w:bookmarkStart w:id="327" w:name="_Toc8654"/>
      <w:bookmarkStart w:id="328" w:name="_Toc1663"/>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20"/>
      <w:bookmarkEnd w:id="321"/>
      <w:bookmarkEnd w:id="322"/>
      <w:bookmarkEnd w:id="323"/>
      <w:bookmarkEnd w:id="324"/>
      <w:bookmarkEnd w:id="325"/>
      <w:bookmarkEnd w:id="326"/>
      <w:bookmarkEnd w:id="327"/>
      <w:bookmarkEnd w:id="328"/>
    </w:p>
    <w:p>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329" w:name="_Toc450662880"/>
    </w:p>
    <w:p>
      <w:pPr>
        <w:keepNext/>
        <w:keepLines/>
        <w:autoSpaceDE w:val="0"/>
        <w:autoSpaceDN w:val="0"/>
        <w:adjustRightInd w:val="0"/>
        <w:spacing w:line="360" w:lineRule="auto"/>
        <w:jc w:val="left"/>
        <w:outlineLvl w:val="1"/>
        <w:rPr>
          <w:rFonts w:ascii="宋体" w:hAnsi="宋体" w:eastAsia="宋体" w:cs="宋体"/>
          <w:b/>
          <w:bCs/>
          <w:color w:val="auto"/>
          <w:kern w:val="44"/>
          <w:szCs w:val="21"/>
          <w:highlight w:val="none"/>
          <w:lang w:val="zh-CN"/>
        </w:rPr>
      </w:pPr>
      <w:bookmarkStart w:id="330" w:name="_Toc16789"/>
      <w:bookmarkStart w:id="331" w:name="_Toc32087"/>
      <w:bookmarkStart w:id="332" w:name="_Toc11941"/>
      <w:bookmarkStart w:id="333" w:name="_Toc27936"/>
      <w:bookmarkStart w:id="334" w:name="_Toc140596907"/>
      <w:bookmarkStart w:id="335" w:name="_Toc142508348"/>
      <w:bookmarkStart w:id="336" w:name="_Toc16848_WPSOffice_Level2"/>
      <w:bookmarkStart w:id="337" w:name="_Toc486167697"/>
      <w:r>
        <w:rPr>
          <w:rFonts w:hint="eastAsia" w:ascii="宋体" w:hAnsi="宋体" w:eastAsia="宋体" w:cs="宋体"/>
          <w:b/>
          <w:bCs/>
          <w:color w:val="auto"/>
          <w:kern w:val="44"/>
          <w:szCs w:val="21"/>
          <w:highlight w:val="none"/>
          <w:lang w:val="zh-CN"/>
        </w:rPr>
        <w:t>六、授予合同</w:t>
      </w:r>
      <w:bookmarkEnd w:id="329"/>
      <w:bookmarkEnd w:id="330"/>
      <w:bookmarkEnd w:id="331"/>
      <w:bookmarkEnd w:id="332"/>
      <w:bookmarkEnd w:id="333"/>
      <w:bookmarkEnd w:id="334"/>
      <w:bookmarkEnd w:id="335"/>
      <w:bookmarkEnd w:id="336"/>
      <w:bookmarkEnd w:id="337"/>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8" w:name="_Toc29383"/>
      <w:bookmarkStart w:id="339" w:name="_Toc9067"/>
      <w:bookmarkStart w:id="340" w:name="_Toc14117"/>
      <w:bookmarkStart w:id="341" w:name="_Toc6401_WPSOffice_Level3"/>
      <w:bookmarkStart w:id="342" w:name="_Toc450662881"/>
      <w:bookmarkStart w:id="343" w:name="_Toc486167698"/>
      <w:bookmarkStart w:id="344" w:name="_Toc31713"/>
      <w:bookmarkStart w:id="345" w:name="_Toc142508349"/>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38"/>
      <w:bookmarkEnd w:id="339"/>
      <w:bookmarkEnd w:id="340"/>
      <w:bookmarkEnd w:id="341"/>
      <w:bookmarkEnd w:id="342"/>
      <w:bookmarkEnd w:id="343"/>
      <w:bookmarkEnd w:id="344"/>
      <w:bookmarkEnd w:id="345"/>
    </w:p>
    <w:p>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46" w:name="_Toc450662885"/>
    </w:p>
    <w:p>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7" w:name="_Toc142508350"/>
      <w:bookmarkStart w:id="348" w:name="_Toc8196"/>
      <w:bookmarkStart w:id="349" w:name="_Toc486167699"/>
      <w:bookmarkStart w:id="350" w:name="_Toc6726_WPSOffice_Level3"/>
      <w:bookmarkStart w:id="351" w:name="_Toc14377"/>
      <w:bookmarkStart w:id="352" w:name="_Toc18984"/>
      <w:bookmarkStart w:id="353" w:name="_Toc3694"/>
      <w:r>
        <w:rPr>
          <w:rFonts w:hint="eastAsia" w:ascii="宋体" w:hAnsi="宋体" w:eastAsia="宋体" w:cs="宋体"/>
          <w:color w:val="auto"/>
          <w:szCs w:val="21"/>
          <w:highlight w:val="none"/>
          <w:lang w:val="zh-CN"/>
        </w:rPr>
        <w:t>33 中标通知</w:t>
      </w:r>
      <w:bookmarkEnd w:id="346"/>
      <w:bookmarkEnd w:id="347"/>
      <w:bookmarkEnd w:id="348"/>
      <w:bookmarkEnd w:id="349"/>
      <w:bookmarkEnd w:id="350"/>
      <w:bookmarkEnd w:id="351"/>
      <w:bookmarkEnd w:id="352"/>
      <w:bookmarkEnd w:id="353"/>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54"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5" w:name="_Toc9694_WPSOffice_Level3"/>
      <w:bookmarkStart w:id="356" w:name="_Toc1331"/>
      <w:bookmarkStart w:id="357" w:name="_Toc142508351"/>
      <w:bookmarkStart w:id="358" w:name="_Toc7017"/>
      <w:bookmarkStart w:id="359" w:name="_Toc19127"/>
      <w:bookmarkStart w:id="360" w:name="_Toc28020"/>
      <w:bookmarkStart w:id="361" w:name="_Toc486167700"/>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54"/>
      <w:bookmarkEnd w:id="355"/>
      <w:bookmarkEnd w:id="356"/>
      <w:bookmarkEnd w:id="357"/>
      <w:bookmarkEnd w:id="358"/>
      <w:bookmarkEnd w:id="359"/>
      <w:bookmarkEnd w:id="360"/>
      <w:bookmarkEnd w:id="361"/>
    </w:p>
    <w:p>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w:t>
      </w:r>
    </w:p>
    <w:p>
      <w:pPr>
        <w:autoSpaceDE w:val="0"/>
        <w:autoSpaceDN w:val="0"/>
        <w:adjustRightInd w:val="0"/>
        <w:snapToGrid w:val="0"/>
        <w:spacing w:line="360" w:lineRule="auto"/>
        <w:ind w:left="315" w:leftChars="100" w:hanging="105" w:hangingChars="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（1）当以数字表示的金额与以文字表示的金额不一致时，以文字表示的金额为准；</w:t>
      </w:r>
    </w:p>
    <w:p>
      <w:pPr>
        <w:autoSpaceDE w:val="0"/>
        <w:autoSpaceDN w:val="0"/>
        <w:adjustRightInd w:val="0"/>
        <w:snapToGrid w:val="0"/>
        <w:spacing w:line="360" w:lineRule="auto"/>
        <w:ind w:left="315" w:leftChars="100" w:hanging="105" w:hangingChars="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（2）按前述修正原则排序依次进行修正至唯一值后的报价表经双方确认后，作为合同文件的组成部分。</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pPr>
        <w:tabs>
          <w:tab w:val="left" w:pos="36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62" w:name="_Toc5304"/>
      <w:bookmarkStart w:id="363" w:name="_Toc10513_WPSOffice_Level3"/>
      <w:bookmarkStart w:id="364" w:name="_Toc450662887"/>
      <w:bookmarkStart w:id="365" w:name="_Toc3830"/>
      <w:bookmarkStart w:id="366" w:name="_Toc486167701"/>
      <w:bookmarkStart w:id="367" w:name="_Toc142508352"/>
      <w:bookmarkStart w:id="368" w:name="_Toc8181"/>
      <w:bookmarkStart w:id="369" w:name="_Toc6438"/>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362"/>
      <w:bookmarkEnd w:id="363"/>
      <w:bookmarkEnd w:id="364"/>
      <w:bookmarkEnd w:id="365"/>
      <w:bookmarkEnd w:id="366"/>
      <w:bookmarkEnd w:id="367"/>
      <w:bookmarkEnd w:id="368"/>
      <w:bookmarkEnd w:id="369"/>
      <w:bookmarkStart w:id="370" w:name="_Toc465358977"/>
      <w:bookmarkStart w:id="371" w:name="_Toc466882025"/>
    </w:p>
    <w:p>
      <w:pPr>
        <w:tabs>
          <w:tab w:val="left" w:pos="360"/>
        </w:tabs>
        <w:autoSpaceDE w:val="0"/>
        <w:autoSpaceDN w:val="0"/>
        <w:adjustRightInd w:val="0"/>
        <w:spacing w:line="360" w:lineRule="auto"/>
        <w:ind w:left="357" w:leftChars="-100" w:hanging="567"/>
        <w:jc w:val="left"/>
        <w:outlineLvl w:val="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Cs/>
          <w:color w:val="auto"/>
          <w:szCs w:val="21"/>
          <w:highlight w:val="none"/>
          <w:lang w:val="en-US" w:eastAsia="zh-CN"/>
        </w:rPr>
        <w:t xml:space="preserve"> </w:t>
      </w:r>
      <w:r>
        <w:rPr>
          <w:rFonts w:hint="eastAsia" w:ascii="宋体" w:hAnsi="宋体" w:eastAsia="宋体" w:cs="宋体"/>
          <w:b/>
          <w:bCs/>
          <w:color w:val="auto"/>
          <w:szCs w:val="21"/>
          <w:highlight w:val="none"/>
          <w:u w:val="single"/>
          <w:lang w:val="zh-CN"/>
        </w:rPr>
        <w:t>中标人应在签订合同前，</w:t>
      </w:r>
      <w:r>
        <w:rPr>
          <w:rFonts w:hint="eastAsia" w:ascii="宋体" w:hAnsi="宋体" w:eastAsia="宋体" w:cs="宋体"/>
          <w:b/>
          <w:bCs/>
          <w:color w:val="auto"/>
          <w:szCs w:val="21"/>
          <w:highlight w:val="none"/>
          <w:u w:val="single"/>
        </w:rPr>
        <w:t>按本招标文件规定金额及形式要求，向招标人提交不可撤销的银行履约保函</w:t>
      </w:r>
      <w:r>
        <w:rPr>
          <w:rFonts w:hint="eastAsia" w:ascii="宋体" w:hAnsi="宋体" w:eastAsia="宋体" w:cs="宋体"/>
          <w:b/>
          <w:bCs/>
          <w:color w:val="auto"/>
          <w:szCs w:val="21"/>
          <w:highlight w:val="none"/>
          <w:u w:val="single"/>
          <w:lang w:val="zh-CN"/>
        </w:rPr>
        <w:t>（或履</w:t>
      </w:r>
    </w:p>
    <w:p>
      <w:pPr>
        <w:keepNext w:val="0"/>
        <w:keepLines w:val="0"/>
        <w:pageBreakBefore w:val="0"/>
        <w:widowControl w:val="0"/>
        <w:tabs>
          <w:tab w:val="left" w:pos="360"/>
        </w:tabs>
        <w:kinsoku/>
        <w:wordWrap/>
        <w:overflowPunct/>
        <w:topLinePunct w:val="0"/>
        <w:autoSpaceDE w:val="0"/>
        <w:autoSpaceDN w:val="0"/>
        <w:bidi w:val="0"/>
        <w:adjustRightInd w:val="0"/>
        <w:snapToGrid/>
        <w:spacing w:line="360" w:lineRule="auto"/>
        <w:ind w:left="315" w:leftChars="150"/>
        <w:jc w:val="left"/>
        <w:textAlignment w:val="auto"/>
        <w:outlineLvl w:val="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u w:val="single"/>
          <w:lang w:val="zh-CN"/>
        </w:rPr>
        <w:t>约保证金</w:t>
      </w:r>
      <w:r>
        <w:rPr>
          <w:rFonts w:hint="eastAsia" w:ascii="宋体" w:hAnsi="宋体" w:eastAsia="宋体" w:cs="宋体"/>
          <w:b/>
          <w:bCs/>
          <w:color w:val="auto"/>
          <w:szCs w:val="21"/>
          <w:highlight w:val="none"/>
          <w:u w:val="single"/>
          <w:lang w:val="en-US" w:eastAsia="zh-CN"/>
        </w:rPr>
        <w:t>或</w:t>
      </w:r>
      <w:r>
        <w:rPr>
          <w:rFonts w:hint="eastAsia" w:ascii="宋体" w:hAnsi="宋体" w:eastAsia="宋体" w:cs="宋体"/>
          <w:b/>
          <w:bCs/>
          <w:color w:val="auto"/>
          <w:szCs w:val="21"/>
          <w:highlight w:val="none"/>
          <w:u w:val="single"/>
          <w:lang w:val="zh-CN"/>
        </w:rPr>
        <w:t>履约保证保险或担保公司履约担保书）</w:t>
      </w:r>
      <w:r>
        <w:rPr>
          <w:rFonts w:hint="eastAsia" w:ascii="宋体" w:hAnsi="宋体" w:eastAsia="宋体" w:cs="宋体"/>
          <w:b/>
          <w:bCs/>
          <w:color w:val="auto"/>
          <w:szCs w:val="21"/>
          <w:highlight w:val="none"/>
          <w:u w:val="single"/>
        </w:rPr>
        <w:t>，作为履约担保（所需费用由中标人自行承担），</w:t>
      </w:r>
      <w:r>
        <w:rPr>
          <w:rFonts w:hint="eastAsia" w:ascii="宋体" w:hAnsi="宋体" w:eastAsia="宋体" w:cs="宋体"/>
          <w:b/>
          <w:bCs/>
          <w:color w:val="auto"/>
          <w:highlight w:val="none"/>
          <w:u w:val="single"/>
        </w:rPr>
        <w:t>否则招标人可有权取消中标人的中标资格，并不予退还其投标保证金。</w:t>
      </w:r>
      <w:r>
        <w:rPr>
          <w:rFonts w:hint="eastAsia" w:ascii="宋体" w:hAnsi="宋体" w:eastAsia="宋体" w:cs="宋体"/>
          <w:b/>
          <w:bCs/>
          <w:color w:val="auto"/>
          <w:szCs w:val="21"/>
          <w:highlight w:val="none"/>
          <w:u w:val="single"/>
        </w:rPr>
        <w:t>其中，采用履约保证金（银行转账形式）的金额为暂定总合同价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rPr>
        <w:t>的5%，采用不可撤销银行履约保函形式的金额为暂定总合同价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rPr>
        <w:t>的8%，</w:t>
      </w:r>
      <w:r>
        <w:rPr>
          <w:rFonts w:hint="eastAsia" w:ascii="宋体" w:hAnsi="宋体" w:eastAsia="宋体" w:cs="宋体"/>
          <w:b/>
          <w:bCs/>
          <w:color w:val="auto"/>
          <w:szCs w:val="21"/>
          <w:highlight w:val="none"/>
          <w:u w:val="single"/>
          <w:lang w:val="zh-CN"/>
        </w:rPr>
        <w:t>采用</w:t>
      </w:r>
      <w:r>
        <w:rPr>
          <w:rFonts w:hint="eastAsia" w:ascii="宋体" w:hAnsi="宋体" w:eastAsia="宋体" w:cs="宋体"/>
          <w:b/>
          <w:bCs/>
          <w:color w:val="auto"/>
          <w:szCs w:val="21"/>
          <w:highlight w:val="none"/>
          <w:u w:val="single"/>
          <w:lang w:val="en-US" w:eastAsia="zh-CN"/>
        </w:rPr>
        <w:t>履约保证保险</w:t>
      </w:r>
      <w:r>
        <w:rPr>
          <w:rFonts w:hint="eastAsia" w:ascii="宋体" w:hAnsi="宋体" w:eastAsia="宋体" w:cs="宋体"/>
          <w:b/>
          <w:bCs/>
          <w:color w:val="auto"/>
          <w:szCs w:val="21"/>
          <w:highlight w:val="none"/>
          <w:u w:val="single"/>
          <w:lang w:val="zh-CN"/>
        </w:rPr>
        <w:t>形式的金额为暂定总合同价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lang w:val="zh-CN"/>
        </w:rPr>
        <w:t>的8%，</w:t>
      </w:r>
      <w:r>
        <w:rPr>
          <w:rFonts w:hint="eastAsia" w:ascii="宋体" w:hAnsi="宋体" w:eastAsia="宋体" w:cs="宋体"/>
          <w:b/>
          <w:bCs/>
          <w:color w:val="auto"/>
          <w:szCs w:val="21"/>
          <w:highlight w:val="none"/>
          <w:u w:val="single"/>
        </w:rPr>
        <w:t>采用</w:t>
      </w:r>
      <w:bookmarkStart w:id="372" w:name="_Hlk57203419"/>
      <w:r>
        <w:rPr>
          <w:rFonts w:hint="eastAsia" w:ascii="宋体" w:hAnsi="宋体" w:eastAsia="宋体" w:cs="宋体"/>
          <w:b/>
          <w:bCs/>
          <w:color w:val="auto"/>
          <w:szCs w:val="21"/>
          <w:highlight w:val="none"/>
          <w:u w:val="single"/>
        </w:rPr>
        <w:t>担保公司履约担保书形式的金额</w:t>
      </w:r>
      <w:bookmarkEnd w:id="372"/>
      <w:r>
        <w:rPr>
          <w:rFonts w:hint="eastAsia" w:ascii="宋体" w:hAnsi="宋体" w:eastAsia="宋体" w:cs="宋体"/>
          <w:b/>
          <w:bCs/>
          <w:color w:val="auto"/>
          <w:szCs w:val="21"/>
          <w:highlight w:val="none"/>
          <w:u w:val="single"/>
        </w:rPr>
        <w:t>为暂定总合同价</w:t>
      </w:r>
      <w:r>
        <w:rPr>
          <w:rFonts w:hint="eastAsia" w:ascii="宋体" w:hAnsi="宋体" w:eastAsia="宋体" w:cs="宋体"/>
          <w:b/>
          <w:bCs/>
          <w:color w:val="auto"/>
          <w:szCs w:val="21"/>
          <w:highlight w:val="none"/>
          <w:u w:val="single"/>
          <w:lang w:val="en-US" w:eastAsia="zh-CN"/>
        </w:rPr>
        <w:t>税合计</w:t>
      </w:r>
      <w:r>
        <w:rPr>
          <w:rFonts w:hint="eastAsia" w:ascii="宋体" w:hAnsi="宋体" w:eastAsia="宋体" w:cs="宋体"/>
          <w:b/>
          <w:bCs/>
          <w:color w:val="auto"/>
          <w:szCs w:val="21"/>
          <w:highlight w:val="none"/>
          <w:u w:val="single"/>
        </w:rPr>
        <w:t>的10%。</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履约担保用于补偿招标人因中标人不能完全履行其合同义务而蒙受的损失或其他合同约定的事项。如发生下列任一情况时，招标人有权依合同追究违约责任外，同时有权提取履约担保并进行相应处理：</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（1）中标人将合同项下中标人的权利义务全部转让给第三方，或未经招标人书面同意将部分权利义务转让给第三方的，招标人有权没收其履约担保。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（2）在合同履行期间，中标人怠于履行合同义务，经招标人通知或要求承担违约金后仍拒不改正的，招标人可依法没收或适当扣除其履约担保。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招标人经济损失、第三人人身财产损失等）、拖欠原材料供应商货款或与其所雇用员工发生劳资纠纷、上访、闹事或其他影响招标人生产经营等情况而其未及时妥善处理的，招标人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（4）在合同履行期间，中标人违约产生的违约金、赔偿、罚款或其他应付费用等款项，招标人有权直接从未付款项中直接扣除或启用履约担保予以支付。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（5）合同期内，中标人不能及时完成合同某项义务的，招标人有权提取履约担保用于处理该项工作。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（6）其他根据本合同约定或法律规定，招标人可启用履约担保的情形。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（1）出具履约保函的银行必须是境内支行一级以上机构，并经招标人同意，执行本款时所发生的费用由中标人承担。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如使用其他格式的履约保函（或履约保证保险或担保公司履约担保书），须事先经招标人的书面同意。</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招标人要求的履约担保延期手续，否则视为中标人违约，招标人有权在不可撤销银行履约保函或履约保证保险或担保公司履约担保书到期前向出具履约担保的机构提取履约担保金。在不可撤销银行履约保函（或履约保证保险或担保公司履约担保书）到期后中标人未按招标人要求重新提供的，招标人有权要求中标人以履约担保金额为限承担违约金，违约金可直接从未付采购合同费用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招标人有权按需补足的金额要求中标人承担违约金，并要求限期补足。如中标人仍不补足的，招标人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（6）不可撤销银行履约保函（或履约保证保险或担保公司履约担保书）应在本项目合同期限届满并完成合同的全部服务义务后二十八（28）日内保持有效。</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招标人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pPr>
        <w:autoSpaceDE w:val="0"/>
        <w:autoSpaceDN w:val="0"/>
        <w:adjustRightInd w:val="0"/>
        <w:snapToGri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开户名称：</w:t>
      </w:r>
      <w:r>
        <w:rPr>
          <w:rFonts w:hint="eastAsia" w:ascii="宋体" w:hAnsi="宋体" w:eastAsia="宋体" w:cs="宋体"/>
          <w:b/>
          <w:color w:val="auto"/>
          <w:szCs w:val="21"/>
          <w:highlight w:val="none"/>
        </w:rPr>
        <w:t>东莞市众源环境投资有限公司</w:t>
      </w:r>
    </w:p>
    <w:p>
      <w:pPr>
        <w:autoSpaceDE w:val="0"/>
        <w:autoSpaceDN w:val="0"/>
        <w:adjustRightInd w:val="0"/>
        <w:snapToGri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w:t>
      </w:r>
      <w:r>
        <w:rPr>
          <w:rFonts w:hint="eastAsia" w:ascii="宋体" w:hAnsi="宋体" w:eastAsia="宋体" w:cs="宋体"/>
          <w:b/>
          <w:color w:val="auto"/>
          <w:szCs w:val="21"/>
          <w:highlight w:val="none"/>
        </w:rPr>
        <w:t>769908269610828</w:t>
      </w:r>
    </w:p>
    <w:p>
      <w:pPr>
        <w:autoSpaceDE w:val="0"/>
        <w:autoSpaceDN w:val="0"/>
        <w:adjustRightInd w:val="0"/>
        <w:snapToGri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w:t>
      </w:r>
      <w:r>
        <w:rPr>
          <w:rFonts w:hint="eastAsia" w:ascii="宋体" w:hAnsi="宋体" w:eastAsia="宋体" w:cs="宋体"/>
          <w:b/>
          <w:color w:val="auto"/>
          <w:szCs w:val="21"/>
          <w:highlight w:val="none"/>
        </w:rPr>
        <w:t>招商银行股份有限公司东莞分行</w:t>
      </w:r>
    </w:p>
    <w:p>
      <w:pPr>
        <w:autoSpaceDE w:val="0"/>
        <w:autoSpaceDN w:val="0"/>
        <w:adjustRightInd w:val="0"/>
        <w:spacing w:line="360" w:lineRule="auto"/>
        <w:ind w:left="420" w:leftChars="-100" w:hanging="630" w:hangingChars="300"/>
        <w:jc w:val="left"/>
        <w:rPr>
          <w:rFonts w:hint="eastAsia" w:ascii="宋体" w:hAnsi="宋体" w:eastAsia="宋体" w:cs="宋体"/>
          <w:color w:val="auto"/>
          <w:kern w:val="0"/>
          <w:szCs w:val="24"/>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w:t>
      </w:r>
    </w:p>
    <w:p>
      <w:pPr>
        <w:keepNext w:val="0"/>
        <w:keepLines w:val="0"/>
        <w:pageBreakBefore w:val="0"/>
        <w:widowControl w:val="0"/>
        <w:kinsoku/>
        <w:wordWrap/>
        <w:overflowPunct/>
        <w:topLinePunct w:val="0"/>
        <w:autoSpaceDE w:val="0"/>
        <w:autoSpaceDN w:val="0"/>
        <w:bidi w:val="0"/>
        <w:adjustRightInd w:val="0"/>
        <w:snapToGrid/>
        <w:spacing w:line="360" w:lineRule="auto"/>
        <w:ind w:left="315" w:leftChars="150"/>
        <w:jc w:val="left"/>
        <w:textAlignment w:val="auto"/>
        <w:rPr>
          <w:rFonts w:ascii="宋体" w:hAnsi="宋体" w:eastAsia="宋体" w:cs="宋体"/>
          <w:color w:val="auto"/>
          <w:kern w:val="0"/>
          <w:szCs w:val="21"/>
          <w:highlight w:val="none"/>
        </w:rPr>
      </w:pPr>
      <w:r>
        <w:rPr>
          <w:rFonts w:hint="eastAsia" w:ascii="宋体" w:hAnsi="宋体" w:eastAsia="宋体" w:cs="宋体"/>
          <w:color w:val="auto"/>
          <w:kern w:val="0"/>
          <w:szCs w:val="24"/>
          <w:highlight w:val="none"/>
        </w:rPr>
        <w:t>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pPr>
        <w:tabs>
          <w:tab w:val="left" w:pos="360"/>
          <w:tab w:val="left" w:pos="4725"/>
        </w:tabs>
        <w:autoSpaceDE w:val="0"/>
        <w:autoSpaceDN w:val="0"/>
        <w:adjustRightInd w:val="0"/>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35.7 中标人以履约保证金（银行转账形式）提供履约担保的在依法完成本项目的所有合同义务后，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w:t>
      </w:r>
      <w:r>
        <w:rPr>
          <w:rFonts w:hint="eastAsia" w:ascii="宋体" w:hAnsi="宋体" w:eastAsia="宋体" w:cs="宋体"/>
          <w:color w:val="auto"/>
          <w:kern w:val="0"/>
          <w:szCs w:val="21"/>
          <w:highlight w:val="none"/>
        </w:rPr>
        <w:t>户。</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3" w:name="_Toc486167702"/>
      <w:bookmarkStart w:id="374" w:name="_Toc9976"/>
      <w:bookmarkStart w:id="375" w:name="_Toc27162"/>
      <w:bookmarkStart w:id="376" w:name="_Toc10548"/>
      <w:bookmarkStart w:id="377" w:name="_Toc142508353"/>
      <w:bookmarkStart w:id="378" w:name="_Toc23120"/>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70"/>
      <w:bookmarkEnd w:id="371"/>
      <w:bookmarkEnd w:id="373"/>
      <w:bookmarkEnd w:id="374"/>
      <w:bookmarkEnd w:id="375"/>
      <w:bookmarkEnd w:id="376"/>
      <w:bookmarkEnd w:id="377"/>
      <w:bookmarkEnd w:id="378"/>
    </w:p>
    <w:p>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合同履行中，招标人在合同约定的范围内，招标人有权根据项目实际情况及有关法律法规、政策的规定对采购范围进行变更调整，变更采购范围后，投标人应遵照执行。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79"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0" w:name="_Toc486167703"/>
      <w:bookmarkStart w:id="381" w:name="_Toc2401"/>
      <w:bookmarkStart w:id="382" w:name="_Toc142508354"/>
      <w:bookmarkStart w:id="383" w:name="_Toc11870"/>
      <w:bookmarkStart w:id="384" w:name="_Toc23218"/>
      <w:bookmarkStart w:id="385" w:name="_Toc26429"/>
      <w:bookmarkStart w:id="386" w:name="_Toc28921_WPSOffice_Level3"/>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379"/>
      <w:bookmarkEnd w:id="380"/>
      <w:bookmarkEnd w:id="381"/>
      <w:bookmarkEnd w:id="382"/>
      <w:bookmarkEnd w:id="383"/>
      <w:bookmarkEnd w:id="384"/>
      <w:bookmarkEnd w:id="385"/>
      <w:bookmarkEnd w:id="386"/>
    </w:p>
    <w:p>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387"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8" w:name="_Toc6764_WPSOffice_Level3"/>
      <w:bookmarkStart w:id="389" w:name="_Toc21985"/>
      <w:bookmarkStart w:id="390" w:name="_Toc486167704"/>
      <w:bookmarkStart w:id="391" w:name="_Toc21757"/>
      <w:bookmarkStart w:id="392" w:name="_Toc6796"/>
      <w:bookmarkStart w:id="393" w:name="_Toc142508355"/>
      <w:bookmarkStart w:id="394" w:name="_Toc22406"/>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87"/>
      <w:bookmarkEnd w:id="388"/>
      <w:bookmarkEnd w:id="389"/>
      <w:bookmarkEnd w:id="390"/>
      <w:bookmarkEnd w:id="391"/>
      <w:bookmarkEnd w:id="392"/>
      <w:bookmarkEnd w:id="393"/>
      <w:bookmarkEnd w:id="394"/>
    </w:p>
    <w:p>
      <w:pPr>
        <w:autoSpaceDE w:val="0"/>
        <w:autoSpaceDN w:val="0"/>
        <w:adjustRightInd w:val="0"/>
        <w:spacing w:line="360" w:lineRule="auto"/>
        <w:ind w:left="328" w:leftChars="-114" w:hanging="567" w:hangingChars="270"/>
        <w:jc w:val="left"/>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38</w:t>
      </w:r>
      <w:r>
        <w:rPr>
          <w:rFonts w:hint="eastAsia" w:ascii="宋体" w:hAnsi="宋体" w:eastAsia="宋体" w:cs="宋体"/>
          <w:color w:val="auto"/>
          <w:kern w:val="0"/>
          <w:szCs w:val="21"/>
          <w:highlight w:val="none"/>
          <w:lang w:val="zh-CN"/>
        </w:rPr>
        <w:t>.1</w:t>
      </w:r>
      <w:bookmarkStart w:id="395" w:name="_Toc31106_WPSOffice_Level3"/>
      <w:bookmarkStart w:id="396" w:name="_Toc486167705"/>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zh-CN"/>
        </w:rPr>
        <w:t>该项目获得中标的中标人在执行合同过程中，向招标人（或招标人控股公司或由招标人管理的参股公司、代</w:t>
      </w:r>
    </w:p>
    <w:p>
      <w:pPr>
        <w:keepNext w:val="0"/>
        <w:keepLines w:val="0"/>
        <w:pageBreakBefore w:val="0"/>
        <w:widowControl w:val="0"/>
        <w:kinsoku/>
        <w:wordWrap/>
        <w:overflowPunct/>
        <w:topLinePunct w:val="0"/>
        <w:autoSpaceDE w:val="0"/>
        <w:autoSpaceDN w:val="0"/>
        <w:bidi w:val="0"/>
        <w:adjustRightInd w:val="0"/>
        <w:snapToGrid/>
        <w:spacing w:line="360" w:lineRule="auto"/>
        <w:ind w:left="315" w:leftChars="150"/>
        <w:jc w:val="left"/>
        <w:textAlignment w:val="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管项目主体公司）出具的发票必须是由中标人开具，不得以其他单位或个人名义出具，本项目中标人向招标人（或招标人控股公司或由招标人管理的参股公司、代管项目主体公司）出具的发票类型为增值税专用</w:t>
      </w:r>
      <w:r>
        <w:rPr>
          <w:rFonts w:hint="eastAsia" w:ascii="宋体" w:hAnsi="宋体" w:eastAsia="宋体" w:cs="宋体"/>
          <w:color w:val="auto"/>
          <w:kern w:val="0"/>
          <w:szCs w:val="21"/>
          <w:highlight w:val="none"/>
          <w:lang w:val="en-US" w:eastAsia="zh-CN"/>
        </w:rPr>
        <w:t>发票</w:t>
      </w:r>
      <w:r>
        <w:rPr>
          <w:rFonts w:hint="eastAsia" w:ascii="宋体" w:hAnsi="宋体" w:eastAsia="宋体" w:cs="宋体"/>
          <w:color w:val="auto"/>
          <w:kern w:val="0"/>
          <w:szCs w:val="21"/>
          <w:highlight w:val="none"/>
          <w:lang w:val="zh-CN"/>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397" w:name="_Toc8619"/>
      <w:bookmarkStart w:id="398" w:name="_Toc24547"/>
      <w:bookmarkStart w:id="399" w:name="_Toc142508356"/>
      <w:bookmarkStart w:id="400" w:name="_Toc27075"/>
      <w:bookmarkStart w:id="401" w:name="_Toc26697"/>
      <w:r>
        <w:rPr>
          <w:rFonts w:hint="eastAsia" w:ascii="宋体" w:hAnsi="宋体" w:eastAsia="宋体" w:cs="宋体"/>
          <w:b/>
          <w:color w:val="auto"/>
          <w:szCs w:val="21"/>
          <w:highlight w:val="none"/>
        </w:rPr>
        <w:t>39 招标相关补充约定</w:t>
      </w:r>
      <w:bookmarkEnd w:id="397"/>
      <w:bookmarkEnd w:id="398"/>
      <w:bookmarkEnd w:id="399"/>
      <w:bookmarkEnd w:id="400"/>
      <w:bookmarkEnd w:id="401"/>
    </w:p>
    <w:p>
      <w:pPr>
        <w:autoSpaceDE w:val="0"/>
        <w:autoSpaceDN w:val="0"/>
        <w:adjustRightInd w:val="0"/>
        <w:snapToGrid w:val="0"/>
        <w:spacing w:line="360" w:lineRule="auto"/>
        <w:ind w:left="317" w:leftChars="-100" w:hanging="527" w:hangingChars="250"/>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u w:val="single"/>
        </w:rPr>
        <w:t>本项目投标人须知第2条所述行政处罚信息，以开标当天在“信用中国”网站（www.creditchina.gov.cn）查询结果为准，或以司法、仲裁机构等出具的生效文件予以认定,时间以认定文件的落款时间为准。开标结束后，有关投标单位的行政处罚信息，以开标当天查询结果为准；结果公示期间，如投标人对有关投标单位的行政处罚信息存在异议，但不涉及第一中标候选人的，视为对中标结果没有造成实质影响</w:t>
      </w:r>
      <w:r>
        <w:rPr>
          <w:rFonts w:hint="eastAsia" w:ascii="宋体" w:hAnsi="宋体" w:eastAsia="宋体" w:cs="宋体"/>
          <w:b/>
          <w:color w:val="auto"/>
          <w:szCs w:val="21"/>
          <w:highlight w:val="none"/>
        </w:rPr>
        <w:t>。</w:t>
      </w:r>
    </w:p>
    <w:p>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402" w:name="_Toc5205"/>
      <w:bookmarkStart w:id="403" w:name="_Toc29758"/>
      <w:bookmarkStart w:id="404" w:name="_Toc142508357"/>
      <w:bookmarkStart w:id="405" w:name="_Toc26594"/>
      <w:bookmarkStart w:id="406" w:name="_Toc23739"/>
      <w:r>
        <w:rPr>
          <w:rFonts w:hint="eastAsia" w:ascii="宋体" w:hAnsi="宋体" w:eastAsia="宋体" w:cs="宋体"/>
          <w:color w:val="auto"/>
          <w:szCs w:val="21"/>
          <w:highlight w:val="none"/>
        </w:rPr>
        <w:t>40 本次招标活动的最终解释权归招标代理机构及招标人所有。</w:t>
      </w:r>
      <w:bookmarkEnd w:id="395"/>
      <w:bookmarkEnd w:id="396"/>
      <w:bookmarkEnd w:id="402"/>
      <w:bookmarkEnd w:id="403"/>
      <w:bookmarkEnd w:id="404"/>
      <w:bookmarkEnd w:id="405"/>
      <w:bookmarkEnd w:id="406"/>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07" w:name="_Toc26850"/>
      <w:bookmarkStart w:id="408" w:name="_Toc14879"/>
      <w:bookmarkStart w:id="409" w:name="_Toc21446"/>
      <w:bookmarkStart w:id="410" w:name="_Toc142508358"/>
      <w:bookmarkStart w:id="411" w:name="_Toc4386"/>
      <w:bookmarkStart w:id="412" w:name="_Toc450662891"/>
      <w:bookmarkStart w:id="413" w:name="_Toc486167706"/>
      <w:bookmarkStart w:id="414" w:name="_Toc27939_WPSOffice_Level1"/>
      <w:r>
        <w:rPr>
          <w:rFonts w:hint="eastAsia" w:ascii="宋体" w:hAnsi="宋体" w:eastAsia="宋体" w:cs="宋体"/>
          <w:b/>
          <w:bCs/>
          <w:color w:val="auto"/>
          <w:kern w:val="44"/>
          <w:sz w:val="32"/>
          <w:szCs w:val="32"/>
          <w:highlight w:val="none"/>
          <w:lang w:val="zh-CN"/>
        </w:rPr>
        <w:t>第三篇 用户需求书</w:t>
      </w:r>
      <w:bookmarkEnd w:id="407"/>
      <w:bookmarkEnd w:id="408"/>
      <w:bookmarkEnd w:id="409"/>
      <w:bookmarkEnd w:id="410"/>
      <w:bookmarkEnd w:id="411"/>
      <w:bookmarkEnd w:id="412"/>
      <w:bookmarkEnd w:id="413"/>
      <w:bookmarkEnd w:id="414"/>
    </w:p>
    <w:p>
      <w:pPr>
        <w:autoSpaceDE w:val="0"/>
        <w:autoSpaceDN w:val="0"/>
        <w:adjustRightInd w:val="0"/>
        <w:snapToGrid w:val="0"/>
        <w:spacing w:line="360" w:lineRule="auto"/>
        <w:ind w:firstLine="420"/>
        <w:contextualSpacing/>
        <w:jc w:val="left"/>
        <w:outlineLvl w:val="9"/>
        <w:rPr>
          <w:rFonts w:ascii="宋体" w:hAnsi="宋体" w:eastAsia="宋体" w:cs="宋体"/>
          <w:color w:val="auto"/>
          <w:kern w:val="0"/>
          <w:sz w:val="24"/>
          <w:szCs w:val="21"/>
          <w:highlight w:val="none"/>
        </w:rPr>
      </w:pPr>
      <w:bookmarkStart w:id="415" w:name="_Toc6474_WPSOffice_Level2"/>
      <w:bookmarkStart w:id="416" w:name="_Toc23768_WPSOffice_Level2"/>
      <w:r>
        <w:rPr>
          <w:rFonts w:hint="eastAsia" w:ascii="宋体" w:hAnsi="宋体" w:eastAsia="宋体" w:cs="宋体"/>
          <w:color w:val="auto"/>
          <w:kern w:val="0"/>
          <w:szCs w:val="21"/>
          <w:highlight w:val="none"/>
        </w:rPr>
        <w:t>一、</w:t>
      </w:r>
      <w:r>
        <w:rPr>
          <w:rFonts w:hint="eastAsia" w:ascii="宋体" w:hAnsi="宋体" w:eastAsia="宋体" w:cs="宋体"/>
          <w:b/>
          <w:color w:val="auto"/>
          <w:kern w:val="0"/>
          <w:szCs w:val="21"/>
          <w:highlight w:val="none"/>
        </w:rPr>
        <w:t>项目概况</w:t>
      </w:r>
      <w:bookmarkEnd w:id="415"/>
      <w:bookmarkEnd w:id="416"/>
    </w:p>
    <w:p>
      <w:pPr>
        <w:widowControl/>
        <w:autoSpaceDE w:val="0"/>
        <w:autoSpaceDN w:val="0"/>
        <w:adjustRightInd w:val="0"/>
        <w:snapToGrid w:val="0"/>
        <w:spacing w:line="360" w:lineRule="auto"/>
        <w:ind w:firstLine="420"/>
        <w:contextualSpacing/>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bookmarkStart w:id="417" w:name="_Hlk131664256"/>
      <w:r>
        <w:rPr>
          <w:rFonts w:hint="eastAsia" w:ascii="宋体" w:hAnsi="宋体" w:eastAsia="宋体" w:cs="宋体"/>
          <w:color w:val="auto"/>
          <w:kern w:val="0"/>
          <w:szCs w:val="21"/>
          <w:highlight w:val="none"/>
        </w:rPr>
        <w:t>根据东莞市水务集团实业发展有限公司工作部署，东莞市众源环境投资有限公司（下称“招标人”）将逐步承接东莞市水务集团净水有限公司下属污水处理厂内污泥脱水减项目（下称“污泥项目”）的自主运营生产工作。招标人按照地理位置将全市污泥项目划分A、B两个</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，其中A</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包含东引运河片区和东江下游片区合计15个项目点；B</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包含滨海湾片区和石马河片区合计12个项目点。本次招标人以公开招标的方式，确定对应</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的服务单位，投标人可同时参加本项目两个</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的投标，但仅可在其中一个</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被推荐为第一中标候选人，一旦被推荐为第一中标候选人，参加其他</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投标时，该投标人不再被推荐为中标候选人。中标人使用招标人提供的设备及配套设施、药剂，为招标人提供污泥脱水减量配合服务。</w:t>
      </w:r>
      <w:bookmarkEnd w:id="417"/>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2、本概况介绍的配合服务情况仅为了便于投标人了解项目情况使用，不作为招标人针对某个项目点最终委托服务</w:t>
      </w:r>
      <w:r>
        <w:rPr>
          <w:rFonts w:hint="eastAsia" w:ascii="宋体" w:hAnsi="宋体" w:eastAsia="宋体" w:cs="宋体"/>
          <w:color w:val="auto"/>
          <w:kern w:val="0"/>
          <w:szCs w:val="21"/>
          <w:highlight w:val="none"/>
          <w:lang w:val="en-US" w:eastAsia="zh-CN"/>
        </w:rPr>
        <w:t>时</w:t>
      </w:r>
      <w:r>
        <w:rPr>
          <w:rFonts w:hint="eastAsia" w:ascii="宋体" w:hAnsi="宋体" w:eastAsia="宋体" w:cs="宋体"/>
          <w:color w:val="auto"/>
          <w:kern w:val="0"/>
          <w:szCs w:val="21"/>
          <w:highlight w:val="none"/>
        </w:rPr>
        <w:t>长和污泥产量的保证。最终按实际各项目点含水率要求和污泥产量结算，中标人不得因项目服务时长比预期短或污泥产量减少而要求提供任何形式的补偿或赔偿。</w:t>
      </w:r>
    </w:p>
    <w:p>
      <w:pPr>
        <w:widowControl/>
        <w:autoSpaceDE w:val="0"/>
        <w:autoSpaceDN w:val="0"/>
        <w:adjustRightInd w:val="0"/>
        <w:snapToGrid w:val="0"/>
        <w:spacing w:line="360" w:lineRule="auto"/>
        <w:ind w:firstLine="420"/>
        <w:contextualSpacing/>
        <w:jc w:val="left"/>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二、采购范围、服务期限及</w:t>
      </w:r>
      <w:r>
        <w:rPr>
          <w:rFonts w:hint="eastAsia" w:ascii="宋体" w:hAnsi="宋体" w:eastAsia="宋体" w:cs="宋体"/>
          <w:b/>
          <w:bCs/>
          <w:color w:val="auto"/>
          <w:kern w:val="0"/>
          <w:szCs w:val="21"/>
          <w:highlight w:val="none"/>
          <w:lang w:val="en-US" w:eastAsia="zh-CN"/>
        </w:rPr>
        <w:t>处理</w:t>
      </w:r>
      <w:r>
        <w:rPr>
          <w:rFonts w:hint="eastAsia" w:ascii="宋体" w:hAnsi="宋体" w:eastAsia="宋体" w:cs="宋体"/>
          <w:b/>
          <w:bCs/>
          <w:color w:val="auto"/>
          <w:kern w:val="0"/>
          <w:szCs w:val="21"/>
          <w:highlight w:val="none"/>
        </w:rPr>
        <w:t>量</w:t>
      </w:r>
    </w:p>
    <w:p>
      <w:pPr>
        <w:widowControl/>
        <w:autoSpaceDE w:val="0"/>
        <w:autoSpaceDN w:val="0"/>
        <w:adjustRightInd w:val="0"/>
        <w:snapToGrid w:val="0"/>
        <w:spacing w:line="360" w:lineRule="auto"/>
        <w:ind w:firstLine="420"/>
        <w:contextualSpacing/>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1、采购范围：</w:t>
      </w:r>
    </w:p>
    <w:p>
      <w:pPr>
        <w:widowControl/>
        <w:autoSpaceDE w:val="0"/>
        <w:autoSpaceDN w:val="0"/>
        <w:adjustRightInd w:val="0"/>
        <w:snapToGrid w:val="0"/>
        <w:spacing w:line="360" w:lineRule="auto"/>
        <w:ind w:firstLine="420"/>
        <w:contextualSpacing/>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在招标人指定的污水处理厂或其他地方，使用招标人的设备及配套设施、药剂，为招标人提供生产运营</w:t>
      </w:r>
      <w:r>
        <w:rPr>
          <w:rFonts w:hint="eastAsia" w:ascii="宋体" w:hAnsi="宋体" w:eastAsia="宋体" w:cs="宋体"/>
          <w:color w:val="auto"/>
          <w:kern w:val="0"/>
          <w:szCs w:val="21"/>
          <w:highlight w:val="none"/>
          <w:lang w:val="en-US" w:eastAsia="zh-CN"/>
        </w:rPr>
        <w:t>配合</w:t>
      </w:r>
      <w:r>
        <w:rPr>
          <w:rFonts w:hint="eastAsia" w:ascii="宋体" w:hAnsi="宋体" w:eastAsia="宋体" w:cs="宋体"/>
          <w:color w:val="auto"/>
          <w:kern w:val="0"/>
          <w:szCs w:val="21"/>
          <w:highlight w:val="none"/>
        </w:rPr>
        <w:t>服务，主要为将污水处理厂的剩余污泥</w:t>
      </w:r>
      <w:r>
        <w:rPr>
          <w:rFonts w:hint="eastAsia" w:ascii="宋体" w:hAnsi="宋体" w:eastAsia="宋体" w:cs="宋体"/>
          <w:color w:val="auto"/>
          <w:kern w:val="0"/>
          <w:szCs w:val="21"/>
          <w:highlight w:val="none"/>
          <w:lang w:val="en-US" w:eastAsia="zh-CN"/>
        </w:rPr>
        <w:t>通过</w:t>
      </w:r>
      <w:r>
        <w:rPr>
          <w:rFonts w:hint="eastAsia" w:ascii="宋体" w:hAnsi="宋体" w:eastAsia="宋体" w:cs="宋体"/>
          <w:color w:val="auto"/>
          <w:kern w:val="0"/>
          <w:szCs w:val="21"/>
          <w:highlight w:val="none"/>
        </w:rPr>
        <w:t>脱水减量</w:t>
      </w:r>
      <w:r>
        <w:rPr>
          <w:rFonts w:hint="eastAsia" w:ascii="宋体" w:hAnsi="宋体" w:eastAsia="宋体" w:cs="宋体"/>
          <w:color w:val="auto"/>
          <w:kern w:val="0"/>
          <w:szCs w:val="21"/>
          <w:highlight w:val="none"/>
          <w:lang w:val="en-US" w:eastAsia="zh-CN"/>
        </w:rPr>
        <w:t>措施，降</w:t>
      </w:r>
      <w:r>
        <w:rPr>
          <w:rFonts w:hint="eastAsia" w:ascii="宋体" w:hAnsi="宋体" w:eastAsia="宋体" w:cs="宋体"/>
          <w:color w:val="auto"/>
          <w:kern w:val="0"/>
          <w:szCs w:val="21"/>
          <w:highlight w:val="none"/>
        </w:rPr>
        <w:t>至</w:t>
      </w:r>
      <w:r>
        <w:rPr>
          <w:rFonts w:hint="eastAsia" w:ascii="宋体" w:hAnsi="宋体" w:eastAsia="宋体" w:cs="宋体"/>
          <w:color w:val="auto"/>
          <w:kern w:val="0"/>
          <w:szCs w:val="21"/>
          <w:highlight w:val="none"/>
          <w:lang w:val="en-US" w:eastAsia="zh-CN"/>
        </w:rPr>
        <w:t>约定的</w:t>
      </w:r>
      <w:r>
        <w:rPr>
          <w:rFonts w:hint="eastAsia" w:ascii="宋体" w:hAnsi="宋体" w:eastAsia="宋体" w:cs="宋体"/>
          <w:color w:val="auto"/>
          <w:kern w:val="0"/>
          <w:szCs w:val="21"/>
          <w:highlight w:val="none"/>
        </w:rPr>
        <w:t>含水率</w:t>
      </w:r>
      <w:r>
        <w:rPr>
          <w:rFonts w:hint="eastAsia" w:ascii="宋体" w:hAnsi="宋体" w:eastAsia="宋体" w:cs="宋体"/>
          <w:color w:val="auto"/>
          <w:kern w:val="0"/>
          <w:szCs w:val="21"/>
          <w:highlight w:val="none"/>
          <w:lang w:val="en-US" w:eastAsia="zh-CN"/>
        </w:rPr>
        <w:t>以下（含水率标准参考表1，各项目点的实际含水率标准以合同约定或招标人书面通知为准）</w:t>
      </w:r>
      <w:r>
        <w:rPr>
          <w:rFonts w:hint="eastAsia" w:ascii="宋体" w:hAnsi="宋体" w:eastAsia="宋体" w:cs="宋体"/>
          <w:color w:val="auto"/>
          <w:kern w:val="0"/>
          <w:szCs w:val="21"/>
          <w:highlight w:val="none"/>
        </w:rPr>
        <w:t>。</w:t>
      </w:r>
    </w:p>
    <w:tbl>
      <w:tblPr>
        <w:tblStyle w:val="39"/>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089" w:type="dxa"/>
            <w:vAlign w:val="center"/>
          </w:tcPr>
          <w:p>
            <w:pPr>
              <w:autoSpaceDE w:val="0"/>
              <w:autoSpaceDN w:val="0"/>
              <w:adjustRightInd w:val="0"/>
              <w:spacing w:line="24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项目点</w:t>
            </w:r>
          </w:p>
        </w:tc>
        <w:tc>
          <w:tcPr>
            <w:tcW w:w="2268" w:type="dxa"/>
            <w:vAlign w:val="center"/>
          </w:tcPr>
          <w:p>
            <w:pPr>
              <w:autoSpaceDE w:val="0"/>
              <w:autoSpaceDN w:val="0"/>
              <w:adjustRightInd w:val="0"/>
              <w:spacing w:line="24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含水率标准 （上限值）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9" w:type="dxa"/>
            <w:vAlign w:val="center"/>
          </w:tcPr>
          <w:p>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A</w:t>
            </w:r>
            <w:r>
              <w:rPr>
                <w:rFonts w:hint="eastAsia" w:ascii="宋体" w:hAnsi="宋体" w:eastAsia="宋体" w:cs="宋体"/>
                <w:b/>
                <w:bCs/>
                <w:color w:val="auto"/>
                <w:kern w:val="0"/>
                <w:szCs w:val="21"/>
                <w:highlight w:val="none"/>
                <w:lang w:val="en-US" w:eastAsia="zh-CN"/>
              </w:rPr>
              <w:t>包组</w:t>
            </w:r>
            <w:r>
              <w:rPr>
                <w:rFonts w:hint="eastAsia" w:ascii="宋体" w:hAnsi="宋体" w:eastAsia="宋体" w:cs="宋体"/>
                <w:color w:val="auto"/>
                <w:kern w:val="0"/>
                <w:szCs w:val="21"/>
                <w:highlight w:val="none"/>
              </w:rPr>
              <w:t>：寮步三期、温塘二期、横沥东坑二期、常平东二期、常平西二期、黄江梅塘南部厂、高埗二期、松北二期、黄江二期、松南二期、麻涌二期、中堂二期、石竭二期、万江二期、市区厂众源移动式（含一二期和三期）</w:t>
            </w:r>
          </w:p>
          <w:p>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B</w:t>
            </w:r>
            <w:r>
              <w:rPr>
                <w:rFonts w:hint="eastAsia" w:ascii="宋体" w:hAnsi="宋体" w:eastAsia="宋体" w:cs="宋体"/>
                <w:b/>
                <w:bCs/>
                <w:color w:val="auto"/>
                <w:kern w:val="0"/>
                <w:szCs w:val="21"/>
                <w:highlight w:val="none"/>
                <w:lang w:val="en-US" w:eastAsia="zh-CN"/>
              </w:rPr>
              <w:t>包组</w:t>
            </w:r>
            <w:r>
              <w:rPr>
                <w:rFonts w:hint="eastAsia" w:ascii="宋体" w:hAnsi="宋体" w:eastAsia="宋体" w:cs="宋体"/>
                <w:color w:val="auto"/>
                <w:kern w:val="0"/>
                <w:szCs w:val="21"/>
                <w:highlight w:val="none"/>
              </w:rPr>
              <w:t>：大岭山二期、沙田二期、虎门宁洲三期、塘厦白泥湖二期、凤岗竹塘三期、清溪厦坭二期、虎门宁洲二期、长安新区、厚街二期、牛山二期、长安新区众源移动式</w:t>
            </w:r>
          </w:p>
        </w:tc>
        <w:tc>
          <w:tcPr>
            <w:tcW w:w="2268" w:type="dxa"/>
            <w:vAlign w:val="center"/>
          </w:tcPr>
          <w:p>
            <w:pPr>
              <w:autoSpaceDE w:val="0"/>
              <w:autoSpaceDN w:val="0"/>
              <w:adjustRightInd w:val="0"/>
              <w:spacing w:line="24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60% （不含60%）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89" w:type="dxa"/>
            <w:vAlign w:val="center"/>
          </w:tcPr>
          <w:p>
            <w:pPr>
              <w:autoSpaceDE w:val="0"/>
              <w:autoSpaceDN w:val="0"/>
              <w:adjustRightInd w:val="0"/>
              <w:spacing w:line="24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B</w:t>
            </w:r>
            <w:r>
              <w:rPr>
                <w:rFonts w:hint="eastAsia" w:ascii="宋体" w:hAnsi="宋体" w:eastAsia="宋体" w:cs="宋体"/>
                <w:b/>
                <w:bCs/>
                <w:color w:val="auto"/>
                <w:kern w:val="0"/>
                <w:szCs w:val="21"/>
                <w:highlight w:val="none"/>
                <w:lang w:val="en-US" w:eastAsia="zh-CN"/>
              </w:rPr>
              <w:t>包组</w:t>
            </w:r>
            <w:r>
              <w:rPr>
                <w:rFonts w:hint="eastAsia" w:ascii="宋体" w:hAnsi="宋体" w:eastAsia="宋体" w:cs="宋体"/>
                <w:color w:val="auto"/>
                <w:kern w:val="0"/>
                <w:szCs w:val="21"/>
                <w:highlight w:val="none"/>
              </w:rPr>
              <w:t>：凤岗竹塘二期</w:t>
            </w:r>
          </w:p>
        </w:tc>
        <w:tc>
          <w:tcPr>
            <w:tcW w:w="2268" w:type="dxa"/>
            <w:vAlign w:val="center"/>
          </w:tcPr>
          <w:p>
            <w:pPr>
              <w:autoSpaceDE w:val="0"/>
              <w:autoSpaceDN w:val="0"/>
              <w:adjustRightInd w:val="0"/>
              <w:spacing w:line="24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80%</w:t>
            </w:r>
          </w:p>
        </w:tc>
      </w:tr>
    </w:tbl>
    <w:p>
      <w:pPr>
        <w:autoSpaceDE w:val="0"/>
        <w:autoSpaceDN w:val="0"/>
        <w:adjustRightInd w:val="0"/>
        <w:spacing w:line="360" w:lineRule="auto"/>
        <w:ind w:firstLine="420" w:firstLineChars="200"/>
        <w:jc w:val="left"/>
        <w:outlineLvl w:val="9"/>
        <w:rPr>
          <w:rFonts w:hint="default" w:ascii="宋体" w:hAnsi="宋体" w:eastAsia="宋体" w:cs="宋体"/>
          <w:b/>
          <w:bCs/>
          <w:color w:val="auto"/>
          <w:kern w:val="0"/>
          <w:szCs w:val="21"/>
          <w:highlight w:val="none"/>
          <w:lang w:val="en-US" w:eastAsia="zh-CN"/>
        </w:rPr>
      </w:pPr>
      <w:r>
        <w:rPr>
          <w:rFonts w:hint="eastAsia" w:ascii="宋体" w:hAnsi="宋体" w:eastAsia="宋体" w:cs="宋体"/>
          <w:b w:val="0"/>
          <w:bCs w:val="0"/>
          <w:color w:val="auto"/>
          <w:kern w:val="0"/>
          <w:szCs w:val="21"/>
          <w:highlight w:val="none"/>
        </w:rPr>
        <w:t>备注： 含水率标准以设备设计能力及招标人与污水处理厂的约定为设定依据，为污泥脱水减量工作的验收、结算的合格线，具体结算方式详见第六款第2条。不同项目点的含水率标准存在不一致的情况。</w:t>
      </w:r>
      <w:r>
        <w:rPr>
          <w:rFonts w:hint="eastAsia" w:ascii="宋体" w:hAnsi="宋体" w:eastAsia="宋体" w:cs="宋体"/>
          <w:b w:val="0"/>
          <w:bCs w:val="0"/>
          <w:color w:val="auto"/>
          <w:kern w:val="0"/>
          <w:szCs w:val="21"/>
          <w:highlight w:val="none"/>
          <w:lang w:val="en-US" w:eastAsia="zh-CN"/>
        </w:rPr>
        <w:t>服务期内，若招标人需增加项目点时，招标人将根据增加项目点所属片区和包组包含的片区范围，由该片区服务单位按其合同价格承接，增加项目点以招标人书面通知为准。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contextualSpacing/>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2、服务期限：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contextualSpacing/>
        <w:jc w:val="left"/>
        <w:textAlignment w:val="auto"/>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各污水处理厂污泥脱水减量项目配合服务服务限期</w:t>
      </w:r>
      <w:r>
        <w:rPr>
          <w:rFonts w:hint="eastAsia" w:ascii="宋体" w:hAnsi="宋体" w:eastAsia="宋体" w:cs="宋体"/>
          <w:color w:val="auto"/>
          <w:kern w:val="0"/>
          <w:szCs w:val="21"/>
          <w:highlight w:val="none"/>
          <w:lang w:val="en-US" w:eastAsia="zh-CN"/>
        </w:rPr>
        <w:t>自</w:t>
      </w:r>
      <w:r>
        <w:rPr>
          <w:rFonts w:hint="eastAsia" w:ascii="宋体" w:hAnsi="宋体" w:eastAsia="宋体" w:cs="宋体"/>
          <w:color w:val="auto"/>
          <w:kern w:val="0"/>
          <w:szCs w:val="21"/>
          <w:highlight w:val="none"/>
        </w:rPr>
        <w:t>招标人</w:t>
      </w:r>
      <w:r>
        <w:rPr>
          <w:rFonts w:hint="eastAsia" w:ascii="宋体" w:hAnsi="宋体" w:eastAsia="宋体" w:cs="宋体"/>
          <w:color w:val="auto"/>
          <w:kern w:val="0"/>
          <w:szCs w:val="21"/>
          <w:highlight w:val="none"/>
          <w:lang w:val="en-US" w:eastAsia="zh-CN"/>
        </w:rPr>
        <w:t>发出《进场通知书》</w:t>
      </w:r>
      <w:r>
        <w:rPr>
          <w:rFonts w:hint="eastAsia" w:ascii="宋体" w:hAnsi="宋体" w:eastAsia="宋体" w:cs="宋体"/>
          <w:color w:val="auto"/>
          <w:kern w:val="0"/>
          <w:szCs w:val="21"/>
          <w:highlight w:val="none"/>
        </w:rPr>
        <w:t>之日起至2025年12月31日止。服务期满后，双方经友好协商一致后，可在保持综合单价不变的情况下，签订补充协议延长服务期限，延长的服务期原则上不超过三个月。</w:t>
      </w:r>
    </w:p>
    <w:p>
      <w:pPr>
        <w:widowControl/>
        <w:autoSpaceDE w:val="0"/>
        <w:autoSpaceDN w:val="0"/>
        <w:adjustRightInd w:val="0"/>
        <w:snapToGrid w:val="0"/>
        <w:spacing w:line="360" w:lineRule="auto"/>
        <w:ind w:firstLine="420"/>
        <w:contextualSpacing/>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处理</w:t>
      </w:r>
      <w:r>
        <w:rPr>
          <w:rFonts w:hint="eastAsia" w:ascii="宋体" w:hAnsi="宋体" w:eastAsia="宋体" w:cs="宋体"/>
          <w:color w:val="auto"/>
          <w:kern w:val="0"/>
          <w:szCs w:val="21"/>
          <w:highlight w:val="none"/>
        </w:rPr>
        <w:t>量</w:t>
      </w:r>
    </w:p>
    <w:p>
      <w:pPr>
        <w:widowControl/>
        <w:autoSpaceDE w:val="0"/>
        <w:autoSpaceDN w:val="0"/>
        <w:adjustRightInd w:val="0"/>
        <w:snapToGrid w:val="0"/>
        <w:spacing w:line="360" w:lineRule="auto"/>
        <w:ind w:firstLine="420"/>
        <w:contextualSpacing/>
        <w:jc w:val="left"/>
        <w:outlineLvl w:val="9"/>
        <w:rPr>
          <w:rFonts w:ascii="宋体" w:hAnsi="宋体" w:eastAsia="宋体" w:cs="宋体"/>
          <w:color w:val="auto"/>
          <w:kern w:val="0"/>
          <w:szCs w:val="21"/>
          <w:highlight w:val="none"/>
        </w:rPr>
      </w:pPr>
      <w:bookmarkStart w:id="418" w:name="_Toc24054"/>
      <w:bookmarkStart w:id="419" w:name="_Toc1332"/>
      <w:r>
        <w:rPr>
          <w:rFonts w:hint="eastAsia" w:ascii="宋体" w:hAnsi="宋体" w:eastAsia="宋体" w:cs="宋体"/>
          <w:color w:val="auto"/>
          <w:kern w:val="0"/>
          <w:szCs w:val="21"/>
          <w:highlight w:val="none"/>
        </w:rPr>
        <w:t>预计陆续投产27个项目点（详见附件），预计服务期内总产量约</w:t>
      </w:r>
      <w:r>
        <w:rPr>
          <w:rFonts w:hint="eastAsia" w:ascii="宋体" w:hAnsi="宋体" w:eastAsia="宋体" w:cs="宋体"/>
          <w:color w:val="auto"/>
          <w:kern w:val="0"/>
          <w:szCs w:val="21"/>
          <w:highlight w:val="none"/>
          <w:lang w:val="en-US" w:eastAsia="zh-CN"/>
        </w:rPr>
        <w:t>466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171</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11</w:t>
      </w:r>
      <w:r>
        <w:rPr>
          <w:rFonts w:hint="eastAsia" w:ascii="宋体" w:hAnsi="宋体" w:eastAsia="宋体" w:cs="宋体"/>
          <w:color w:val="auto"/>
          <w:kern w:val="0"/>
          <w:szCs w:val="21"/>
          <w:highlight w:val="none"/>
        </w:rPr>
        <w:t>吨（含水率80%计算）。其中,A</w:t>
      </w:r>
      <w:r>
        <w:rPr>
          <w:rFonts w:hint="eastAsia" w:ascii="宋体" w:hAnsi="宋体" w:eastAsia="宋体" w:cs="宋体"/>
          <w:color w:val="auto"/>
          <w:kern w:val="0"/>
          <w:szCs w:val="21"/>
          <w:highlight w:val="none"/>
          <w:lang w:val="en-US" w:eastAsia="zh-CN"/>
        </w:rPr>
        <w:t>包组</w:t>
      </w:r>
      <w:r>
        <w:rPr>
          <w:rFonts w:hint="eastAsia" w:ascii="宋体" w:hAnsi="宋体" w:eastAsia="宋体" w:cs="宋体"/>
          <w:color w:val="auto"/>
          <w:kern w:val="0"/>
          <w:szCs w:val="21"/>
          <w:highlight w:val="none"/>
        </w:rPr>
        <w:t>预计陆续投产15个项目点，预计服务期内总产量约2</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334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0吨（含水率80%计算）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en-US" w:eastAsia="zh-CN"/>
        </w:rPr>
        <w:t>包组</w:t>
      </w:r>
      <w:r>
        <w:rPr>
          <w:rFonts w:hint="eastAsia" w:ascii="宋体" w:hAnsi="宋体" w:eastAsia="宋体" w:cs="宋体"/>
          <w:color w:val="auto"/>
          <w:kern w:val="0"/>
          <w:szCs w:val="21"/>
          <w:highlight w:val="none"/>
        </w:rPr>
        <w:t>预计陆续投产12个项目点，预计服务期内总产量约</w:t>
      </w:r>
      <w:r>
        <w:rPr>
          <w:rFonts w:hint="eastAsia" w:ascii="宋体" w:hAnsi="宋体" w:eastAsia="宋体" w:cs="宋体"/>
          <w:color w:val="auto"/>
          <w:kern w:val="0"/>
          <w:szCs w:val="21"/>
          <w:highlight w:val="none"/>
          <w:lang w:val="en-US" w:eastAsia="zh-CN"/>
        </w:rPr>
        <w:t>215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836</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71</w:t>
      </w:r>
      <w:r>
        <w:rPr>
          <w:rFonts w:hint="eastAsia" w:ascii="宋体" w:hAnsi="宋体" w:eastAsia="宋体" w:cs="宋体"/>
          <w:color w:val="auto"/>
          <w:kern w:val="0"/>
          <w:szCs w:val="21"/>
          <w:highlight w:val="none"/>
        </w:rPr>
        <w:t>吨（含水率80%计算）。以上为预计产量，应以实际产泥量为准。</w:t>
      </w:r>
      <w:bookmarkEnd w:id="418"/>
      <w:bookmarkEnd w:id="419"/>
      <w:bookmarkStart w:id="420" w:name="_Toc5313"/>
      <w:bookmarkStart w:id="421" w:name="_Toc17256"/>
    </w:p>
    <w:bookmarkEnd w:id="420"/>
    <w:bookmarkEnd w:id="421"/>
    <w:p>
      <w:pPr>
        <w:widowControl/>
        <w:autoSpaceDE w:val="0"/>
        <w:autoSpaceDN w:val="0"/>
        <w:adjustRightInd w:val="0"/>
        <w:snapToGrid w:val="0"/>
        <w:spacing w:line="360" w:lineRule="auto"/>
        <w:ind w:firstLine="420"/>
        <w:contextualSpacing/>
        <w:jc w:val="left"/>
        <w:outlineLvl w:val="9"/>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三、</w:t>
      </w:r>
      <w:r>
        <w:rPr>
          <w:rFonts w:hint="eastAsia" w:ascii="宋体" w:hAnsi="宋体" w:eastAsia="宋体" w:cs="宋体"/>
          <w:b/>
          <w:bCs/>
          <w:color w:val="auto"/>
          <w:kern w:val="0"/>
          <w:szCs w:val="21"/>
          <w:highlight w:val="none"/>
          <w:lang w:val="en-US" w:eastAsia="zh-CN"/>
        </w:rPr>
        <w:t>服务费支付及考核标准</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1、服务费按月支付，招标人和中标人双方在每月15日前完成上月应付款项核算工作，中标人必须开具合法有效的增值税专用发票，</w:t>
      </w:r>
      <w:r>
        <w:rPr>
          <w:rFonts w:hint="eastAsia" w:ascii="宋体" w:hAnsi="宋体" w:eastAsia="宋体" w:cs="宋体"/>
          <w:color w:val="auto"/>
          <w:kern w:val="0"/>
          <w:szCs w:val="21"/>
          <w:highlight w:val="none"/>
          <w:lang w:val="en-US" w:eastAsia="zh-CN"/>
        </w:rPr>
        <w:t>中标人向招标人提交完整的</w:t>
      </w:r>
      <w:r>
        <w:rPr>
          <w:rFonts w:hint="eastAsia" w:ascii="宋体" w:hAnsi="宋体" w:eastAsia="宋体" w:cs="宋体"/>
          <w:color w:val="auto"/>
          <w:kern w:val="0"/>
          <w:szCs w:val="21"/>
          <w:highlight w:val="none"/>
        </w:rPr>
        <w:t>请款材料并</w:t>
      </w:r>
      <w:r>
        <w:rPr>
          <w:rFonts w:hint="eastAsia" w:ascii="宋体" w:hAnsi="宋体" w:eastAsia="宋体" w:cs="宋体"/>
          <w:color w:val="auto"/>
          <w:kern w:val="0"/>
          <w:szCs w:val="21"/>
          <w:highlight w:val="none"/>
          <w:lang w:val="en-US" w:eastAsia="zh-CN"/>
        </w:rPr>
        <w:t>经招标人</w:t>
      </w:r>
      <w:r>
        <w:rPr>
          <w:rFonts w:hint="eastAsia" w:ascii="宋体" w:hAnsi="宋体" w:eastAsia="宋体" w:cs="宋体"/>
          <w:color w:val="auto"/>
          <w:kern w:val="0"/>
          <w:szCs w:val="21"/>
          <w:highlight w:val="none"/>
        </w:rPr>
        <w:t>确认无误后30个工作日内</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招标人采用</w:t>
      </w:r>
      <w:r>
        <w:rPr>
          <w:rFonts w:hint="eastAsia" w:ascii="宋体" w:hAnsi="宋体" w:eastAsia="宋体" w:cs="宋体"/>
          <w:color w:val="auto"/>
          <w:kern w:val="0"/>
          <w:szCs w:val="21"/>
          <w:highlight w:val="none"/>
        </w:rPr>
        <w:t>银行承兑汇票或商业承兑汇票</w:t>
      </w:r>
      <w:r>
        <w:rPr>
          <w:rFonts w:hint="eastAsia" w:ascii="宋体" w:hAnsi="宋体" w:eastAsia="宋体" w:cs="宋体"/>
          <w:color w:val="auto"/>
          <w:kern w:val="0"/>
          <w:szCs w:val="21"/>
          <w:highlight w:val="none"/>
          <w:lang w:val="en-US" w:eastAsia="zh-CN"/>
        </w:rPr>
        <w:t>向中标人</w:t>
      </w:r>
      <w:r>
        <w:rPr>
          <w:rFonts w:hint="eastAsia" w:ascii="宋体" w:hAnsi="宋体" w:eastAsia="宋体" w:cs="宋体"/>
          <w:color w:val="auto"/>
          <w:kern w:val="0"/>
          <w:szCs w:val="21"/>
          <w:highlight w:val="none"/>
        </w:rPr>
        <w:t>支付请款金额的50%；在前述款项支付后三个月内，</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通过银行转账方式或汇款方式向</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支付至请款金额的100%（具体请款材料以合同约定为准）。</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配合</w:t>
      </w:r>
      <w:r>
        <w:rPr>
          <w:rFonts w:hint="eastAsia" w:ascii="宋体" w:hAnsi="宋体" w:eastAsia="宋体" w:cs="宋体"/>
          <w:color w:val="auto"/>
          <w:kern w:val="0"/>
          <w:szCs w:val="21"/>
          <w:highlight w:val="none"/>
        </w:rPr>
        <w:t>服务</w:t>
      </w:r>
      <w:r>
        <w:rPr>
          <w:rFonts w:hint="eastAsia" w:ascii="宋体" w:hAnsi="宋体" w:eastAsia="宋体" w:cs="宋体"/>
          <w:color w:val="auto"/>
          <w:kern w:val="0"/>
          <w:szCs w:val="21"/>
          <w:highlight w:val="none"/>
          <w:lang w:val="en-US" w:eastAsia="zh-CN"/>
        </w:rPr>
        <w:t>综合</w:t>
      </w:r>
      <w:r>
        <w:rPr>
          <w:rFonts w:hint="eastAsia" w:ascii="宋体" w:hAnsi="宋体" w:eastAsia="宋体" w:cs="宋体"/>
          <w:color w:val="auto"/>
          <w:kern w:val="0"/>
          <w:szCs w:val="21"/>
          <w:highlight w:val="none"/>
        </w:rPr>
        <w:t>单价按含水率80%的湿泥计价（元/吨），当车污泥通过双方认可的电子地磅称重为计价重量（按吨计，精确到0.01吨）。</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综合单价：（1）当项目约定的含水率标准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上限值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为80%时，相应的服务费按含水率80%的湿泥计费，计费数量以称重数据为准；（2）当项目有其他约定含水率标准时，按照当车污泥称重数据及对应含水率标准（含水率不高于约定标准的，统一按含水率标准计）折算成含水率80%的湿泥重量，具体折算公式为（1-含水率标准）/（1-80%），</w:t>
      </w:r>
      <w:r>
        <w:rPr>
          <w:rFonts w:hint="eastAsia" w:ascii="宋体" w:hAnsi="宋体" w:eastAsia="宋体" w:cs="宋体"/>
          <w:color w:val="auto"/>
          <w:kern w:val="0"/>
          <w:szCs w:val="21"/>
          <w:highlight w:val="none"/>
          <w:lang w:val="en-US" w:eastAsia="zh-CN"/>
        </w:rPr>
        <w:t>例如</w:t>
      </w:r>
      <w:r>
        <w:rPr>
          <w:rFonts w:hint="eastAsia" w:ascii="宋体" w:hAnsi="宋体" w:eastAsia="宋体" w:cs="宋体"/>
          <w:color w:val="auto"/>
          <w:kern w:val="0"/>
          <w:szCs w:val="21"/>
          <w:highlight w:val="none"/>
        </w:rPr>
        <w:t>当含水率标准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上限值</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为60%（不含60%）时，对应折算系数为2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当有新含水率标准时，招标人再书面通知，相应折算系数按照折算公式计算</w:t>
      </w:r>
      <w:r>
        <w:rPr>
          <w:rFonts w:hint="eastAsia" w:ascii="宋体" w:hAnsi="宋体" w:eastAsia="宋体" w:cs="宋体"/>
          <w:color w:val="auto"/>
          <w:kern w:val="0"/>
          <w:szCs w:val="21"/>
          <w:highlight w:val="none"/>
          <w:lang w:eastAsia="zh-CN"/>
        </w:rPr>
        <w:t>。</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3、每车次外运污泥含水率以污水处理厂化验室检测的结果为计费依据。含水率取样方式为用不锈钢采样器，</w:t>
      </w:r>
      <w:r>
        <w:rPr>
          <w:rFonts w:hint="eastAsia" w:ascii="宋体" w:hAnsi="宋体" w:eastAsia="宋体" w:cs="宋体"/>
          <w:color w:val="auto"/>
          <w:kern w:val="0"/>
          <w:szCs w:val="21"/>
          <w:highlight w:val="none"/>
          <w:lang w:val="en-US" w:eastAsia="zh-CN"/>
        </w:rPr>
        <w:t>由运输车司机</w:t>
      </w:r>
      <w:r>
        <w:rPr>
          <w:rFonts w:hint="eastAsia" w:ascii="宋体" w:hAnsi="宋体" w:eastAsia="宋体" w:cs="宋体"/>
          <w:color w:val="auto"/>
          <w:kern w:val="0"/>
          <w:szCs w:val="21"/>
          <w:highlight w:val="none"/>
        </w:rPr>
        <w:t>在污泥运输车上3个不同位置采集，并充分混合，分为三份，分别交中标人、招标人及化验室。采样方式亦可能会因主管部门颁布的政策法规或行业标准、规范而调整，或经与项目所在厂区</w:t>
      </w:r>
      <w:r>
        <w:rPr>
          <w:rFonts w:hint="eastAsia" w:ascii="宋体" w:hAnsi="宋体" w:eastAsia="宋体" w:cs="宋体"/>
          <w:color w:val="auto"/>
          <w:kern w:val="0"/>
          <w:szCs w:val="21"/>
          <w:highlight w:val="none"/>
          <w:lang w:val="en-US" w:eastAsia="zh-CN"/>
        </w:rPr>
        <w:t>权属单位或运营单位或行政主管部门</w:t>
      </w:r>
      <w:r>
        <w:rPr>
          <w:rFonts w:hint="eastAsia" w:ascii="宋体" w:hAnsi="宋体" w:eastAsia="宋体" w:cs="宋体"/>
          <w:color w:val="auto"/>
          <w:kern w:val="0"/>
          <w:szCs w:val="21"/>
          <w:highlight w:val="none"/>
        </w:rPr>
        <w:t>沟通后双方认可的方式进行调整。</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4、招标人每季度第三个月对</w:t>
      </w:r>
      <w:r>
        <w:rPr>
          <w:rFonts w:hint="eastAsia" w:ascii="宋体" w:hAnsi="宋体" w:eastAsia="宋体" w:cs="宋体"/>
          <w:color w:val="auto"/>
          <w:kern w:val="0"/>
          <w:szCs w:val="21"/>
          <w:highlight w:val="none"/>
          <w:lang w:val="en-US" w:eastAsia="zh-CN"/>
        </w:rPr>
        <w:t>中标人提供配合服务的</w:t>
      </w:r>
      <w:r>
        <w:rPr>
          <w:rFonts w:hint="eastAsia" w:ascii="宋体" w:hAnsi="宋体" w:eastAsia="宋体" w:cs="宋体"/>
          <w:color w:val="auto"/>
          <w:kern w:val="0"/>
          <w:szCs w:val="21"/>
          <w:highlight w:val="none"/>
        </w:rPr>
        <w:t>每个项目点的履约情况进行逐一评价，填写《履约评价表》（详见附件），对于评审结论为不合格的项目点，</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将从该项目点的该季度第三个月的服务费中扣除违约金（如</w:t>
      </w:r>
      <w:r>
        <w:rPr>
          <w:rFonts w:hint="eastAsia" w:ascii="宋体" w:hAnsi="宋体" w:eastAsia="宋体" w:cs="宋体"/>
          <w:color w:val="auto"/>
          <w:kern w:val="0"/>
          <w:szCs w:val="21"/>
          <w:highlight w:val="none"/>
          <w:lang w:val="en-US" w:eastAsia="zh-CN"/>
        </w:rPr>
        <w:t>第三个月的</w:t>
      </w:r>
      <w:r>
        <w:rPr>
          <w:rFonts w:hint="eastAsia" w:ascii="宋体" w:hAnsi="宋体" w:eastAsia="宋体" w:cs="宋体"/>
          <w:color w:val="auto"/>
          <w:kern w:val="0"/>
          <w:szCs w:val="21"/>
          <w:highlight w:val="none"/>
        </w:rPr>
        <w:t>服务费不足以扣除，</w:t>
      </w:r>
      <w:r>
        <w:rPr>
          <w:rFonts w:hint="eastAsia" w:ascii="宋体" w:hAnsi="宋体" w:eastAsia="宋体" w:cs="宋体"/>
          <w:color w:val="auto"/>
          <w:kern w:val="0"/>
          <w:szCs w:val="21"/>
          <w:highlight w:val="none"/>
          <w:lang w:val="en-US" w:eastAsia="zh-CN"/>
        </w:rPr>
        <w:t>招标人将</w:t>
      </w:r>
      <w:r>
        <w:rPr>
          <w:rFonts w:hint="eastAsia" w:ascii="宋体" w:hAnsi="宋体" w:eastAsia="宋体" w:cs="宋体"/>
          <w:color w:val="auto"/>
          <w:kern w:val="0"/>
          <w:szCs w:val="21"/>
          <w:highlight w:val="none"/>
        </w:rPr>
        <w:t>从履约</w:t>
      </w:r>
      <w:r>
        <w:rPr>
          <w:rFonts w:hint="eastAsia" w:ascii="宋体" w:hAnsi="宋体" w:eastAsia="宋体" w:cs="宋体"/>
          <w:color w:val="auto"/>
          <w:kern w:val="0"/>
          <w:szCs w:val="21"/>
          <w:highlight w:val="none"/>
          <w:lang w:val="en-US" w:eastAsia="zh-CN"/>
        </w:rPr>
        <w:t>担保</w:t>
      </w:r>
      <w:r>
        <w:rPr>
          <w:rFonts w:hint="eastAsia" w:ascii="宋体" w:hAnsi="宋体" w:eastAsia="宋体" w:cs="宋体"/>
          <w:color w:val="auto"/>
          <w:kern w:val="0"/>
          <w:szCs w:val="21"/>
          <w:highlight w:val="none"/>
        </w:rPr>
        <w:t>中扣除）。合同期内</w:t>
      </w:r>
      <w:r>
        <w:rPr>
          <w:rFonts w:hint="eastAsia" w:ascii="宋体" w:hAnsi="宋体" w:eastAsia="宋体" w:cs="宋体"/>
          <w:color w:val="auto"/>
          <w:kern w:val="0"/>
          <w:szCs w:val="21"/>
          <w:highlight w:val="none"/>
          <w:lang w:val="en-US" w:eastAsia="zh-CN"/>
        </w:rPr>
        <w:t>单个项目点</w:t>
      </w:r>
      <w:r>
        <w:rPr>
          <w:rFonts w:hint="eastAsia" w:ascii="宋体" w:hAnsi="宋体" w:eastAsia="宋体" w:cs="宋体"/>
          <w:color w:val="auto"/>
          <w:kern w:val="0"/>
          <w:szCs w:val="21"/>
          <w:highlight w:val="none"/>
        </w:rPr>
        <w:t>首次评价不合格扣除违约金1万元，</w:t>
      </w:r>
      <w:r>
        <w:rPr>
          <w:rFonts w:hint="eastAsia" w:ascii="宋体" w:hAnsi="宋体" w:eastAsia="宋体" w:cs="宋体"/>
          <w:color w:val="auto"/>
          <w:kern w:val="0"/>
          <w:szCs w:val="21"/>
          <w:highlight w:val="none"/>
          <w:lang w:val="en-US" w:eastAsia="zh-CN"/>
        </w:rPr>
        <w:t>合同期内单个项目点</w:t>
      </w:r>
      <w:r>
        <w:rPr>
          <w:rFonts w:hint="eastAsia" w:ascii="宋体" w:hAnsi="宋体" w:eastAsia="宋体" w:cs="宋体"/>
          <w:color w:val="auto"/>
          <w:kern w:val="0"/>
          <w:szCs w:val="21"/>
          <w:highlight w:val="none"/>
        </w:rPr>
        <w:t>第二次不合格扣除违约金2万元，</w:t>
      </w:r>
      <w:r>
        <w:rPr>
          <w:rFonts w:hint="eastAsia" w:ascii="宋体" w:hAnsi="宋体" w:eastAsia="宋体" w:cs="宋体"/>
          <w:color w:val="auto"/>
          <w:kern w:val="0"/>
          <w:szCs w:val="21"/>
          <w:highlight w:val="none"/>
          <w:lang w:val="en-US" w:eastAsia="zh-CN"/>
        </w:rPr>
        <w:t>合同期内单个项目点</w:t>
      </w:r>
      <w:r>
        <w:rPr>
          <w:rFonts w:hint="eastAsia" w:ascii="宋体" w:hAnsi="宋体" w:eastAsia="宋体" w:cs="宋体"/>
          <w:color w:val="auto"/>
          <w:kern w:val="0"/>
          <w:szCs w:val="21"/>
          <w:highlight w:val="none"/>
        </w:rPr>
        <w:t>第三次不合格扣除违约金4万元，</w:t>
      </w:r>
      <w:r>
        <w:rPr>
          <w:rFonts w:hint="eastAsia" w:ascii="宋体" w:hAnsi="宋体" w:eastAsia="宋体" w:cs="宋体"/>
          <w:color w:val="auto"/>
          <w:kern w:val="0"/>
          <w:szCs w:val="21"/>
          <w:highlight w:val="none"/>
          <w:lang w:val="en-US" w:eastAsia="zh-CN"/>
        </w:rPr>
        <w:t>合同期内单个项目点</w:t>
      </w:r>
      <w:r>
        <w:rPr>
          <w:rFonts w:hint="eastAsia" w:ascii="宋体" w:hAnsi="宋体" w:eastAsia="宋体" w:cs="宋体"/>
          <w:color w:val="auto"/>
          <w:kern w:val="0"/>
          <w:szCs w:val="21"/>
          <w:highlight w:val="none"/>
        </w:rPr>
        <w:t>第四次不合格扣除违约金8万元，</w:t>
      </w:r>
      <w:r>
        <w:rPr>
          <w:rFonts w:hint="eastAsia" w:ascii="宋体" w:hAnsi="宋体" w:eastAsia="宋体" w:cs="宋体"/>
          <w:color w:val="auto"/>
          <w:kern w:val="0"/>
          <w:szCs w:val="21"/>
          <w:highlight w:val="none"/>
          <w:lang w:val="en-US" w:eastAsia="zh-CN"/>
        </w:rPr>
        <w:t>合同期内单个项目点出现</w:t>
      </w:r>
      <w:r>
        <w:rPr>
          <w:rFonts w:hint="eastAsia" w:ascii="宋体" w:hAnsi="宋体" w:eastAsia="宋体" w:cs="宋体"/>
          <w:color w:val="auto"/>
          <w:kern w:val="0"/>
          <w:szCs w:val="21"/>
          <w:highlight w:val="none"/>
        </w:rPr>
        <w:t>第四次不合格情况之后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lang w:eastAsia="zh-CN"/>
        </w:rPr>
        <w:t>有权</w:t>
      </w:r>
      <w:r>
        <w:rPr>
          <w:rFonts w:hint="eastAsia" w:ascii="宋体" w:hAnsi="宋体" w:eastAsia="宋体" w:cs="宋体"/>
          <w:color w:val="auto"/>
          <w:kern w:val="0"/>
          <w:szCs w:val="21"/>
          <w:highlight w:val="none"/>
          <w:lang w:val="en-US" w:eastAsia="zh-CN"/>
        </w:rPr>
        <w:t>单方解除合同</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lang w:eastAsia="zh-CN"/>
        </w:rPr>
        <w:t>还需向</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lang w:eastAsia="zh-CN"/>
        </w:rPr>
        <w:t>支付</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lang w:eastAsia="zh-CN"/>
        </w:rPr>
        <w:t>0,000元的违约金</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2" w:firstLineChars="200"/>
        <w:jc w:val="left"/>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四、服务内容</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1、中标人应按照招标人制定的设备生产工艺参数执行落实，保证满足污泥处理量</w:t>
      </w:r>
      <w:r>
        <w:rPr>
          <w:rFonts w:hint="eastAsia" w:ascii="宋体" w:hAnsi="宋体" w:eastAsia="宋体" w:cs="宋体"/>
          <w:bCs/>
          <w:color w:val="auto"/>
          <w:kern w:val="0"/>
          <w:szCs w:val="21"/>
          <w:highlight w:val="none"/>
          <w:lang w:val="en-US" w:eastAsia="zh-CN"/>
        </w:rPr>
        <w:t>要求</w:t>
      </w:r>
      <w:r>
        <w:rPr>
          <w:rFonts w:hint="eastAsia" w:ascii="宋体" w:hAnsi="宋体" w:eastAsia="宋体" w:cs="宋体"/>
          <w:bCs/>
          <w:color w:val="auto"/>
          <w:kern w:val="0"/>
          <w:szCs w:val="21"/>
          <w:highlight w:val="none"/>
        </w:rPr>
        <w:t>及含水率标准，各工艺段的设备类型详见附件。</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2、中标人</w:t>
      </w:r>
      <w:r>
        <w:rPr>
          <w:rFonts w:hint="eastAsia" w:ascii="宋体" w:hAnsi="宋体" w:eastAsia="宋体" w:cs="宋体"/>
          <w:bCs/>
          <w:color w:val="auto"/>
          <w:kern w:val="0"/>
          <w:szCs w:val="21"/>
          <w:highlight w:val="none"/>
          <w:lang w:val="en-US" w:eastAsia="zh-CN"/>
        </w:rPr>
        <w:t>配合服务设备操作人员</w:t>
      </w:r>
      <w:r>
        <w:rPr>
          <w:rFonts w:hint="eastAsia" w:ascii="宋体" w:hAnsi="宋体" w:eastAsia="宋体" w:cs="宋体"/>
          <w:bCs/>
          <w:color w:val="auto"/>
          <w:kern w:val="0"/>
          <w:szCs w:val="21"/>
          <w:highlight w:val="none"/>
        </w:rPr>
        <w:t>应根据运输计划，保证现场运作顺畅，指引车辆到达指定装卸地点进行装车，装车完毕后配合项目所在厂区和招标人进行取样。完成取样后，监督车辆盖上帆布，满足要求后放行。其中，外运装车取样的含水率由所在厂区的化验室进行检测，由招标人填写《含水率检测统计台账》，该《含水率检测统计台账》作为服务费结算依据。</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3、中标人</w:t>
      </w:r>
      <w:r>
        <w:rPr>
          <w:rFonts w:hint="eastAsia" w:ascii="宋体" w:hAnsi="宋体" w:eastAsia="宋体" w:cs="宋体"/>
          <w:bCs/>
          <w:color w:val="auto"/>
          <w:kern w:val="0"/>
          <w:szCs w:val="21"/>
          <w:highlight w:val="none"/>
          <w:lang w:val="en-US" w:eastAsia="zh-CN"/>
        </w:rPr>
        <w:t>配合服务设备操作人员</w:t>
      </w:r>
      <w:r>
        <w:rPr>
          <w:rFonts w:hint="eastAsia" w:ascii="宋体" w:hAnsi="宋体" w:eastAsia="宋体" w:cs="宋体"/>
          <w:bCs/>
          <w:color w:val="auto"/>
          <w:kern w:val="0"/>
          <w:szCs w:val="21"/>
          <w:highlight w:val="none"/>
        </w:rPr>
        <w:t xml:space="preserve">应根据招标人的要求，在生产过程中定期使用含水率检测仪测量泥饼含水率，并记录于《生产日报表》，便于对生产工艺调整。 </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4、中标人</w:t>
      </w:r>
      <w:r>
        <w:rPr>
          <w:rFonts w:hint="eastAsia" w:ascii="宋体" w:hAnsi="宋体" w:eastAsia="宋体" w:cs="宋体"/>
          <w:bCs/>
          <w:color w:val="auto"/>
          <w:kern w:val="0"/>
          <w:szCs w:val="21"/>
          <w:highlight w:val="none"/>
          <w:lang w:val="en-US" w:eastAsia="zh-CN"/>
        </w:rPr>
        <w:t>配合服务设备操作人员</w:t>
      </w:r>
      <w:r>
        <w:rPr>
          <w:rFonts w:hint="eastAsia" w:ascii="宋体" w:hAnsi="宋体" w:eastAsia="宋体" w:cs="宋体"/>
          <w:bCs/>
          <w:color w:val="auto"/>
          <w:kern w:val="0"/>
          <w:szCs w:val="21"/>
          <w:highlight w:val="none"/>
        </w:rPr>
        <w:t>应根据招标人的要求，如实记录《生产日报表》，《生产日报表》</w:t>
      </w:r>
      <w:r>
        <w:rPr>
          <w:rFonts w:hint="eastAsia" w:ascii="宋体" w:hAnsi="宋体" w:eastAsia="宋体" w:cs="宋体"/>
          <w:bCs/>
          <w:color w:val="auto"/>
          <w:kern w:val="0"/>
          <w:szCs w:val="21"/>
          <w:highlight w:val="none"/>
          <w:lang w:val="en-US" w:eastAsia="zh-CN"/>
        </w:rPr>
        <w:t>应</w:t>
      </w:r>
      <w:r>
        <w:rPr>
          <w:rFonts w:hint="eastAsia" w:ascii="宋体" w:hAnsi="宋体" w:eastAsia="宋体" w:cs="宋体"/>
          <w:bCs/>
          <w:color w:val="auto"/>
          <w:kern w:val="0"/>
          <w:szCs w:val="21"/>
          <w:highlight w:val="none"/>
        </w:rPr>
        <w:t>包含日常生产中的主要设备及配套设备的运行参数、处理量、药剂使用量、能源使用量、泥饼产生量、含水率等。 每月10号前各项目点《生产日报表》统一交由</w:t>
      </w:r>
      <w:r>
        <w:rPr>
          <w:rFonts w:hint="eastAsia" w:ascii="宋体" w:hAnsi="宋体" w:eastAsia="宋体" w:cs="宋体"/>
          <w:bCs/>
          <w:color w:val="auto"/>
          <w:kern w:val="0"/>
          <w:szCs w:val="21"/>
          <w:highlight w:val="none"/>
          <w:lang w:val="en-US" w:eastAsia="zh-CN"/>
        </w:rPr>
        <w:t>招标人</w:t>
      </w:r>
      <w:r>
        <w:rPr>
          <w:rFonts w:hint="eastAsia" w:ascii="宋体" w:hAnsi="宋体" w:eastAsia="宋体" w:cs="宋体"/>
          <w:bCs/>
          <w:color w:val="auto"/>
          <w:kern w:val="0"/>
          <w:szCs w:val="21"/>
          <w:highlight w:val="none"/>
        </w:rPr>
        <w:t>保存。</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5、中标人</w:t>
      </w:r>
      <w:r>
        <w:rPr>
          <w:rFonts w:hint="eastAsia" w:ascii="宋体" w:hAnsi="宋体" w:eastAsia="宋体" w:cs="宋体"/>
          <w:bCs/>
          <w:color w:val="auto"/>
          <w:kern w:val="0"/>
          <w:szCs w:val="21"/>
          <w:highlight w:val="none"/>
          <w:lang w:val="en-US" w:eastAsia="zh-CN"/>
        </w:rPr>
        <w:t>配合服务设备操作人员</w:t>
      </w:r>
      <w:r>
        <w:rPr>
          <w:rFonts w:hint="eastAsia" w:ascii="宋体" w:hAnsi="宋体" w:eastAsia="宋体" w:cs="宋体"/>
          <w:bCs/>
          <w:color w:val="auto"/>
          <w:kern w:val="0"/>
          <w:szCs w:val="21"/>
          <w:highlight w:val="none"/>
        </w:rPr>
        <w:t>应配合招标人管理好生产设备，并做好项目内各项设备设施的日常养护，含机械硬件更换、管道补漏及防锈防腐等，以满足项目运营的需要。中标人</w:t>
      </w:r>
      <w:r>
        <w:rPr>
          <w:rFonts w:hint="eastAsia" w:ascii="宋体" w:hAnsi="宋体" w:eastAsia="宋体" w:cs="宋体"/>
          <w:bCs/>
          <w:color w:val="auto"/>
          <w:kern w:val="0"/>
          <w:szCs w:val="21"/>
          <w:highlight w:val="none"/>
          <w:lang w:val="en-US" w:eastAsia="zh-CN"/>
        </w:rPr>
        <w:t>配合服务设备操作人员</w:t>
      </w:r>
      <w:r>
        <w:rPr>
          <w:rFonts w:hint="eastAsia" w:ascii="宋体" w:hAnsi="宋体" w:eastAsia="宋体" w:cs="宋体"/>
          <w:bCs/>
          <w:color w:val="auto"/>
          <w:kern w:val="0"/>
          <w:szCs w:val="21"/>
          <w:highlight w:val="none"/>
        </w:rPr>
        <w:t>对项目内的设备故障有预判和告知的义务，</w:t>
      </w:r>
      <w:r>
        <w:rPr>
          <w:rFonts w:hint="eastAsia" w:ascii="宋体" w:hAnsi="宋体" w:eastAsia="宋体" w:cs="宋体"/>
          <w:bCs/>
          <w:color w:val="auto"/>
          <w:kern w:val="0"/>
          <w:szCs w:val="21"/>
          <w:highlight w:val="none"/>
          <w:lang w:val="en-US" w:eastAsia="zh-CN"/>
        </w:rPr>
        <w:t>当</w:t>
      </w:r>
      <w:r>
        <w:rPr>
          <w:rFonts w:hint="eastAsia" w:ascii="宋体" w:hAnsi="宋体" w:eastAsia="宋体" w:cs="宋体"/>
          <w:bCs/>
          <w:color w:val="auto"/>
          <w:kern w:val="0"/>
          <w:szCs w:val="21"/>
          <w:highlight w:val="none"/>
        </w:rPr>
        <w:t>项目仓库中缺少维修维护所需物资时，应提前10个工作日将需求告知招标人。</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6、中标人应为</w:t>
      </w:r>
      <w:r>
        <w:rPr>
          <w:rFonts w:hint="eastAsia" w:ascii="宋体" w:hAnsi="宋体" w:eastAsia="宋体" w:cs="宋体"/>
          <w:bCs/>
          <w:color w:val="auto"/>
          <w:kern w:val="0"/>
          <w:szCs w:val="21"/>
          <w:highlight w:val="none"/>
          <w:lang w:val="en-US" w:eastAsia="zh-CN"/>
        </w:rPr>
        <w:t>配合服务</w:t>
      </w:r>
      <w:r>
        <w:rPr>
          <w:rFonts w:hint="eastAsia" w:ascii="宋体" w:hAnsi="宋体" w:eastAsia="宋体" w:cs="宋体"/>
          <w:bCs/>
          <w:color w:val="auto"/>
          <w:kern w:val="0"/>
          <w:szCs w:val="21"/>
          <w:highlight w:val="none"/>
        </w:rPr>
        <w:t>设备操作人员提供统一工作服和</w:t>
      </w:r>
      <w:r>
        <w:rPr>
          <w:rFonts w:hint="eastAsia" w:ascii="宋体" w:hAnsi="宋体" w:eastAsia="宋体" w:cs="宋体"/>
          <w:bCs/>
          <w:color w:val="auto"/>
          <w:kern w:val="0"/>
          <w:szCs w:val="21"/>
          <w:highlight w:val="none"/>
          <w:lang w:val="en-US" w:eastAsia="zh-CN"/>
        </w:rPr>
        <w:t>劳保鞋等</w:t>
      </w:r>
      <w:r>
        <w:rPr>
          <w:rFonts w:hint="eastAsia" w:ascii="宋体" w:hAnsi="宋体" w:eastAsia="宋体" w:cs="宋体"/>
          <w:bCs/>
          <w:color w:val="auto"/>
          <w:kern w:val="0"/>
          <w:szCs w:val="21"/>
          <w:highlight w:val="none"/>
        </w:rPr>
        <w:t>个人专用劳保用品。</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w:t>
      </w:r>
      <w:r>
        <w:rPr>
          <w:rFonts w:hint="eastAsia" w:ascii="宋体" w:hAnsi="宋体" w:eastAsia="宋体" w:cs="宋体"/>
          <w:bCs/>
          <w:color w:val="auto"/>
          <w:kern w:val="0"/>
          <w:szCs w:val="21"/>
          <w:highlight w:val="none"/>
          <w:lang w:val="en-US" w:eastAsia="zh-CN"/>
        </w:rPr>
        <w:t>中标人</w:t>
      </w:r>
      <w:r>
        <w:rPr>
          <w:rFonts w:hint="eastAsia" w:ascii="宋体" w:hAnsi="宋体" w:eastAsia="宋体" w:cs="宋体"/>
          <w:bCs/>
          <w:color w:val="auto"/>
          <w:kern w:val="0"/>
          <w:szCs w:val="21"/>
          <w:highlight w:val="none"/>
        </w:rPr>
        <w:t>派驻现场的人员根据各项目点设备设施配套情况，持有对应操作证（如：市区厂众源移动式（含一二期和三期）和长安新区众源移动式的人员需要持有叉车操作证）。合同履约过程中如有新要求，招标人</w:t>
      </w:r>
      <w:r>
        <w:rPr>
          <w:rFonts w:hint="eastAsia" w:ascii="宋体" w:hAnsi="宋体" w:eastAsia="宋体" w:cs="宋体"/>
          <w:bCs/>
          <w:color w:val="auto"/>
          <w:kern w:val="0"/>
          <w:szCs w:val="21"/>
          <w:highlight w:val="none"/>
          <w:lang w:val="en-US" w:eastAsia="zh-CN"/>
        </w:rPr>
        <w:t>将</w:t>
      </w:r>
      <w:r>
        <w:rPr>
          <w:rFonts w:hint="eastAsia" w:ascii="宋体" w:hAnsi="宋体" w:eastAsia="宋体" w:cs="宋体"/>
          <w:bCs/>
          <w:color w:val="auto"/>
          <w:kern w:val="0"/>
          <w:szCs w:val="21"/>
          <w:highlight w:val="none"/>
        </w:rPr>
        <w:t>以书面形式通知</w:t>
      </w:r>
      <w:r>
        <w:rPr>
          <w:rFonts w:hint="eastAsia" w:ascii="宋体" w:hAnsi="宋体" w:eastAsia="宋体" w:cs="宋体"/>
          <w:bCs/>
          <w:color w:val="auto"/>
          <w:kern w:val="0"/>
          <w:szCs w:val="21"/>
          <w:highlight w:val="none"/>
          <w:lang w:val="en-US" w:eastAsia="zh-CN"/>
        </w:rPr>
        <w:t>中标人</w:t>
      </w:r>
      <w:r>
        <w:rPr>
          <w:rFonts w:hint="eastAsia" w:ascii="宋体" w:hAnsi="宋体" w:eastAsia="宋体" w:cs="宋体"/>
          <w:bCs/>
          <w:color w:val="auto"/>
          <w:kern w:val="0"/>
          <w:szCs w:val="21"/>
          <w:highlight w:val="none"/>
        </w:rPr>
        <w:t>。</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中标人应做好生产现场卫生工作，保证项目生产现场室内、外环境干净整洁，物品摆放整齐，无烟头污渍等，照明设施完好，道路通畅，生产设备设施的外立面简洁美观，无明显的破损及渗漏，无泥水、泥饼等跑、冒、滴、漏的现象。</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w:t>
      </w:r>
      <w:r>
        <w:rPr>
          <w:rFonts w:hint="eastAsia" w:ascii="宋体" w:hAnsi="宋体" w:eastAsia="宋体" w:cs="宋体"/>
          <w:bCs/>
          <w:color w:val="auto"/>
          <w:kern w:val="0"/>
          <w:szCs w:val="21"/>
          <w:highlight w:val="none"/>
          <w:lang w:val="en-US" w:eastAsia="zh-CN"/>
        </w:rPr>
        <w:t>中标人应</w:t>
      </w:r>
      <w:r>
        <w:rPr>
          <w:rFonts w:hint="eastAsia" w:ascii="宋体" w:hAnsi="宋体" w:eastAsia="宋体" w:cs="宋体"/>
          <w:bCs/>
          <w:color w:val="auto"/>
          <w:kern w:val="0"/>
          <w:szCs w:val="21"/>
          <w:highlight w:val="none"/>
        </w:rPr>
        <w:t>接受和配合招标人及其上级主管部门对本项目的监督管理，服从招标人安全生产管理，如发现中标人未按招标人要求或执行内容不符合设计和规范要求行为的（包括但不限于系统操作不当、未按要求对设备进行维护等），招标人有权要求中标人限期改正，由此产生的费用由中标人全部承担。</w:t>
      </w:r>
    </w:p>
    <w:p>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10、其它属于本项目</w:t>
      </w:r>
      <w:r>
        <w:rPr>
          <w:rFonts w:hint="eastAsia" w:ascii="宋体" w:hAnsi="宋体" w:eastAsia="宋体" w:cs="宋体"/>
          <w:bCs/>
          <w:color w:val="auto"/>
          <w:kern w:val="0"/>
          <w:szCs w:val="21"/>
          <w:highlight w:val="none"/>
          <w:lang w:val="en-US" w:eastAsia="zh-CN"/>
        </w:rPr>
        <w:t>服务</w:t>
      </w:r>
      <w:r>
        <w:rPr>
          <w:rFonts w:hint="eastAsia" w:ascii="宋体" w:hAnsi="宋体" w:eastAsia="宋体" w:cs="宋体"/>
          <w:bCs/>
          <w:color w:val="auto"/>
          <w:kern w:val="0"/>
          <w:szCs w:val="21"/>
          <w:highlight w:val="none"/>
        </w:rPr>
        <w:t>范围内的招标人临时交办的</w:t>
      </w:r>
      <w:r>
        <w:rPr>
          <w:rFonts w:hint="eastAsia" w:ascii="宋体" w:hAnsi="宋体" w:eastAsia="宋体" w:cs="宋体"/>
          <w:bCs/>
          <w:color w:val="auto"/>
          <w:kern w:val="0"/>
          <w:szCs w:val="21"/>
          <w:highlight w:val="none"/>
          <w:lang w:val="en-US" w:eastAsia="zh-CN"/>
        </w:rPr>
        <w:t>服务</w:t>
      </w:r>
      <w:r>
        <w:rPr>
          <w:rFonts w:hint="eastAsia" w:ascii="宋体" w:hAnsi="宋体" w:eastAsia="宋体" w:cs="宋体"/>
          <w:bCs/>
          <w:color w:val="auto"/>
          <w:kern w:val="0"/>
          <w:szCs w:val="21"/>
          <w:highlight w:val="none"/>
        </w:rPr>
        <w:t>任务。</w:t>
      </w:r>
    </w:p>
    <w:p>
      <w:pPr>
        <w:autoSpaceDE w:val="0"/>
        <w:autoSpaceDN w:val="0"/>
        <w:adjustRightInd w:val="0"/>
        <w:spacing w:line="360" w:lineRule="auto"/>
        <w:ind w:firstLine="422" w:firstLineChars="200"/>
        <w:jc w:val="left"/>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五、管理要求</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1、中标人应根据设备操作人员数量和项目情况，配备专门的项目管理人员，负责管理</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设备操作人员的日常事务，协调处理</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设备操作人员与招标人之间的关系。此外，每个已投产的项目，</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安排1名现场生产班长驻点，负责统筹项目点内安全生产、</w:t>
      </w:r>
      <w:r>
        <w:rPr>
          <w:rFonts w:hint="eastAsia" w:ascii="宋体" w:hAnsi="宋体" w:eastAsia="宋体" w:cs="宋体"/>
          <w:color w:val="auto"/>
          <w:kern w:val="0"/>
          <w:szCs w:val="21"/>
          <w:highlight w:val="none"/>
          <w:lang w:val="en-US" w:eastAsia="zh-CN"/>
        </w:rPr>
        <w:t>中标人履约情况监督</w:t>
      </w:r>
      <w:r>
        <w:rPr>
          <w:rFonts w:hint="eastAsia" w:ascii="宋体" w:hAnsi="宋体" w:eastAsia="宋体" w:cs="宋体"/>
          <w:color w:val="auto"/>
          <w:kern w:val="0"/>
          <w:szCs w:val="21"/>
          <w:highlight w:val="none"/>
        </w:rPr>
        <w:t>、设备常规保养、药耗管控、仓库物资管控等工作，如涉及生产项目的设备操作或工艺调整的问题以招标人的现场生产班长指令为主。</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2、中标人收到招标人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进场通知书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后，应根据项目点生产情况，在10个工作日内安排充足的</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设备操作人员，必须满足污水厂的污泥脱水需求，且不论项目点是否停产，需保持</w:t>
      </w:r>
      <w:r>
        <w:rPr>
          <w:rFonts w:hint="eastAsia" w:ascii="宋体" w:hAnsi="宋体" w:eastAsia="宋体" w:cs="宋体"/>
          <w:color w:val="auto"/>
          <w:kern w:val="0"/>
          <w:szCs w:val="21"/>
          <w:highlight w:val="none"/>
          <w:lang w:val="en-US" w:eastAsia="zh-CN"/>
        </w:rPr>
        <w:t>每个项目</w:t>
      </w:r>
      <w:r>
        <w:rPr>
          <w:rFonts w:hint="eastAsia" w:ascii="宋体" w:hAnsi="宋体" w:eastAsia="宋体" w:cs="宋体"/>
          <w:color w:val="auto"/>
          <w:kern w:val="0"/>
          <w:szCs w:val="21"/>
          <w:highlight w:val="none"/>
        </w:rPr>
        <w:t>24小时必须有人员值班，每班至少1人。</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3、中标人</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的要求连续不断的使用</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提供的污泥脱水减量设备进行生产，若</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出现人力不足时，</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有义务增加人员，以满足项目需求。</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4、招标人可根据实际情况或需求，对</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设备操作人员的</w:t>
      </w:r>
      <w:r>
        <w:rPr>
          <w:rFonts w:hint="eastAsia" w:ascii="宋体" w:hAnsi="宋体" w:eastAsia="宋体" w:cs="宋体"/>
          <w:color w:val="auto"/>
          <w:kern w:val="0"/>
          <w:szCs w:val="21"/>
          <w:highlight w:val="none"/>
          <w:lang w:val="en-US" w:eastAsia="zh-CN"/>
        </w:rPr>
        <w:t>服务时间</w:t>
      </w:r>
      <w:r>
        <w:rPr>
          <w:rFonts w:hint="eastAsia" w:ascii="宋体" w:hAnsi="宋体" w:eastAsia="宋体" w:cs="宋体"/>
          <w:color w:val="auto"/>
          <w:kern w:val="0"/>
          <w:szCs w:val="21"/>
          <w:highlight w:val="none"/>
        </w:rPr>
        <w:t>进行</w:t>
      </w:r>
      <w:r>
        <w:rPr>
          <w:rFonts w:hint="eastAsia" w:ascii="宋体" w:hAnsi="宋体" w:eastAsia="宋体" w:cs="宋体"/>
          <w:color w:val="auto"/>
          <w:kern w:val="0"/>
          <w:szCs w:val="21"/>
          <w:highlight w:val="none"/>
          <w:lang w:val="en-US" w:eastAsia="zh-CN"/>
        </w:rPr>
        <w:t>合理调整</w:t>
      </w:r>
      <w:r>
        <w:rPr>
          <w:rFonts w:hint="eastAsia" w:ascii="宋体" w:hAnsi="宋体" w:eastAsia="宋体" w:cs="宋体"/>
          <w:color w:val="auto"/>
          <w:kern w:val="0"/>
          <w:szCs w:val="21"/>
          <w:highlight w:val="none"/>
        </w:rPr>
        <w:t>，中标人必须服从，且</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设备操作人员必须符合招标人的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要求。</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5、招标人有权要求调换不适合</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要求的设备操作人员。在服务期间，</w:t>
      </w:r>
      <w:r>
        <w:rPr>
          <w:rFonts w:hint="eastAsia" w:ascii="宋体" w:hAnsi="宋体" w:eastAsia="宋体" w:cs="宋体"/>
          <w:color w:val="auto"/>
          <w:kern w:val="0"/>
          <w:szCs w:val="21"/>
          <w:highlight w:val="none"/>
          <w:lang w:val="en-US" w:eastAsia="zh-CN"/>
        </w:rPr>
        <w:t>为保持服务的连续性，</w:t>
      </w:r>
      <w:r>
        <w:rPr>
          <w:rFonts w:hint="eastAsia" w:ascii="宋体" w:hAnsi="宋体" w:eastAsia="宋体" w:cs="宋体"/>
          <w:color w:val="auto"/>
          <w:kern w:val="0"/>
          <w:szCs w:val="21"/>
          <w:highlight w:val="none"/>
        </w:rPr>
        <w:t>未经招标人</w:t>
      </w:r>
      <w:r>
        <w:rPr>
          <w:rFonts w:hint="eastAsia" w:ascii="宋体" w:hAnsi="宋体" w:eastAsia="宋体" w:cs="宋体"/>
          <w:color w:val="auto"/>
          <w:kern w:val="0"/>
          <w:szCs w:val="21"/>
          <w:highlight w:val="none"/>
          <w:lang w:val="en-US" w:eastAsia="zh-CN"/>
        </w:rPr>
        <w:t>书面</w:t>
      </w:r>
      <w:r>
        <w:rPr>
          <w:rFonts w:hint="eastAsia" w:ascii="宋体" w:hAnsi="宋体" w:eastAsia="宋体" w:cs="宋体"/>
          <w:color w:val="auto"/>
          <w:kern w:val="0"/>
          <w:szCs w:val="21"/>
          <w:highlight w:val="none"/>
        </w:rPr>
        <w:t>同意，中标人不得随意更换</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w:t>
      </w:r>
      <w:r>
        <w:rPr>
          <w:rFonts w:hint="eastAsia" w:ascii="宋体" w:hAnsi="宋体" w:eastAsia="宋体" w:cs="宋体"/>
          <w:color w:val="auto"/>
          <w:kern w:val="0"/>
          <w:szCs w:val="21"/>
          <w:highlight w:val="none"/>
          <w:lang w:val="en-US" w:eastAsia="zh-CN"/>
        </w:rPr>
        <w:t>如有配合服务设备操作人员离职需更换，中标人应提前10天</w:t>
      </w:r>
      <w:r>
        <w:rPr>
          <w:rFonts w:hint="eastAsia" w:ascii="宋体" w:hAnsi="宋体" w:eastAsia="宋体" w:cs="宋体"/>
          <w:color w:val="auto"/>
          <w:kern w:val="0"/>
          <w:szCs w:val="21"/>
          <w:highlight w:val="none"/>
        </w:rPr>
        <w:t>告知招标人。</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设备操作人员因为调走、辞职、被中标人辞退或其他原因导致人手不足的，</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必须在3个工作日内补充</w:t>
      </w:r>
      <w:r>
        <w:rPr>
          <w:rFonts w:hint="eastAsia" w:ascii="宋体" w:hAnsi="宋体" w:eastAsia="宋体" w:cs="宋体"/>
          <w:color w:val="auto"/>
          <w:kern w:val="0"/>
          <w:szCs w:val="21"/>
          <w:highlight w:val="none"/>
          <w:lang w:val="en-US" w:eastAsia="zh-CN"/>
        </w:rPr>
        <w:t>符合招标人要求的配合服务设备操作</w:t>
      </w:r>
      <w:r>
        <w:rPr>
          <w:rFonts w:hint="eastAsia" w:ascii="宋体" w:hAnsi="宋体" w:eastAsia="宋体" w:cs="宋体"/>
          <w:color w:val="auto"/>
          <w:kern w:val="0"/>
          <w:szCs w:val="21"/>
          <w:highlight w:val="none"/>
        </w:rPr>
        <w:t>人员以满足项目生产需要。</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6、由于</w:t>
      </w:r>
      <w:r>
        <w:rPr>
          <w:rFonts w:hint="eastAsia" w:ascii="宋体" w:hAnsi="宋体" w:eastAsia="宋体" w:cs="宋体"/>
          <w:color w:val="auto"/>
          <w:kern w:val="0"/>
          <w:szCs w:val="21"/>
          <w:highlight w:val="none"/>
          <w:lang w:val="en-US" w:eastAsia="zh-CN"/>
        </w:rPr>
        <w:t>非招标人原因造成配合服务设备操作人员的人身或财产损害，所产生的损失及后果由乙方承担。</w:t>
      </w:r>
      <w:r>
        <w:rPr>
          <w:rFonts w:hint="eastAsia" w:ascii="宋体" w:hAnsi="宋体" w:eastAsia="宋体" w:cs="宋体"/>
          <w:color w:val="auto"/>
          <w:kern w:val="0"/>
          <w:szCs w:val="21"/>
          <w:highlight w:val="none"/>
        </w:rPr>
        <w:t>因</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设备操作人员蓄意破坏招标人现场设备设施、违反相关管理规定造成招标人损失的，视为中标人严重违约，</w:t>
      </w:r>
      <w:r>
        <w:rPr>
          <w:rFonts w:hint="eastAsia" w:ascii="宋体" w:hAnsi="宋体" w:eastAsia="宋体" w:cs="宋体"/>
          <w:color w:val="auto"/>
          <w:kern w:val="0"/>
          <w:szCs w:val="21"/>
          <w:highlight w:val="none"/>
          <w:lang w:val="en-US" w:eastAsia="zh-CN"/>
        </w:rPr>
        <w:t>由中标人承担相应的违约责任，并赔偿招标人损失</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7、中标人项目管理人员应配合招标人对各生产项目的药剂使用量、物资使用量及电耗进行监管，杜绝不必要的浪费。</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8、中标人对安排到招标人现场的</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设备操作人员，需建立花名册（包含姓名、性别、身份证号、联系电话、人员健康情况是否满足生产需求）。</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需在派驻设备操作人员到项目点的</w:t>
      </w:r>
      <w:r>
        <w:rPr>
          <w:rFonts w:ascii="宋体" w:hAnsi="宋体" w:eastAsia="宋体" w:cs="宋体"/>
          <w:color w:val="auto"/>
          <w:szCs w:val="21"/>
          <w:highlight w:val="none"/>
        </w:rPr>
        <w:t>2</w:t>
      </w:r>
      <w:r>
        <w:rPr>
          <w:rFonts w:hint="eastAsia" w:ascii="宋体" w:hAnsi="宋体" w:eastAsia="宋体" w:cs="宋体"/>
          <w:color w:val="auto"/>
          <w:szCs w:val="21"/>
          <w:highlight w:val="none"/>
        </w:rPr>
        <w:t>日内，将</w:t>
      </w:r>
      <w:r>
        <w:rPr>
          <w:rFonts w:hint="eastAsia" w:ascii="宋体" w:hAnsi="宋体" w:eastAsia="宋体" w:cs="宋体"/>
          <w:color w:val="auto"/>
          <w:szCs w:val="21"/>
          <w:highlight w:val="none"/>
          <w:lang w:val="en-US" w:eastAsia="zh-CN"/>
        </w:rPr>
        <w:t>进场人员花名册</w:t>
      </w:r>
      <w:r>
        <w:rPr>
          <w:rFonts w:hint="eastAsia" w:ascii="宋体" w:hAnsi="宋体" w:eastAsia="宋体" w:cs="宋体"/>
          <w:color w:val="auto"/>
          <w:szCs w:val="21"/>
          <w:highlight w:val="none"/>
        </w:rPr>
        <w:t>交给</w:t>
      </w:r>
      <w:r>
        <w:rPr>
          <w:rFonts w:hint="eastAsia" w:ascii="宋体" w:hAnsi="宋体" w:eastAsia="宋体" w:cs="宋体"/>
          <w:color w:val="auto"/>
          <w:szCs w:val="21"/>
          <w:highlight w:val="none"/>
          <w:lang w:val="en-US" w:eastAsia="zh-CN"/>
        </w:rPr>
        <w:t>招标人</w:t>
      </w:r>
      <w:r>
        <w:rPr>
          <w:rFonts w:hint="eastAsia" w:ascii="宋体" w:hAnsi="宋体" w:eastAsia="宋体" w:cs="宋体"/>
          <w:color w:val="auto"/>
          <w:szCs w:val="21"/>
          <w:highlight w:val="none"/>
        </w:rPr>
        <w:t>报备。</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9、中标人应</w:t>
      </w:r>
      <w:r>
        <w:rPr>
          <w:rFonts w:hint="eastAsia" w:ascii="宋体" w:hAnsi="宋体" w:eastAsia="宋体" w:cs="宋体"/>
          <w:color w:val="auto"/>
          <w:kern w:val="0"/>
          <w:szCs w:val="21"/>
          <w:highlight w:val="none"/>
          <w:lang w:val="en-US" w:eastAsia="zh-CN"/>
        </w:rPr>
        <w:t>按招标人要求，</w:t>
      </w:r>
      <w:r>
        <w:rPr>
          <w:rFonts w:hint="eastAsia" w:ascii="宋体" w:hAnsi="宋体" w:eastAsia="宋体" w:cs="宋体"/>
          <w:color w:val="auto"/>
          <w:kern w:val="0"/>
          <w:szCs w:val="21"/>
          <w:highlight w:val="none"/>
        </w:rPr>
        <w:t>要求</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设备操作人员严格遵守招标人的规章制度和管理规范规程、忠于职守、文明礼貌、严格遵守劳动纪律、服从和执行招标人做出的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安排，</w:t>
      </w:r>
      <w:r>
        <w:rPr>
          <w:rFonts w:hint="eastAsia" w:ascii="宋体" w:hAnsi="宋体" w:eastAsia="宋体" w:cs="宋体"/>
          <w:color w:val="auto"/>
          <w:kern w:val="0"/>
          <w:szCs w:val="21"/>
          <w:highlight w:val="none"/>
          <w:lang w:val="en-US" w:eastAsia="zh-CN"/>
        </w:rPr>
        <w:t>中标人应</w:t>
      </w:r>
      <w:r>
        <w:rPr>
          <w:rFonts w:hint="eastAsia" w:ascii="宋体" w:hAnsi="宋体" w:eastAsia="宋体" w:cs="宋体"/>
          <w:color w:val="auto"/>
          <w:kern w:val="0"/>
          <w:szCs w:val="21"/>
          <w:highlight w:val="none"/>
        </w:rPr>
        <w:t>接受招标人</w:t>
      </w:r>
      <w:r>
        <w:rPr>
          <w:rFonts w:hint="eastAsia" w:ascii="宋体" w:hAnsi="宋体" w:eastAsia="宋体" w:cs="宋体"/>
          <w:color w:val="auto"/>
          <w:kern w:val="0"/>
          <w:szCs w:val="21"/>
          <w:highlight w:val="none"/>
          <w:lang w:val="en-US" w:eastAsia="zh-CN"/>
        </w:rPr>
        <w:t>管理人员</w:t>
      </w:r>
      <w:r>
        <w:rPr>
          <w:rFonts w:hint="eastAsia" w:ascii="宋体" w:hAnsi="宋体" w:eastAsia="宋体" w:cs="宋体"/>
          <w:color w:val="auto"/>
          <w:kern w:val="0"/>
          <w:szCs w:val="21"/>
          <w:highlight w:val="none"/>
        </w:rPr>
        <w:t>的检查监督。</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10、中标人应教育、督促</w:t>
      </w:r>
      <w:r>
        <w:rPr>
          <w:rFonts w:hint="eastAsia" w:ascii="宋体" w:hAnsi="宋体" w:eastAsia="宋体" w:cs="宋体"/>
          <w:color w:val="auto"/>
          <w:kern w:val="0"/>
          <w:szCs w:val="21"/>
          <w:highlight w:val="none"/>
          <w:lang w:val="en-US" w:eastAsia="zh-CN"/>
        </w:rPr>
        <w:t>配合服务</w:t>
      </w:r>
      <w:r>
        <w:rPr>
          <w:rFonts w:hint="eastAsia" w:ascii="宋体" w:hAnsi="宋体" w:eastAsia="宋体" w:cs="宋体"/>
          <w:color w:val="auto"/>
          <w:kern w:val="0"/>
          <w:szCs w:val="21"/>
          <w:highlight w:val="none"/>
        </w:rPr>
        <w:t>设备操作人员不得以任何形式向他人提供或泄露招标人的商业秘密，保证招标人利益不受损失，对招标人各类资料、业务数据等应按照招标人相关文件及工作要求执行保密工作。中标人在提供服务期间获悉的招标人信息，负有保密义务。本保密义务不因服务合同的解除或终止而失效，直至保密信息被依法公开为止。</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11、中标人须接受招标人对</w:t>
      </w:r>
      <w:r>
        <w:rPr>
          <w:rFonts w:hint="eastAsia" w:ascii="宋体" w:hAnsi="宋体" w:eastAsia="宋体" w:cs="宋体"/>
          <w:color w:val="auto"/>
          <w:kern w:val="0"/>
          <w:szCs w:val="21"/>
          <w:highlight w:val="none"/>
          <w:lang w:val="en-US" w:eastAsia="zh-CN"/>
        </w:rPr>
        <w:t>其</w:t>
      </w:r>
      <w:r>
        <w:rPr>
          <w:rFonts w:hint="eastAsia" w:ascii="宋体" w:hAnsi="宋体" w:eastAsia="宋体" w:cs="宋体"/>
          <w:color w:val="auto"/>
          <w:kern w:val="0"/>
          <w:szCs w:val="21"/>
          <w:highlight w:val="none"/>
        </w:rPr>
        <w:t>提供的服务质量检查，且须保证能随时接受行业主管部门的质量考核，并对招标人提出的服务质量改进建议予以及时响应和整改。</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中标人应定期向招标人汇报服务项目的相关事项，</w:t>
      </w:r>
      <w:r>
        <w:rPr>
          <w:rFonts w:hint="eastAsia" w:ascii="宋体" w:hAnsi="宋体" w:eastAsia="宋体" w:cs="宋体"/>
          <w:color w:val="auto"/>
          <w:kern w:val="0"/>
          <w:szCs w:val="21"/>
          <w:highlight w:val="none"/>
        </w:rPr>
        <w:t>如发生突发性事件，中标人应及时向招标人通报。</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、中标人应严格执行《中华人民共和国安全生产法》、《企业安全生产标准化基本规范》（</w:t>
      </w:r>
      <w:r>
        <w:rPr>
          <w:rFonts w:hint="eastAsia" w:ascii="宋体" w:hAnsi="宋体" w:eastAsia="宋体" w:cs="宋体"/>
          <w:color w:val="auto"/>
          <w:kern w:val="0"/>
          <w:szCs w:val="21"/>
          <w:highlight w:val="none"/>
        </w:rPr>
        <w:fldChar w:fldCharType="begin"/>
      </w:r>
      <w:r>
        <w:rPr>
          <w:rFonts w:hint="eastAsia" w:ascii="宋体" w:hAnsi="宋体" w:eastAsia="宋体" w:cs="宋体"/>
          <w:color w:val="auto"/>
          <w:kern w:val="0"/>
          <w:szCs w:val="21"/>
          <w:highlight w:val="none"/>
        </w:rPr>
        <w:instrText xml:space="preserve"> HYPERLINK "http://www.csres.com/detail/292641.html" \t "http://www.csres.com/detail/_blank" </w:instrText>
      </w:r>
      <w:r>
        <w:rPr>
          <w:rFonts w:hint="eastAsia" w:ascii="宋体" w:hAnsi="宋体" w:eastAsia="宋体" w:cs="宋体"/>
          <w:color w:val="auto"/>
          <w:kern w:val="0"/>
          <w:szCs w:val="21"/>
          <w:highlight w:val="none"/>
        </w:rPr>
        <w:fldChar w:fldCharType="separate"/>
      </w:r>
      <w:r>
        <w:rPr>
          <w:rFonts w:hint="eastAsia" w:ascii="宋体" w:hAnsi="宋体" w:eastAsia="宋体" w:cs="宋体"/>
          <w:color w:val="auto"/>
          <w:kern w:val="0"/>
          <w:szCs w:val="21"/>
          <w:highlight w:val="none"/>
        </w:rPr>
        <w:t>GB/T 33000-2016</w:t>
      </w:r>
      <w:r>
        <w:rPr>
          <w:rFonts w:hint="eastAsia" w:ascii="宋体" w:hAnsi="宋体" w:eastAsia="宋体" w:cs="宋体"/>
          <w:color w:val="auto"/>
          <w:kern w:val="0"/>
          <w:szCs w:val="21"/>
          <w:highlight w:val="none"/>
        </w:rPr>
        <w:fldChar w:fldCharType="end"/>
      </w:r>
      <w:r>
        <w:rPr>
          <w:rFonts w:hint="eastAsia" w:ascii="宋体" w:hAnsi="宋体" w:eastAsia="宋体" w:cs="宋体"/>
          <w:color w:val="auto"/>
          <w:kern w:val="0"/>
          <w:szCs w:val="21"/>
          <w:highlight w:val="none"/>
        </w:rPr>
        <w:t>）等国家有关安全生产和劳动保护的规范和标准，贯彻执行招标人各项安全生产管理规章制度，熟知作业场所和工作岗位存在的危险因素、防范措施以及事故应急措施，并制定相应的操作规程。</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、中标人应当以自身的技术和劳动力完成项目的主要工作，未经招标人书面同意，不得将承包项目分包或转包，否则视为中标人违约，招标人有权解除服务合同。</w:t>
      </w:r>
    </w:p>
    <w:p>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与</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安排的设备操作人员不存在任何劳动或劳务关系，</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应对其安排的设备操作人员人身、财产安全及相关行为负完全责任，并提供必要的劳动保护条件等，对其人员的意外工伤、死亡承担责任，负责处理与其人员产生的劳动争议，并承担有关追讨、诉讼及赔偿等费用，</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无须对这些意外工伤、死亡或劳动争议承担任何责任。</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应按时足额向设备操作人员发放工资报酬，若因</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未足额发放工资报酬而导致设备操作人员数量不能满足项目要求的，</w:t>
      </w:r>
      <w:r>
        <w:rPr>
          <w:rFonts w:hint="eastAsia" w:ascii="宋体" w:hAnsi="宋体" w:eastAsia="宋体" w:cs="宋体"/>
          <w:color w:val="auto"/>
          <w:kern w:val="0"/>
          <w:szCs w:val="21"/>
          <w:highlight w:val="none"/>
          <w:lang w:val="en-US" w:eastAsia="zh-CN"/>
        </w:rPr>
        <w:t>中标人</w:t>
      </w:r>
      <w:r>
        <w:rPr>
          <w:rFonts w:hint="eastAsia" w:ascii="宋体" w:hAnsi="宋体" w:eastAsia="宋体" w:cs="宋体"/>
          <w:color w:val="auto"/>
          <w:kern w:val="0"/>
          <w:szCs w:val="21"/>
          <w:highlight w:val="none"/>
        </w:rPr>
        <w:t>应立即补充安排充足的服务人员。</w:t>
      </w:r>
    </w:p>
    <w:p>
      <w:pPr>
        <w:spacing w:after="120"/>
        <w:ind w:firstLine="210" w:firstLineChars="100"/>
        <w:outlineLvl w:val="9"/>
        <w:rPr>
          <w:rFonts w:hint="eastAsia" w:ascii="宋体" w:hAnsi="宋体" w:eastAsia="宋体" w:cs="宋体"/>
          <w:color w:val="auto"/>
          <w:szCs w:val="21"/>
          <w:highlight w:val="none"/>
        </w:rPr>
      </w:pPr>
    </w:p>
    <w:p>
      <w:pPr>
        <w:spacing w:after="120"/>
        <w:ind w:firstLine="210" w:firstLineChars="100"/>
        <w:outlineLvl w:val="9"/>
        <w:rPr>
          <w:rFonts w:hint="eastAsia" w:ascii="宋体" w:hAnsi="宋体" w:eastAsia="宋体" w:cs="宋体"/>
          <w:color w:val="auto"/>
          <w:szCs w:val="21"/>
          <w:highlight w:val="none"/>
        </w:rPr>
      </w:pPr>
    </w:p>
    <w:p>
      <w:pPr>
        <w:spacing w:after="120"/>
        <w:ind w:firstLine="210" w:firstLine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附件1：污泥脱水减量配合服务项目信息表</w:t>
      </w:r>
    </w:p>
    <w:p>
      <w:pPr>
        <w:spacing w:after="120"/>
        <w:ind w:firstLine="210" w:firstLineChars="100"/>
        <w:outlineLvl w:val="9"/>
        <w:rPr>
          <w:rFonts w:hint="eastAsia" w:hAnsi="宋体"/>
          <w:b/>
          <w:color w:val="auto"/>
          <w:szCs w:val="18"/>
          <w:highlight w:val="none"/>
        </w:rPr>
      </w:pPr>
      <w:r>
        <w:rPr>
          <w:color w:val="auto"/>
          <w:highlight w:val="none"/>
        </w:rPr>
        <w:drawing>
          <wp:inline distT="0" distB="0" distL="114300" distR="114300">
            <wp:extent cx="6440805" cy="7867015"/>
            <wp:effectExtent l="0" t="0" r="10795" b="698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9"/>
                    <a:stretch>
                      <a:fillRect/>
                    </a:stretch>
                  </pic:blipFill>
                  <pic:spPr>
                    <a:xfrm>
                      <a:off x="0" y="0"/>
                      <a:ext cx="6440805" cy="7867015"/>
                    </a:xfrm>
                    <a:prstGeom prst="rect">
                      <a:avLst/>
                    </a:prstGeom>
                    <a:noFill/>
                    <a:ln>
                      <a:noFill/>
                    </a:ln>
                  </pic:spPr>
                </pic:pic>
              </a:graphicData>
            </a:graphic>
          </wp:inline>
        </w:drawing>
      </w:r>
    </w:p>
    <w:p>
      <w:pPr>
        <w:pageBreakBefore/>
        <w:spacing w:after="120"/>
        <w:ind w:firstLine="210" w:firstLineChars="100"/>
        <w:outlineLvl w:val="9"/>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附件2</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设备类型及操作主体</w:t>
      </w:r>
    </w:p>
    <w:p>
      <w:pPr>
        <w:autoSpaceDE w:val="0"/>
        <w:autoSpaceDN w:val="0"/>
        <w:adjustRightInd w:val="0"/>
        <w:spacing w:line="360" w:lineRule="auto"/>
        <w:jc w:val="center"/>
        <w:outlineLvl w:val="9"/>
        <w:rPr>
          <w:rFonts w:hint="default" w:ascii="宋体" w:hAnsi="宋体" w:eastAsia="宋体" w:cs="宋体"/>
          <w:b/>
          <w:color w:val="auto"/>
          <w:kern w:val="0"/>
          <w:sz w:val="32"/>
          <w:szCs w:val="21"/>
          <w:highlight w:val="none"/>
          <w:lang w:val="en-US" w:eastAsia="zh-CN"/>
        </w:rPr>
      </w:pPr>
      <w:r>
        <w:rPr>
          <w:rFonts w:hint="eastAsia" w:ascii="宋体" w:hAnsi="宋体" w:eastAsia="宋体" w:cs="宋体"/>
          <w:b/>
          <w:color w:val="auto"/>
          <w:kern w:val="0"/>
          <w:sz w:val="32"/>
          <w:szCs w:val="21"/>
          <w:highlight w:val="none"/>
          <w:lang w:val="en-US" w:eastAsia="zh-CN"/>
        </w:rPr>
        <w:t>设备类型及操作主体</w:t>
      </w:r>
    </w:p>
    <w:tbl>
      <w:tblPr>
        <w:tblStyle w:val="39"/>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5103"/>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552"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工艺段</w:t>
            </w:r>
          </w:p>
        </w:tc>
        <w:tc>
          <w:tcPr>
            <w:tcW w:w="5103"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设备类型</w:t>
            </w:r>
          </w:p>
        </w:tc>
        <w:tc>
          <w:tcPr>
            <w:tcW w:w="1985"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浓缩调理阶段（存在重力浓缩和机械浓缩两种形式，因厂而异）</w:t>
            </w:r>
          </w:p>
        </w:tc>
        <w:tc>
          <w:tcPr>
            <w:tcW w:w="5103"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潜水泵、离心泵、耐腐蚀加药泵及PAM药剂配制机等</w:t>
            </w:r>
          </w:p>
        </w:tc>
        <w:tc>
          <w:tcPr>
            <w:tcW w:w="1985"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进料压榨阶段</w:t>
            </w:r>
          </w:p>
        </w:tc>
        <w:tc>
          <w:tcPr>
            <w:tcW w:w="5103"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板框压滤机、热泵（热水压榨的项目点使用）、螺杆泵、柱塞泵、压榨泵</w:t>
            </w:r>
          </w:p>
        </w:tc>
        <w:tc>
          <w:tcPr>
            <w:tcW w:w="1985"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卸泥仓储及装车外运阶段（泥斗存储和泥仓存储两种形式，因厂而异）</w:t>
            </w:r>
          </w:p>
        </w:tc>
        <w:tc>
          <w:tcPr>
            <w:tcW w:w="5103"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如使用泥斗:振动器、泥仓口启闭机构、抽湿机等；</w:t>
            </w:r>
          </w:p>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如使用泥仓：叉车、抽湿机等。</w:t>
            </w:r>
          </w:p>
        </w:tc>
        <w:tc>
          <w:tcPr>
            <w:tcW w:w="1985"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2552"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含水率自查</w:t>
            </w:r>
          </w:p>
        </w:tc>
        <w:tc>
          <w:tcPr>
            <w:tcW w:w="5103" w:type="dxa"/>
            <w:vAlign w:val="center"/>
          </w:tcPr>
          <w:p>
            <w:pPr>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含水率检测仪</w:t>
            </w:r>
          </w:p>
        </w:tc>
        <w:tc>
          <w:tcPr>
            <w:tcW w:w="1985" w:type="dxa"/>
            <w:vAlign w:val="center"/>
          </w:tcPr>
          <w:p>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投标人和中标人共同完成</w:t>
            </w:r>
          </w:p>
        </w:tc>
      </w:tr>
    </w:tbl>
    <w:p>
      <w:pPr>
        <w:pageBreakBefore/>
        <w:spacing w:after="120"/>
        <w:ind w:firstLine="210" w:firstLineChars="100"/>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附件</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：履约评价表</w:t>
      </w:r>
    </w:p>
    <w:p>
      <w:pPr>
        <w:autoSpaceDE w:val="0"/>
        <w:autoSpaceDN w:val="0"/>
        <w:adjustRightInd w:val="0"/>
        <w:spacing w:line="360" w:lineRule="auto"/>
        <w:jc w:val="center"/>
        <w:outlineLvl w:val="9"/>
        <w:rPr>
          <w:rFonts w:ascii="宋体" w:hAnsi="宋体" w:eastAsia="宋体" w:cs="宋体"/>
          <w:b/>
          <w:color w:val="auto"/>
          <w:kern w:val="0"/>
          <w:sz w:val="32"/>
          <w:szCs w:val="21"/>
          <w:highlight w:val="none"/>
        </w:rPr>
      </w:pPr>
      <w:r>
        <w:rPr>
          <w:rFonts w:hint="eastAsia" w:ascii="宋体" w:hAnsi="宋体" w:eastAsia="宋体" w:cs="宋体"/>
          <w:b/>
          <w:color w:val="auto"/>
          <w:kern w:val="0"/>
          <w:sz w:val="32"/>
          <w:szCs w:val="21"/>
          <w:highlight w:val="none"/>
        </w:rPr>
        <w:t>履约评价表</w:t>
      </w:r>
    </w:p>
    <w:tbl>
      <w:tblPr>
        <w:tblStyle w:val="38"/>
        <w:tblW w:w="51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1285"/>
        <w:gridCol w:w="2514"/>
        <w:gridCol w:w="2272"/>
        <w:gridCol w:w="653"/>
        <w:gridCol w:w="809"/>
        <w:gridCol w:w="797"/>
        <w:gridCol w:w="949"/>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3" w:type="pct"/>
            <w:gridSpan w:val="2"/>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甲方名称</w:t>
            </w:r>
          </w:p>
        </w:tc>
        <w:tc>
          <w:tcPr>
            <w:tcW w:w="4176" w:type="pct"/>
            <w:gridSpan w:val="7"/>
            <w:vAlign w:val="center"/>
          </w:tcPr>
          <w:p>
            <w:pPr>
              <w:widowControl/>
              <w:snapToGrid w:val="0"/>
              <w:jc w:val="left"/>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3" w:type="pct"/>
            <w:gridSpan w:val="2"/>
            <w:vAlign w:val="center"/>
          </w:tcPr>
          <w:p>
            <w:pPr>
              <w:widowControl/>
              <w:snapToGrid w:val="0"/>
              <w:jc w:val="center"/>
              <w:outlineLvl w:val="9"/>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服务商</w:t>
            </w:r>
            <w:r>
              <w:rPr>
                <w:rFonts w:hint="eastAsia" w:ascii="宋体" w:hAnsi="宋体" w:eastAsia="宋体" w:cs="宋体"/>
                <w:color w:val="auto"/>
                <w:kern w:val="0"/>
                <w:szCs w:val="21"/>
                <w:highlight w:val="none"/>
              </w:rPr>
              <w:t>名称</w:t>
            </w:r>
          </w:p>
        </w:tc>
        <w:tc>
          <w:tcPr>
            <w:tcW w:w="4176" w:type="pct"/>
            <w:gridSpan w:val="7"/>
            <w:vAlign w:val="center"/>
          </w:tcPr>
          <w:p>
            <w:pPr>
              <w:widowControl/>
              <w:snapToGrid w:val="0"/>
              <w:jc w:val="left"/>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3" w:type="pct"/>
            <w:gridSpan w:val="2"/>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项目点</w:t>
            </w:r>
          </w:p>
        </w:tc>
        <w:tc>
          <w:tcPr>
            <w:tcW w:w="4176" w:type="pct"/>
            <w:gridSpan w:val="7"/>
            <w:vAlign w:val="center"/>
          </w:tcPr>
          <w:p>
            <w:pPr>
              <w:widowControl/>
              <w:snapToGrid w:val="0"/>
              <w:jc w:val="left"/>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23"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序号</w:t>
            </w:r>
          </w:p>
        </w:tc>
        <w:tc>
          <w:tcPr>
            <w:tcW w:w="600"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履约评价项目</w:t>
            </w:r>
          </w:p>
        </w:tc>
        <w:tc>
          <w:tcPr>
            <w:tcW w:w="2235" w:type="pct"/>
            <w:gridSpan w:val="2"/>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评价标准</w:t>
            </w:r>
          </w:p>
        </w:tc>
        <w:tc>
          <w:tcPr>
            <w:tcW w:w="682" w:type="pct"/>
            <w:gridSpan w:val="2"/>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评分说明</w:t>
            </w:r>
          </w:p>
        </w:tc>
        <w:tc>
          <w:tcPr>
            <w:tcW w:w="372"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分值</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实得分</w:t>
            </w:r>
          </w:p>
        </w:tc>
        <w:tc>
          <w:tcPr>
            <w:tcW w:w="442"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3"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w:t>
            </w:r>
          </w:p>
        </w:tc>
        <w:tc>
          <w:tcPr>
            <w:tcW w:w="600"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生产产能</w:t>
            </w:r>
          </w:p>
        </w:tc>
        <w:tc>
          <w:tcPr>
            <w:tcW w:w="2235" w:type="pct"/>
            <w:gridSpan w:val="2"/>
            <w:vAlign w:val="center"/>
          </w:tcPr>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污泥产量满足项目所在污水厂的减量需求（污水处理厂书面投诉为扣罚依据，非因服务商原因导致的投诉除外）。</w:t>
            </w:r>
          </w:p>
        </w:tc>
        <w:tc>
          <w:tcPr>
            <w:tcW w:w="682" w:type="pct"/>
            <w:gridSpan w:val="2"/>
            <w:vAlign w:val="center"/>
          </w:tcPr>
          <w:p>
            <w:pPr>
              <w:widowControl/>
              <w:snapToGrid w:val="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达到标准的得满分，每月每次有一项未达到标准的扣</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分。</w:t>
            </w:r>
          </w:p>
        </w:tc>
        <w:tc>
          <w:tcPr>
            <w:tcW w:w="372" w:type="pct"/>
            <w:vAlign w:val="center"/>
          </w:tcPr>
          <w:p>
            <w:pPr>
              <w:widowControl/>
              <w:snapToGrid w:val="0"/>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0</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p>
        </w:tc>
        <w:tc>
          <w:tcPr>
            <w:tcW w:w="442" w:type="pct"/>
            <w:vAlign w:val="center"/>
          </w:tcPr>
          <w:p>
            <w:pPr>
              <w:widowControl/>
              <w:snapToGrid w:val="0"/>
              <w:jc w:val="center"/>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3" w:type="pct"/>
            <w:vAlign w:val="center"/>
          </w:tcPr>
          <w:p>
            <w:pPr>
              <w:widowControl/>
              <w:snapToGrid w:val="0"/>
              <w:jc w:val="center"/>
              <w:outlineLvl w:val="9"/>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2</w:t>
            </w:r>
          </w:p>
        </w:tc>
        <w:tc>
          <w:tcPr>
            <w:tcW w:w="600" w:type="pct"/>
            <w:vAlign w:val="center"/>
          </w:tcPr>
          <w:p>
            <w:pPr>
              <w:widowControl/>
              <w:snapToGrid w:val="0"/>
              <w:jc w:val="center"/>
              <w:outlineLvl w:val="9"/>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生产含水率</w:t>
            </w:r>
          </w:p>
        </w:tc>
        <w:tc>
          <w:tcPr>
            <w:tcW w:w="2235" w:type="pct"/>
            <w:gridSpan w:val="2"/>
            <w:vAlign w:val="center"/>
          </w:tcPr>
          <w:p>
            <w:pPr>
              <w:widowControl/>
              <w:snapToGrid w:val="0"/>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当车外运含水率不得高于含水率标准（非因服务商原因导致的除外）。</w:t>
            </w:r>
          </w:p>
        </w:tc>
        <w:tc>
          <w:tcPr>
            <w:tcW w:w="682" w:type="pct"/>
            <w:gridSpan w:val="2"/>
            <w:vAlign w:val="center"/>
          </w:tcPr>
          <w:p>
            <w:pPr>
              <w:widowControl/>
              <w:snapToGrid w:val="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达到标准的得满分，每月每次有一项超出标准但未超过1.1倍以内（含1.1倍）的扣1分；超出标准1.1倍但未超过1.2倍（含1.2倍）的扣3分；超出标准1.2倍的扣5分，扣完为止。</w:t>
            </w:r>
          </w:p>
        </w:tc>
        <w:tc>
          <w:tcPr>
            <w:tcW w:w="372" w:type="pct"/>
            <w:vAlign w:val="center"/>
          </w:tcPr>
          <w:p>
            <w:pPr>
              <w:widowControl/>
              <w:snapToGrid w:val="0"/>
              <w:jc w:val="center"/>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30</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p>
        </w:tc>
        <w:tc>
          <w:tcPr>
            <w:tcW w:w="442" w:type="pct"/>
            <w:vAlign w:val="center"/>
          </w:tcPr>
          <w:p>
            <w:pPr>
              <w:widowControl/>
              <w:snapToGrid w:val="0"/>
              <w:jc w:val="center"/>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223" w:type="pct"/>
            <w:vAlign w:val="center"/>
          </w:tcPr>
          <w:p>
            <w:pPr>
              <w:widowControl/>
              <w:snapToGrid w:val="0"/>
              <w:jc w:val="center"/>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3</w:t>
            </w:r>
          </w:p>
        </w:tc>
        <w:tc>
          <w:tcPr>
            <w:tcW w:w="600"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生产设备</w:t>
            </w:r>
          </w:p>
        </w:tc>
        <w:tc>
          <w:tcPr>
            <w:tcW w:w="2235" w:type="pct"/>
            <w:gridSpan w:val="2"/>
            <w:vAlign w:val="center"/>
          </w:tcPr>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（1）乙方按照甲方制定的生产操作指引使用设备；</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（2）乙方按照甲方制定的设备、设施点检计划，如期完成点检工作；</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（3）乙方按照甲方制定的设备、设施基础保养计划，如期完成基础保养工作（如机械硬件更换、滤布清洗或更换、管道补漏及防锈防腐等）；</w:t>
            </w:r>
          </w:p>
        </w:tc>
        <w:tc>
          <w:tcPr>
            <w:tcW w:w="682" w:type="pct"/>
            <w:gridSpan w:val="2"/>
            <w:vAlign w:val="center"/>
          </w:tcPr>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达到标准的得满分，每月每次有一项未达到标准的扣</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分。</w:t>
            </w:r>
          </w:p>
        </w:tc>
        <w:tc>
          <w:tcPr>
            <w:tcW w:w="372" w:type="pct"/>
            <w:vAlign w:val="center"/>
          </w:tcPr>
          <w:p>
            <w:pPr>
              <w:widowControl/>
              <w:snapToGrid w:val="0"/>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0</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p>
        </w:tc>
        <w:tc>
          <w:tcPr>
            <w:tcW w:w="442" w:type="pct"/>
            <w:vAlign w:val="center"/>
          </w:tcPr>
          <w:p>
            <w:pPr>
              <w:widowControl/>
              <w:snapToGrid w:val="0"/>
              <w:jc w:val="center"/>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223" w:type="pct"/>
            <w:vAlign w:val="center"/>
          </w:tcPr>
          <w:p>
            <w:pPr>
              <w:widowControl/>
              <w:snapToGrid w:val="0"/>
              <w:jc w:val="center"/>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4</w:t>
            </w:r>
          </w:p>
        </w:tc>
        <w:tc>
          <w:tcPr>
            <w:tcW w:w="600"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生产数据</w:t>
            </w:r>
          </w:p>
        </w:tc>
        <w:tc>
          <w:tcPr>
            <w:tcW w:w="2235" w:type="pct"/>
            <w:gridSpan w:val="2"/>
            <w:vAlign w:val="center"/>
          </w:tcPr>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真实完整的数据记录：</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（1）生产日报表</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（2）设备点检表</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（3）排班表</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（4）考勤表</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（5）根据运营情况需记录的其他数据</w:t>
            </w:r>
          </w:p>
        </w:tc>
        <w:tc>
          <w:tcPr>
            <w:tcW w:w="682" w:type="pct"/>
            <w:gridSpan w:val="2"/>
            <w:vAlign w:val="center"/>
          </w:tcPr>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达到标准的得满分，每月每次有一项未达到标准的扣1分。</w:t>
            </w:r>
          </w:p>
        </w:tc>
        <w:tc>
          <w:tcPr>
            <w:tcW w:w="372" w:type="pct"/>
            <w:vAlign w:val="center"/>
          </w:tcPr>
          <w:p>
            <w:pPr>
              <w:widowControl/>
              <w:snapToGrid w:val="0"/>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p>
        </w:tc>
        <w:tc>
          <w:tcPr>
            <w:tcW w:w="442" w:type="pct"/>
            <w:vAlign w:val="center"/>
          </w:tcPr>
          <w:p>
            <w:pPr>
              <w:widowControl/>
              <w:snapToGrid w:val="0"/>
              <w:jc w:val="center"/>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23" w:type="pct"/>
            <w:vAlign w:val="center"/>
          </w:tcPr>
          <w:p>
            <w:pPr>
              <w:widowControl/>
              <w:snapToGrid w:val="0"/>
              <w:jc w:val="center"/>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5</w:t>
            </w:r>
          </w:p>
        </w:tc>
        <w:tc>
          <w:tcPr>
            <w:tcW w:w="600"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生产物资及能耗</w:t>
            </w:r>
          </w:p>
        </w:tc>
        <w:tc>
          <w:tcPr>
            <w:tcW w:w="2235" w:type="pct"/>
            <w:gridSpan w:val="2"/>
            <w:vAlign w:val="center"/>
          </w:tcPr>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乙方不存在浪费药剂、水、电、五金及劳保用品的</w:t>
            </w:r>
            <w:r>
              <w:rPr>
                <w:rFonts w:hint="eastAsia" w:ascii="宋体" w:hAnsi="宋体" w:eastAsia="宋体" w:cs="宋体"/>
                <w:bCs/>
                <w:color w:val="auto"/>
                <w:kern w:val="0"/>
                <w:szCs w:val="21"/>
                <w:highlight w:val="none"/>
                <w:lang w:val="en-US" w:eastAsia="zh-CN"/>
              </w:rPr>
              <w:t>异常</w:t>
            </w:r>
            <w:r>
              <w:rPr>
                <w:rFonts w:hint="eastAsia" w:ascii="宋体" w:hAnsi="宋体" w:eastAsia="宋体" w:cs="宋体"/>
                <w:bCs/>
                <w:color w:val="auto"/>
                <w:kern w:val="0"/>
                <w:szCs w:val="21"/>
                <w:highlight w:val="none"/>
              </w:rPr>
              <w:t>情况</w:t>
            </w:r>
          </w:p>
        </w:tc>
        <w:tc>
          <w:tcPr>
            <w:tcW w:w="682" w:type="pct"/>
            <w:gridSpan w:val="2"/>
            <w:vAlign w:val="center"/>
          </w:tcPr>
          <w:p>
            <w:pPr>
              <w:widowControl/>
              <w:snapToGrid w:val="0"/>
              <w:outlineLvl w:val="9"/>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达到标准的得满分，每月每次有一项未达到标准的扣1分。</w:t>
            </w:r>
          </w:p>
        </w:tc>
        <w:tc>
          <w:tcPr>
            <w:tcW w:w="372" w:type="pct"/>
            <w:vAlign w:val="center"/>
          </w:tcPr>
          <w:p>
            <w:pPr>
              <w:widowControl/>
              <w:snapToGrid w:val="0"/>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p>
        </w:tc>
        <w:tc>
          <w:tcPr>
            <w:tcW w:w="442" w:type="pct"/>
            <w:vAlign w:val="center"/>
          </w:tcPr>
          <w:p>
            <w:pPr>
              <w:widowControl/>
              <w:snapToGrid w:val="0"/>
              <w:jc w:val="center"/>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223" w:type="pct"/>
            <w:vAlign w:val="center"/>
          </w:tcPr>
          <w:p>
            <w:pPr>
              <w:widowControl/>
              <w:snapToGrid w:val="0"/>
              <w:jc w:val="center"/>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6</w:t>
            </w:r>
          </w:p>
        </w:tc>
        <w:tc>
          <w:tcPr>
            <w:tcW w:w="600"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生产安全</w:t>
            </w:r>
          </w:p>
        </w:tc>
        <w:tc>
          <w:tcPr>
            <w:tcW w:w="2235" w:type="pct"/>
            <w:gridSpan w:val="2"/>
            <w:vAlign w:val="center"/>
          </w:tcPr>
          <w:p>
            <w:pPr>
              <w:widowControl/>
              <w:snapToGrid w:val="0"/>
              <w:outlineLvl w:val="9"/>
              <w:rPr>
                <w:rFonts w:hint="eastAsia" w:ascii="宋体" w:hAnsi="宋体" w:eastAsia="宋体" w:cs="宋体"/>
                <w:color w:val="auto"/>
                <w:szCs w:val="21"/>
                <w:highlight w:val="none"/>
                <w:lang w:eastAsia="zh-CN"/>
              </w:rPr>
            </w:pPr>
            <w:r>
              <w:rPr>
                <w:rFonts w:hint="eastAsia" w:ascii="宋体" w:hAnsi="宋体" w:eastAsia="宋体" w:cs="宋体"/>
                <w:bCs/>
                <w:color w:val="auto"/>
                <w:kern w:val="0"/>
                <w:szCs w:val="21"/>
                <w:highlight w:val="none"/>
              </w:rPr>
              <w:t>（1）配合甲方如期完成</w:t>
            </w:r>
            <w:r>
              <w:rPr>
                <w:rFonts w:hint="eastAsia" w:ascii="宋体" w:hAnsi="宋体" w:eastAsia="宋体" w:cs="宋体"/>
                <w:color w:val="auto"/>
                <w:szCs w:val="21"/>
                <w:highlight w:val="none"/>
              </w:rPr>
              <w:t>设备操作人员安全培训</w:t>
            </w:r>
            <w:r>
              <w:rPr>
                <w:rFonts w:hint="eastAsia" w:ascii="宋体" w:hAnsi="宋体" w:eastAsia="宋体" w:cs="宋体"/>
                <w:color w:val="auto"/>
                <w:szCs w:val="21"/>
                <w:highlight w:val="none"/>
                <w:lang w:eastAsia="zh-CN"/>
              </w:rPr>
              <w:t>；</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（2）配合甲方如期完成</w:t>
            </w:r>
            <w:r>
              <w:rPr>
                <w:rFonts w:hint="eastAsia" w:ascii="宋体" w:hAnsi="宋体" w:eastAsia="宋体" w:cs="宋体"/>
                <w:color w:val="auto"/>
                <w:szCs w:val="21"/>
                <w:highlight w:val="none"/>
              </w:rPr>
              <w:t>设备操作人员</w:t>
            </w:r>
            <w:r>
              <w:rPr>
                <w:rFonts w:hint="eastAsia" w:ascii="宋体" w:hAnsi="宋体" w:eastAsia="宋体" w:cs="宋体"/>
                <w:bCs/>
                <w:color w:val="auto"/>
                <w:kern w:val="0"/>
                <w:szCs w:val="21"/>
                <w:highlight w:val="none"/>
              </w:rPr>
              <w:t>安全演练；</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（3）积极配合污水厂、甲方及上级主管部门的安全检查，并配合</w:t>
            </w:r>
            <w:r>
              <w:rPr>
                <w:rFonts w:hint="eastAsia" w:ascii="宋体" w:hAnsi="宋体" w:eastAsia="宋体" w:cs="宋体"/>
                <w:bCs/>
                <w:color w:val="auto"/>
                <w:kern w:val="0"/>
                <w:szCs w:val="21"/>
                <w:highlight w:val="none"/>
                <w:lang w:val="en-US" w:eastAsia="zh-CN"/>
              </w:rPr>
              <w:t>按期</w:t>
            </w:r>
            <w:r>
              <w:rPr>
                <w:rFonts w:hint="eastAsia" w:ascii="宋体" w:hAnsi="宋体" w:eastAsia="宋体" w:cs="宋体"/>
                <w:bCs/>
                <w:color w:val="auto"/>
                <w:kern w:val="0"/>
                <w:szCs w:val="21"/>
                <w:highlight w:val="none"/>
              </w:rPr>
              <w:t>完成问题点整改；</w:t>
            </w:r>
          </w:p>
          <w:p>
            <w:pPr>
              <w:widowControl/>
              <w:snapToGrid w:val="0"/>
              <w:outlineLvl w:val="9"/>
              <w:rPr>
                <w:rFonts w:ascii="宋体" w:hAnsi="宋体" w:eastAsia="宋体" w:cs="宋体"/>
                <w:color w:val="auto"/>
                <w:szCs w:val="21"/>
                <w:highlight w:val="none"/>
              </w:rPr>
            </w:pPr>
            <w:r>
              <w:rPr>
                <w:rFonts w:hint="eastAsia" w:ascii="宋体" w:hAnsi="宋体" w:eastAsia="宋体" w:cs="宋体"/>
                <w:color w:val="auto"/>
                <w:kern w:val="0"/>
                <w:szCs w:val="21"/>
                <w:highlight w:val="none"/>
              </w:rPr>
              <w:t>（4）人员</w:t>
            </w:r>
            <w:r>
              <w:rPr>
                <w:rFonts w:hint="eastAsia" w:ascii="宋体" w:hAnsi="宋体" w:eastAsia="宋体" w:cs="宋体"/>
                <w:color w:val="auto"/>
                <w:kern w:val="0"/>
                <w:szCs w:val="21"/>
                <w:highlight w:val="none"/>
                <w:lang w:val="en-US" w:eastAsia="zh-CN"/>
              </w:rPr>
              <w:t>按要求</w:t>
            </w:r>
            <w:r>
              <w:rPr>
                <w:rFonts w:hint="eastAsia" w:ascii="宋体" w:hAnsi="宋体" w:eastAsia="宋体" w:cs="宋体"/>
                <w:color w:val="auto"/>
                <w:kern w:val="0"/>
                <w:szCs w:val="21"/>
                <w:highlight w:val="none"/>
              </w:rPr>
              <w:t>持证上岗；</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zCs w:val="21"/>
                <w:highlight w:val="none"/>
              </w:rPr>
              <w:t>无因人员操作不当造成的安全事故。</w:t>
            </w:r>
          </w:p>
        </w:tc>
        <w:tc>
          <w:tcPr>
            <w:tcW w:w="682" w:type="pct"/>
            <w:gridSpan w:val="2"/>
            <w:vAlign w:val="center"/>
          </w:tcPr>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达到标准的得满分，每月每次有一项未达到标准的扣</w:t>
            </w:r>
            <w:r>
              <w:rPr>
                <w:rFonts w:hint="eastAsia" w:ascii="宋体" w:hAnsi="宋体" w:eastAsia="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分。</w:t>
            </w:r>
          </w:p>
        </w:tc>
        <w:tc>
          <w:tcPr>
            <w:tcW w:w="372" w:type="pct"/>
            <w:vAlign w:val="center"/>
          </w:tcPr>
          <w:p>
            <w:pPr>
              <w:widowControl/>
              <w:snapToGrid w:val="0"/>
              <w:jc w:val="center"/>
              <w:outlineLvl w:val="9"/>
              <w:rPr>
                <w:rFonts w:hint="default"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10</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p>
        </w:tc>
        <w:tc>
          <w:tcPr>
            <w:tcW w:w="442" w:type="pct"/>
            <w:vAlign w:val="center"/>
          </w:tcPr>
          <w:p>
            <w:pPr>
              <w:widowControl/>
              <w:snapToGrid w:val="0"/>
              <w:jc w:val="center"/>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223" w:type="pct"/>
            <w:vAlign w:val="center"/>
          </w:tcPr>
          <w:p>
            <w:pPr>
              <w:widowControl/>
              <w:snapToGrid w:val="0"/>
              <w:jc w:val="center"/>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7</w:t>
            </w:r>
          </w:p>
        </w:tc>
        <w:tc>
          <w:tcPr>
            <w:tcW w:w="600"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生产环境</w:t>
            </w:r>
          </w:p>
        </w:tc>
        <w:tc>
          <w:tcPr>
            <w:tcW w:w="2235" w:type="pct"/>
            <w:gridSpan w:val="2"/>
            <w:vAlign w:val="center"/>
          </w:tcPr>
          <w:p>
            <w:pPr>
              <w:widowControl/>
              <w:snapToGrid w:val="0"/>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（1）现场室内、外环境干净整洁，物品摆放整齐，无烟头污渍等</w:t>
            </w:r>
            <w:r>
              <w:rPr>
                <w:rFonts w:hint="eastAsia" w:ascii="宋体" w:hAnsi="宋体" w:eastAsia="宋体" w:cs="宋体"/>
                <w:bCs/>
                <w:color w:val="auto"/>
                <w:kern w:val="0"/>
                <w:szCs w:val="21"/>
                <w:highlight w:val="none"/>
                <w:lang w:eastAsia="zh-CN"/>
              </w:rPr>
              <w:t>；</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（2）设施完好，道路完好、通畅，生产设备设施的外立面简洁美观；</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（3）无明显的破损及渗漏，无泥水、污水、泥饼等跑、冒、滴、漏的现象。</w:t>
            </w:r>
          </w:p>
        </w:tc>
        <w:tc>
          <w:tcPr>
            <w:tcW w:w="682" w:type="pct"/>
            <w:gridSpan w:val="2"/>
            <w:vAlign w:val="center"/>
          </w:tcPr>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达到标准的得满分，每月每次有一项未达到标准的扣1分。</w:t>
            </w:r>
          </w:p>
        </w:tc>
        <w:tc>
          <w:tcPr>
            <w:tcW w:w="372"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p>
        </w:tc>
        <w:tc>
          <w:tcPr>
            <w:tcW w:w="442" w:type="pct"/>
            <w:vAlign w:val="center"/>
          </w:tcPr>
          <w:p>
            <w:pPr>
              <w:widowControl/>
              <w:snapToGrid w:val="0"/>
              <w:jc w:val="center"/>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3" w:type="pct"/>
            <w:vAlign w:val="center"/>
          </w:tcPr>
          <w:p>
            <w:pPr>
              <w:widowControl/>
              <w:snapToGrid w:val="0"/>
              <w:jc w:val="center"/>
              <w:outlineLvl w:val="9"/>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lang w:val="en-US" w:eastAsia="zh-CN"/>
              </w:rPr>
              <w:t>8</w:t>
            </w:r>
          </w:p>
        </w:tc>
        <w:tc>
          <w:tcPr>
            <w:tcW w:w="600" w:type="pct"/>
            <w:vAlign w:val="center"/>
          </w:tcPr>
          <w:p>
            <w:pPr>
              <w:widowControl/>
              <w:snapToGrid w:val="0"/>
              <w:jc w:val="left"/>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人员配合</w:t>
            </w:r>
          </w:p>
        </w:tc>
        <w:tc>
          <w:tcPr>
            <w:tcW w:w="2235" w:type="pct"/>
            <w:gridSpan w:val="2"/>
            <w:vAlign w:val="center"/>
          </w:tcPr>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（1）管理和技术均符合投标文件的承诺，服务队伍稳定，人员充足、专业性强，充分配合甲方生产需求。遵守甲方管理制度，服从甲方工作安排；</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（2）对接人员与甲方沟通良好、理解到位、执行力强，能及时发现、解决问题，并应根据各厂区实际情况提供合理化的人员调配方案和生产技术建议；</w:t>
            </w:r>
          </w:p>
          <w:p>
            <w:pPr>
              <w:widowControl/>
              <w:snapToGrid w:val="0"/>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（3）建立</w:t>
            </w:r>
            <w:r>
              <w:rPr>
                <w:rFonts w:hint="eastAsia" w:ascii="宋体" w:hAnsi="宋体" w:eastAsia="宋体" w:cs="宋体"/>
                <w:color w:val="auto"/>
                <w:szCs w:val="21"/>
                <w:highlight w:val="none"/>
              </w:rPr>
              <w:t>设备操作人员</w:t>
            </w:r>
            <w:r>
              <w:rPr>
                <w:rFonts w:hint="eastAsia" w:ascii="宋体" w:hAnsi="宋体" w:eastAsia="宋体" w:cs="宋体"/>
                <w:bCs/>
                <w:color w:val="auto"/>
                <w:kern w:val="0"/>
                <w:szCs w:val="21"/>
                <w:highlight w:val="none"/>
              </w:rPr>
              <w:t>花名册，且人员的替换需经招标人同意后实行；</w:t>
            </w:r>
          </w:p>
          <w:p>
            <w:pPr>
              <w:widowControl/>
              <w:snapToGrid w:val="0"/>
              <w:outlineLvl w:val="9"/>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（4）积极协助甲方</w:t>
            </w:r>
            <w:r>
              <w:rPr>
                <w:rFonts w:hint="eastAsia" w:ascii="宋体" w:hAnsi="宋体" w:eastAsia="宋体" w:cs="宋体"/>
                <w:color w:val="auto"/>
                <w:kern w:val="0"/>
                <w:szCs w:val="21"/>
                <w:highlight w:val="none"/>
              </w:rPr>
              <w:t>接受政府管理部门和上级公司的检查工作及提供各类证明材料；</w:t>
            </w:r>
          </w:p>
          <w:p>
            <w:pPr>
              <w:widowControl/>
              <w:snapToGrid w:val="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（5）能根据甲方要求对设备操作</w:t>
            </w:r>
            <w:r>
              <w:rPr>
                <w:rFonts w:hint="eastAsia" w:ascii="宋体" w:hAnsi="宋体" w:eastAsia="宋体" w:cs="宋体"/>
                <w:color w:val="auto"/>
                <w:szCs w:val="21"/>
                <w:highlight w:val="none"/>
              </w:rPr>
              <w:t>人员</w:t>
            </w:r>
            <w:r>
              <w:rPr>
                <w:rFonts w:hint="eastAsia" w:ascii="宋体" w:hAnsi="宋体" w:eastAsia="宋体" w:cs="宋体"/>
                <w:color w:val="auto"/>
                <w:kern w:val="0"/>
                <w:szCs w:val="21"/>
                <w:highlight w:val="none"/>
              </w:rPr>
              <w:t>组织培训。</w:t>
            </w:r>
          </w:p>
        </w:tc>
        <w:tc>
          <w:tcPr>
            <w:tcW w:w="682" w:type="pct"/>
            <w:gridSpan w:val="2"/>
            <w:vAlign w:val="center"/>
          </w:tcPr>
          <w:p>
            <w:pPr>
              <w:widowControl/>
              <w:snapToGrid w:val="0"/>
              <w:jc w:val="left"/>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达到标准的得满分，每月每次有一项未达到标准的扣1分。</w:t>
            </w:r>
          </w:p>
        </w:tc>
        <w:tc>
          <w:tcPr>
            <w:tcW w:w="372"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p>
        </w:tc>
        <w:tc>
          <w:tcPr>
            <w:tcW w:w="442" w:type="pct"/>
            <w:vAlign w:val="center"/>
          </w:tcPr>
          <w:p>
            <w:pPr>
              <w:widowControl/>
              <w:snapToGrid w:val="0"/>
              <w:jc w:val="center"/>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41" w:type="pct"/>
            <w:gridSpan w:val="6"/>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合计</w:t>
            </w:r>
          </w:p>
        </w:tc>
        <w:tc>
          <w:tcPr>
            <w:tcW w:w="372" w:type="pct"/>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100</w:t>
            </w:r>
          </w:p>
        </w:tc>
        <w:tc>
          <w:tcPr>
            <w:tcW w:w="443" w:type="pct"/>
            <w:vAlign w:val="center"/>
          </w:tcPr>
          <w:p>
            <w:pPr>
              <w:widowControl/>
              <w:snapToGrid w:val="0"/>
              <w:jc w:val="center"/>
              <w:outlineLvl w:val="9"/>
              <w:rPr>
                <w:rFonts w:ascii="宋体" w:hAnsi="宋体" w:eastAsia="宋体" w:cs="宋体"/>
                <w:bCs/>
                <w:color w:val="auto"/>
                <w:kern w:val="0"/>
                <w:szCs w:val="21"/>
                <w:highlight w:val="none"/>
              </w:rPr>
            </w:pPr>
          </w:p>
        </w:tc>
        <w:tc>
          <w:tcPr>
            <w:tcW w:w="442" w:type="pct"/>
            <w:vAlign w:val="center"/>
          </w:tcPr>
          <w:p>
            <w:pPr>
              <w:widowControl/>
              <w:snapToGrid w:val="0"/>
              <w:jc w:val="center"/>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97" w:type="pct"/>
            <w:gridSpan w:val="3"/>
            <w:vAlign w:val="center"/>
          </w:tcPr>
          <w:p>
            <w:pPr>
              <w:widowControl/>
              <w:snapToGrid w:val="0"/>
              <w:jc w:val="center"/>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评审结论</w:t>
            </w:r>
          </w:p>
        </w:tc>
        <w:tc>
          <w:tcPr>
            <w:tcW w:w="3002" w:type="pct"/>
            <w:gridSpan w:val="6"/>
          </w:tcPr>
          <w:p>
            <w:pPr>
              <w:widowControl/>
              <w:snapToGrid w:val="0"/>
              <w:spacing w:before="120" w:beforeLines="50"/>
              <w:jc w:val="left"/>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w:t>
            </w:r>
            <w:r>
              <w:rPr>
                <w:rFonts w:hint="eastAsia" w:ascii="宋体" w:hAnsi="宋体" w:eastAsia="宋体" w:cs="宋体"/>
                <w:bCs/>
                <w:color w:val="auto"/>
                <w:kern w:val="0"/>
                <w:szCs w:val="21"/>
                <w:highlight w:val="none"/>
                <w:lang w:val="en-US" w:eastAsia="zh-CN"/>
              </w:rPr>
              <w:t>合计分</w:t>
            </w:r>
            <w:r>
              <w:rPr>
                <w:rFonts w:hint="eastAsia" w:ascii="宋体" w:hAnsi="宋体" w:eastAsia="宋体" w:cs="宋体"/>
                <w:bCs/>
                <w:color w:val="auto"/>
                <w:kern w:val="0"/>
                <w:szCs w:val="21"/>
                <w:highlight w:val="none"/>
              </w:rPr>
              <w:t>不低于</w:t>
            </w:r>
            <w:r>
              <w:rPr>
                <w:rFonts w:hint="eastAsia" w:ascii="宋体" w:hAnsi="宋体" w:eastAsia="宋体" w:cs="宋体"/>
                <w:bCs/>
                <w:color w:val="auto"/>
                <w:kern w:val="0"/>
                <w:szCs w:val="21"/>
                <w:highlight w:val="none"/>
                <w:lang w:val="en-US" w:eastAsia="zh-CN"/>
              </w:rPr>
              <w:t>80分（含80分）</w:t>
            </w:r>
            <w:r>
              <w:rPr>
                <w:rFonts w:hint="eastAsia" w:ascii="宋体" w:hAnsi="宋体" w:eastAsia="宋体" w:cs="宋体"/>
                <w:bCs/>
                <w:color w:val="auto"/>
                <w:kern w:val="0"/>
                <w:szCs w:val="21"/>
                <w:highlight w:val="none"/>
              </w:rPr>
              <w:t>的，评审结论合格</w:t>
            </w:r>
          </w:p>
          <w:p>
            <w:pPr>
              <w:widowControl/>
              <w:snapToGrid w:val="0"/>
              <w:jc w:val="left"/>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□评审结论不合格，说明：</w:t>
            </w:r>
            <w:r>
              <w:rPr>
                <w:rFonts w:hint="eastAsia" w:ascii="宋体" w:hAnsi="宋体" w:eastAsia="宋体" w:cs="宋体"/>
                <w:bCs/>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997" w:type="pct"/>
            <w:gridSpan w:val="3"/>
            <w:vMerge w:val="restart"/>
            <w:vAlign w:val="center"/>
          </w:tcPr>
          <w:p>
            <w:pPr>
              <w:widowControl/>
              <w:snapToGrid w:val="0"/>
              <w:jc w:val="center"/>
              <w:outlineLvl w:val="9"/>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履约评审运营项目</w:t>
            </w:r>
            <w:r>
              <w:rPr>
                <w:rFonts w:hint="eastAsia" w:ascii="宋体" w:hAnsi="宋体" w:eastAsia="宋体" w:cs="宋体"/>
                <w:color w:val="auto"/>
                <w:kern w:val="0"/>
                <w:szCs w:val="21"/>
                <w:highlight w:val="none"/>
              </w:rPr>
              <w:t>其他</w:t>
            </w:r>
            <w:r>
              <w:rPr>
                <w:rFonts w:hint="eastAsia" w:ascii="宋体" w:hAnsi="宋体" w:eastAsia="宋体" w:cs="宋体"/>
                <w:bCs/>
                <w:color w:val="auto"/>
                <w:kern w:val="0"/>
                <w:szCs w:val="21"/>
                <w:highlight w:val="none"/>
              </w:rPr>
              <w:t>意见及签署</w:t>
            </w:r>
          </w:p>
        </w:tc>
        <w:tc>
          <w:tcPr>
            <w:tcW w:w="1366" w:type="pct"/>
            <w:gridSpan w:val="2"/>
            <w:vAlign w:val="center"/>
          </w:tcPr>
          <w:p>
            <w:pPr>
              <w:widowControl/>
              <w:snapToGrid w:val="0"/>
              <w:jc w:val="left"/>
              <w:outlineLvl w:val="9"/>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rPr>
              <w:t>经办人</w:t>
            </w:r>
          </w:p>
        </w:tc>
        <w:tc>
          <w:tcPr>
            <w:tcW w:w="1635" w:type="pct"/>
            <w:gridSpan w:val="4"/>
            <w:vAlign w:val="center"/>
          </w:tcPr>
          <w:p>
            <w:pPr>
              <w:widowControl/>
              <w:snapToGrid w:val="0"/>
              <w:jc w:val="left"/>
              <w:outlineLvl w:val="9"/>
              <w:rPr>
                <w:rFonts w:ascii="宋体" w:hAnsi="宋体" w:eastAsia="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997" w:type="pct"/>
            <w:gridSpan w:val="3"/>
            <w:vMerge w:val="continue"/>
          </w:tcPr>
          <w:p>
            <w:pPr>
              <w:widowControl/>
              <w:snapToGrid w:val="0"/>
              <w:jc w:val="left"/>
              <w:outlineLvl w:val="9"/>
              <w:rPr>
                <w:rFonts w:ascii="宋体" w:hAnsi="宋体" w:eastAsia="宋体" w:cs="宋体"/>
                <w:bCs/>
                <w:color w:val="auto"/>
                <w:kern w:val="0"/>
                <w:szCs w:val="21"/>
                <w:highlight w:val="none"/>
              </w:rPr>
            </w:pPr>
          </w:p>
        </w:tc>
        <w:tc>
          <w:tcPr>
            <w:tcW w:w="1366" w:type="pct"/>
            <w:gridSpan w:val="2"/>
            <w:vAlign w:val="center"/>
          </w:tcPr>
          <w:p>
            <w:pPr>
              <w:widowControl/>
              <w:snapToGrid w:val="0"/>
              <w:jc w:val="left"/>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运营项目负责人</w:t>
            </w:r>
          </w:p>
        </w:tc>
        <w:tc>
          <w:tcPr>
            <w:tcW w:w="1635" w:type="pct"/>
            <w:gridSpan w:val="4"/>
            <w:vAlign w:val="center"/>
          </w:tcPr>
          <w:p>
            <w:pPr>
              <w:widowControl/>
              <w:snapToGrid w:val="0"/>
              <w:jc w:val="left"/>
              <w:outlineLvl w:val="9"/>
              <w:rPr>
                <w:rFonts w:ascii="宋体" w:hAnsi="宋体" w:eastAsia="宋体" w:cs="宋体"/>
                <w:bCs/>
                <w:color w:val="auto"/>
                <w:kern w:val="0"/>
                <w:szCs w:val="21"/>
                <w:highlight w:val="none"/>
              </w:rPr>
            </w:pPr>
          </w:p>
        </w:tc>
      </w:tr>
    </w:tbl>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备注：每季度第三个月对每个项目点评价一次</w:t>
      </w:r>
    </w:p>
    <w:p>
      <w:pPr>
        <w:spacing w:after="120"/>
        <w:ind w:firstLine="210" w:firstLineChars="100"/>
        <w:outlineLvl w:val="9"/>
        <w:rPr>
          <w:rFonts w:ascii="宋体" w:hAnsi="宋体" w:eastAsia="宋体" w:cs="宋体"/>
          <w:color w:val="auto"/>
          <w:szCs w:val="24"/>
          <w:highlight w:val="none"/>
        </w:rPr>
      </w:pPr>
    </w:p>
    <w:p>
      <w:pPr>
        <w:pStyle w:val="19"/>
        <w:jc w:val="both"/>
        <w:rPr>
          <w:rFonts w:hAnsi="宋体" w:cs="宋体"/>
          <w:color w:val="auto"/>
          <w:highlight w:val="none"/>
        </w:rPr>
      </w:pPr>
    </w:p>
    <w:p>
      <w:pPr>
        <w:spacing w:line="360" w:lineRule="auto"/>
        <w:rPr>
          <w:rFonts w:ascii="宋体" w:hAnsi="宋体" w:eastAsia="宋体" w:cs="宋体"/>
          <w:b/>
          <w:color w:val="auto"/>
          <w:szCs w:val="21"/>
          <w:highlight w:val="none"/>
          <w:lang w:val="zh-CN"/>
        </w:rPr>
      </w:pPr>
    </w:p>
    <w:p>
      <w:pPr>
        <w:spacing w:line="360" w:lineRule="auto"/>
        <w:rPr>
          <w:rFonts w:ascii="宋体" w:hAnsi="宋体" w:eastAsia="宋体" w:cs="宋体"/>
          <w:color w:val="auto"/>
          <w:szCs w:val="21"/>
          <w:highlight w:val="none"/>
        </w:rPr>
      </w:pPr>
    </w:p>
    <w:p>
      <w:pPr>
        <w:rPr>
          <w:rFonts w:ascii="宋体" w:hAnsi="宋体" w:eastAsia="宋体" w:cs="宋体"/>
          <w:b/>
          <w:color w:val="auto"/>
          <w:szCs w:val="21"/>
          <w:highlight w:val="none"/>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422" w:name="_Toc142508359"/>
      <w:bookmarkStart w:id="423" w:name="_Toc486167707"/>
      <w:bookmarkStart w:id="424" w:name="_Toc16287"/>
      <w:bookmarkStart w:id="425" w:name="_Toc450662892"/>
      <w:bookmarkStart w:id="426" w:name="_Toc12005"/>
      <w:bookmarkStart w:id="427" w:name="_Toc11281_WPSOffice_Level1"/>
      <w:bookmarkStart w:id="428" w:name="_Toc25251"/>
      <w:bookmarkStart w:id="429" w:name="_Toc20401"/>
      <w:r>
        <w:rPr>
          <w:rFonts w:hint="eastAsia" w:ascii="宋体" w:hAnsi="宋体" w:eastAsia="宋体" w:cs="宋体"/>
          <w:b/>
          <w:bCs/>
          <w:color w:val="auto"/>
          <w:kern w:val="44"/>
          <w:sz w:val="32"/>
          <w:szCs w:val="32"/>
          <w:highlight w:val="none"/>
          <w:lang w:val="zh-CN"/>
        </w:rPr>
        <w:t>第四篇 合同条款格式</w:t>
      </w:r>
      <w:bookmarkEnd w:id="422"/>
      <w:bookmarkEnd w:id="423"/>
      <w:bookmarkEnd w:id="424"/>
      <w:bookmarkEnd w:id="425"/>
      <w:bookmarkEnd w:id="426"/>
      <w:bookmarkEnd w:id="427"/>
      <w:bookmarkEnd w:id="428"/>
      <w:bookmarkEnd w:id="429"/>
    </w:p>
    <w:p>
      <w:pPr>
        <w:autoSpaceDE w:val="0"/>
        <w:autoSpaceDN w:val="0"/>
        <w:adjustRightInd w:val="0"/>
        <w:snapToGrid w:val="0"/>
        <w:spacing w:line="360" w:lineRule="auto"/>
        <w:jc w:val="center"/>
        <w:rPr>
          <w:rFonts w:ascii="宋体" w:hAnsi="宋体" w:eastAsia="宋体" w:cs="宋体"/>
          <w:color w:val="auto"/>
          <w:kern w:val="0"/>
          <w:sz w:val="24"/>
          <w:szCs w:val="24"/>
          <w:highlight w:val="none"/>
        </w:rPr>
      </w:pPr>
    </w:p>
    <w:p>
      <w:pPr>
        <w:autoSpaceDE w:val="0"/>
        <w:autoSpaceDN w:val="0"/>
        <w:adjustRightInd w:val="0"/>
        <w:snapToGrid w:val="0"/>
        <w:spacing w:line="360" w:lineRule="auto"/>
        <w:jc w:val="center"/>
        <w:rPr>
          <w:rFonts w:ascii="宋体" w:hAnsi="宋体" w:eastAsia="宋体" w:cs="宋体"/>
          <w:color w:val="auto"/>
          <w:kern w:val="0"/>
          <w:sz w:val="24"/>
          <w:szCs w:val="24"/>
          <w:highlight w:val="none"/>
        </w:rPr>
      </w:pPr>
    </w:p>
    <w:p>
      <w:pPr>
        <w:autoSpaceDE w:val="0"/>
        <w:autoSpaceDN w:val="0"/>
        <w:adjustRightInd w:val="0"/>
        <w:snapToGrid w:val="0"/>
        <w:spacing w:line="360" w:lineRule="auto"/>
        <w:jc w:val="center"/>
        <w:rPr>
          <w:rFonts w:ascii="宋体" w:hAnsi="宋体" w:eastAsia="宋体" w:cs="宋体"/>
          <w:color w:val="auto"/>
          <w:kern w:val="0"/>
          <w:sz w:val="24"/>
          <w:szCs w:val="24"/>
          <w:highlight w:val="none"/>
        </w:rPr>
      </w:pPr>
    </w:p>
    <w:p>
      <w:pPr>
        <w:autoSpaceDE w:val="0"/>
        <w:autoSpaceDN w:val="0"/>
        <w:adjustRightInd w:val="0"/>
        <w:spacing w:line="360" w:lineRule="auto"/>
        <w:jc w:val="center"/>
        <w:outlineLvl w:val="9"/>
        <w:rPr>
          <w:rFonts w:ascii="宋体" w:hAnsi="宋体" w:eastAsia="宋体" w:cs="宋体"/>
          <w:b/>
          <w:color w:val="auto"/>
          <w:kern w:val="0"/>
          <w:sz w:val="52"/>
          <w:szCs w:val="96"/>
          <w:highlight w:val="none"/>
        </w:rPr>
      </w:pPr>
      <w:r>
        <w:rPr>
          <w:rFonts w:hint="eastAsia" w:ascii="宋体" w:hAnsi="宋体" w:eastAsia="宋体" w:cs="宋体"/>
          <w:b/>
          <w:color w:val="auto"/>
          <w:kern w:val="0"/>
          <w:sz w:val="52"/>
          <w:szCs w:val="96"/>
          <w:highlight w:val="none"/>
        </w:rPr>
        <w:t>东莞市众源环境投资有限公司污泥脱水减量配合服务采购项目</w:t>
      </w:r>
    </w:p>
    <w:p>
      <w:pPr>
        <w:autoSpaceDE w:val="0"/>
        <w:autoSpaceDN w:val="0"/>
        <w:adjustRightInd w:val="0"/>
        <w:spacing w:line="360" w:lineRule="auto"/>
        <w:jc w:val="center"/>
        <w:outlineLvl w:val="9"/>
        <w:rPr>
          <w:rFonts w:ascii="宋体" w:hAnsi="宋体" w:eastAsia="宋体" w:cs="宋体"/>
          <w:bCs/>
          <w:color w:val="auto"/>
          <w:kern w:val="0"/>
          <w:sz w:val="52"/>
          <w:szCs w:val="52"/>
          <w:highlight w:val="none"/>
        </w:rPr>
      </w:pPr>
    </w:p>
    <w:p>
      <w:pPr>
        <w:autoSpaceDE w:val="0"/>
        <w:autoSpaceDN w:val="0"/>
        <w:adjustRightInd w:val="0"/>
        <w:spacing w:before="840" w:beforeLines="350" w:after="360" w:afterLines="150" w:line="360" w:lineRule="auto"/>
        <w:jc w:val="center"/>
        <w:outlineLvl w:val="9"/>
        <w:rPr>
          <w:rFonts w:ascii="宋体" w:hAnsi="宋体" w:eastAsia="宋体" w:cs="宋体"/>
          <w:b/>
          <w:bCs/>
          <w:color w:val="auto"/>
          <w:spacing w:val="60"/>
          <w:kern w:val="0"/>
          <w:sz w:val="52"/>
          <w:szCs w:val="52"/>
          <w:highlight w:val="none"/>
        </w:rPr>
      </w:pPr>
      <w:r>
        <w:rPr>
          <w:rFonts w:hint="eastAsia" w:ascii="宋体" w:hAnsi="宋体" w:eastAsia="宋体" w:cs="宋体"/>
          <w:b/>
          <w:bCs/>
          <w:color w:val="auto"/>
          <w:spacing w:val="60"/>
          <w:kern w:val="0"/>
          <w:sz w:val="52"/>
          <w:szCs w:val="52"/>
          <w:highlight w:val="none"/>
        </w:rPr>
        <w:t>采购合同</w:t>
      </w:r>
    </w:p>
    <w:p>
      <w:pPr>
        <w:autoSpaceDE w:val="0"/>
        <w:autoSpaceDN w:val="0"/>
        <w:adjustRightInd w:val="0"/>
        <w:spacing w:line="360" w:lineRule="auto"/>
        <w:jc w:val="center"/>
        <w:outlineLvl w:val="9"/>
        <w:rPr>
          <w:rFonts w:ascii="宋体" w:hAnsi="宋体" w:eastAsia="宋体" w:cs="宋体"/>
          <w:b/>
          <w:bCs/>
          <w:color w:val="auto"/>
          <w:kern w:val="0"/>
          <w:sz w:val="24"/>
          <w:szCs w:val="21"/>
          <w:highlight w:val="none"/>
        </w:rPr>
      </w:pPr>
      <w:r>
        <w:rPr>
          <w:rFonts w:hint="eastAsia" w:ascii="宋体" w:hAnsi="宋体" w:eastAsia="宋体" w:cs="宋体"/>
          <w:b/>
          <w:bCs/>
          <w:color w:val="auto"/>
          <w:kern w:val="0"/>
          <w:sz w:val="24"/>
          <w:szCs w:val="21"/>
          <w:highlight w:val="none"/>
        </w:rPr>
        <w:t>（合同编号：       ）</w:t>
      </w:r>
    </w:p>
    <w:p>
      <w:pPr>
        <w:autoSpaceDE w:val="0"/>
        <w:autoSpaceDN w:val="0"/>
        <w:adjustRightInd w:val="0"/>
        <w:spacing w:line="360" w:lineRule="auto"/>
        <w:jc w:val="left"/>
        <w:outlineLvl w:val="9"/>
        <w:rPr>
          <w:rFonts w:ascii="宋体" w:hAnsi="宋体" w:eastAsia="宋体" w:cs="宋体"/>
          <w:b/>
          <w:bCs/>
          <w:color w:val="auto"/>
          <w:kern w:val="0"/>
          <w:sz w:val="24"/>
          <w:szCs w:val="21"/>
          <w:highlight w:val="none"/>
        </w:rPr>
      </w:pPr>
    </w:p>
    <w:p>
      <w:pPr>
        <w:autoSpaceDE w:val="0"/>
        <w:autoSpaceDN w:val="0"/>
        <w:adjustRightInd w:val="0"/>
        <w:spacing w:line="360" w:lineRule="auto"/>
        <w:jc w:val="left"/>
        <w:outlineLvl w:val="9"/>
        <w:rPr>
          <w:rFonts w:ascii="宋体" w:hAnsi="宋体" w:eastAsia="宋体" w:cs="宋体"/>
          <w:b/>
          <w:bCs/>
          <w:color w:val="auto"/>
          <w:kern w:val="0"/>
          <w:sz w:val="24"/>
          <w:szCs w:val="21"/>
          <w:highlight w:val="none"/>
        </w:rPr>
      </w:pPr>
    </w:p>
    <w:p>
      <w:pPr>
        <w:autoSpaceDE w:val="0"/>
        <w:autoSpaceDN w:val="0"/>
        <w:adjustRightInd w:val="0"/>
        <w:spacing w:line="360" w:lineRule="auto"/>
        <w:jc w:val="left"/>
        <w:outlineLvl w:val="9"/>
        <w:rPr>
          <w:rFonts w:ascii="宋体" w:hAnsi="宋体" w:eastAsia="宋体" w:cs="宋体"/>
          <w:b/>
          <w:bCs/>
          <w:color w:val="auto"/>
          <w:kern w:val="0"/>
          <w:sz w:val="24"/>
          <w:szCs w:val="21"/>
          <w:highlight w:val="none"/>
        </w:rPr>
      </w:pPr>
    </w:p>
    <w:p>
      <w:pPr>
        <w:autoSpaceDE w:val="0"/>
        <w:autoSpaceDN w:val="0"/>
        <w:adjustRightInd w:val="0"/>
        <w:spacing w:line="360" w:lineRule="auto"/>
        <w:jc w:val="left"/>
        <w:outlineLvl w:val="9"/>
        <w:rPr>
          <w:rFonts w:ascii="宋体" w:hAnsi="宋体" w:eastAsia="宋体" w:cs="宋体"/>
          <w:b/>
          <w:bCs/>
          <w:color w:val="auto"/>
          <w:kern w:val="0"/>
          <w:sz w:val="24"/>
          <w:szCs w:val="21"/>
          <w:highlight w:val="none"/>
        </w:rPr>
      </w:pPr>
    </w:p>
    <w:p>
      <w:pPr>
        <w:autoSpaceDE w:val="0"/>
        <w:autoSpaceDN w:val="0"/>
        <w:adjustRightInd w:val="0"/>
        <w:spacing w:line="480" w:lineRule="auto"/>
        <w:ind w:firstLine="1102" w:firstLineChars="392"/>
        <w:jc w:val="center"/>
        <w:outlineLvl w:val="9"/>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东莞市众源环境投资有限公司</w:t>
      </w:r>
    </w:p>
    <w:p>
      <w:pPr>
        <w:tabs>
          <w:tab w:val="left" w:pos="3828"/>
        </w:tabs>
        <w:autoSpaceDE w:val="0"/>
        <w:autoSpaceDN w:val="0"/>
        <w:adjustRightInd w:val="0"/>
        <w:spacing w:line="480" w:lineRule="auto"/>
        <w:ind w:left="2268" w:leftChars="1080" w:firstLine="1102" w:firstLineChars="392"/>
        <w:outlineLvl w:val="9"/>
        <w:rPr>
          <w:rFonts w:ascii="宋体" w:hAnsi="宋体" w:eastAsia="宋体" w:cs="宋体"/>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r>
        <w:rPr>
          <w:rFonts w:ascii="宋体" w:hAnsi="宋体" w:eastAsia="宋体" w:cs="宋体"/>
          <w:b/>
          <w:bCs/>
          <w:color w:val="auto"/>
          <w:kern w:val="0"/>
          <w:sz w:val="28"/>
          <w:szCs w:val="28"/>
          <w:highlight w:val="none"/>
          <w:u w:val="single"/>
        </w:rPr>
        <w:t xml:space="preserve">                        </w:t>
      </w:r>
    </w:p>
    <w:p>
      <w:pPr>
        <w:autoSpaceDE w:val="0"/>
        <w:autoSpaceDN w:val="0"/>
        <w:adjustRightInd w:val="0"/>
        <w:spacing w:line="360" w:lineRule="auto"/>
        <w:ind w:firstLine="1102" w:firstLineChars="392"/>
        <w:jc w:val="center"/>
        <w:outlineLvl w:val="9"/>
        <w:rPr>
          <w:rFonts w:ascii="宋体" w:hAnsi="宋体" w:eastAsia="宋体" w:cs="宋体"/>
          <w:b/>
          <w:bCs/>
          <w:color w:val="auto"/>
          <w:kern w:val="0"/>
          <w:sz w:val="28"/>
          <w:szCs w:val="28"/>
          <w:highlight w:val="none"/>
        </w:rPr>
      </w:pPr>
    </w:p>
    <w:p>
      <w:pPr>
        <w:autoSpaceDE w:val="0"/>
        <w:autoSpaceDN w:val="0"/>
        <w:adjustRightInd w:val="0"/>
        <w:spacing w:line="360" w:lineRule="auto"/>
        <w:ind w:firstLine="1102" w:firstLineChars="392"/>
        <w:jc w:val="center"/>
        <w:outlineLvl w:val="9"/>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pPr>
        <w:autoSpaceDE w:val="0"/>
        <w:autoSpaceDN w:val="0"/>
        <w:adjustRightInd w:val="0"/>
        <w:jc w:val="left"/>
        <w:outlineLvl w:val="9"/>
        <w:rPr>
          <w:rFonts w:ascii="宋体" w:hAnsi="宋体" w:eastAsia="宋体" w:cs="宋体"/>
          <w:b/>
          <w:bCs/>
          <w:color w:val="auto"/>
          <w:kern w:val="0"/>
          <w:sz w:val="28"/>
          <w:szCs w:val="28"/>
          <w:highlight w:val="none"/>
        </w:rPr>
      </w:pPr>
    </w:p>
    <w:p>
      <w:pPr>
        <w:autoSpaceDE w:val="0"/>
        <w:autoSpaceDN w:val="0"/>
        <w:adjustRightInd w:val="0"/>
        <w:jc w:val="left"/>
        <w:outlineLvl w:val="9"/>
        <w:rPr>
          <w:rFonts w:ascii="宋体" w:hAnsi="宋体" w:eastAsia="宋体" w:cs="宋体"/>
          <w:b/>
          <w:bCs/>
          <w:color w:val="auto"/>
          <w:kern w:val="0"/>
          <w:sz w:val="28"/>
          <w:szCs w:val="28"/>
          <w:highlight w:val="none"/>
        </w:rPr>
      </w:pPr>
    </w:p>
    <w:p>
      <w:pPr>
        <w:pageBreakBefore/>
        <w:spacing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委托方（甲方）：东莞市众源环境投资有限公司 </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统一社会信用代码： </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住所：</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法定代表人：</w:t>
      </w:r>
    </w:p>
    <w:p>
      <w:pPr>
        <w:widowControl/>
        <w:spacing w:line="360" w:lineRule="auto"/>
        <w:outlineLvl w:val="9"/>
        <w:rPr>
          <w:rFonts w:ascii="宋体" w:hAnsi="宋体" w:eastAsia="宋体" w:cs="宋体"/>
          <w:b/>
          <w:bCs/>
          <w:color w:val="auto"/>
          <w:szCs w:val="21"/>
          <w:highlight w:val="none"/>
        </w:rPr>
      </w:pPr>
    </w:p>
    <w:p>
      <w:pPr>
        <w:widowControl/>
        <w:spacing w:line="360" w:lineRule="auto"/>
        <w:outlineLvl w:val="9"/>
        <w:rPr>
          <w:rFonts w:ascii="宋体" w:hAnsi="宋体" w:eastAsia="宋体" w:cs="宋体"/>
          <w:color w:val="auto"/>
          <w:szCs w:val="21"/>
          <w:highlight w:val="none"/>
        </w:rPr>
      </w:pPr>
      <w:r>
        <w:rPr>
          <w:rFonts w:hint="eastAsia" w:ascii="宋体" w:hAnsi="宋体" w:eastAsia="宋体" w:cs="宋体"/>
          <w:b/>
          <w:bCs/>
          <w:color w:val="auto"/>
          <w:szCs w:val="21"/>
          <w:highlight w:val="none"/>
        </w:rPr>
        <w:t xml:space="preserve">受托方（乙方）： </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统一社会信用代码： </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住所： </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w:t>
      </w:r>
    </w:p>
    <w:p>
      <w:pPr>
        <w:widowControl/>
        <w:spacing w:line="360" w:lineRule="auto"/>
        <w:ind w:firstLine="420" w:firstLineChars="200"/>
        <w:outlineLvl w:val="9"/>
        <w:rPr>
          <w:rFonts w:ascii="宋体" w:hAnsi="宋体" w:eastAsia="宋体" w:cs="宋体"/>
          <w:color w:val="auto"/>
          <w:szCs w:val="21"/>
          <w:highlight w:val="none"/>
        </w:rPr>
      </w:pP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基于甲方通过公开招标方式确定乙方为东莞市众源环境投资有限公司污泥脱水减量配合服务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包组</w:t>
      </w:r>
      <w:r>
        <w:rPr>
          <w:rFonts w:hint="eastAsia" w:ascii="宋体" w:hAnsi="宋体" w:eastAsia="宋体" w:cs="宋体"/>
          <w:color w:val="auto"/>
          <w:szCs w:val="21"/>
          <w:highlight w:val="none"/>
        </w:rPr>
        <w:t xml:space="preserve">的中标单位，就委托乙方根据污水处理厂内污泥脱水减量项目需求，配备充足的配合服务设备操作人员配合项目生产运营，甲乙双方本着诚实守信、平等互利的原则，经平等协商，订立本合同。 </w:t>
      </w:r>
    </w:p>
    <w:p>
      <w:pPr>
        <w:widowControl/>
        <w:spacing w:line="360" w:lineRule="auto"/>
        <w:outlineLvl w:val="9"/>
        <w:rPr>
          <w:rFonts w:ascii="宋体" w:hAnsi="宋体" w:eastAsia="宋体" w:cs="宋体"/>
          <w:b/>
          <w:bCs/>
          <w:color w:val="auto"/>
          <w:szCs w:val="21"/>
          <w:highlight w:val="none"/>
        </w:rPr>
      </w:pPr>
    </w:p>
    <w:p>
      <w:pPr>
        <w:spacing w:line="360" w:lineRule="auto"/>
        <w:ind w:firstLine="413" w:firstLineChars="196"/>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第一条 服务内容</w:t>
      </w:r>
    </w:p>
    <w:p>
      <w:pPr>
        <w:tabs>
          <w:tab w:val="left" w:pos="0"/>
        </w:tabs>
        <w:spacing w:line="360" w:lineRule="auto"/>
        <w:ind w:right="-34"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1、乙方负责在甲方指定的污水处理厂或其他地方，使用甲方的设备及配套设施、药剂，配备充足的配合服务设备操作人员配合甲方进行</w:t>
      </w:r>
      <w:r>
        <w:rPr>
          <w:rFonts w:hint="eastAsia" w:ascii="宋体" w:hAnsi="宋体" w:eastAsia="宋体" w:cs="宋体"/>
          <w:color w:val="auto"/>
          <w:szCs w:val="21"/>
          <w:highlight w:val="none"/>
          <w:lang w:val="zh-CN"/>
        </w:rPr>
        <w:t>污水处理厂的剩余污泥脱水减量</w:t>
      </w:r>
      <w:r>
        <w:rPr>
          <w:rFonts w:hint="eastAsia" w:ascii="宋体" w:hAnsi="宋体" w:eastAsia="宋体" w:cs="宋体"/>
          <w:color w:val="auto"/>
          <w:szCs w:val="21"/>
          <w:highlight w:val="none"/>
        </w:rPr>
        <w:t>工作，具体负责生产现场的设备操作，同时包含协助设备维护、数据记录及其他现场工作。</w:t>
      </w:r>
    </w:p>
    <w:p>
      <w:pPr>
        <w:spacing w:line="360" w:lineRule="auto"/>
        <w:ind w:firstLine="413" w:firstLineChars="196"/>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第二条 服务期限、服务费用</w:t>
      </w:r>
    </w:p>
    <w:p>
      <w:pPr>
        <w:tabs>
          <w:tab w:val="left" w:pos="0"/>
        </w:tabs>
        <w:spacing w:line="360" w:lineRule="auto"/>
        <w:ind w:right="-34"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1、服务期限：</w:t>
      </w:r>
    </w:p>
    <w:p>
      <w:pPr>
        <w:tabs>
          <w:tab w:val="left" w:pos="0"/>
        </w:tabs>
        <w:spacing w:line="360" w:lineRule="auto"/>
        <w:ind w:right="-34"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各污水处理厂污泥脱水减量项目配合服务服务限期</w:t>
      </w:r>
      <w:r>
        <w:rPr>
          <w:rFonts w:hint="eastAsia" w:ascii="宋体" w:hAnsi="宋体" w:eastAsia="宋体" w:cs="宋体"/>
          <w:color w:val="auto"/>
          <w:szCs w:val="21"/>
          <w:highlight w:val="none"/>
          <w:lang w:val="en-US" w:eastAsia="zh-CN"/>
        </w:rPr>
        <w:t>自</w:t>
      </w: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lang w:val="en-US" w:eastAsia="zh-CN"/>
        </w:rPr>
        <w:t>发出《进场通知书》</w:t>
      </w:r>
      <w:r>
        <w:rPr>
          <w:rFonts w:hint="eastAsia" w:ascii="宋体" w:hAnsi="宋体" w:eastAsia="宋体" w:cs="宋体"/>
          <w:color w:val="auto"/>
          <w:szCs w:val="21"/>
          <w:highlight w:val="none"/>
        </w:rPr>
        <w:t>之日起至2025年12月31日止。服务期满后，双方经友好协商一致后，可在保持</w:t>
      </w:r>
      <w:r>
        <w:rPr>
          <w:rFonts w:hint="eastAsia" w:ascii="宋体" w:hAnsi="宋体" w:eastAsia="宋体" w:cs="宋体"/>
          <w:color w:val="auto"/>
          <w:szCs w:val="21"/>
          <w:highlight w:val="none"/>
          <w:lang w:val="en-US" w:eastAsia="zh-CN"/>
        </w:rPr>
        <w:t>合同</w:t>
      </w:r>
      <w:r>
        <w:rPr>
          <w:rFonts w:hint="eastAsia" w:ascii="宋体" w:hAnsi="宋体" w:eastAsia="宋体" w:cs="宋体"/>
          <w:color w:val="auto"/>
          <w:szCs w:val="21"/>
          <w:highlight w:val="none"/>
        </w:rPr>
        <w:t>单价不变的情况下，签订补充协议延长服务期限，延长的服务期原则上不超过三个月。</w:t>
      </w: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2、服务费用：</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乙方提供本合同项下污泥脱水减量配合服务的</w:t>
      </w:r>
      <w:r>
        <w:rPr>
          <w:rFonts w:hint="eastAsia" w:ascii="宋体" w:hAnsi="宋体" w:eastAsia="宋体" w:cs="宋体"/>
          <w:color w:val="auto"/>
          <w:szCs w:val="21"/>
          <w:highlight w:val="none"/>
        </w:rPr>
        <w:t>合同单价（即销售额，不含乙方销项税额）</w:t>
      </w:r>
      <w:r>
        <w:rPr>
          <w:rFonts w:hint="eastAsia" w:ascii="宋体" w:hAnsi="宋体" w:eastAsia="宋体" w:cs="宋体"/>
          <w:color w:val="auto"/>
          <w:szCs w:val="21"/>
          <w:highlight w:val="none"/>
          <w:lang w:val="en-US" w:eastAsia="zh-CN"/>
        </w:rPr>
        <w:t>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元/吨（按含水率80%湿泥计）。在本合同履行过程中，合同单价（即销售额，不含乙方销项税额）不随法律法规政策、物价人工、服务期调整而进行调整，未经甲方书面确认，乙方无权增加任何费用。</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（2）依法计得并根据本合同约定确定的销项税额由甲方承担。根据</w:t>
      </w:r>
      <w:r>
        <w:rPr>
          <w:rFonts w:hint="eastAsia" w:ascii="宋体" w:hAnsi="宋体" w:eastAsia="宋体" w:cs="宋体"/>
          <w:color w:val="auto"/>
          <w:szCs w:val="21"/>
          <w:highlight w:val="none"/>
          <w:lang w:val="zh-CN"/>
        </w:rPr>
        <w:t>《中华人民共和国增值税</w:t>
      </w:r>
      <w:r>
        <w:rPr>
          <w:rFonts w:hint="eastAsia" w:ascii="宋体" w:hAnsi="宋体" w:eastAsia="宋体" w:cs="宋体"/>
          <w:color w:val="auto"/>
          <w:szCs w:val="21"/>
          <w:highlight w:val="none"/>
        </w:rPr>
        <w:t>暂行</w:t>
      </w:r>
      <w:r>
        <w:rPr>
          <w:rFonts w:hint="eastAsia" w:ascii="宋体" w:hAnsi="宋体" w:eastAsia="宋体" w:cs="宋体"/>
          <w:color w:val="auto"/>
          <w:szCs w:val="21"/>
          <w:highlight w:val="none"/>
          <w:lang w:val="zh-CN"/>
        </w:rPr>
        <w:t>条例》（国务院令第691号修订版）</w:t>
      </w:r>
      <w:r>
        <w:rPr>
          <w:rFonts w:hint="eastAsia" w:ascii="宋体" w:hAnsi="宋体" w:eastAsia="宋体" w:cs="宋体"/>
          <w:color w:val="auto"/>
          <w:szCs w:val="21"/>
          <w:highlight w:val="none"/>
        </w:rPr>
        <w:t>及当前税务部门的相关规定，本合同项目污泥脱水减量配合服务费的增值税税率暂定为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，乙方的增值税销项税额根据本合同约定按实结算。</w:t>
      </w:r>
      <w:r>
        <w:rPr>
          <w:rFonts w:hint="eastAsia" w:ascii="宋体" w:hAnsi="宋体" w:eastAsia="宋体" w:cs="宋体"/>
          <w:color w:val="auto"/>
          <w:szCs w:val="21"/>
          <w:highlight w:val="none"/>
          <w:lang w:val="zh-CN"/>
        </w:rPr>
        <w:t>在本合同履行过程中，税收政策变动导致</w:t>
      </w:r>
      <w:r>
        <w:rPr>
          <w:rFonts w:hint="eastAsia" w:ascii="宋体" w:hAnsi="宋体" w:eastAsia="宋体" w:cs="宋体"/>
          <w:color w:val="auto"/>
          <w:szCs w:val="21"/>
          <w:highlight w:val="none"/>
        </w:rPr>
        <w:t>增值税</w:t>
      </w:r>
      <w:r>
        <w:rPr>
          <w:rFonts w:hint="eastAsia" w:ascii="宋体" w:hAnsi="宋体" w:eastAsia="宋体" w:cs="宋体"/>
          <w:color w:val="auto"/>
          <w:szCs w:val="21"/>
          <w:highlight w:val="none"/>
          <w:lang w:val="zh-CN"/>
        </w:rPr>
        <w:t>税率调整，依法应调整</w:t>
      </w:r>
      <w:r>
        <w:rPr>
          <w:rFonts w:hint="eastAsia" w:ascii="宋体" w:hAnsi="宋体" w:eastAsia="宋体" w:cs="宋体"/>
          <w:color w:val="auto"/>
          <w:szCs w:val="21"/>
          <w:highlight w:val="none"/>
        </w:rPr>
        <w:t>销项税额的，依法调整；但因乙方未按合同约定提供服务、未根据合同约定提供合法、完整的请款资料等原因导致销项税额增加的，相应损失由乙方承担。</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因乙方未按法定税率计算税额或未根据本合同约定出具对应税额的增值税专用发票等乙方原因导致甲方多支付税额的，乙方必须退还甲方，给甲方造成损失的，乙方须向甲方赔偿相应损失。</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（3）合同单价价税合计暂定为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元/吨，合同履行期间根据上述第（2）项规定调整销项税额的，结算合同单价价税合计对应调整。</w:t>
      </w:r>
    </w:p>
    <w:p>
      <w:pPr>
        <w:spacing w:line="360" w:lineRule="auto"/>
        <w:ind w:firstLine="424" w:firstLineChars="202"/>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（4）本合同项下预估污泥量（按含水率80%湿泥计）对应的暂定总合同价税合计为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本项目合同单价，包括但不限于配合服务中人工费（工资及加班工资、福利、社保、住房公积金、节日补贴、高温津贴、劳保、服装和膳食、意外伤害保险、住宿补贴、市内交通补贴、培训、经济补偿等）、办公费、交通费、保险、利润、污泥脱水减量配合服务项目所发生的乙方销项税额以外的税费</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法律法规、商业公认、</w:t>
      </w:r>
      <w:r>
        <w:rPr>
          <w:rFonts w:hint="eastAsia" w:ascii="宋体" w:hAnsi="宋体" w:eastAsia="宋体" w:cs="宋体"/>
          <w:color w:val="auto"/>
          <w:szCs w:val="21"/>
          <w:highlight w:val="none"/>
          <w:lang w:val="zh-CN"/>
        </w:rPr>
        <w:t>完成合同实施过程中由</w:t>
      </w:r>
      <w:r>
        <w:rPr>
          <w:rFonts w:hint="eastAsia" w:ascii="宋体" w:hAnsi="宋体" w:eastAsia="宋体" w:cs="宋体"/>
          <w:color w:val="auto"/>
          <w:szCs w:val="21"/>
          <w:highlight w:val="none"/>
        </w:rPr>
        <w:t>乙方承担的其他直接及间接费用。</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3、甲方按</w:t>
      </w:r>
      <w:r>
        <w:rPr>
          <w:rFonts w:hint="eastAsia" w:ascii="宋体" w:hAnsi="宋体" w:eastAsia="宋体" w:cs="宋体"/>
          <w:color w:val="auto"/>
          <w:szCs w:val="21"/>
          <w:highlight w:val="none"/>
          <w:lang w:val="en-US" w:eastAsia="zh-CN"/>
        </w:rPr>
        <w:t>车</w:t>
      </w:r>
      <w:r>
        <w:rPr>
          <w:rFonts w:hint="eastAsia" w:ascii="宋体" w:hAnsi="宋体" w:eastAsia="宋体" w:cs="宋体"/>
          <w:color w:val="auto"/>
          <w:szCs w:val="21"/>
          <w:highlight w:val="none"/>
        </w:rPr>
        <w:t>次检测减量化的污泥含水率，费用由甲方承担，乙方无条件配合检测工作；因建立台账而产生自检的费用由乙方自行负责。</w:t>
      </w:r>
    </w:p>
    <w:p>
      <w:pPr>
        <w:spacing w:line="360" w:lineRule="auto"/>
        <w:ind w:firstLine="413" w:firstLineChars="196"/>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 xml:space="preserve">第三条 </w:t>
      </w:r>
      <w:r>
        <w:rPr>
          <w:rFonts w:hint="eastAsia" w:ascii="宋体" w:hAnsi="宋体" w:eastAsia="宋体" w:cs="宋体"/>
          <w:b/>
          <w:color w:val="auto"/>
          <w:szCs w:val="21"/>
          <w:highlight w:val="none"/>
          <w:lang w:val="en-US" w:eastAsia="zh-CN"/>
        </w:rPr>
        <w:t>服务费用计费</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1、污水处理厂污泥脱水减量配合服务费单价按含水率80%的湿泥计价（元/吨）。</w:t>
      </w:r>
      <w:r>
        <w:rPr>
          <w:rFonts w:hint="eastAsia" w:ascii="宋体" w:hAnsi="宋体" w:eastAsia="宋体" w:cs="宋体"/>
          <w:color w:val="auto"/>
          <w:szCs w:val="21"/>
          <w:highlight w:val="none"/>
          <w:lang w:val="en-US" w:eastAsia="zh-CN"/>
        </w:rPr>
        <w:t>当车污泥</w:t>
      </w:r>
      <w:r>
        <w:rPr>
          <w:rFonts w:hint="eastAsia" w:ascii="宋体" w:hAnsi="宋体" w:eastAsia="宋体" w:cs="宋体"/>
          <w:color w:val="auto"/>
          <w:szCs w:val="21"/>
          <w:highlight w:val="none"/>
        </w:rPr>
        <w:t>通过甲方指定的地磅的称重数据（磅单）为计量计费依据（按吨计，精确到0.01吨），计量相关费用均由甲方承担。</w:t>
      </w:r>
    </w:p>
    <w:p>
      <w:pPr>
        <w:spacing w:line="360" w:lineRule="auto"/>
        <w:ind w:firstLine="424" w:firstLineChars="202"/>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服务费计费</w:t>
      </w:r>
    </w:p>
    <w:p>
      <w:pPr>
        <w:spacing w:line="360" w:lineRule="auto"/>
        <w:ind w:firstLine="424" w:firstLineChars="202"/>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当项目约定的含水率标准为80%时，相应的服务费按含水率80%的湿泥计费，计费数量以称重数据为准；（2）当项目有其他约定含水率标准时，按照当车污泥称重数据及对应含水率标准（含水率不高于约定标准的，统一按含水率标准计）折算成含水率80%的湿泥重量，具体折算公式为（1-含水率标准）/（1-80%），</w:t>
      </w:r>
      <w:r>
        <w:rPr>
          <w:rFonts w:hint="eastAsia" w:ascii="宋体" w:hAnsi="宋体" w:eastAsia="宋体" w:cs="宋体"/>
          <w:color w:val="auto"/>
          <w:szCs w:val="21"/>
          <w:highlight w:val="none"/>
          <w:lang w:val="en-US" w:eastAsia="zh-CN"/>
        </w:rPr>
        <w:t>例如</w:t>
      </w:r>
      <w:r>
        <w:rPr>
          <w:rFonts w:hint="eastAsia" w:ascii="宋体" w:hAnsi="宋体" w:eastAsia="宋体" w:cs="宋体"/>
          <w:color w:val="auto"/>
          <w:szCs w:val="21"/>
          <w:highlight w:val="none"/>
        </w:rPr>
        <w:t>当含水率标准为60%（不含60%）时，对应折算系数为2</w:t>
      </w:r>
      <w:r>
        <w:rPr>
          <w:rFonts w:hint="eastAsia" w:ascii="宋体" w:hAnsi="宋体" w:eastAsia="宋体" w:cs="宋体"/>
          <w:color w:val="auto"/>
          <w:szCs w:val="21"/>
          <w:highlight w:val="none"/>
          <w:lang w:val="en-US" w:eastAsia="zh-CN"/>
        </w:rPr>
        <w:t>【A包组</w:t>
      </w:r>
      <w:r>
        <w:rPr>
          <w:rFonts w:hint="eastAsia" w:ascii="宋体" w:hAnsi="宋体" w:eastAsia="宋体" w:cs="宋体"/>
          <w:color w:val="auto"/>
          <w:szCs w:val="21"/>
          <w:highlight w:val="none"/>
        </w:rPr>
        <w:t>寮步三期、温塘二期、横沥东坑二期、常平东二期、常平西二期、黄江梅塘南部厂、高埗二期、松北二期、黄江二期、松南二期、麻涌二期、中堂二期、石竭二期、万江二期、市区厂众源移动式（含一二期和三期）</w:t>
      </w:r>
      <w:r>
        <w:rPr>
          <w:rFonts w:hint="eastAsia" w:ascii="宋体" w:hAnsi="宋体" w:eastAsia="宋体" w:cs="宋体"/>
          <w:color w:val="auto"/>
          <w:szCs w:val="21"/>
          <w:highlight w:val="none"/>
          <w:lang w:val="en-US" w:eastAsia="zh-CN"/>
        </w:rPr>
        <w:t>含水率标准为60%，B包组</w:t>
      </w:r>
      <w:r>
        <w:rPr>
          <w:rFonts w:hint="eastAsia" w:ascii="宋体" w:hAnsi="宋体" w:eastAsia="宋体" w:cs="宋体"/>
          <w:color w:val="auto"/>
          <w:szCs w:val="21"/>
          <w:highlight w:val="none"/>
        </w:rPr>
        <w:t>大岭山二期、沙田二期、虎门宁洲三期、塘厦白泥湖二期、凤岗竹塘三期、清溪厦坭二期、虎门宁洲二期、长安新区、厚街二期、牛山二期、长安新区众源移动式</w:t>
      </w:r>
      <w:r>
        <w:rPr>
          <w:rFonts w:hint="eastAsia" w:ascii="宋体" w:hAnsi="宋体" w:eastAsia="宋体" w:cs="宋体"/>
          <w:color w:val="auto"/>
          <w:szCs w:val="21"/>
          <w:highlight w:val="none"/>
          <w:lang w:val="en-US" w:eastAsia="zh-CN"/>
        </w:rPr>
        <w:t>含水率标准为60%，B包组</w:t>
      </w:r>
      <w:r>
        <w:rPr>
          <w:rFonts w:hint="eastAsia" w:ascii="宋体" w:hAnsi="宋体" w:eastAsia="宋体" w:cs="宋体"/>
          <w:color w:val="auto"/>
          <w:szCs w:val="21"/>
          <w:highlight w:val="none"/>
        </w:rPr>
        <w:t>凤岗竹塘二期</w:t>
      </w:r>
      <w:r>
        <w:rPr>
          <w:rFonts w:hint="eastAsia" w:ascii="宋体" w:hAnsi="宋体" w:eastAsia="宋体" w:cs="宋体"/>
          <w:color w:val="auto"/>
          <w:szCs w:val="21"/>
          <w:highlight w:val="none"/>
          <w:lang w:val="en-US" w:eastAsia="zh-CN"/>
        </w:rPr>
        <w:t>含水率标准为80%】</w:t>
      </w:r>
      <w:r>
        <w:rPr>
          <w:rFonts w:hint="eastAsia" w:ascii="宋体" w:hAnsi="宋体" w:eastAsia="宋体" w:cs="宋体"/>
          <w:color w:val="auto"/>
          <w:szCs w:val="21"/>
          <w:highlight w:val="none"/>
        </w:rPr>
        <w:t>。当有新含水率标准时，</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书面通知</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乙方应遵照执行，</w:t>
      </w:r>
      <w:r>
        <w:rPr>
          <w:rFonts w:hint="eastAsia" w:ascii="宋体" w:hAnsi="宋体" w:eastAsia="宋体" w:cs="宋体"/>
          <w:color w:val="auto"/>
          <w:szCs w:val="21"/>
          <w:highlight w:val="none"/>
        </w:rPr>
        <w:t>相应折算系数按照</w:t>
      </w:r>
      <w:r>
        <w:rPr>
          <w:rFonts w:hint="eastAsia" w:ascii="宋体" w:hAnsi="宋体" w:eastAsia="宋体" w:cs="宋体"/>
          <w:color w:val="auto"/>
          <w:szCs w:val="21"/>
          <w:highlight w:val="none"/>
          <w:lang w:val="en-US" w:eastAsia="zh-CN"/>
        </w:rPr>
        <w:t>上述</w:t>
      </w:r>
      <w:r>
        <w:rPr>
          <w:rFonts w:hint="eastAsia" w:ascii="宋体" w:hAnsi="宋体" w:eastAsia="宋体" w:cs="宋体"/>
          <w:color w:val="auto"/>
          <w:szCs w:val="21"/>
          <w:highlight w:val="none"/>
        </w:rPr>
        <w:t>折算公式计算</w:t>
      </w:r>
      <w:r>
        <w:rPr>
          <w:rFonts w:hint="eastAsia" w:ascii="宋体" w:hAnsi="宋体" w:eastAsia="宋体" w:cs="宋体"/>
          <w:color w:val="auto"/>
          <w:szCs w:val="21"/>
          <w:highlight w:val="none"/>
          <w:lang w:eastAsia="zh-CN"/>
        </w:rPr>
        <w:t>。</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3、每车次外运污泥含水率以污水处理厂化验室检测的结果为计费依据。含水率取样方式为用不锈钢采样器，</w:t>
      </w:r>
      <w:r>
        <w:rPr>
          <w:rFonts w:hint="eastAsia" w:ascii="宋体" w:hAnsi="宋体" w:eastAsia="宋体" w:cs="宋体"/>
          <w:color w:val="auto"/>
          <w:szCs w:val="21"/>
          <w:highlight w:val="none"/>
          <w:lang w:val="en-US" w:eastAsia="zh-CN"/>
        </w:rPr>
        <w:t>由运输车司机</w:t>
      </w:r>
      <w:r>
        <w:rPr>
          <w:rFonts w:hint="eastAsia" w:ascii="宋体" w:hAnsi="宋体" w:eastAsia="宋体" w:cs="宋体"/>
          <w:color w:val="auto"/>
          <w:szCs w:val="21"/>
          <w:highlight w:val="none"/>
        </w:rPr>
        <w:t>在污泥运输车上3个不同位置采集，并充分混合，分为三份，分别交</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及化验室。采样方式亦可能会因主管部门颁布的政策法规或行业标准、规范而调整，或经与项目所在厂区</w:t>
      </w:r>
      <w:r>
        <w:rPr>
          <w:rFonts w:hint="eastAsia" w:ascii="宋体" w:hAnsi="宋体" w:eastAsia="宋体" w:cs="宋体"/>
          <w:color w:val="auto"/>
          <w:szCs w:val="21"/>
          <w:highlight w:val="none"/>
          <w:lang w:val="en-US" w:eastAsia="zh-CN"/>
        </w:rPr>
        <w:t>权属单位或运营单位或行政主管部门</w:t>
      </w:r>
      <w:r>
        <w:rPr>
          <w:rFonts w:hint="eastAsia" w:ascii="宋体" w:hAnsi="宋体" w:eastAsia="宋体" w:cs="宋体"/>
          <w:color w:val="auto"/>
          <w:szCs w:val="21"/>
          <w:highlight w:val="none"/>
        </w:rPr>
        <w:t>沟通后双方认可的方式进行调整。</w:t>
      </w:r>
    </w:p>
    <w:p>
      <w:pPr>
        <w:spacing w:line="360" w:lineRule="auto"/>
        <w:ind w:firstLine="413" w:firstLineChars="196"/>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第四条 费用支付</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合同的履约过程中，乙方根据本合同约定需向甲方支付违约金、赔偿金、或其他应付费用等款项的，乙方必须向甲方支付完相关款项后，甲方才根据本合同向乙方支付配合服务费。若因乙方未能支付前述费用，影响项目实施的，甲方有权直接从未付配合服务费款项中直接扣除，且乙方必须按照扣除前述费用前的</w:t>
      </w:r>
      <w:r>
        <w:rPr>
          <w:rFonts w:hint="eastAsia" w:ascii="宋体" w:hAnsi="宋体" w:eastAsia="宋体" w:cs="宋体"/>
          <w:color w:val="auto"/>
          <w:szCs w:val="21"/>
          <w:highlight w:val="none"/>
          <w:lang w:val="en-US" w:eastAsia="zh-CN"/>
        </w:rPr>
        <w:t>配合服务费</w:t>
      </w:r>
      <w:r>
        <w:rPr>
          <w:rFonts w:hint="eastAsia" w:ascii="宋体" w:hAnsi="宋体" w:eastAsia="宋体" w:cs="宋体"/>
          <w:color w:val="auto"/>
          <w:szCs w:val="21"/>
          <w:highlight w:val="none"/>
        </w:rPr>
        <w:t>（销售额）开具等额、合法、有效的增值税专用发票。</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2、支付方式：</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（1）服务费按月支付，甲、乙双方在每月15日前完成上月应付款项核算工作，乙方必须开具合法有效的增值税专用发票，</w:t>
      </w:r>
      <w:r>
        <w:rPr>
          <w:rFonts w:hint="eastAsia" w:ascii="宋体" w:hAnsi="宋体" w:eastAsia="宋体" w:cs="宋体"/>
          <w:color w:val="auto"/>
          <w:szCs w:val="21"/>
          <w:highlight w:val="none"/>
          <w:lang w:val="en-US" w:eastAsia="zh-CN"/>
        </w:rPr>
        <w:t>乙方向甲方提交完整的</w:t>
      </w:r>
      <w:r>
        <w:rPr>
          <w:rFonts w:hint="eastAsia" w:ascii="宋体" w:hAnsi="宋体" w:eastAsia="宋体" w:cs="宋体"/>
          <w:color w:val="auto"/>
          <w:szCs w:val="21"/>
          <w:highlight w:val="none"/>
        </w:rPr>
        <w:t>请款材料并</w:t>
      </w:r>
      <w:r>
        <w:rPr>
          <w:rFonts w:hint="eastAsia" w:ascii="宋体" w:hAnsi="宋体" w:eastAsia="宋体" w:cs="宋体"/>
          <w:color w:val="auto"/>
          <w:szCs w:val="21"/>
          <w:highlight w:val="none"/>
          <w:lang w:val="en-US" w:eastAsia="zh-CN"/>
        </w:rPr>
        <w:t>经甲方</w:t>
      </w:r>
      <w:r>
        <w:rPr>
          <w:rFonts w:hint="eastAsia" w:ascii="宋体" w:hAnsi="宋体" w:eastAsia="宋体" w:cs="宋体"/>
          <w:color w:val="auto"/>
          <w:szCs w:val="21"/>
          <w:highlight w:val="none"/>
        </w:rPr>
        <w:t>确认无误后30个工作日内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甲方采用银行承兑汇票或商业承兑汇票向乙方支付</w:t>
      </w:r>
      <w:r>
        <w:rPr>
          <w:rFonts w:hint="eastAsia" w:ascii="宋体" w:hAnsi="宋体" w:eastAsia="宋体" w:cs="宋体"/>
          <w:color w:val="auto"/>
          <w:szCs w:val="21"/>
          <w:highlight w:val="none"/>
        </w:rPr>
        <w:t>请款金额的50%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在前述款项支付后三个月内，甲方通过银行转账方式或汇款方式向乙方支付至请款金额的100%。</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）具体请款材料</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A.经双方确认污泥处理数量的过磅单和含水率检测统计台账等资料；</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B.</w:t>
      </w:r>
      <w:r>
        <w:rPr>
          <w:rFonts w:hint="eastAsia" w:ascii="宋体" w:hAnsi="宋体" w:eastAsia="宋体" w:cs="宋体"/>
          <w:color w:val="auto"/>
          <w:szCs w:val="21"/>
          <w:highlight w:val="none"/>
          <w:lang w:val="en-US" w:eastAsia="zh-CN"/>
        </w:rPr>
        <w:t>请款月份配合服务费100%的足</w:t>
      </w:r>
      <w:r>
        <w:rPr>
          <w:rFonts w:hint="eastAsia" w:ascii="宋体" w:hAnsi="宋体" w:eastAsia="宋体" w:cs="宋体"/>
          <w:color w:val="auto"/>
          <w:szCs w:val="21"/>
          <w:highlight w:val="none"/>
        </w:rPr>
        <w:t xml:space="preserve">额、合法、有效的增值税专用发票（收款方、出具票据方、合同受托方均需与乙方名称一致，付款方为东莞市众源环境投资有限公司）； </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C.请款报告（必须加盖乙方的公章）。</w:t>
      </w:r>
    </w:p>
    <w:p>
      <w:pPr>
        <w:pStyle w:val="19"/>
        <w:spacing w:line="360" w:lineRule="auto"/>
        <w:ind w:firstLine="420" w:firstLineChars="200"/>
        <w:jc w:val="left"/>
        <w:outlineLvl w:val="9"/>
        <w:rPr>
          <w:rFonts w:hint="eastAsia" w:hAnsi="宋体" w:cs="宋体"/>
          <w:b w:val="0"/>
          <w:bCs w:val="0"/>
          <w:color w:val="auto"/>
          <w:kern w:val="0"/>
          <w:sz w:val="21"/>
          <w:szCs w:val="21"/>
          <w:highlight w:val="none"/>
          <w:lang w:val="en-US" w:eastAsia="zh-CN"/>
        </w:rPr>
      </w:pPr>
      <w:r>
        <w:rPr>
          <w:rFonts w:hint="eastAsia" w:hAnsi="宋体" w:cs="宋体"/>
          <w:b w:val="0"/>
          <w:bCs w:val="0"/>
          <w:color w:val="auto"/>
          <w:kern w:val="0"/>
          <w:sz w:val="21"/>
          <w:szCs w:val="21"/>
          <w:highlight w:val="none"/>
          <w:lang w:val="en-US" w:eastAsia="zh-CN"/>
        </w:rPr>
        <w:t>（3）乙方转账或汇款收款账户：</w:t>
      </w:r>
    </w:p>
    <w:p>
      <w:pPr>
        <w:pStyle w:val="19"/>
        <w:spacing w:line="360" w:lineRule="auto"/>
        <w:ind w:firstLine="420" w:firstLineChars="200"/>
        <w:jc w:val="left"/>
        <w:outlineLvl w:val="9"/>
        <w:rPr>
          <w:rFonts w:hint="eastAsia" w:hAnsi="宋体" w:cs="宋体"/>
          <w:b w:val="0"/>
          <w:bCs w:val="0"/>
          <w:color w:val="auto"/>
          <w:kern w:val="0"/>
          <w:sz w:val="21"/>
          <w:szCs w:val="21"/>
          <w:highlight w:val="none"/>
          <w:lang w:val="en-US"/>
        </w:rPr>
      </w:pPr>
      <w:r>
        <w:rPr>
          <w:rFonts w:hint="eastAsia" w:hAnsi="宋体" w:cs="宋体"/>
          <w:b w:val="0"/>
          <w:bCs w:val="0"/>
          <w:color w:val="auto"/>
          <w:kern w:val="0"/>
          <w:sz w:val="21"/>
          <w:szCs w:val="21"/>
          <w:highlight w:val="none"/>
          <w:lang w:val="en-US"/>
        </w:rPr>
        <w:t>账号户名：</w:t>
      </w:r>
    </w:p>
    <w:p>
      <w:pPr>
        <w:pStyle w:val="19"/>
        <w:spacing w:line="360" w:lineRule="auto"/>
        <w:ind w:firstLine="420" w:firstLineChars="200"/>
        <w:jc w:val="left"/>
        <w:outlineLvl w:val="9"/>
        <w:rPr>
          <w:rFonts w:hint="eastAsia" w:hAnsi="宋体" w:cs="宋体"/>
          <w:b w:val="0"/>
          <w:bCs w:val="0"/>
          <w:color w:val="auto"/>
          <w:kern w:val="0"/>
          <w:sz w:val="21"/>
          <w:szCs w:val="21"/>
          <w:highlight w:val="none"/>
          <w:lang w:val="en-US"/>
        </w:rPr>
      </w:pPr>
      <w:r>
        <w:rPr>
          <w:rFonts w:hint="eastAsia" w:hAnsi="宋体" w:cs="宋体"/>
          <w:b w:val="0"/>
          <w:bCs w:val="0"/>
          <w:color w:val="auto"/>
          <w:kern w:val="0"/>
          <w:sz w:val="21"/>
          <w:szCs w:val="21"/>
          <w:highlight w:val="none"/>
          <w:lang w:val="en-US"/>
        </w:rPr>
        <w:t>开户银行名称：</w:t>
      </w:r>
    </w:p>
    <w:p>
      <w:pPr>
        <w:pStyle w:val="19"/>
        <w:spacing w:line="360" w:lineRule="auto"/>
        <w:ind w:firstLine="420" w:firstLineChars="200"/>
        <w:jc w:val="left"/>
        <w:outlineLvl w:val="9"/>
        <w:rPr>
          <w:rFonts w:hint="eastAsia" w:hAnsi="宋体" w:cs="宋体"/>
          <w:b w:val="0"/>
          <w:bCs w:val="0"/>
          <w:color w:val="auto"/>
          <w:kern w:val="0"/>
          <w:sz w:val="21"/>
          <w:szCs w:val="21"/>
          <w:highlight w:val="none"/>
          <w:lang w:val="en-US"/>
        </w:rPr>
      </w:pPr>
      <w:r>
        <w:rPr>
          <w:rFonts w:hint="eastAsia" w:hAnsi="宋体" w:cs="宋体"/>
          <w:b w:val="0"/>
          <w:bCs w:val="0"/>
          <w:color w:val="auto"/>
          <w:kern w:val="0"/>
          <w:sz w:val="21"/>
          <w:szCs w:val="21"/>
          <w:highlight w:val="none"/>
          <w:lang w:val="en-US"/>
        </w:rPr>
        <w:t>银行账号：</w:t>
      </w:r>
    </w:p>
    <w:p>
      <w:pPr>
        <w:pStyle w:val="19"/>
        <w:spacing w:line="360" w:lineRule="auto"/>
        <w:ind w:firstLine="420" w:firstLineChars="200"/>
        <w:jc w:val="left"/>
        <w:outlineLvl w:val="9"/>
        <w:rPr>
          <w:rFonts w:hint="eastAsia" w:hAnsi="宋体" w:cs="宋体"/>
          <w:b w:val="0"/>
          <w:bCs w:val="0"/>
          <w:color w:val="auto"/>
          <w:kern w:val="0"/>
          <w:sz w:val="21"/>
          <w:szCs w:val="21"/>
          <w:highlight w:val="none"/>
          <w:lang w:val="en-US"/>
        </w:rPr>
      </w:pPr>
      <w:r>
        <w:rPr>
          <w:rFonts w:hint="eastAsia" w:hAnsi="宋体" w:cs="宋体"/>
          <w:b w:val="0"/>
          <w:bCs w:val="0"/>
          <w:color w:val="auto"/>
          <w:kern w:val="0"/>
          <w:sz w:val="21"/>
          <w:szCs w:val="21"/>
          <w:highlight w:val="none"/>
          <w:lang w:val="en-US"/>
        </w:rPr>
        <w:t>（</w:t>
      </w:r>
      <w:r>
        <w:rPr>
          <w:rFonts w:hint="eastAsia" w:hAnsi="宋体" w:cs="宋体"/>
          <w:b w:val="0"/>
          <w:bCs w:val="0"/>
          <w:color w:val="auto"/>
          <w:kern w:val="0"/>
          <w:sz w:val="21"/>
          <w:szCs w:val="21"/>
          <w:highlight w:val="none"/>
          <w:lang w:val="en-US" w:eastAsia="zh-CN"/>
        </w:rPr>
        <w:t>4</w:t>
      </w:r>
      <w:r>
        <w:rPr>
          <w:rFonts w:hint="eastAsia" w:hAnsi="宋体" w:cs="宋体"/>
          <w:b w:val="0"/>
          <w:bCs w:val="0"/>
          <w:color w:val="auto"/>
          <w:kern w:val="0"/>
          <w:sz w:val="21"/>
          <w:szCs w:val="21"/>
          <w:highlight w:val="none"/>
          <w:lang w:val="en-US"/>
        </w:rPr>
        <w:t>）乙方汇票账号：</w:t>
      </w:r>
    </w:p>
    <w:p>
      <w:pPr>
        <w:pStyle w:val="19"/>
        <w:spacing w:line="360" w:lineRule="auto"/>
        <w:ind w:firstLine="420" w:firstLineChars="200"/>
        <w:jc w:val="left"/>
        <w:outlineLvl w:val="9"/>
        <w:rPr>
          <w:rFonts w:hint="eastAsia" w:hAnsi="宋体" w:cs="宋体"/>
          <w:b w:val="0"/>
          <w:bCs w:val="0"/>
          <w:color w:val="auto"/>
          <w:kern w:val="0"/>
          <w:sz w:val="21"/>
          <w:szCs w:val="21"/>
          <w:highlight w:val="none"/>
          <w:lang w:val="en-US"/>
        </w:rPr>
      </w:pPr>
      <w:r>
        <w:rPr>
          <w:rFonts w:hint="eastAsia" w:hAnsi="宋体" w:cs="宋体"/>
          <w:b w:val="0"/>
          <w:bCs w:val="0"/>
          <w:color w:val="auto"/>
          <w:kern w:val="0"/>
          <w:sz w:val="21"/>
          <w:szCs w:val="21"/>
          <w:highlight w:val="none"/>
          <w:lang w:val="en-US"/>
        </w:rPr>
        <w:t>账号户名：</w:t>
      </w:r>
    </w:p>
    <w:p>
      <w:pPr>
        <w:pStyle w:val="19"/>
        <w:spacing w:line="360" w:lineRule="auto"/>
        <w:ind w:firstLine="420" w:firstLineChars="200"/>
        <w:jc w:val="left"/>
        <w:outlineLvl w:val="9"/>
        <w:rPr>
          <w:rFonts w:hint="eastAsia" w:hAnsi="宋体" w:cs="宋体"/>
          <w:b w:val="0"/>
          <w:bCs w:val="0"/>
          <w:color w:val="auto"/>
          <w:kern w:val="0"/>
          <w:sz w:val="21"/>
          <w:szCs w:val="21"/>
          <w:highlight w:val="none"/>
          <w:lang w:val="en-US"/>
        </w:rPr>
      </w:pPr>
      <w:r>
        <w:rPr>
          <w:rFonts w:hint="eastAsia" w:hAnsi="宋体" w:cs="宋体"/>
          <w:b w:val="0"/>
          <w:bCs w:val="0"/>
          <w:color w:val="auto"/>
          <w:kern w:val="0"/>
          <w:sz w:val="21"/>
          <w:szCs w:val="21"/>
          <w:highlight w:val="none"/>
          <w:lang w:val="en-US"/>
        </w:rPr>
        <w:t>开户银行名称：</w:t>
      </w:r>
    </w:p>
    <w:p>
      <w:pPr>
        <w:pStyle w:val="19"/>
        <w:spacing w:line="360" w:lineRule="auto"/>
        <w:ind w:firstLine="420" w:firstLineChars="200"/>
        <w:jc w:val="left"/>
        <w:outlineLvl w:val="9"/>
        <w:rPr>
          <w:rFonts w:hint="eastAsia" w:hAnsi="宋体" w:cs="宋体"/>
          <w:b w:val="0"/>
          <w:bCs w:val="0"/>
          <w:color w:val="auto"/>
          <w:kern w:val="0"/>
          <w:sz w:val="21"/>
          <w:szCs w:val="21"/>
          <w:highlight w:val="none"/>
          <w:lang w:val="en-US"/>
        </w:rPr>
      </w:pPr>
      <w:r>
        <w:rPr>
          <w:rFonts w:hint="eastAsia" w:hAnsi="宋体" w:cs="宋体"/>
          <w:b w:val="0"/>
          <w:bCs w:val="0"/>
          <w:color w:val="auto"/>
          <w:kern w:val="0"/>
          <w:sz w:val="21"/>
          <w:szCs w:val="21"/>
          <w:highlight w:val="none"/>
          <w:lang w:val="en-US"/>
        </w:rPr>
        <w:t>银行账号：</w:t>
      </w:r>
    </w:p>
    <w:p>
      <w:pPr>
        <w:spacing w:line="360" w:lineRule="auto"/>
        <w:ind w:firstLine="413" w:firstLineChars="196"/>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第五条 服务要求</w:t>
      </w:r>
    </w:p>
    <w:p>
      <w:pPr>
        <w:spacing w:line="360" w:lineRule="auto"/>
        <w:ind w:firstLine="424" w:firstLineChars="202"/>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乙方配合服务设备操作人员</w:t>
      </w:r>
      <w:r>
        <w:rPr>
          <w:rFonts w:hint="eastAsia" w:ascii="宋体" w:hAnsi="宋体" w:eastAsia="宋体" w:cs="宋体"/>
          <w:color w:val="auto"/>
          <w:szCs w:val="21"/>
          <w:highlight w:val="none"/>
        </w:rPr>
        <w:t>应按照</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制定的设备生产工艺参数执行落实，保证满足污泥处理量</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rPr>
        <w:t>及含水率标准</w:t>
      </w:r>
      <w:r>
        <w:rPr>
          <w:rFonts w:hint="eastAsia" w:ascii="宋体" w:hAnsi="宋体" w:eastAsia="宋体" w:cs="宋体"/>
          <w:color w:val="auto"/>
          <w:szCs w:val="21"/>
          <w:highlight w:val="none"/>
          <w:lang w:eastAsia="zh-CN"/>
        </w:rPr>
        <w:t>。</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乙方配合服务设备操作人员</w:t>
      </w:r>
      <w:r>
        <w:rPr>
          <w:rFonts w:hint="eastAsia" w:ascii="宋体" w:hAnsi="宋体" w:eastAsia="宋体" w:cs="宋体"/>
          <w:color w:val="auto"/>
          <w:szCs w:val="21"/>
          <w:highlight w:val="none"/>
        </w:rPr>
        <w:t>应根据运输计划，保证现场运作顺畅，指引车辆到达指定装卸地点进行装车，装车完毕后配合项目所在厂区和</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进行取样。完成取样后，监督车辆盖上帆布，满足要求后放行。其中，外运装车取样的含水率由所在厂区的化验室进行检测，由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填写《含水率检测统计台账》，该《含水率检测统计台账》作为服务费结算依据。</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乙方配合服务设备操作人员</w:t>
      </w:r>
      <w:r>
        <w:rPr>
          <w:rFonts w:hint="eastAsia" w:ascii="宋体" w:hAnsi="宋体" w:eastAsia="宋体" w:cs="宋体"/>
          <w:color w:val="auto"/>
          <w:szCs w:val="21"/>
          <w:highlight w:val="none"/>
        </w:rPr>
        <w:t>应根据</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 xml:space="preserve">的要求，在生产过程中定期使用含水率检测仪测量泥饼含水率，并记录于《生产日报表》，便于对生产工艺调整。 </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配合服务设备操作人员</w:t>
      </w:r>
      <w:r>
        <w:rPr>
          <w:rFonts w:hint="eastAsia" w:ascii="宋体" w:hAnsi="宋体" w:eastAsia="宋体" w:cs="宋体"/>
          <w:color w:val="auto"/>
          <w:szCs w:val="21"/>
          <w:highlight w:val="none"/>
        </w:rPr>
        <w:t>应根据甲方的要求，如实记录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生产日报表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生产日报表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包含日常生产中的主要设备及配套设备的运行参数、处理量、药剂使用量、能源使用量、泥饼产生量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含水率</w:t>
      </w:r>
      <w:r>
        <w:rPr>
          <w:rFonts w:hint="eastAsia" w:ascii="宋体" w:hAnsi="宋体" w:eastAsia="宋体" w:cs="宋体"/>
          <w:color w:val="auto"/>
          <w:szCs w:val="21"/>
          <w:highlight w:val="none"/>
        </w:rPr>
        <w:t>等。</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lang w:val="en-US" w:eastAsia="zh-CN"/>
        </w:rPr>
        <w:t>配合服务设备操作人员</w:t>
      </w:r>
      <w:r>
        <w:rPr>
          <w:rFonts w:hint="eastAsia" w:ascii="宋体" w:hAnsi="宋体" w:eastAsia="宋体" w:cs="宋体"/>
          <w:color w:val="auto"/>
          <w:szCs w:val="21"/>
          <w:highlight w:val="none"/>
        </w:rPr>
        <w:t>应配合</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管理好生产设备，并做好项目内各项设备设施的日常养护，含机械硬件更换、管道补漏及防锈防腐等，以满足项目运营的需要。乙方</w:t>
      </w:r>
      <w:r>
        <w:rPr>
          <w:rFonts w:hint="eastAsia" w:ascii="宋体" w:hAnsi="宋体" w:eastAsia="宋体" w:cs="宋体"/>
          <w:color w:val="auto"/>
          <w:szCs w:val="21"/>
          <w:highlight w:val="none"/>
          <w:lang w:val="en-US" w:eastAsia="zh-CN"/>
        </w:rPr>
        <w:t>配合服务设备操作人员</w:t>
      </w:r>
      <w:r>
        <w:rPr>
          <w:rFonts w:hint="eastAsia" w:ascii="宋体" w:hAnsi="宋体" w:eastAsia="宋体" w:cs="宋体"/>
          <w:color w:val="auto"/>
          <w:szCs w:val="21"/>
          <w:highlight w:val="none"/>
        </w:rPr>
        <w:t>对项目内的设备故障有预判和告知的义务，</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rPr>
        <w:t>项目仓库中缺少维修维护所需物资时，应提前10个工作日将需求告知</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、乙方应为配合服务设备操作人员提供统一工作服和劳保鞋等个人专用</w:t>
      </w:r>
      <w:r>
        <w:rPr>
          <w:rFonts w:hint="eastAsia" w:ascii="宋体" w:hAnsi="宋体" w:eastAsia="宋体" w:cs="宋体"/>
          <w:color w:val="auto"/>
          <w:szCs w:val="21"/>
          <w:highlight w:val="none"/>
          <w:lang w:val="en-US" w:eastAsia="zh-CN"/>
        </w:rPr>
        <w:t>劳保用</w:t>
      </w:r>
      <w:r>
        <w:rPr>
          <w:rFonts w:hint="eastAsia" w:ascii="宋体" w:hAnsi="宋体" w:eastAsia="宋体" w:cs="宋体"/>
          <w:color w:val="auto"/>
          <w:szCs w:val="21"/>
          <w:highlight w:val="none"/>
        </w:rPr>
        <w:t>品。</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、乙方派驻现场的人员根据各项目点设备设施配套情况，持有对应操作证（如：市区厂众源移动式（含一二期和三期）和长安新区众源移动式的人员需要持有叉车操作证）。合同履约过程中如有新要求，</w:t>
      </w:r>
      <w:r>
        <w:rPr>
          <w:rFonts w:hint="eastAsia" w:ascii="宋体" w:hAnsi="宋体" w:eastAsia="宋体" w:cs="宋体"/>
          <w:color w:val="auto"/>
          <w:szCs w:val="21"/>
          <w:highlight w:val="none"/>
          <w:lang w:val="en-US" w:eastAsia="zh-CN"/>
        </w:rPr>
        <w:t>甲方将</w:t>
      </w:r>
      <w:r>
        <w:rPr>
          <w:rFonts w:hint="eastAsia" w:ascii="宋体" w:hAnsi="宋体" w:eastAsia="宋体" w:cs="宋体"/>
          <w:color w:val="auto"/>
          <w:szCs w:val="21"/>
          <w:highlight w:val="none"/>
        </w:rPr>
        <w:t>以书面形式通知</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乙方应做好生产现场卫生工作，保证项目生产现场室内、外环境干净整洁，物品摆放整齐，无烟头污渍等，照明设施完好，道路通畅，生产设备设施的外立面简洁美观，无明显的破损及渗漏，无泥水、泥饼等跑、冒、滴、漏的现象。</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乙方应</w:t>
      </w:r>
      <w:r>
        <w:rPr>
          <w:rFonts w:hint="eastAsia" w:ascii="宋体" w:hAnsi="宋体" w:eastAsia="宋体" w:cs="宋体"/>
          <w:color w:val="auto"/>
          <w:szCs w:val="21"/>
          <w:highlight w:val="none"/>
        </w:rPr>
        <w:t>接受和配合甲方及其上级主管部门对本项目的监督管理，服从甲方安全生产管理，如发现乙方未按甲方要求或执行内容不符合设计和规范要求行为的（包括但不限于系统操作不当、未按要求对设备进行维护等），甲方有权要求乙方限期改正，由此产生的费用由乙方全部承担。</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、其它属于本项目</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范围内的甲方临时交办的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任务。</w:t>
      </w:r>
    </w:p>
    <w:p>
      <w:pPr>
        <w:spacing w:line="360" w:lineRule="auto"/>
        <w:ind w:firstLine="413" w:firstLineChars="196"/>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第六条 管理要求</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应根据设备操作人员数量和项目情况，配备专门的项目管理人员，负责管理</w:t>
      </w:r>
      <w:r>
        <w:rPr>
          <w:rFonts w:hint="eastAsia" w:ascii="宋体" w:hAnsi="宋体" w:eastAsia="宋体" w:cs="宋体"/>
          <w:color w:val="auto"/>
          <w:szCs w:val="21"/>
          <w:highlight w:val="none"/>
          <w:lang w:val="en-US" w:eastAsia="zh-CN"/>
        </w:rPr>
        <w:t>配合服务</w:t>
      </w:r>
      <w:r>
        <w:rPr>
          <w:rFonts w:hint="eastAsia" w:ascii="宋体" w:hAnsi="宋体" w:eastAsia="宋体" w:cs="宋体"/>
          <w:color w:val="auto"/>
          <w:szCs w:val="21"/>
          <w:highlight w:val="none"/>
        </w:rPr>
        <w:t>设备操作人员的日常事务，协调处理</w:t>
      </w:r>
      <w:r>
        <w:rPr>
          <w:rFonts w:hint="eastAsia" w:ascii="宋体" w:hAnsi="宋体" w:eastAsia="宋体" w:cs="宋体"/>
          <w:color w:val="auto"/>
          <w:szCs w:val="21"/>
          <w:highlight w:val="none"/>
          <w:lang w:val="en-US" w:eastAsia="zh-CN"/>
        </w:rPr>
        <w:t>配合服务</w:t>
      </w:r>
      <w:r>
        <w:rPr>
          <w:rFonts w:hint="eastAsia" w:ascii="宋体" w:hAnsi="宋体" w:eastAsia="宋体" w:cs="宋体"/>
          <w:color w:val="auto"/>
          <w:szCs w:val="21"/>
          <w:highlight w:val="none"/>
        </w:rPr>
        <w:t>设备操作人员与</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之间的关系。此外，每个已投产的项目，</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安排1名现场生产班长驻点，负责统筹项目点内安全生产、</w:t>
      </w:r>
      <w:r>
        <w:rPr>
          <w:rFonts w:hint="eastAsia" w:ascii="宋体" w:hAnsi="宋体" w:eastAsia="宋体" w:cs="宋体"/>
          <w:color w:val="auto"/>
          <w:szCs w:val="21"/>
          <w:highlight w:val="none"/>
          <w:lang w:val="en-US" w:eastAsia="zh-CN"/>
        </w:rPr>
        <w:t>乙方履约情况监督</w:t>
      </w:r>
      <w:r>
        <w:rPr>
          <w:rFonts w:hint="eastAsia" w:ascii="宋体" w:hAnsi="宋体" w:eastAsia="宋体" w:cs="宋体"/>
          <w:color w:val="auto"/>
          <w:szCs w:val="21"/>
          <w:highlight w:val="none"/>
        </w:rPr>
        <w:t>、设备常规保养、药耗管控、仓库物资管控等工作，如涉及生产项目的设备操作或工艺调整的问题以</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的现场生产班长指令为主。</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收到</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进场通知书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后，应根据项目点生产情况，在10个工作日内安排充足的</w:t>
      </w:r>
      <w:r>
        <w:rPr>
          <w:rFonts w:hint="eastAsia" w:ascii="宋体" w:hAnsi="宋体" w:eastAsia="宋体" w:cs="宋体"/>
          <w:color w:val="auto"/>
          <w:szCs w:val="21"/>
          <w:highlight w:val="none"/>
          <w:lang w:val="en-US" w:eastAsia="zh-CN"/>
        </w:rPr>
        <w:t>配合服务</w:t>
      </w:r>
      <w:r>
        <w:rPr>
          <w:rFonts w:hint="eastAsia" w:ascii="宋体" w:hAnsi="宋体" w:eastAsia="宋体" w:cs="宋体"/>
          <w:color w:val="auto"/>
          <w:szCs w:val="21"/>
          <w:highlight w:val="none"/>
        </w:rPr>
        <w:t>设备操作人员，必须满足污水厂的污泥脱水需求，且不论项目点是否停产，需保持</w:t>
      </w:r>
      <w:r>
        <w:rPr>
          <w:rFonts w:hint="eastAsia" w:ascii="宋体" w:hAnsi="宋体" w:eastAsia="宋体" w:cs="宋体"/>
          <w:color w:val="auto"/>
          <w:szCs w:val="21"/>
          <w:highlight w:val="none"/>
          <w:lang w:val="en-US" w:eastAsia="zh-CN"/>
        </w:rPr>
        <w:t>每个项目</w:t>
      </w:r>
      <w:r>
        <w:rPr>
          <w:rFonts w:hint="eastAsia" w:ascii="宋体" w:hAnsi="宋体" w:eastAsia="宋体" w:cs="宋体"/>
          <w:color w:val="auto"/>
          <w:szCs w:val="21"/>
          <w:highlight w:val="none"/>
        </w:rPr>
        <w:t>24小时必须有人员值班，每班至少1人。</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、甲方有权要求乙方调换不适合</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要求的配合服务设备操作人员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在服务期间，</w:t>
      </w:r>
      <w:r>
        <w:rPr>
          <w:rFonts w:hint="eastAsia" w:ascii="宋体" w:hAnsi="宋体" w:eastAsia="宋体" w:cs="宋体"/>
          <w:color w:val="auto"/>
          <w:szCs w:val="21"/>
          <w:highlight w:val="none"/>
          <w:lang w:val="en-US" w:eastAsia="zh-CN"/>
        </w:rPr>
        <w:t>为保持服务的连续性，</w:t>
      </w:r>
      <w:r>
        <w:rPr>
          <w:rFonts w:hint="eastAsia" w:ascii="宋体" w:hAnsi="宋体" w:eastAsia="宋体" w:cs="宋体"/>
          <w:color w:val="auto"/>
          <w:szCs w:val="21"/>
          <w:highlight w:val="none"/>
        </w:rPr>
        <w:t>未经甲方</w:t>
      </w:r>
      <w:r>
        <w:rPr>
          <w:rFonts w:hint="eastAsia" w:ascii="宋体" w:hAnsi="宋体" w:eastAsia="宋体" w:cs="宋体"/>
          <w:color w:val="auto"/>
          <w:szCs w:val="21"/>
          <w:highlight w:val="none"/>
          <w:lang w:val="en-US" w:eastAsia="zh-CN"/>
        </w:rPr>
        <w:t>书面</w:t>
      </w:r>
      <w:r>
        <w:rPr>
          <w:rFonts w:hint="eastAsia" w:ascii="宋体" w:hAnsi="宋体" w:eastAsia="宋体" w:cs="宋体"/>
          <w:color w:val="auto"/>
          <w:szCs w:val="21"/>
          <w:highlight w:val="none"/>
        </w:rPr>
        <w:t>同意，乙方不得随意更换配合服务设备操作人员，如有配合服务设备操作人员离职</w:t>
      </w:r>
      <w:r>
        <w:rPr>
          <w:rFonts w:hint="eastAsia" w:ascii="宋体" w:hAnsi="宋体" w:eastAsia="宋体" w:cs="宋体"/>
          <w:color w:val="auto"/>
          <w:szCs w:val="21"/>
          <w:highlight w:val="none"/>
          <w:lang w:val="en-US" w:eastAsia="zh-CN"/>
        </w:rPr>
        <w:t>需更换</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乙方应</w:t>
      </w:r>
      <w:r>
        <w:rPr>
          <w:rFonts w:hint="eastAsia" w:ascii="宋体" w:hAnsi="宋体" w:eastAsia="宋体" w:cs="宋体"/>
          <w:color w:val="auto"/>
          <w:szCs w:val="21"/>
          <w:highlight w:val="none"/>
        </w:rPr>
        <w:t>提前10</w:t>
      </w:r>
      <w:r>
        <w:rPr>
          <w:rFonts w:hint="eastAsia" w:ascii="宋体" w:hAnsi="宋体" w:eastAsia="宋体" w:cs="宋体"/>
          <w:color w:val="auto"/>
          <w:szCs w:val="21"/>
          <w:highlight w:val="none"/>
          <w:lang w:val="en-US" w:eastAsia="zh-CN"/>
        </w:rPr>
        <w:t>天</w:t>
      </w:r>
      <w:r>
        <w:rPr>
          <w:rFonts w:hint="eastAsia" w:ascii="宋体" w:hAnsi="宋体" w:eastAsia="宋体" w:cs="宋体"/>
          <w:color w:val="auto"/>
          <w:szCs w:val="21"/>
          <w:highlight w:val="none"/>
        </w:rPr>
        <w:t>告知</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配合服务</w:t>
      </w:r>
      <w:r>
        <w:rPr>
          <w:rFonts w:hint="eastAsia" w:ascii="宋体" w:hAnsi="宋体" w:eastAsia="宋体" w:cs="宋体"/>
          <w:color w:val="auto"/>
          <w:szCs w:val="21"/>
          <w:highlight w:val="none"/>
        </w:rPr>
        <w:t>设备操作人员因为调走、辞职、被</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辞退或其他原因导致人手不足的，</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必须在3个工作日内补充符合甲方要求的配合服务设备操作人员以满足项目生产需要。</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、由于</w:t>
      </w:r>
      <w:r>
        <w:rPr>
          <w:rFonts w:hint="eastAsia" w:ascii="宋体" w:hAnsi="宋体" w:eastAsia="宋体" w:cs="宋体"/>
          <w:color w:val="auto"/>
          <w:szCs w:val="21"/>
          <w:highlight w:val="none"/>
          <w:lang w:val="en-US" w:eastAsia="zh-CN"/>
        </w:rPr>
        <w:t>非甲方</w:t>
      </w:r>
      <w:r>
        <w:rPr>
          <w:rFonts w:hint="eastAsia" w:ascii="宋体" w:hAnsi="宋体" w:eastAsia="宋体" w:cs="宋体"/>
          <w:color w:val="auto"/>
          <w:szCs w:val="21"/>
          <w:highlight w:val="none"/>
        </w:rPr>
        <w:t>原因造成配合服务设备操作人员的</w:t>
      </w:r>
      <w:r>
        <w:rPr>
          <w:rFonts w:hint="eastAsia" w:ascii="宋体" w:hAnsi="宋体" w:eastAsia="宋体" w:cs="宋体"/>
          <w:color w:val="auto"/>
          <w:szCs w:val="21"/>
          <w:highlight w:val="none"/>
          <w:lang w:val="en-US" w:eastAsia="zh-CN"/>
        </w:rPr>
        <w:t>人身或财产损害</w:t>
      </w:r>
      <w:r>
        <w:rPr>
          <w:rFonts w:hint="eastAsia" w:ascii="宋体" w:hAnsi="宋体" w:eastAsia="宋体" w:cs="宋体"/>
          <w:color w:val="auto"/>
          <w:szCs w:val="21"/>
          <w:highlight w:val="none"/>
        </w:rPr>
        <w:t>，所产生的损失及后果由乙方承担。因配合服务设备操作人员蓄意破坏甲方现场设备设施、违反相关管理规定造成甲方损失的，视为乙方严重违约，由乙方承担相应的违约责任，并赔偿甲方损失。</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、乙方项目管理人员应配合甲方对各生产项目的药剂使用量、物资使用量及电耗进行监管，杜绝不必要的浪费。</w:t>
      </w:r>
    </w:p>
    <w:p>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、乙方应</w:t>
      </w:r>
      <w:r>
        <w:rPr>
          <w:rFonts w:hint="eastAsia" w:ascii="宋体" w:hAnsi="宋体" w:eastAsia="宋体" w:cs="宋体"/>
          <w:color w:val="auto"/>
          <w:szCs w:val="21"/>
          <w:highlight w:val="none"/>
          <w:lang w:val="en-US" w:eastAsia="zh-CN"/>
        </w:rPr>
        <w:t>对安排到甲方现场的</w:t>
      </w:r>
      <w:r>
        <w:rPr>
          <w:rFonts w:hint="eastAsia" w:ascii="宋体" w:hAnsi="宋体" w:eastAsia="宋体" w:cs="宋体"/>
          <w:color w:val="auto"/>
          <w:szCs w:val="21"/>
          <w:highlight w:val="none"/>
        </w:rPr>
        <w:t>配合服务设备操作人员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需建立花名册（包含姓名、性别、身份证号、联系电话、人员健康情况是否满足生产需求）。乙方需在派驻设备操作人员到项目点的2日内，将进场人员花名册交给甲方报备。</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、乙方应按甲方要求，要求配合服务设备操作人员严格遵守甲方的规章制度和管理规范规程、忠于职守、文明礼貌、严格遵守劳动纪律、服从和执行甲方作出的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安排，</w:t>
      </w:r>
      <w:r>
        <w:rPr>
          <w:rFonts w:hint="eastAsia" w:ascii="宋体" w:hAnsi="宋体" w:eastAsia="宋体" w:cs="宋体"/>
          <w:color w:val="auto"/>
          <w:szCs w:val="21"/>
          <w:highlight w:val="none"/>
          <w:lang w:val="en-US" w:eastAsia="zh-CN"/>
        </w:rPr>
        <w:t>乙方应</w:t>
      </w:r>
      <w:r>
        <w:rPr>
          <w:rFonts w:hint="eastAsia" w:ascii="宋体" w:hAnsi="宋体" w:eastAsia="宋体" w:cs="宋体"/>
          <w:color w:val="auto"/>
          <w:szCs w:val="21"/>
          <w:highlight w:val="none"/>
        </w:rPr>
        <w:t>接受甲方管理人员的检查监督。</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乙方应教育、督促配合服务设备操作人员不得以任何形式向他人提供或泄露甲方的商业秘密，保证甲方利益不受损失，对甲方各类资料、业务数据等应按照甲方相关文件及工作要求执行保密工作。乙方须对在履行本合同过程中获悉的甲方信息承担保密义务。本合同终止后，合同约定的保密义务仍然有效，不因本合同的撤销、解除、终止而失效，直至保密信息被依法公开为止。</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、乙方须接受甲方对其提供的服务质量检查，且须保证能随时接受行业主管部门的质量考核，并对甲方提出的服务质量改进建议予以及时响应和整改。</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、乙方应定期向甲方汇报服务项目的相关事项，如发生突发性事件，乙方应及时向甲方通报。</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、乙方需遵守国家劳动法，保障配合服务设备操作人员的合法权益，配合服务设备操作人员的</w:t>
      </w:r>
      <w:r>
        <w:rPr>
          <w:rFonts w:hint="eastAsia" w:ascii="宋体" w:hAnsi="宋体" w:eastAsia="宋体" w:cs="宋体"/>
          <w:color w:val="auto"/>
          <w:szCs w:val="21"/>
          <w:highlight w:val="none"/>
          <w:lang w:val="en-US" w:eastAsia="zh-CN"/>
        </w:rPr>
        <w:t>服务内容</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时间由乙方按照甲方的项目需求进行分配和管理，乙方对配合服务设备操作人员的撤换或辞退等行为不得影响乙方提供的服务质量。</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、乙方应严格执行《中华人民共和国安全生产法》、《企业安全生产标准化基本规范》（</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"http://www.csres.com/detail/292641.html" \t "http://www.csres.com/detail/_blank"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GB/T 33000-2016</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等国家有关安全生产和劳动保护的规范和标准，贯彻执行甲方各项安全生产管理规章制度，建立完善的安全生产和劳动保护体系，熟知作业场所和工作岗位存在的危险因素、防范措施以及事故应急措施，并制定相应的操作规程。</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、乙方应当以自身的技术和劳动力完成项目的主要工作，未经甲方书面同意，乙方不得将本合同部分或全部的权利义务</w:t>
      </w:r>
      <w:r>
        <w:rPr>
          <w:rFonts w:hint="eastAsia" w:ascii="宋体" w:hAnsi="宋体" w:eastAsia="宋体" w:cs="宋体"/>
          <w:color w:val="auto"/>
          <w:szCs w:val="21"/>
          <w:highlight w:val="none"/>
          <w:lang w:val="en-US" w:eastAsia="zh-CN"/>
        </w:rPr>
        <w:t>分包</w:t>
      </w:r>
      <w:r>
        <w:rPr>
          <w:rFonts w:hint="eastAsia" w:ascii="宋体" w:hAnsi="宋体" w:eastAsia="宋体" w:cs="宋体"/>
          <w:color w:val="auto"/>
          <w:szCs w:val="21"/>
          <w:highlight w:val="none"/>
        </w:rPr>
        <w:t>给第三人。</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甲方与乙方安排的设备操作人员不存在任何劳动或劳务关系，乙方应对其安排的设备操作人员人身、财产安全及相关行为负完全责任，并提供必要的劳动保护条件等，对其人员的意外工伤、死亡承担责任，负责处理与其人员产生的劳动争议，并承担有关追讨、诉讼及赔偿等费用，甲方无须对这些意外工伤、死亡或劳动争议承担任何责任。乙方应按时足额向设备操作人员发放工资报酬，若因乙方未足额发放工资报酬而导致设备操作人员数量不能满足项目要求的，乙方应立即补充安排充足的服务人员</w:t>
      </w:r>
      <w:r>
        <w:rPr>
          <w:rFonts w:hint="eastAsia" w:ascii="宋体" w:hAnsi="宋体" w:eastAsia="宋体" w:cs="宋体"/>
          <w:color w:val="auto"/>
          <w:szCs w:val="21"/>
          <w:highlight w:val="none"/>
        </w:rPr>
        <w:t>。</w:t>
      </w:r>
    </w:p>
    <w:p>
      <w:pPr>
        <w:spacing w:line="360" w:lineRule="auto"/>
        <w:ind w:firstLine="413" w:firstLineChars="196"/>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第七条 双方的权利与义务</w:t>
      </w:r>
    </w:p>
    <w:p>
      <w:pPr>
        <w:tabs>
          <w:tab w:val="left" w:pos="142"/>
        </w:tabs>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1、甲方权利和义务</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（1）甲方有权要求乙方配合服务设备操作人员遵守职业操守，做好与</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内容有关信息的保密工作。</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（2）甲方有权要求乙方根据项目工作需要对配合服务设备操作人员的</w:t>
      </w:r>
      <w:r>
        <w:rPr>
          <w:rFonts w:hint="eastAsia" w:ascii="宋体" w:hAnsi="宋体" w:eastAsia="宋体" w:cs="宋体"/>
          <w:color w:val="auto"/>
          <w:szCs w:val="21"/>
          <w:highlight w:val="none"/>
          <w:lang w:val="en-US" w:eastAsia="zh-CN"/>
        </w:rPr>
        <w:t>服务时间</w:t>
      </w:r>
      <w:r>
        <w:rPr>
          <w:rFonts w:hint="eastAsia" w:ascii="宋体" w:hAnsi="宋体" w:eastAsia="宋体" w:cs="宋体"/>
          <w:color w:val="auto"/>
          <w:szCs w:val="21"/>
          <w:highlight w:val="none"/>
        </w:rPr>
        <w:t>进行合理调整，如乙方需安排配合服务设备操作人员加班的，应符合相关法律法规的规定</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并承担相关的费用</w:t>
      </w:r>
      <w:r>
        <w:rPr>
          <w:rFonts w:hint="eastAsia" w:ascii="宋体" w:hAnsi="宋体" w:eastAsia="宋体" w:cs="宋体"/>
          <w:color w:val="auto"/>
          <w:szCs w:val="21"/>
          <w:highlight w:val="none"/>
        </w:rPr>
        <w:t>。</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（3）与乙方共同确认污泥减量化实际产量。</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有权不定期地对各处理系统进行检查、巡查、巡视等，有权对各种泥样、水样进行取样检测、分析。如发现乙方存在未按合同及附件相关文件规定执行，或执行内容不符合设计和规范要求行为的（包括但不限于系统操作不当，设备使用不当等），甲方有权要求乙方限期改正等，由此产生的费用由乙方全部承担。</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（5）监督、指导乙方进行运营管理工作，及时纠正乙方出现问题，甲方有权要求乙方对不符合要求的问题提出书面整改意见，乙方应在甲方规定的时间内完成整改。</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（6）甲方认为乙方有任何违反或可能违反本合同行为，甲方有权提出书面意见要求乙方限期整改。乙方应在收到甲方的书面意见后10个工作日内，以书面形式将其整改的措施和结果回复甲方。</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（7）甲方不得将本合同的内容向甲乙双方以外的、与签订和履行本合同无关的任何第三方透露，不得泄露乙方的商业秘密（包括本合同及其附件和合同签订前的各项方案）。</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（8）本合同不具排他性，甲方具有将本合同项下的污泥脱水减量配合服务委托其他有资质的第三方服务的权利。</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（9）根据本合同约定，乙方应支付的违约金、赔偿金、费用等，甲方有权从未支付的配合服务费中直接抵扣。</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在乙方无违约的情况下，</w:t>
      </w:r>
      <w:r>
        <w:rPr>
          <w:rFonts w:hint="eastAsia" w:ascii="宋体" w:hAnsi="宋体" w:eastAsia="宋体" w:cs="宋体"/>
          <w:color w:val="auto"/>
          <w:szCs w:val="21"/>
          <w:highlight w:val="none"/>
        </w:rPr>
        <w:t>甲方按照既定的审批支付程序，及时办理配合服务费的支付手续。</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（11）招标文件、本合同文件及附件内容约定的甲方其他权利义务。</w:t>
      </w:r>
    </w:p>
    <w:p>
      <w:pPr>
        <w:tabs>
          <w:tab w:val="left" w:pos="142"/>
        </w:tabs>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2、乙方权利和义务</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（1）乙方应根据项目点生产情况，安排充足的配合服务设备操作人员，必须满足污水处理厂的污泥脱水需求，且不论项目点是否停车，乙方需保持</w:t>
      </w:r>
      <w:r>
        <w:rPr>
          <w:rFonts w:hint="eastAsia" w:ascii="宋体" w:hAnsi="宋体" w:eastAsia="宋体" w:cs="宋体"/>
          <w:color w:val="auto"/>
          <w:szCs w:val="21"/>
          <w:highlight w:val="none"/>
          <w:lang w:val="en-US" w:eastAsia="zh-CN"/>
        </w:rPr>
        <w:t>每个项目</w:t>
      </w:r>
      <w:r>
        <w:rPr>
          <w:rFonts w:hint="eastAsia" w:ascii="宋体" w:hAnsi="宋体" w:eastAsia="宋体" w:cs="宋体"/>
          <w:color w:val="auto"/>
          <w:szCs w:val="21"/>
          <w:highlight w:val="none"/>
        </w:rPr>
        <w:t>24小时必须有人员值班，每班至少1人。</w:t>
      </w:r>
    </w:p>
    <w:p>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（2）乙方应按甲方的要求连续不断的使用甲方提供的污泥脱水减量设备进行生产，若乙方出现人力不足时，乙方有义务增加人员，以满足项目需求。</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乙方接到甲方《进场通知书》后10个工作日内</w:t>
      </w:r>
      <w:r>
        <w:rPr>
          <w:rFonts w:hint="eastAsia" w:ascii="宋体" w:hAnsi="宋体" w:eastAsia="宋体" w:cs="宋体"/>
          <w:color w:val="auto"/>
          <w:szCs w:val="21"/>
          <w:highlight w:val="none"/>
        </w:rPr>
        <w:t>，乙方应根据项目点生产情况</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安排满足污水厂的污泥脱水需求的</w:t>
      </w:r>
      <w:r>
        <w:rPr>
          <w:rFonts w:hint="eastAsia" w:ascii="宋体" w:hAnsi="宋体" w:eastAsia="宋体" w:cs="宋体"/>
          <w:color w:val="auto"/>
          <w:szCs w:val="21"/>
          <w:highlight w:val="none"/>
        </w:rPr>
        <w:t>配合服务设备操作人员，向配合服务设备操作人员如实说明甲方的</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要求及</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rPr>
        <w:t>环境，处理配合服务设备操作人员涉及劳动关系的相关事宜。如乙方配合服务设备操作人员在服务过程中发生工伤事件或意外事故的，由乙方依法妥善处理，承担全部责任并支付全部费用，并应确保不影响本项目的正常运行。如因此导致甲方损失的，乙方应承担全部赔偿责任。</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）未经甲方书面同意，乙方不得更换项目负责人员、技术服务人员，否则视为违约。</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）乙方应按照甲方制定的设备生产工艺参数执行落实，保证满足污泥处理量及含水率要求。</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乙方应严格执行本合同服务范围内甲方、污泥产生单位及污水处理厂的管理规章制度，并根据甲方的生产调度安排，配合甲方进行本合同项目的污泥脱水的生产运营，不能对项目服务范围内的污水处理厂的正常生产运营、出水达标造成影响。</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乙方应</w:t>
      </w:r>
      <w:r>
        <w:rPr>
          <w:rFonts w:hint="eastAsia" w:ascii="宋体" w:hAnsi="宋体" w:eastAsia="宋体" w:cs="宋体"/>
          <w:color w:val="auto"/>
          <w:szCs w:val="21"/>
          <w:highlight w:val="none"/>
        </w:rPr>
        <w:t>建立及完善符合本项目实施所要求的内部管理制度，如因质量问题、操作不当或乙方自身管理原因而造成一切责任及经济损失由乙方承担。</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）在服务范围内按规范操作运行各处理系统，并做好各处理系统及配套设施的保护工作。若因乙方防护不力而造成损失，一切责任及经济损失由乙方承担。</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乙方应当严格按照本合同约定和甲方确定的服务要求开展污泥脱水减量配合服务业务，提供污泥脱水减量配合服务。在污泥脱水减量配合服务业务开展过程中，未经甲方许可，乙方不得影响甲方其他业务的开展，不得安排配合服务设备操作人员进行与污泥脱水减量配合服务内容无关的工作。</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乙方应对配合服务设备操作人员进行职业道德教育，监督检查配合服务设备操作人员执行甲方规章制度的情况，正确和梳理操作甲方设备设施开展污泥脱水减量配合服务工作，对违规违法员工进行处理，维护甲方正常的工作、业务秩序。</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）在本合同履行期间，乙方应承担项目的安全管理责任。由于乙方怠于履行安全管理义务或存在其它服务不当行为导致甲方或第三人财产损失、安全事故或人身损害事件的，由乙方承担全部责任和赔偿。</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）除非征得甲方书面许可，乙方不得随意调换乙方配合服务设备操作人员的</w:t>
      </w:r>
      <w:r>
        <w:rPr>
          <w:rFonts w:hint="eastAsia" w:ascii="宋体" w:hAnsi="宋体" w:eastAsia="宋体" w:cs="宋体"/>
          <w:color w:val="auto"/>
          <w:szCs w:val="21"/>
          <w:highlight w:val="none"/>
          <w:lang w:val="en-US" w:eastAsia="zh-CN"/>
        </w:rPr>
        <w:t>服务内容</w:t>
      </w:r>
      <w:r>
        <w:rPr>
          <w:rFonts w:hint="eastAsia" w:ascii="宋体" w:hAnsi="宋体" w:eastAsia="宋体" w:cs="宋体"/>
          <w:color w:val="auto"/>
          <w:szCs w:val="21"/>
          <w:highlight w:val="none"/>
        </w:rPr>
        <w:t>，更不得随意更换乙方配合服务设备操作人员（乙方配合服务设备操作人员提出辞职或因服务不达标被乙方进行岗位调整的情况除外，但乙方应及时通知甲方上述情形）。</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严格遵守有关安全管理规定，严格按相关安全标准组织服务和应急抢险工作，采取必要的安全防护措施，消除事故隐患。由于乙方服务不当、安全措施不力造成财产、人身及安全事故的，其责任和因此发生的费用，由乙方承担。</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）乙方应根据甲方的要求，如实记录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生产</w:t>
      </w:r>
      <w:r>
        <w:rPr>
          <w:rFonts w:hint="eastAsia" w:ascii="宋体" w:hAnsi="宋体" w:eastAsia="宋体" w:cs="宋体"/>
          <w:color w:val="auto"/>
          <w:szCs w:val="21"/>
          <w:highlight w:val="none"/>
          <w:lang w:val="en-US" w:eastAsia="zh-CN"/>
        </w:rPr>
        <w:t>日报表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生产</w:t>
      </w:r>
      <w:r>
        <w:rPr>
          <w:rFonts w:hint="eastAsia" w:ascii="宋体" w:hAnsi="宋体" w:eastAsia="宋体" w:cs="宋体"/>
          <w:color w:val="auto"/>
          <w:szCs w:val="21"/>
          <w:highlight w:val="none"/>
          <w:lang w:val="en-US" w:eastAsia="zh-CN"/>
        </w:rPr>
        <w:t>日报表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应</w:t>
      </w:r>
      <w:r>
        <w:rPr>
          <w:rFonts w:hint="eastAsia" w:ascii="宋体" w:hAnsi="宋体" w:eastAsia="宋体" w:cs="宋体"/>
          <w:color w:val="auto"/>
          <w:szCs w:val="21"/>
          <w:highlight w:val="none"/>
        </w:rPr>
        <w:t>包含日常生产中的主要设备及配套设备的运行参数、处理量、药剂使用量、能源使用量、泥饼产生量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含水率</w:t>
      </w:r>
      <w:r>
        <w:rPr>
          <w:rFonts w:hint="eastAsia" w:ascii="宋体" w:hAnsi="宋体" w:eastAsia="宋体" w:cs="宋体"/>
          <w:color w:val="auto"/>
          <w:szCs w:val="21"/>
          <w:highlight w:val="none"/>
        </w:rPr>
        <w:t>等。每月10号前</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乙方应将</w:t>
      </w:r>
      <w:r>
        <w:rPr>
          <w:rFonts w:hint="eastAsia" w:ascii="宋体" w:hAnsi="宋体" w:eastAsia="宋体" w:cs="宋体"/>
          <w:color w:val="auto"/>
          <w:szCs w:val="21"/>
          <w:highlight w:val="none"/>
        </w:rPr>
        <w:t>各项目点《生产日报表》统一交由甲方保存。</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乙方应定期向甲方通报污泥脱水减量配合服务项目的相关事项，如发生突发性事件，乙方应及时向甲方通报。乙方及其工作人员及配合服务设备操作人员在工作过程中发现存在安全隐患的，应及时向甲方上报，并做好相应预防工作。</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）乙方有权按本合同约定按时足额获取污泥脱水减量配合服务费用。</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）乙方不得将本合同的内容向甲乙双方以外的，与签订和履行本合同无关的任何第三方透露，不得泄露甲方的商业秘密（包括本合同及其附件和合同签订前的各项方案）。</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）禁止乙方将全部的权利义务转让给第三人；未经甲方书面同意，乙方不得将本合同项下乙方的部分权利义务</w:t>
      </w:r>
      <w:r>
        <w:rPr>
          <w:rFonts w:hint="eastAsia" w:ascii="宋体" w:hAnsi="宋体" w:eastAsia="宋体" w:cs="宋体"/>
          <w:color w:val="auto"/>
          <w:szCs w:val="21"/>
          <w:highlight w:val="none"/>
          <w:lang w:val="en-US" w:eastAsia="zh-CN"/>
        </w:rPr>
        <w:t>分包</w:t>
      </w:r>
      <w:r>
        <w:rPr>
          <w:rFonts w:hint="eastAsia" w:ascii="宋体" w:hAnsi="宋体" w:eastAsia="宋体" w:cs="宋体"/>
          <w:color w:val="auto"/>
          <w:szCs w:val="21"/>
          <w:highlight w:val="none"/>
        </w:rPr>
        <w:t>给第三人。</w:t>
      </w:r>
    </w:p>
    <w:p>
      <w:pPr>
        <w:spacing w:line="360" w:lineRule="auto"/>
        <w:ind w:firstLine="424" w:firstLineChars="202"/>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）招标文件、本合同文件及附件内容约定的乙方其他权利义务。</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）甲方通过银行承兑汇票或商业承兑汇票支付处理服务费时，乙方还应根据相关法律法规的规定履行以下义务：</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（A）乙方不得更改票据金额、日期、收款人名称，更改的票据无效。对票据上的其他记载事项，甲方可以更改，更改时应当由甲方签章证明。</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（B）乙方应自汇票到期前十日内持汇票向汇票指定银行提示付款。乙方向银行申请汇票贴现的，贴现利息以及相关手续费用等均由乙方自行承担，甲方无需承担因此产生的利息、手续费等任何费用。</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（C）乙方获得付款的，应当在汇票上签收，并将汇票交给银行。乙方委托银行收款的，受委托的银行将代收的汇票金额转账收入乙方账户的，视同签收。</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D）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（E）本合同项下的汇票以本合同的真实合法交易关系为基础，乙方不履行合同约定义务的，甲方有权拒绝向乙方付款。</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（F）乙方不得提供伪造或变造的票据向银行提示付款，否则，乙方除需依法承担相应的法律责任外，甲方有权追究乙方违约责任，并要求乙方支付1万元违约金，如甲方因此遭受损失的，乙方还应予全额赔偿。</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）合同文件及附件内容约定的乙方其他权利义务。</w:t>
      </w:r>
    </w:p>
    <w:p>
      <w:pPr>
        <w:spacing w:line="360" w:lineRule="auto"/>
        <w:ind w:firstLine="424" w:firstLineChars="201"/>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第八条 履约担保</w:t>
      </w:r>
    </w:p>
    <w:p>
      <w:pPr>
        <w:snapToGrid w:val="0"/>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1、乙方应当在规定的时间内向甲方提供履约担保，履约担保形式及金额由乙方从以下方式中任选一种：</w:t>
      </w:r>
    </w:p>
    <w:p>
      <w:pPr>
        <w:snapToGrid w:val="0"/>
        <w:spacing w:line="360" w:lineRule="auto"/>
        <w:ind w:firstLine="371" w:firstLineChars="177"/>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 履约保证金（银行转账形式）金额为人民币</w:t>
      </w:r>
      <w:r>
        <w:rPr>
          <w:rFonts w:hint="eastAsia" w:ascii="宋体" w:hAnsi="宋体" w:eastAsia="宋体" w:cs="宋体"/>
          <w:color w:val="auto"/>
          <w:szCs w:val="21"/>
          <w:highlight w:val="none"/>
          <w:u w:val="single"/>
        </w:rPr>
        <w:t xml:space="preserve">      。</w:t>
      </w:r>
    </w:p>
    <w:p>
      <w:pPr>
        <w:snapToGrid w:val="0"/>
        <w:spacing w:line="360" w:lineRule="auto"/>
        <w:ind w:firstLine="371" w:firstLineChars="177"/>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 银行不可撤销履约保函金额为</w:t>
      </w:r>
      <w:r>
        <w:rPr>
          <w:rFonts w:hint="eastAsia" w:ascii="宋体" w:hAnsi="宋体" w:eastAsia="宋体" w:cs="宋体"/>
          <w:color w:val="auto"/>
          <w:szCs w:val="21"/>
          <w:highlight w:val="none"/>
          <w:lang w:val="zh-CN"/>
        </w:rPr>
        <w:t>人民币</w:t>
      </w:r>
      <w:r>
        <w:rPr>
          <w:rFonts w:hint="eastAsia" w:ascii="宋体" w:hAnsi="宋体" w:eastAsia="宋体" w:cs="宋体"/>
          <w:color w:val="auto"/>
          <w:szCs w:val="21"/>
          <w:highlight w:val="none"/>
          <w:u w:val="single"/>
        </w:rPr>
        <w:t xml:space="preserve">     。</w:t>
      </w:r>
    </w:p>
    <w:p>
      <w:pPr>
        <w:snapToGrid w:val="0"/>
        <w:spacing w:line="360" w:lineRule="auto"/>
        <w:ind w:firstLine="371" w:firstLineChars="177"/>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 担保公司履约担保书金额为</w:t>
      </w:r>
      <w:r>
        <w:rPr>
          <w:rFonts w:hint="eastAsia" w:ascii="宋体" w:hAnsi="宋体" w:eastAsia="宋体" w:cs="宋体"/>
          <w:color w:val="auto"/>
          <w:szCs w:val="21"/>
          <w:highlight w:val="none"/>
          <w:lang w:val="zh-CN"/>
        </w:rPr>
        <w:t>人民币</w:t>
      </w:r>
      <w:r>
        <w:rPr>
          <w:rFonts w:hint="eastAsia" w:ascii="宋体" w:hAnsi="宋体" w:eastAsia="宋体" w:cs="宋体"/>
          <w:color w:val="auto"/>
          <w:szCs w:val="21"/>
          <w:highlight w:val="none"/>
          <w:u w:val="single"/>
        </w:rPr>
        <w:t xml:space="preserve">      。</w:t>
      </w:r>
    </w:p>
    <w:p>
      <w:pPr>
        <w:snapToGrid w:val="0"/>
        <w:spacing w:line="360" w:lineRule="auto"/>
        <w:ind w:firstLine="371" w:firstLineChars="177"/>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2、履约担保用于补偿甲方因乙方不能完全履行其合同义务而蒙受的损失，如发生下列任一情况时，甲方除有权依合同追究乙方违约责任外，还有权提取履约担保并进行相应处理：</w:t>
      </w:r>
    </w:p>
    <w:p>
      <w:pPr>
        <w:snapToGrid w:val="0"/>
        <w:spacing w:line="360" w:lineRule="auto"/>
        <w:ind w:firstLine="371" w:firstLineChars="177"/>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（1）乙方将本合同项下乙方的权利义务全部转让给第三方，或未经甲方书面同意，乙方将本合同部分权利义务</w:t>
      </w:r>
      <w:r>
        <w:rPr>
          <w:rFonts w:hint="eastAsia" w:ascii="宋体" w:hAnsi="宋体" w:eastAsia="宋体" w:cs="宋体"/>
          <w:color w:val="auto"/>
          <w:szCs w:val="21"/>
          <w:highlight w:val="none"/>
          <w:lang w:val="en-US" w:eastAsia="zh-CN"/>
        </w:rPr>
        <w:t>分包</w:t>
      </w:r>
      <w:r>
        <w:rPr>
          <w:rFonts w:hint="eastAsia" w:ascii="宋体" w:hAnsi="宋体" w:eastAsia="宋体" w:cs="宋体"/>
          <w:color w:val="auto"/>
          <w:szCs w:val="21"/>
          <w:highlight w:val="none"/>
        </w:rPr>
        <w:t>给第三方，甲方有权没收其履约担保。</w:t>
      </w:r>
    </w:p>
    <w:p>
      <w:pPr>
        <w:snapToGrid w:val="0"/>
        <w:spacing w:line="360" w:lineRule="auto"/>
        <w:ind w:firstLine="371" w:firstLineChars="177"/>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（2）在合同履行期间，乙方怠于履行合同义务，经甲方通知或要求承担违约金后仍拒不改正的，甲方有权没收或适当扣除其履约担保。</w:t>
      </w:r>
    </w:p>
    <w:p>
      <w:pPr>
        <w:snapToGrid w:val="0"/>
        <w:spacing w:line="360" w:lineRule="auto"/>
        <w:ind w:firstLine="371" w:firstLineChars="177"/>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pPr>
        <w:snapToGrid w:val="0"/>
        <w:spacing w:line="360" w:lineRule="auto"/>
        <w:ind w:firstLine="371" w:firstLineChars="177"/>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（4）在合同履行期间，乙方违约产生的违约金、赔偿、罚款或其他应付费用等款项，甲方有权直接从未付服务费中扣除或使用履约担保予以支付。</w:t>
      </w:r>
    </w:p>
    <w:p>
      <w:pPr>
        <w:snapToGrid w:val="0"/>
        <w:spacing w:line="360" w:lineRule="auto"/>
        <w:ind w:left="328" w:leftChars="156"/>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（5）合同期内，乙方不能及时完成合同某项义务的，甲方有权使用履约担保用于处理该项工作。</w:t>
      </w:r>
    </w:p>
    <w:p>
      <w:pPr>
        <w:snapToGrid w:val="0"/>
        <w:spacing w:line="360" w:lineRule="auto"/>
        <w:ind w:left="328" w:leftChars="156"/>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（6）其他根据本合同约定或法律规定，甲方可使用履约担保的情形。</w:t>
      </w:r>
    </w:p>
    <w:p>
      <w:pPr>
        <w:snapToGrid w:val="0"/>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3、在本合同服务期满且乙方完成本合同项下全部服务后二十八（28）日内，甲方将履约担保余额无息退还乙方。</w:t>
      </w:r>
    </w:p>
    <w:p>
      <w:pPr>
        <w:snapToGrid w:val="0"/>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如乙方提供不可撤销银行履约保函或担保公司履约担保书作为履约担保的，不可撤销银行履约保函或担保公司履约担保书应自合同签订之日起到本合同有效期满且乙方完成本合同项下全部服务之后二十八（28）日内保持有效。</w:t>
      </w: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在合同履行过程中，不论何种原因导致履约担保数额不符合招标文件要求的，乙方应当在5日内予以补足。逾期不予补足的，甲方有权按需补足的金额要求乙方承担违约金，并要求乙方限期补足。如乙方仍不补足的，甲方有权单方解除合同。</w:t>
      </w:r>
    </w:p>
    <w:p>
      <w:pPr>
        <w:spacing w:line="360" w:lineRule="auto"/>
        <w:ind w:firstLine="413" w:firstLineChars="196"/>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第九条  违约责任</w:t>
      </w:r>
    </w:p>
    <w:p>
      <w:pPr>
        <w:spacing w:line="360" w:lineRule="auto"/>
        <w:ind w:firstLine="420" w:firstLineChars="200"/>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1、乙方接到</w:t>
      </w:r>
      <w:r>
        <w:rPr>
          <w:rFonts w:hint="eastAsia" w:ascii="宋体" w:hAnsi="宋体" w:eastAsia="宋体" w:cs="宋体"/>
          <w:bCs/>
          <w:color w:val="auto"/>
          <w:szCs w:val="21"/>
          <w:highlight w:val="none"/>
          <w:lang w:val="en-US" w:eastAsia="zh-CN"/>
        </w:rPr>
        <w:t>甲方《进场通知书》</w:t>
      </w:r>
      <w:r>
        <w:rPr>
          <w:rFonts w:hint="eastAsia" w:ascii="宋体" w:hAnsi="宋体" w:eastAsia="宋体" w:cs="宋体"/>
          <w:bCs/>
          <w:color w:val="auto"/>
          <w:szCs w:val="21"/>
          <w:highlight w:val="none"/>
        </w:rPr>
        <w:t>后，无正当理由未按本合同约定的要求开展污泥脱水减量配合服务工作的，</w:t>
      </w:r>
      <w:r>
        <w:rPr>
          <w:rFonts w:hint="eastAsia" w:ascii="宋体" w:hAnsi="宋体" w:eastAsia="宋体" w:cs="宋体"/>
          <w:color w:val="auto"/>
          <w:szCs w:val="21"/>
          <w:highlight w:val="none"/>
        </w:rPr>
        <w:t>乙方应按照3,00</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元/天向甲方支付违约金，乙方逾期10日未能</w:t>
      </w:r>
      <w:r>
        <w:rPr>
          <w:rFonts w:hint="eastAsia" w:ascii="宋体" w:hAnsi="宋体" w:eastAsia="宋体" w:cs="宋体"/>
          <w:color w:val="auto"/>
          <w:szCs w:val="21"/>
          <w:highlight w:val="none"/>
          <w:lang w:val="en-US" w:eastAsia="zh-CN"/>
        </w:rPr>
        <w:t>按本合同要求</w:t>
      </w:r>
      <w:r>
        <w:rPr>
          <w:rFonts w:hint="eastAsia" w:ascii="宋体" w:hAnsi="宋体" w:eastAsia="宋体" w:cs="宋体"/>
          <w:color w:val="auto"/>
          <w:szCs w:val="21"/>
          <w:highlight w:val="none"/>
        </w:rPr>
        <w:t>开展污泥脱水减量配合服务工作</w:t>
      </w:r>
      <w:r>
        <w:rPr>
          <w:rFonts w:hint="eastAsia" w:ascii="宋体" w:hAnsi="宋体" w:eastAsia="宋体" w:cs="宋体"/>
          <w:bCs/>
          <w:color w:val="auto"/>
          <w:szCs w:val="21"/>
          <w:highlight w:val="none"/>
        </w:rPr>
        <w:t>的</w:t>
      </w:r>
      <w:r>
        <w:rPr>
          <w:rFonts w:hint="eastAsia" w:ascii="宋体" w:hAnsi="宋体" w:eastAsia="宋体" w:cs="宋体"/>
          <w:color w:val="auto"/>
          <w:szCs w:val="21"/>
          <w:highlight w:val="none"/>
        </w:rPr>
        <w:t>，在乙方根据前述约定支付违约金</w:t>
      </w:r>
      <w:r>
        <w:rPr>
          <w:rFonts w:hint="eastAsia" w:ascii="宋体" w:hAnsi="宋体" w:eastAsia="宋体" w:cs="宋体"/>
          <w:color w:val="auto"/>
          <w:szCs w:val="21"/>
          <w:highlight w:val="none"/>
          <w:lang w:val="en-US" w:eastAsia="zh-CN"/>
        </w:rPr>
        <w:t>的同时</w:t>
      </w:r>
      <w:r>
        <w:rPr>
          <w:rFonts w:hint="eastAsia" w:ascii="宋体" w:hAnsi="宋体" w:eastAsia="宋体" w:cs="宋体"/>
          <w:color w:val="auto"/>
          <w:szCs w:val="21"/>
          <w:highlight w:val="none"/>
        </w:rPr>
        <w:t>，甲方有权单方解除合同，</w:t>
      </w:r>
      <w:r>
        <w:rPr>
          <w:rFonts w:hint="eastAsia" w:ascii="宋体" w:hAnsi="宋体" w:eastAsia="宋体" w:cs="宋体"/>
          <w:bCs/>
          <w:color w:val="auto"/>
          <w:szCs w:val="21"/>
          <w:highlight w:val="none"/>
        </w:rPr>
        <w:t>并要求乙方按</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0,000元的标准承担违约金。</w:t>
      </w: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val="en-US" w:eastAsia="zh-CN"/>
        </w:rPr>
        <w:t>服务期内，</w:t>
      </w:r>
      <w:r>
        <w:rPr>
          <w:rFonts w:hint="eastAsia" w:ascii="宋体" w:hAnsi="宋体" w:eastAsia="宋体" w:cs="宋体"/>
          <w:bCs/>
          <w:color w:val="auto"/>
          <w:szCs w:val="21"/>
          <w:highlight w:val="none"/>
        </w:rPr>
        <w:t>因乙方引起的劳资纠纷、人身损害赔偿纠纷等问题，</w:t>
      </w:r>
      <w:r>
        <w:rPr>
          <w:rFonts w:hint="eastAsia" w:ascii="宋体" w:hAnsi="宋体" w:eastAsia="宋体" w:cs="宋体"/>
          <w:bCs/>
          <w:color w:val="auto"/>
          <w:szCs w:val="21"/>
          <w:highlight w:val="none"/>
          <w:lang w:val="en-US" w:eastAsia="zh-CN"/>
        </w:rPr>
        <w:t>乙方应自行妥善处理并承担责任，不得影响甲方污泥脱水减量项目正常开展。如前述问题</w:t>
      </w:r>
      <w:r>
        <w:rPr>
          <w:rFonts w:hint="eastAsia" w:ascii="宋体" w:hAnsi="宋体" w:eastAsia="宋体" w:cs="宋体"/>
          <w:bCs/>
          <w:color w:val="auto"/>
          <w:szCs w:val="21"/>
          <w:highlight w:val="none"/>
        </w:rPr>
        <w:t>影响甲方污泥脱水减量项目正常开展的，甲方有权</w:t>
      </w:r>
      <w:r>
        <w:rPr>
          <w:rFonts w:hint="eastAsia" w:ascii="宋体" w:hAnsi="宋体" w:eastAsia="宋体" w:cs="宋体"/>
          <w:bCs/>
          <w:color w:val="auto"/>
          <w:szCs w:val="21"/>
          <w:highlight w:val="none"/>
          <w:lang w:val="en-US" w:eastAsia="zh-CN"/>
        </w:rPr>
        <w:t>单方解除合同</w:t>
      </w:r>
      <w:r>
        <w:rPr>
          <w:rFonts w:hint="eastAsia" w:ascii="宋体" w:hAnsi="宋体" w:eastAsia="宋体" w:cs="宋体"/>
          <w:bCs/>
          <w:color w:val="auto"/>
          <w:szCs w:val="21"/>
          <w:highlight w:val="none"/>
        </w:rPr>
        <w:t>，乙方还需向甲方支付</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0,000元的违约金。</w:t>
      </w:r>
    </w:p>
    <w:p>
      <w:pPr>
        <w:snapToGrid w:val="0"/>
        <w:spacing w:line="360" w:lineRule="auto"/>
        <w:ind w:left="-17" w:leftChars="-8" w:firstLine="420" w:firstLineChars="200"/>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bCs/>
          <w:color w:val="auto"/>
          <w:szCs w:val="21"/>
          <w:highlight w:val="none"/>
          <w:lang w:val="en-US" w:eastAsia="zh-CN"/>
        </w:rPr>
        <w:t>因</w:t>
      </w:r>
      <w:r>
        <w:rPr>
          <w:rFonts w:hint="eastAsia" w:ascii="宋体" w:hAnsi="宋体" w:eastAsia="宋体" w:cs="宋体"/>
          <w:bCs/>
          <w:color w:val="auto"/>
          <w:szCs w:val="21"/>
          <w:highlight w:val="none"/>
        </w:rPr>
        <w:t>乙方</w:t>
      </w:r>
      <w:r>
        <w:rPr>
          <w:rFonts w:hint="eastAsia" w:ascii="宋体" w:hAnsi="宋体" w:eastAsia="宋体" w:cs="宋体"/>
          <w:bCs/>
          <w:color w:val="auto"/>
          <w:szCs w:val="21"/>
          <w:highlight w:val="none"/>
          <w:lang w:val="en-US" w:eastAsia="zh-CN"/>
        </w:rPr>
        <w:t>的原因导致污泥脱水减量项目点当车外运污泥含水</w:t>
      </w:r>
      <w:r>
        <w:rPr>
          <w:rFonts w:hint="eastAsia" w:ascii="宋体" w:hAnsi="宋体" w:eastAsia="宋体" w:cs="宋体"/>
          <w:bCs/>
          <w:color w:val="auto"/>
          <w:szCs w:val="21"/>
          <w:highlight w:val="none"/>
        </w:rPr>
        <w:t>率</w:t>
      </w:r>
      <w:r>
        <w:rPr>
          <w:rFonts w:hint="eastAsia" w:ascii="宋体" w:hAnsi="宋体" w:eastAsia="宋体" w:cs="宋体"/>
          <w:bCs/>
          <w:color w:val="auto"/>
          <w:szCs w:val="21"/>
          <w:highlight w:val="none"/>
          <w:lang w:val="en-US" w:eastAsia="zh-CN"/>
        </w:rPr>
        <w:t>高于含水率</w:t>
      </w:r>
      <w:r>
        <w:rPr>
          <w:rFonts w:hint="eastAsia" w:ascii="宋体" w:hAnsi="宋体" w:eastAsia="宋体" w:cs="宋体"/>
          <w:bCs/>
          <w:color w:val="auto"/>
          <w:szCs w:val="21"/>
          <w:highlight w:val="none"/>
        </w:rPr>
        <w:t>标准</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甲方将扣减乙方当车污泥脱水减量配合服务费（合同单价×折算系数×当车污泥称重量）的 50%作为违约金。同时乙方应按甲方要求限期整改。</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4、乙方在本合同项目服务期间应严格按照《安全管理协议》执行，因乙方原因导致该项目造成甲方损失或发生乙方有违反《安全管理协议》安全管理规定、限期内未对隐患进行整改等行为，甲方有权从履约保证金或应付服务费中扣除甲方的损失及违约金，若履约保证金不足以抵扣甲方损失及违约金的，乙方还应另行支付。</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5、合同履行期间，甲方按本合同约定要求乙方限期整改，如乙方逾期未按甲方要求完成整改或拒绝整改或经整改仍达不到甲方要求的，甲方有权要求乙方支付</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,000元/次的违约金；累计存在上述情形3次（含本数），甲方除有权按上述标准要求乙方支付违约金外，甲方还有权单方解除本合同，并要求乙方按30,000元的标准承担违约金，</w:t>
      </w:r>
      <w:r>
        <w:rPr>
          <w:rFonts w:hint="eastAsia" w:ascii="宋体" w:hAnsi="宋体" w:eastAsia="宋体" w:cs="宋体"/>
          <w:bCs/>
          <w:color w:val="auto"/>
          <w:szCs w:val="21"/>
          <w:highlight w:val="none"/>
          <w:lang w:val="en-US" w:eastAsia="zh-CN"/>
        </w:rPr>
        <w:t>违约金不足以弥补甲方损失的，乙方还应当予以补足</w:t>
      </w:r>
      <w:r>
        <w:rPr>
          <w:rFonts w:hint="eastAsia" w:ascii="宋体" w:hAnsi="宋体" w:eastAsia="宋体" w:cs="宋体"/>
          <w:bCs/>
          <w:color w:val="auto"/>
          <w:szCs w:val="21"/>
          <w:highlight w:val="none"/>
        </w:rPr>
        <w:t>。</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6、污泥脱水减量配合服务实施过程中，乙方违反甲方的安全管理制度及相关规定的，甲方有权要求乙方承担违约责任</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对于多次出现违规，或造成严重后果的，或可能发生重大伤亡潜在因素的，一切责任及经济损失均由乙方承担</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甲方有权单方解除本合同，并要求乙方按</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rPr>
        <w:t>0,000元的标准承担违约金，</w:t>
      </w:r>
      <w:r>
        <w:rPr>
          <w:rFonts w:hint="eastAsia" w:ascii="宋体" w:hAnsi="宋体" w:eastAsia="宋体" w:cs="宋体"/>
          <w:bCs/>
          <w:color w:val="auto"/>
          <w:szCs w:val="21"/>
          <w:highlight w:val="none"/>
          <w:lang w:val="en-US" w:eastAsia="zh-CN"/>
        </w:rPr>
        <w:t>违约金不足以弥补甲方损失的，乙方还应当予以补足</w:t>
      </w:r>
      <w:r>
        <w:rPr>
          <w:rFonts w:hint="eastAsia" w:ascii="宋体" w:hAnsi="宋体" w:eastAsia="宋体" w:cs="宋体"/>
          <w:bCs/>
          <w:color w:val="auto"/>
          <w:szCs w:val="21"/>
          <w:highlight w:val="none"/>
        </w:rPr>
        <w:t>。</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7、乙方配合服务设备操作人员被甲方认定不适合岗位要求或配合服务设备操作人员因为调走、辞职、被乙方辞退或其他原因导致不满足甲方要求的，</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必须在3个工作日内补充资质、能力相当的人员以满足项目生产需要。乙方未能及时补充符合甲方要求的配合服务设备操作人员，乙方应按照</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,000元/天向甲方支付违约金，乙方逾期10日未能及时补充符合甲方要求的配合服务设备操作人员的，在乙方根据前述约定支付违约金</w:t>
      </w:r>
      <w:r>
        <w:rPr>
          <w:rFonts w:hint="eastAsia" w:ascii="宋体" w:hAnsi="宋体" w:eastAsia="宋体" w:cs="宋体"/>
          <w:color w:val="auto"/>
          <w:szCs w:val="21"/>
          <w:highlight w:val="none"/>
          <w:lang w:val="en-US" w:eastAsia="zh-CN"/>
        </w:rPr>
        <w:t>的同时</w:t>
      </w:r>
      <w:r>
        <w:rPr>
          <w:rFonts w:hint="eastAsia" w:ascii="宋体" w:hAnsi="宋体" w:eastAsia="宋体" w:cs="宋体"/>
          <w:color w:val="auto"/>
          <w:szCs w:val="21"/>
          <w:highlight w:val="none"/>
        </w:rPr>
        <w:t>，</w:t>
      </w:r>
      <w:r>
        <w:rPr>
          <w:rFonts w:hint="eastAsia" w:ascii="宋体" w:hAnsi="宋体" w:eastAsia="宋体" w:cs="宋体"/>
          <w:bCs/>
          <w:color w:val="auto"/>
          <w:szCs w:val="21"/>
          <w:highlight w:val="none"/>
        </w:rPr>
        <w:t>甲方有权单方解除本合同，并要求乙方按</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0,000元的标准承担违约金。在此期间如造成项目点停产或减产的，视为乙方未按本合同约定的要求开展污泥脱水减量配合服务工作，将按照本条第1款约定追究乙方的违约责任</w:t>
      </w:r>
      <w:r>
        <w:rPr>
          <w:rFonts w:hint="eastAsia" w:ascii="宋体" w:hAnsi="宋体" w:eastAsia="宋体" w:cs="宋体"/>
          <w:color w:val="auto"/>
          <w:szCs w:val="21"/>
          <w:highlight w:val="none"/>
        </w:rPr>
        <w:t>。</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8、因乙方配合服务设备操作人员操作不当或未按操作规程作业导致甲方设备设施损害或停产的，甲方有权要求乙方支付</w:t>
      </w: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,000元/次的违约金，同时乙方承担设备设施的维修工作，由此产生的费用均由乙方承担，如造成项目点停产或减产的，视为乙方未按本合同约定的要求开展污泥脱水减量配合服务工作，</w:t>
      </w:r>
      <w:r>
        <w:rPr>
          <w:rFonts w:hint="eastAsia" w:ascii="宋体" w:hAnsi="宋体" w:eastAsia="宋体" w:cs="宋体"/>
          <w:bCs/>
          <w:color w:val="auto"/>
          <w:szCs w:val="21"/>
          <w:highlight w:val="none"/>
          <w:lang w:val="en-US" w:eastAsia="zh-CN"/>
        </w:rPr>
        <w:t>甲方有权</w:t>
      </w:r>
      <w:r>
        <w:rPr>
          <w:rFonts w:hint="eastAsia" w:ascii="宋体" w:hAnsi="宋体" w:eastAsia="宋体" w:cs="宋体"/>
          <w:bCs/>
          <w:color w:val="auto"/>
          <w:szCs w:val="21"/>
          <w:highlight w:val="none"/>
        </w:rPr>
        <w:t>将按照本条第1款约定追究乙方的违约责任。</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9、因乙方管理不善等原因导致在服务范围内发生重大安全事故、或乙方所配置的配合服务设备操作人员违反操作规程、规章制度等违法违纪行为造成第三方损失的，一切损失由乙方负责赔偿。若甲方因此受到上级主管部门、污泥产生单位、行政主管部门的处罚或遭受其他损失，乙方应承担所有赔偿责任。</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10、由于乙方配合服务设备操作人员蓄意破坏甲方设备设施、违反规程造成重大安全事故的，则视为乙方严重违约，甲方有权单方解除合同，乙方应赔偿由此给甲方造成的全部损失并向甲方支付</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0,000元违约金。</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11、乙方违反本合同约定将合同项下乙方的权利义务全部转让给第三方，或未经甲方书面同意将部分权利义务</w:t>
      </w:r>
      <w:r>
        <w:rPr>
          <w:rFonts w:hint="eastAsia" w:ascii="宋体" w:hAnsi="宋体" w:eastAsia="宋体" w:cs="宋体"/>
          <w:bCs/>
          <w:color w:val="auto"/>
          <w:szCs w:val="21"/>
          <w:highlight w:val="none"/>
          <w:lang w:val="en-US" w:eastAsia="zh-CN"/>
        </w:rPr>
        <w:t>分包</w:t>
      </w:r>
      <w:r>
        <w:rPr>
          <w:rFonts w:hint="eastAsia" w:ascii="宋体" w:hAnsi="宋体" w:eastAsia="宋体" w:cs="宋体"/>
          <w:bCs/>
          <w:color w:val="auto"/>
          <w:szCs w:val="21"/>
          <w:highlight w:val="none"/>
        </w:rPr>
        <w:t>给第三方的，甲方有权单方解除合同，并要求乙方按30,000元的标准承担违约金，若</w:t>
      </w:r>
      <w:r>
        <w:rPr>
          <w:rFonts w:hint="eastAsia" w:ascii="宋体" w:hAnsi="宋体" w:eastAsia="宋体" w:cs="宋体"/>
          <w:bCs/>
          <w:color w:val="auto"/>
          <w:szCs w:val="21"/>
          <w:highlight w:val="none"/>
          <w:lang w:val="en-US" w:eastAsia="zh-CN"/>
        </w:rPr>
        <w:t>违约金不足以弥补</w:t>
      </w:r>
      <w:r>
        <w:rPr>
          <w:rFonts w:hint="eastAsia" w:ascii="宋体" w:hAnsi="宋体" w:eastAsia="宋体" w:cs="宋体"/>
          <w:bCs/>
          <w:color w:val="auto"/>
          <w:szCs w:val="21"/>
          <w:highlight w:val="none"/>
        </w:rPr>
        <w:t>由此给甲方造成损失的，乙方还应当</w:t>
      </w:r>
      <w:r>
        <w:rPr>
          <w:rFonts w:hint="eastAsia" w:ascii="宋体" w:hAnsi="宋体" w:eastAsia="宋体" w:cs="宋体"/>
          <w:bCs/>
          <w:color w:val="auto"/>
          <w:szCs w:val="21"/>
          <w:highlight w:val="none"/>
          <w:lang w:val="en-US" w:eastAsia="zh-CN"/>
        </w:rPr>
        <w:t>予以补足</w:t>
      </w:r>
      <w:r>
        <w:rPr>
          <w:rFonts w:hint="eastAsia" w:ascii="宋体" w:hAnsi="宋体" w:eastAsia="宋体" w:cs="宋体"/>
          <w:bCs/>
          <w:color w:val="auto"/>
          <w:szCs w:val="21"/>
          <w:highlight w:val="none"/>
        </w:rPr>
        <w:t>。如因乙方将乙方本合同项下全部/部分权利义务转让</w:t>
      </w:r>
      <w:r>
        <w:rPr>
          <w:rFonts w:hint="eastAsia" w:ascii="宋体" w:hAnsi="宋体" w:eastAsia="宋体" w:cs="宋体"/>
          <w:bCs/>
          <w:color w:val="auto"/>
          <w:szCs w:val="21"/>
          <w:highlight w:val="none"/>
          <w:lang w:val="en-US" w:eastAsia="zh-CN"/>
        </w:rPr>
        <w:t>/分包</w:t>
      </w:r>
      <w:r>
        <w:rPr>
          <w:rFonts w:hint="eastAsia" w:ascii="宋体" w:hAnsi="宋体" w:eastAsia="宋体" w:cs="宋体"/>
          <w:bCs/>
          <w:color w:val="auto"/>
          <w:szCs w:val="21"/>
          <w:highlight w:val="none"/>
        </w:rPr>
        <w:t>给第三方导致安全事故或人身损害事故的，造成甲方其他损失或甲方被认定承担赔偿责任</w:t>
      </w:r>
      <w:r>
        <w:rPr>
          <w:rFonts w:hint="eastAsia" w:ascii="宋体" w:hAnsi="宋体" w:eastAsia="宋体" w:cs="宋体"/>
          <w:bCs/>
          <w:color w:val="auto"/>
          <w:szCs w:val="21"/>
          <w:highlight w:val="none"/>
          <w:lang w:val="en-US" w:eastAsia="zh-CN"/>
        </w:rPr>
        <w:t>的</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甲方有权向乙方追偿</w:t>
      </w:r>
      <w:r>
        <w:rPr>
          <w:rFonts w:hint="eastAsia" w:ascii="宋体" w:hAnsi="宋体" w:eastAsia="宋体" w:cs="宋体"/>
          <w:bCs/>
          <w:color w:val="auto"/>
          <w:szCs w:val="21"/>
          <w:highlight w:val="none"/>
        </w:rPr>
        <w:t>。</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12、服务期内，乙方应按投标时承诺的项目负责人投入本项目，在合同履约过程中不可无故更换项目负责人，如确实需要更换，乙方应提前1个月向甲方提出书面申请（申请应明确更换的理由，继任人员的资格、职称、经历经验及简历等资料），经甲方书面同意后方可更换</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否则乙方应向甲方支付50</w:t>
      </w:r>
      <w:r>
        <w:rPr>
          <w:rFonts w:hint="eastAsia" w:ascii="宋体" w:hAnsi="宋体" w:eastAsia="宋体" w:cs="宋体"/>
          <w:bCs/>
          <w:color w:val="auto"/>
          <w:szCs w:val="21"/>
          <w:highlight w:val="none"/>
        </w:rPr>
        <w:t>,000</w:t>
      </w:r>
      <w:r>
        <w:rPr>
          <w:rFonts w:hint="eastAsia" w:ascii="宋体" w:hAnsi="宋体" w:eastAsia="宋体" w:cs="宋体"/>
          <w:bCs/>
          <w:color w:val="auto"/>
          <w:szCs w:val="21"/>
          <w:highlight w:val="none"/>
          <w:lang w:val="en-US" w:eastAsia="zh-CN"/>
        </w:rPr>
        <w:t>.00</w:t>
      </w:r>
      <w:r>
        <w:rPr>
          <w:rFonts w:hint="eastAsia" w:ascii="宋体" w:hAnsi="宋体" w:eastAsia="宋体" w:cs="宋体"/>
          <w:bCs/>
          <w:color w:val="auto"/>
          <w:szCs w:val="21"/>
          <w:highlight w:val="none"/>
        </w:rPr>
        <w:t>元/次的违约金</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同时甲方有权单方解除本合同</w:t>
      </w:r>
      <w:r>
        <w:rPr>
          <w:rFonts w:hint="eastAsia" w:ascii="宋体" w:hAnsi="宋体" w:eastAsia="宋体" w:cs="宋体"/>
          <w:bCs/>
          <w:color w:val="auto"/>
          <w:szCs w:val="21"/>
          <w:highlight w:val="none"/>
          <w:lang w:eastAsia="zh-CN"/>
        </w:rPr>
        <w:t>。如因更换项目负责人导致工作衔接不善，由此造成的一切损失由乙方承担</w:t>
      </w:r>
      <w:r>
        <w:rPr>
          <w:rFonts w:hint="eastAsia" w:ascii="宋体" w:hAnsi="宋体" w:eastAsia="宋体" w:cs="宋体"/>
          <w:bCs/>
          <w:color w:val="auto"/>
          <w:szCs w:val="21"/>
          <w:highlight w:val="none"/>
        </w:rPr>
        <w:t>。</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、甲方每季度第三个月对乙方每个项目点的履约情况进行逐一评价，填写《履约评价表》，对于评价结论为不合格的项目点，甲方将从该项目点的该季度第三个月的服务费中扣除违约金（如</w:t>
      </w:r>
      <w:r>
        <w:rPr>
          <w:rFonts w:hint="eastAsia" w:ascii="宋体" w:hAnsi="宋体" w:eastAsia="宋体" w:cs="宋体"/>
          <w:bCs/>
          <w:color w:val="auto"/>
          <w:szCs w:val="21"/>
          <w:highlight w:val="none"/>
          <w:lang w:val="en-US" w:eastAsia="zh-CN"/>
        </w:rPr>
        <w:t>第三个月的服务费</w:t>
      </w:r>
      <w:r>
        <w:rPr>
          <w:rFonts w:hint="eastAsia" w:ascii="宋体" w:hAnsi="宋体" w:eastAsia="宋体" w:cs="宋体"/>
          <w:bCs/>
          <w:color w:val="auto"/>
          <w:szCs w:val="21"/>
          <w:highlight w:val="none"/>
        </w:rPr>
        <w:t>不足以扣除，将从履约保证金中扣除）。合同期内</w:t>
      </w:r>
      <w:r>
        <w:rPr>
          <w:rFonts w:hint="eastAsia" w:ascii="宋体" w:hAnsi="宋体" w:eastAsia="宋体" w:cs="宋体"/>
          <w:bCs/>
          <w:color w:val="auto"/>
          <w:szCs w:val="21"/>
          <w:highlight w:val="none"/>
          <w:lang w:val="en-US" w:eastAsia="zh-CN"/>
        </w:rPr>
        <w:t>单个项目点</w:t>
      </w:r>
      <w:r>
        <w:rPr>
          <w:rFonts w:hint="eastAsia" w:ascii="宋体" w:hAnsi="宋体" w:eastAsia="宋体" w:cs="宋体"/>
          <w:bCs/>
          <w:color w:val="auto"/>
          <w:szCs w:val="21"/>
          <w:highlight w:val="none"/>
        </w:rPr>
        <w:t>首次评价不合格扣除违约金1万元，</w:t>
      </w:r>
      <w:r>
        <w:rPr>
          <w:rFonts w:hint="eastAsia" w:ascii="宋体" w:hAnsi="宋体" w:eastAsia="宋体" w:cs="宋体"/>
          <w:bCs/>
          <w:color w:val="auto"/>
          <w:szCs w:val="21"/>
          <w:highlight w:val="none"/>
          <w:lang w:val="en-US" w:eastAsia="zh-CN"/>
        </w:rPr>
        <w:t>合同期内单个项目点</w:t>
      </w:r>
      <w:r>
        <w:rPr>
          <w:rFonts w:hint="eastAsia" w:ascii="宋体" w:hAnsi="宋体" w:eastAsia="宋体" w:cs="宋体"/>
          <w:bCs/>
          <w:color w:val="auto"/>
          <w:szCs w:val="21"/>
          <w:highlight w:val="none"/>
        </w:rPr>
        <w:t>第二次不合格扣除违约金2万元，</w:t>
      </w:r>
      <w:r>
        <w:rPr>
          <w:rFonts w:hint="eastAsia" w:ascii="宋体" w:hAnsi="宋体" w:eastAsia="宋体" w:cs="宋体"/>
          <w:bCs/>
          <w:color w:val="auto"/>
          <w:szCs w:val="21"/>
          <w:highlight w:val="none"/>
          <w:lang w:val="en-US" w:eastAsia="zh-CN"/>
        </w:rPr>
        <w:t>合同期内单个项目点</w:t>
      </w:r>
      <w:r>
        <w:rPr>
          <w:rFonts w:hint="eastAsia" w:ascii="宋体" w:hAnsi="宋体" w:eastAsia="宋体" w:cs="宋体"/>
          <w:bCs/>
          <w:color w:val="auto"/>
          <w:szCs w:val="21"/>
          <w:highlight w:val="none"/>
        </w:rPr>
        <w:t>第三次不合格扣除违约金4万元，</w:t>
      </w:r>
      <w:r>
        <w:rPr>
          <w:rFonts w:hint="eastAsia" w:ascii="宋体" w:hAnsi="宋体" w:eastAsia="宋体" w:cs="宋体"/>
          <w:bCs/>
          <w:color w:val="auto"/>
          <w:szCs w:val="21"/>
          <w:highlight w:val="none"/>
          <w:lang w:val="en-US" w:eastAsia="zh-CN"/>
        </w:rPr>
        <w:t>合同期内单个项目点</w:t>
      </w:r>
      <w:r>
        <w:rPr>
          <w:rFonts w:hint="eastAsia" w:ascii="宋体" w:hAnsi="宋体" w:eastAsia="宋体" w:cs="宋体"/>
          <w:bCs/>
          <w:color w:val="auto"/>
          <w:szCs w:val="21"/>
          <w:highlight w:val="none"/>
        </w:rPr>
        <w:t>第四次不合格扣除违约金8万元，</w:t>
      </w:r>
      <w:r>
        <w:rPr>
          <w:rFonts w:hint="eastAsia" w:ascii="宋体" w:hAnsi="宋体" w:eastAsia="宋体" w:cs="宋体"/>
          <w:bCs/>
          <w:color w:val="auto"/>
          <w:szCs w:val="21"/>
          <w:highlight w:val="none"/>
          <w:lang w:val="en-US" w:eastAsia="zh-CN"/>
        </w:rPr>
        <w:t>合同期内单个项目点出现</w:t>
      </w:r>
      <w:r>
        <w:rPr>
          <w:rFonts w:hint="eastAsia" w:ascii="宋体" w:hAnsi="宋体" w:eastAsia="宋体" w:cs="宋体"/>
          <w:bCs/>
          <w:color w:val="auto"/>
          <w:szCs w:val="21"/>
          <w:highlight w:val="none"/>
        </w:rPr>
        <w:t>第四次不合格情况之后</w:t>
      </w:r>
      <w:r>
        <w:rPr>
          <w:rFonts w:hint="eastAsia" w:ascii="宋体" w:hAnsi="宋体" w:eastAsia="宋体" w:cs="宋体"/>
          <w:bCs/>
          <w:color w:val="auto"/>
          <w:szCs w:val="21"/>
          <w:highlight w:val="none"/>
          <w:lang w:eastAsia="zh-CN"/>
        </w:rPr>
        <w:t>，甲方有权</w:t>
      </w:r>
      <w:r>
        <w:rPr>
          <w:rFonts w:hint="eastAsia" w:ascii="宋体" w:hAnsi="宋体" w:eastAsia="宋体" w:cs="宋体"/>
          <w:bCs/>
          <w:color w:val="auto"/>
          <w:szCs w:val="21"/>
          <w:highlight w:val="none"/>
          <w:lang w:val="en-US" w:eastAsia="zh-CN"/>
        </w:rPr>
        <w:t>单方解除合同</w:t>
      </w:r>
      <w:r>
        <w:rPr>
          <w:rFonts w:hint="eastAsia" w:ascii="宋体" w:hAnsi="宋体" w:eastAsia="宋体" w:cs="宋体"/>
          <w:bCs/>
          <w:color w:val="auto"/>
          <w:szCs w:val="21"/>
          <w:highlight w:val="none"/>
          <w:lang w:eastAsia="zh-CN"/>
        </w:rPr>
        <w:t>，乙方还需向甲方支付</w:t>
      </w:r>
      <w:r>
        <w:rPr>
          <w:rFonts w:hint="eastAsia" w:ascii="宋体" w:hAnsi="宋体" w:eastAsia="宋体" w:cs="宋体"/>
          <w:bCs/>
          <w:color w:val="auto"/>
          <w:szCs w:val="21"/>
          <w:highlight w:val="none"/>
          <w:lang w:val="en-US" w:eastAsia="zh-CN"/>
        </w:rPr>
        <w:t>10</w:t>
      </w:r>
      <w:r>
        <w:rPr>
          <w:rFonts w:hint="eastAsia" w:ascii="宋体" w:hAnsi="宋体" w:eastAsia="宋体" w:cs="宋体"/>
          <w:bCs/>
          <w:color w:val="auto"/>
          <w:szCs w:val="21"/>
          <w:highlight w:val="none"/>
          <w:lang w:eastAsia="zh-CN"/>
        </w:rPr>
        <w:t>0,000元的违约金</w:t>
      </w:r>
      <w:r>
        <w:rPr>
          <w:rFonts w:hint="eastAsia" w:ascii="宋体" w:hAnsi="宋体" w:eastAsia="宋体" w:cs="宋体"/>
          <w:bCs/>
          <w:color w:val="auto"/>
          <w:szCs w:val="21"/>
          <w:highlight w:val="none"/>
        </w:rPr>
        <w:t>。</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、在本合同履行期间，因乙方违约行为导致的索赔金额、甲方损失以及因索赔所发生的费用等，甲方有权在乙方未付款项中直接扣除，也有权提取履约担保予以支付。</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5</w:t>
      </w:r>
      <w:r>
        <w:rPr>
          <w:rFonts w:hint="eastAsia" w:ascii="宋体" w:hAnsi="宋体" w:eastAsia="宋体" w:cs="宋体"/>
          <w:bCs/>
          <w:color w:val="auto"/>
          <w:szCs w:val="21"/>
          <w:highlight w:val="none"/>
        </w:rPr>
        <w:t>、乙方违反本合同任一约定的，除本合同对违约责任有明确约定以外，甲方有权扣除乙方当月应收取配合服务费的5%作为每次的违约金。违约金不足以弥补乙方因此给甲方所造成的损失的，乙方还应当予以补足。</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val="en-US" w:eastAsia="zh-CN"/>
        </w:rPr>
        <w:t>6</w:t>
      </w:r>
      <w:r>
        <w:rPr>
          <w:rFonts w:hint="eastAsia" w:ascii="宋体" w:hAnsi="宋体" w:eastAsia="宋体" w:cs="宋体"/>
          <w:bCs/>
          <w:color w:val="auto"/>
          <w:szCs w:val="21"/>
          <w:highlight w:val="none"/>
        </w:rPr>
        <w:t>、若乙方发生本合同规定之外的任何违法行为，不得解除其在本合同下的任何责任或义务。</w:t>
      </w:r>
    </w:p>
    <w:p>
      <w:pPr>
        <w:spacing w:line="360" w:lineRule="auto"/>
        <w:ind w:firstLine="411" w:firstLineChars="195"/>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第十条 廉政保证</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 乙方以及其配合服务设备操作人员在本合同履行期间，应遵守甲方的各项政策和制度。甲方应当控制乙方代表和配合服务设备操作人员在甲方办公区域进出，甲方对于现场的人员进出及员工管理方面的要求也应始终被遵守。 </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乙方同意在本协议履行期间，遵守各项法律，特别是任何及所有反贿赂反腐败方面的法律。未经甲方事先授权，乙方以及其配合服务设备操作人员均不得向与本项目相关的任何个人、政府或单位支付任何款项，也不得提供任何形式的便利、利益。</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3、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廉洁协议书》。 </w:t>
      </w:r>
    </w:p>
    <w:p>
      <w:pPr>
        <w:spacing w:line="360" w:lineRule="auto"/>
        <w:ind w:firstLine="411" w:firstLineChars="195"/>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第十一条 其他约定</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 在合同期内，非因甲方原因，乙方未能按要求做好项目点污泥脱水减量配合服务工作，造成甲方、乙方、第三方的人身和财产损失，由乙方独自承担法律和经济责任。</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乙方承诺将严格遵守甲方（或甲方上级单位或污泥产生单位）提出或调整的日常管理制度或相关管理要求。乙方服务期间，出现不服从甲方（或甲方上级单位或污泥产生单位）提出或调整的日常管理制度或相关管理要求，甲方有权追究乙方的违约责任。</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3、乙方应保证合同项下提供的服务不侵犯任何第三方的专利、商标、版权以及其它权利，否则，乙方须承担因此产生的全部责任及费用，如因此造成甲方损失的，乙方应予以足够赔偿。</w:t>
      </w:r>
    </w:p>
    <w:p>
      <w:pPr>
        <w:snapToGrid w:val="0"/>
        <w:spacing w:line="360" w:lineRule="auto"/>
        <w:ind w:firstLine="424" w:firstLineChars="202"/>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4</w:t>
      </w:r>
      <w:r>
        <w:rPr>
          <w:rFonts w:hint="eastAsia" w:ascii="宋体" w:hAnsi="宋体" w:eastAsia="宋体" w:cs="宋体"/>
          <w:bCs/>
          <w:color w:val="auto"/>
          <w:szCs w:val="21"/>
          <w:highlight w:val="none"/>
        </w:rPr>
        <w:t>、本合同所述之损失、经济赔偿是指甲方因乙方原因而造成的经济损失、因此而向第三方支付的赔偿金、违约金、向有关部门缴纳的罚款、因此而支付的诉讼费、律师费、公证费、鉴定费、保全费等全部费用，前述损失、经济赔偿均由乙方承担。</w:t>
      </w:r>
    </w:p>
    <w:p>
      <w:pPr>
        <w:spacing w:line="360" w:lineRule="auto"/>
        <w:ind w:firstLine="411" w:firstLineChars="195"/>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第十二条 保密约定</w:t>
      </w:r>
    </w:p>
    <w:p>
      <w:pPr>
        <w:spacing w:line="360" w:lineRule="auto"/>
        <w:ind w:firstLine="411" w:firstLineChars="196"/>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乙方对在工作过程中接触到的甲方的任何资料、文件、数据（包括但不限于书面形式或电子形式），以及对为甲方服务形成的任何交付物，负有为甲方保密的责任。未经甲方书面同意，乙方不得以任何方式向任何第三方提供或透露。</w:t>
      </w:r>
    </w:p>
    <w:p>
      <w:pPr>
        <w:spacing w:line="360" w:lineRule="auto"/>
        <w:ind w:firstLine="411" w:firstLineChars="196"/>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2、甲方向乙方提供的任何资料、文件和信息，在乙方服务结束后，乙方均应及时归还甲方，电子文档的应从自己的电脑等存储设备上永久删除。</w:t>
      </w:r>
    </w:p>
    <w:p>
      <w:pPr>
        <w:spacing w:line="360" w:lineRule="auto"/>
        <w:ind w:firstLine="411" w:firstLineChars="196"/>
        <w:outlineLvl w:val="9"/>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3、乙方</w:t>
      </w:r>
      <w:r>
        <w:rPr>
          <w:rFonts w:hint="eastAsia" w:ascii="宋体" w:hAnsi="宋体" w:eastAsia="宋体" w:cs="宋体"/>
          <w:color w:val="auto"/>
          <w:szCs w:val="21"/>
          <w:highlight w:val="none"/>
          <w:lang w:val="en-US" w:eastAsia="zh-CN"/>
        </w:rPr>
        <w:t>违法本合同保密义务的，应按100,000元向甲方支付违约金，违约金不足以弥补甲方损失的，乙方还应当予以补足</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乙方人员若违反上述保密规定，乙方应承担相应法律责任。</w:t>
      </w:r>
    </w:p>
    <w:p>
      <w:pPr>
        <w:spacing w:line="360" w:lineRule="auto"/>
        <w:ind w:firstLine="411" w:firstLineChars="196"/>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4、本保密规定不因本合同的解除或终止而失效，直至保密信息被依法公开为止。</w:t>
      </w:r>
    </w:p>
    <w:p>
      <w:pPr>
        <w:spacing w:line="360" w:lineRule="auto"/>
        <w:ind w:firstLine="413" w:firstLineChars="196"/>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第十三条 不可抗力</w:t>
      </w:r>
    </w:p>
    <w:p>
      <w:pPr>
        <w:spacing w:line="360" w:lineRule="auto"/>
        <w:ind w:firstLine="411" w:firstLineChars="196"/>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任何一方因不可抗力引起的履行延迟或履行不能的，不需承担违约责任。不可抗力指战争、动乱、瘟疫、洪水、地震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疫情</w:t>
      </w:r>
      <w:r>
        <w:rPr>
          <w:rFonts w:hint="eastAsia" w:ascii="宋体" w:hAnsi="宋体" w:eastAsia="宋体" w:cs="宋体"/>
          <w:color w:val="auto"/>
          <w:szCs w:val="21"/>
          <w:highlight w:val="none"/>
        </w:rPr>
        <w:t>或其他灾害，以及其他不可预见、不可防止并不能避免或克服的事件。受不可抗力影响的一方应于不可抗力事件发生后3日内通知另一方，并在不可抗力事件发生后7日内，提供政府相关部门出具的证明文件。如果不可抗力事件发生后，乙方不能按甲方要求提供污泥脱水减量配合服务的，则甲方有权解除本合同并不承担任何责任。</w:t>
      </w:r>
    </w:p>
    <w:p>
      <w:pPr>
        <w:spacing w:line="360" w:lineRule="auto"/>
        <w:ind w:firstLine="413" w:firstLineChars="196"/>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第十四条 争议解决</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双方在履约中发生争执和分歧，双方应通过友好协商解决，如不能通过友好协商解决的，任何一方均可向甲方住所地有管辖权的人民法院提起诉讼解决。 </w:t>
      </w:r>
    </w:p>
    <w:p>
      <w:pPr>
        <w:spacing w:line="360" w:lineRule="auto"/>
        <w:ind w:firstLine="517" w:firstLineChars="245"/>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第十五条 其他</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本合同之所有附件均为合同的有效组成部分，与合同具有同等法律效力，合同与附件之间的内容应认为是互为补充和解释的，但如有模棱两可或互相矛盾之处，以合同约定为准，若合同签订后，双方另有签订文件的，则以时间在后的文件为准。</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2、本合同未尽事宜，双方可另行协商签署补充协议，补充协议为本合同之有效组成部分，与本合同同具法律效力。</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3、本合同执行期间，如遇不可抗力，致使合同无法履行时，双方应按有关法律规定及时协商处理。</w:t>
      </w:r>
    </w:p>
    <w:p>
      <w:pPr>
        <w:widowControl/>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伍</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】份，招标代理机构执</w:t>
      </w:r>
      <w:r>
        <w:rPr>
          <w:rFonts w:hint="eastAsia" w:ascii="宋体" w:hAnsi="宋体" w:eastAsia="宋体" w:cs="宋体"/>
          <w:color w:val="auto"/>
          <w:szCs w:val="21"/>
          <w:highlight w:val="none"/>
          <w:u w:val="single"/>
        </w:rPr>
        <w:t>壹</w:t>
      </w:r>
      <w:r>
        <w:rPr>
          <w:rFonts w:hint="eastAsia" w:ascii="宋体" w:hAnsi="宋体" w:eastAsia="宋体" w:cs="宋体"/>
          <w:color w:val="auto"/>
          <w:szCs w:val="21"/>
          <w:highlight w:val="none"/>
        </w:rPr>
        <w:t>份，具有同等法律效力，本合同自双方法定代表人或负责人签字</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 xml:space="preserve">盖章之日起生效至合同项下全部义务履行完毕时终止。 </w:t>
      </w:r>
    </w:p>
    <w:p>
      <w:pPr>
        <w:widowControl/>
        <w:spacing w:line="360" w:lineRule="auto"/>
        <w:ind w:firstLine="840" w:firstLineChars="4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附件1：廉洁协议书</w:t>
      </w:r>
    </w:p>
    <w:p>
      <w:pPr>
        <w:widowControl/>
        <w:spacing w:line="360" w:lineRule="auto"/>
        <w:ind w:firstLine="840" w:firstLineChars="4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附件2：安全生产管理协议</w:t>
      </w:r>
    </w:p>
    <w:p>
      <w:pPr>
        <w:widowControl/>
        <w:snapToGrid w:val="0"/>
        <w:spacing w:line="360" w:lineRule="auto"/>
        <w:outlineLvl w:val="9"/>
        <w:rPr>
          <w:rFonts w:hint="eastAsia" w:ascii="宋体" w:hAnsi="宋体" w:eastAsia="宋体" w:cs="宋体"/>
          <w:b/>
          <w:bCs/>
          <w:color w:val="auto"/>
          <w:szCs w:val="21"/>
          <w:highlight w:val="none"/>
        </w:rPr>
      </w:pPr>
      <w:bookmarkStart w:id="430" w:name="_Toc62826973"/>
    </w:p>
    <w:p>
      <w:pPr>
        <w:widowControl/>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（以下无正文，为合同签字栏）</w:t>
      </w:r>
    </w:p>
    <w:tbl>
      <w:tblPr>
        <w:tblStyle w:val="38"/>
        <w:tblW w:w="0" w:type="auto"/>
        <w:jc w:val="center"/>
        <w:tblLayout w:type="fixed"/>
        <w:tblCellMar>
          <w:top w:w="0" w:type="dxa"/>
          <w:left w:w="108" w:type="dxa"/>
          <w:bottom w:w="0" w:type="dxa"/>
          <w:right w:w="108" w:type="dxa"/>
        </w:tblCellMar>
      </w:tblPr>
      <w:tblGrid>
        <w:gridCol w:w="4253"/>
        <w:gridCol w:w="454"/>
        <w:gridCol w:w="4253"/>
      </w:tblGrid>
      <w:tr>
        <w:tblPrEx>
          <w:tblCellMar>
            <w:top w:w="0" w:type="dxa"/>
            <w:left w:w="108" w:type="dxa"/>
            <w:bottom w:w="0" w:type="dxa"/>
            <w:right w:w="108" w:type="dxa"/>
          </w:tblCellMar>
        </w:tblPrEx>
        <w:trPr>
          <w:jc w:val="center"/>
        </w:trPr>
        <w:tc>
          <w:tcPr>
            <w:tcW w:w="4253"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甲方（盖章）：东莞市众源环境投资有限公司</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tc>
        <w:tc>
          <w:tcPr>
            <w:tcW w:w="454" w:type="dxa"/>
          </w:tcPr>
          <w:p>
            <w:pPr>
              <w:spacing w:line="360" w:lineRule="auto"/>
              <w:rPr>
                <w:rFonts w:ascii="宋体" w:hAnsi="宋体" w:eastAsia="宋体" w:cs="宋体"/>
                <w:color w:val="auto"/>
                <w:szCs w:val="21"/>
                <w:highlight w:val="none"/>
              </w:rPr>
            </w:pPr>
          </w:p>
        </w:tc>
        <w:tc>
          <w:tcPr>
            <w:tcW w:w="4253"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乙方（盖章）： </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法定代表人（或负责人）：</w:t>
            </w:r>
          </w:p>
        </w:tc>
      </w:tr>
      <w:tr>
        <w:tblPrEx>
          <w:tblCellMar>
            <w:top w:w="0" w:type="dxa"/>
            <w:left w:w="108" w:type="dxa"/>
            <w:bottom w:w="0" w:type="dxa"/>
            <w:right w:w="108" w:type="dxa"/>
          </w:tblCellMar>
        </w:tblPrEx>
        <w:trPr>
          <w:jc w:val="center"/>
        </w:trPr>
        <w:tc>
          <w:tcPr>
            <w:tcW w:w="4253"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c>
          <w:tcPr>
            <w:tcW w:w="454" w:type="dxa"/>
          </w:tcPr>
          <w:p>
            <w:pPr>
              <w:spacing w:line="360" w:lineRule="auto"/>
              <w:rPr>
                <w:rFonts w:ascii="宋体" w:hAnsi="宋体" w:eastAsia="宋体" w:cs="宋体"/>
                <w:color w:val="auto"/>
                <w:szCs w:val="21"/>
                <w:highlight w:val="none"/>
              </w:rPr>
            </w:pPr>
          </w:p>
        </w:tc>
        <w:tc>
          <w:tcPr>
            <w:tcW w:w="4253"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电话：</w:t>
            </w:r>
          </w:p>
        </w:tc>
      </w:tr>
      <w:tr>
        <w:tblPrEx>
          <w:tblCellMar>
            <w:top w:w="0" w:type="dxa"/>
            <w:left w:w="108" w:type="dxa"/>
            <w:bottom w:w="0" w:type="dxa"/>
            <w:right w:w="108" w:type="dxa"/>
          </w:tblCellMar>
        </w:tblPrEx>
        <w:trPr>
          <w:trHeight w:val="1074" w:hRule="atLeast"/>
          <w:jc w:val="center"/>
        </w:trPr>
        <w:tc>
          <w:tcPr>
            <w:tcW w:w="4253"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地址：广东省东莞市东城街道火炼树红棉路40号302室</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开户名称：东莞市众源环境投资有限公司</w:t>
            </w:r>
          </w:p>
        </w:tc>
        <w:tc>
          <w:tcPr>
            <w:tcW w:w="454" w:type="dxa"/>
          </w:tcPr>
          <w:p>
            <w:pPr>
              <w:spacing w:line="360" w:lineRule="auto"/>
              <w:rPr>
                <w:rFonts w:ascii="宋体" w:hAnsi="宋体" w:eastAsia="宋体" w:cs="宋体"/>
                <w:color w:val="auto"/>
                <w:szCs w:val="21"/>
                <w:highlight w:val="none"/>
              </w:rPr>
            </w:pPr>
          </w:p>
        </w:tc>
        <w:tc>
          <w:tcPr>
            <w:tcW w:w="4253" w:type="dxa"/>
          </w:tcPr>
          <w:p>
            <w:pPr>
              <w:spacing w:line="360" w:lineRule="auto"/>
              <w:rPr>
                <w:rFonts w:ascii="宋体" w:hAnsi="宋体" w:eastAsia="宋体" w:cs="宋体"/>
                <w:color w:val="auto"/>
                <w:highlight w:val="none"/>
              </w:rPr>
            </w:pPr>
            <w:r>
              <w:rPr>
                <w:rFonts w:hint="eastAsia" w:ascii="宋体" w:hAnsi="宋体" w:eastAsia="宋体" w:cs="宋体"/>
                <w:color w:val="auto"/>
                <w:szCs w:val="21"/>
                <w:highlight w:val="none"/>
              </w:rPr>
              <w:t>地址：</w:t>
            </w:r>
          </w:p>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开户名称：</w:t>
            </w:r>
          </w:p>
        </w:tc>
      </w:tr>
      <w:tr>
        <w:tblPrEx>
          <w:tblCellMar>
            <w:top w:w="0" w:type="dxa"/>
            <w:left w:w="108" w:type="dxa"/>
            <w:bottom w:w="0" w:type="dxa"/>
            <w:right w:w="108" w:type="dxa"/>
          </w:tblCellMar>
        </w:tblPrEx>
        <w:trPr>
          <w:jc w:val="center"/>
        </w:trPr>
        <w:tc>
          <w:tcPr>
            <w:tcW w:w="4253"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bCs/>
                <w:color w:val="auto"/>
                <w:szCs w:val="21"/>
                <w:highlight w:val="none"/>
                <w:lang w:val="zh-CN"/>
              </w:rPr>
              <w:t>招商银行股份有限公司东莞分行</w:t>
            </w:r>
          </w:p>
        </w:tc>
        <w:tc>
          <w:tcPr>
            <w:tcW w:w="454" w:type="dxa"/>
          </w:tcPr>
          <w:p>
            <w:pPr>
              <w:spacing w:line="360" w:lineRule="auto"/>
              <w:rPr>
                <w:rFonts w:ascii="宋体" w:hAnsi="宋体" w:eastAsia="宋体" w:cs="宋体"/>
                <w:color w:val="auto"/>
                <w:szCs w:val="21"/>
                <w:highlight w:val="none"/>
              </w:rPr>
            </w:pPr>
          </w:p>
        </w:tc>
        <w:tc>
          <w:tcPr>
            <w:tcW w:w="4253"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p>
        </w:tc>
      </w:tr>
      <w:tr>
        <w:tblPrEx>
          <w:tblCellMar>
            <w:top w:w="0" w:type="dxa"/>
            <w:left w:w="108" w:type="dxa"/>
            <w:bottom w:w="0" w:type="dxa"/>
            <w:right w:w="108" w:type="dxa"/>
          </w:tblCellMar>
        </w:tblPrEx>
        <w:trPr>
          <w:jc w:val="center"/>
        </w:trPr>
        <w:tc>
          <w:tcPr>
            <w:tcW w:w="4253"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bCs/>
                <w:color w:val="auto"/>
                <w:szCs w:val="21"/>
                <w:highlight w:val="none"/>
                <w:lang w:val="zh-CN"/>
              </w:rPr>
              <w:t>769908269610828</w:t>
            </w:r>
          </w:p>
        </w:tc>
        <w:tc>
          <w:tcPr>
            <w:tcW w:w="454" w:type="dxa"/>
          </w:tcPr>
          <w:p>
            <w:pPr>
              <w:spacing w:line="360" w:lineRule="auto"/>
              <w:rPr>
                <w:rFonts w:ascii="宋体" w:hAnsi="宋体" w:eastAsia="宋体" w:cs="宋体"/>
                <w:color w:val="auto"/>
                <w:szCs w:val="21"/>
                <w:highlight w:val="none"/>
              </w:rPr>
            </w:pPr>
          </w:p>
        </w:tc>
        <w:tc>
          <w:tcPr>
            <w:tcW w:w="4253" w:type="dxa"/>
          </w:tcPr>
          <w:p>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账号：</w:t>
            </w:r>
          </w:p>
        </w:tc>
      </w:tr>
      <w:tr>
        <w:tblPrEx>
          <w:tblCellMar>
            <w:top w:w="0" w:type="dxa"/>
            <w:left w:w="108" w:type="dxa"/>
            <w:bottom w:w="0" w:type="dxa"/>
            <w:right w:w="108" w:type="dxa"/>
          </w:tblCellMar>
        </w:tblPrEx>
        <w:trPr>
          <w:jc w:val="center"/>
        </w:trPr>
        <w:tc>
          <w:tcPr>
            <w:tcW w:w="4253" w:type="dxa"/>
          </w:tcPr>
          <w:p>
            <w:pPr>
              <w:widowControl/>
              <w:snapToGrid w:val="0"/>
              <w:spacing w:line="240" w:lineRule="auto"/>
              <w:jc w:val="left"/>
              <w:rPr>
                <w:rFonts w:hint="eastAsia" w:ascii="宋体" w:hAnsi="宋体" w:eastAsia="宋体" w:cs="宋体"/>
                <w:color w:val="auto"/>
                <w:szCs w:val="21"/>
                <w:highlight w:val="none"/>
              </w:rPr>
            </w:pPr>
          </w:p>
          <w:p>
            <w:pPr>
              <w:widowControl/>
              <w:snapToGrid w:val="0"/>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tc>
        <w:tc>
          <w:tcPr>
            <w:tcW w:w="454" w:type="dxa"/>
          </w:tcPr>
          <w:p>
            <w:pPr>
              <w:spacing w:line="360" w:lineRule="auto"/>
              <w:rPr>
                <w:rFonts w:ascii="宋体" w:hAnsi="宋体" w:eastAsia="宋体" w:cs="宋体"/>
                <w:color w:val="auto"/>
                <w:szCs w:val="21"/>
                <w:highlight w:val="none"/>
              </w:rPr>
            </w:pPr>
          </w:p>
        </w:tc>
        <w:tc>
          <w:tcPr>
            <w:tcW w:w="4253" w:type="dxa"/>
          </w:tcPr>
          <w:p>
            <w:pPr>
              <w:spacing w:line="360" w:lineRule="auto"/>
              <w:rPr>
                <w:rFonts w:hint="eastAsia" w:ascii="宋体" w:hAnsi="宋体" w:eastAsia="宋体" w:cs="宋体"/>
                <w:color w:val="auto"/>
                <w:szCs w:val="21"/>
                <w:highlight w:val="none"/>
              </w:rPr>
            </w:pPr>
          </w:p>
        </w:tc>
      </w:tr>
    </w:tbl>
    <w:p>
      <w:pPr>
        <w:widowControl/>
        <w:snapToGrid w:val="0"/>
        <w:spacing w:line="360" w:lineRule="auto"/>
        <w:outlineLvl w:val="9"/>
        <w:rPr>
          <w:rFonts w:hint="eastAsia" w:ascii="宋体" w:hAnsi="宋体" w:eastAsia="宋体" w:cs="宋体"/>
          <w:color w:val="auto"/>
          <w:szCs w:val="21"/>
          <w:highlight w:val="none"/>
        </w:rPr>
      </w:pPr>
    </w:p>
    <w:p>
      <w:pPr>
        <w:pageBreakBefore/>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附件1：廉洁协议书</w:t>
      </w:r>
      <w:bookmarkEnd w:id="430"/>
    </w:p>
    <w:p>
      <w:pPr>
        <w:spacing w:line="360" w:lineRule="auto"/>
        <w:ind w:firstLine="646" w:firstLineChars="201"/>
        <w:jc w:val="center"/>
        <w:outlineLvl w:val="9"/>
        <w:rPr>
          <w:rFonts w:ascii="宋体" w:hAnsi="宋体" w:eastAsia="宋体" w:cs="宋体"/>
          <w:color w:val="auto"/>
          <w:sz w:val="32"/>
          <w:szCs w:val="32"/>
          <w:highlight w:val="none"/>
        </w:rPr>
      </w:pPr>
      <w:r>
        <w:rPr>
          <w:rFonts w:hint="eastAsia" w:ascii="宋体" w:hAnsi="宋体" w:eastAsia="宋体" w:cs="宋体"/>
          <w:b/>
          <w:color w:val="auto"/>
          <w:sz w:val="32"/>
          <w:szCs w:val="32"/>
          <w:highlight w:val="none"/>
        </w:rPr>
        <w:t>廉洁协议书</w:t>
      </w:r>
    </w:p>
    <w:p>
      <w:pPr>
        <w:spacing w:line="360" w:lineRule="auto"/>
        <w:ind w:firstLine="424" w:firstLineChars="201"/>
        <w:outlineLvl w:val="9"/>
        <w:rPr>
          <w:rFonts w:ascii="宋体" w:hAnsi="宋体" w:eastAsia="宋体" w:cs="宋体"/>
          <w:b/>
          <w:bCs/>
          <w:color w:val="auto"/>
          <w:szCs w:val="21"/>
          <w:highlight w:val="none"/>
        </w:rPr>
      </w:pP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项目名称：东莞市众源环境投资有限公司污泥脱水减量配合服务采购项目（招标编号：YDZB23DGQY0240）</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甲方（业主单位）：</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乙方：</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第一条  甲乙双方的权利和义务</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（一）严格遵守党和国家有关法律法规等有关廉洁从业规定。</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（二）严格执行本项目的合同文件，自觉按合同办事。</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（三）双方的业务活动坚持公开、公正、诚信、透明的原则（除法律认定的商业秘密和合同文件另有规定之外）不得损害国家和集体利益，违反电力交易管理及其他法律法规规章制度。</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（四）建立健全廉洁制度，开展廉洁教育，设立廉洁监督公示牌，公布举报电话，监督并认真查处违法违纪行为。</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（五）发现对方在业务活动中有违反廉洁规定的行为，有及时提醒对方纠正的权利和义务。</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（六）发现对方严重违反本协议义务条款的行为，有向其上级有关部门举报、建议给予处理并要求告知处理结果的权利。</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第二条  甲方的义务</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（二）甲方工作人员不得参加乙方安排的高消费宴请和娱乐活动；不得接受乙方提供的通讯工具、交通工具和高档办公用品。</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（三）甲方及其工作人员不得要求或者接受乙方为其住房装修、婚丧嫁娶活动、家属或亲友的工作安排以及出国出境、旅游等提供方便。</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（四）甲方工作人员不得向乙方介绍其家属或者亲友（包括家属或亲友开办的公司企业）从事于本项目涉及的经济业务活动。</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（五）甲方及其工作人员不得以任何理由向乙方推荐分包单位，不得要求乙方购买合同规定外的材料和设备。</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（六）甲方及其工作人员不得进行违反廉洁规定的其他活动。</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第三条  乙方义务</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（一）乙方不得以任何理由向甲方及其工作人员馈赠礼金、有价证券、贵重礼品，或报销应由甲方单位或个人支付的任何费用。</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（二）乙方及其工作人员不得以考察、参观、洽谈业务、签订合同等的借口邀请甲方及其工作人员参加高消费的宴请、娱乐和健身等活动。</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（三）乙方不得为甲方单位和个人购置或提供通讯工具、交通工具和高档办公用品等。</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（四）乙方及其工作人员不得为甲方工作人员购买、装修、维修私人住房、汽车等。</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（五）乙方及其工作人员不得为甲方工作人员的婚丧嫁娶、家属或亲友的工作安排，及出国出境提供方便以及报销任何私人消费的费用。</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（六）乙方及其工作人员不得进行影响甲方及其工作人员公正执行合同和履行职务的其他活动。</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第四条  违约责任</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（一）甲方违反本协议第一、第二条给乙方单位造成经济损失的，应予以赔偿。</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（二）乙方违反本协议第一、第三条给甲方单位造成经济损失的，应予以赔偿。</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第五条  监督检查</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甲乙双方的廉洁从业行为由双方或双方上级单位的纪检、监察负责监督，对本协议履行情况进行检查。</w:t>
      </w: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第六条 举报信访受理</w:t>
      </w: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（一）举报受理部门：东莞市水务集团有限公司纪检监察部。</w:t>
      </w: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（二）举报电话：（0769）23076092。</w:t>
      </w: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（三）举报邮箱：</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"mailto:jcsj@dgswjt.cn。"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jcsj@dgswjt.cn。</w:t>
      </w:r>
      <w:r>
        <w:rPr>
          <w:rFonts w:hint="eastAsia" w:ascii="宋体" w:hAnsi="宋体" w:eastAsia="宋体" w:cs="宋体"/>
          <w:color w:val="auto"/>
          <w:szCs w:val="21"/>
          <w:highlight w:val="none"/>
        </w:rPr>
        <w:fldChar w:fldCharType="end"/>
      </w: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（四）信访地址：广东省东莞市东城街道育华路1号。</w:t>
      </w:r>
    </w:p>
    <w:p>
      <w:pPr>
        <w:spacing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第七条  其他</w:t>
      </w:r>
    </w:p>
    <w:p>
      <w:pPr>
        <w:spacing w:line="360" w:lineRule="auto"/>
        <w:ind w:firstLine="422" w:firstLineChars="20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本协议有效期为甲乙双方签字并盖章之日起至服务期满后为止。</w:t>
      </w:r>
    </w:p>
    <w:p>
      <w:pPr>
        <w:spacing w:line="360" w:lineRule="auto"/>
        <w:ind w:firstLine="422" w:firstLineChars="201"/>
        <w:outlineLvl w:val="9"/>
        <w:rPr>
          <w:rFonts w:ascii="宋体" w:hAnsi="宋体" w:eastAsia="宋体" w:cs="宋体"/>
          <w:color w:val="auto"/>
          <w:highlight w:val="none"/>
        </w:rPr>
      </w:pPr>
      <w:r>
        <w:rPr>
          <w:rFonts w:hint="eastAsia" w:ascii="宋体" w:hAnsi="宋体" w:eastAsia="宋体" w:cs="宋体"/>
          <w:color w:val="auto"/>
          <w:szCs w:val="21"/>
          <w:highlight w:val="none"/>
        </w:rPr>
        <w:t>本协议一式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伍</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份，甲、乙双方上级主管部门各执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spacing w:line="360" w:lineRule="auto"/>
        <w:ind w:firstLine="422" w:firstLineChars="201"/>
        <w:outlineLvl w:val="9"/>
        <w:rPr>
          <w:rFonts w:ascii="宋体" w:hAnsi="宋体" w:eastAsia="宋体" w:cs="宋体"/>
          <w:color w:val="auto"/>
          <w:szCs w:val="21"/>
          <w:highlight w:val="none"/>
        </w:rPr>
      </w:pPr>
    </w:p>
    <w:p>
      <w:pPr>
        <w:spacing w:line="360" w:lineRule="auto"/>
        <w:ind w:firstLine="422" w:firstLineChars="201"/>
        <w:outlineLvl w:val="9"/>
        <w:rPr>
          <w:rFonts w:ascii="宋体" w:hAnsi="宋体" w:eastAsia="宋体" w:cs="宋体"/>
          <w:color w:val="auto"/>
          <w:szCs w:val="21"/>
          <w:highlight w:val="none"/>
        </w:rPr>
      </w:pPr>
    </w:p>
    <w:p>
      <w:pPr>
        <w:spacing w:line="360" w:lineRule="auto"/>
        <w:ind w:firstLine="422" w:firstLineChars="201"/>
        <w:outlineLvl w:val="9"/>
        <w:rPr>
          <w:rFonts w:ascii="宋体" w:hAnsi="宋体" w:eastAsia="宋体" w:cs="宋体"/>
          <w:color w:val="auto"/>
          <w:szCs w:val="21"/>
          <w:highlight w:val="none"/>
        </w:rPr>
      </w:pPr>
    </w:p>
    <w:p>
      <w:pPr>
        <w:pStyle w:val="19"/>
        <w:outlineLvl w:val="9"/>
        <w:rPr>
          <w:rFonts w:hAnsi="宋体" w:cs="宋体"/>
          <w:color w:val="auto"/>
          <w:sz w:val="21"/>
          <w:szCs w:val="21"/>
          <w:highlight w:val="none"/>
        </w:rPr>
      </w:pPr>
    </w:p>
    <w:p>
      <w:pPr>
        <w:outlineLvl w:val="9"/>
        <w:rPr>
          <w:rFonts w:ascii="宋体" w:hAnsi="宋体" w:eastAsia="宋体" w:cs="宋体"/>
          <w:color w:val="auto"/>
          <w:szCs w:val="21"/>
          <w:highlight w:val="none"/>
        </w:rPr>
      </w:pPr>
    </w:p>
    <w:p>
      <w:pPr>
        <w:pStyle w:val="19"/>
        <w:outlineLvl w:val="9"/>
        <w:rPr>
          <w:rFonts w:hAnsi="宋体" w:cs="宋体"/>
          <w:color w:val="auto"/>
          <w:sz w:val="21"/>
          <w:szCs w:val="21"/>
          <w:highlight w:val="none"/>
        </w:rPr>
      </w:pPr>
    </w:p>
    <w:p>
      <w:pPr>
        <w:spacing w:line="360" w:lineRule="auto"/>
        <w:outlineLvl w:val="9"/>
        <w:rPr>
          <w:rFonts w:ascii="宋体" w:hAnsi="宋体" w:eastAsia="宋体" w:cs="宋体"/>
          <w:b/>
          <w:bCs/>
          <w:color w:val="auto"/>
          <w:szCs w:val="21"/>
          <w:highlight w:val="none"/>
        </w:rPr>
      </w:pPr>
    </w:p>
    <w:p>
      <w:pPr>
        <w:pStyle w:val="2"/>
        <w:outlineLvl w:val="9"/>
        <w:rPr>
          <w:rFonts w:ascii="宋体" w:hAnsi="宋体" w:eastAsia="宋体" w:cs="宋体"/>
          <w:color w:val="auto"/>
          <w:highlight w:val="none"/>
        </w:rPr>
      </w:pPr>
    </w:p>
    <w:p>
      <w:pPr>
        <w:pStyle w:val="2"/>
        <w:outlineLvl w:val="9"/>
        <w:rPr>
          <w:rFonts w:ascii="宋体" w:hAnsi="宋体" w:eastAsia="宋体" w:cs="宋体"/>
          <w:color w:val="auto"/>
          <w:highlight w:val="none"/>
        </w:rPr>
      </w:pPr>
    </w:p>
    <w:p>
      <w:pPr>
        <w:snapToGrid w:val="0"/>
        <w:spacing w:line="360" w:lineRule="auto"/>
        <w:ind w:firstLine="424" w:firstLineChars="201"/>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（本页为《廉洁协议书》的签署页）</w:t>
      </w:r>
    </w:p>
    <w:p>
      <w:pPr>
        <w:snapToGrid w:val="0"/>
        <w:spacing w:line="360" w:lineRule="auto"/>
        <w:ind w:firstLine="422" w:firstLineChars="201"/>
        <w:outlineLvl w:val="9"/>
        <w:rPr>
          <w:rFonts w:hint="eastAsia" w:ascii="宋体" w:hAnsi="宋体" w:eastAsia="宋体" w:cs="宋体"/>
          <w:color w:val="auto"/>
          <w:szCs w:val="21"/>
          <w:highlight w:val="none"/>
        </w:rPr>
      </w:pPr>
    </w:p>
    <w:p>
      <w:pPr>
        <w:snapToGrid w:val="0"/>
        <w:spacing w:line="360" w:lineRule="auto"/>
        <w:ind w:firstLine="422" w:firstLineChars="20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甲方（盖章）：东莞市众源环境投资有限公司</w:t>
      </w:r>
    </w:p>
    <w:p>
      <w:pPr>
        <w:snapToGrid w:val="0"/>
        <w:spacing w:line="360" w:lineRule="auto"/>
        <w:ind w:firstLine="422" w:firstLineChars="201"/>
        <w:outlineLvl w:val="9"/>
        <w:rPr>
          <w:rFonts w:hint="eastAsia" w:ascii="宋体" w:hAnsi="宋体" w:eastAsia="宋体" w:cs="宋体"/>
          <w:color w:val="auto"/>
          <w:szCs w:val="21"/>
          <w:highlight w:val="none"/>
        </w:rPr>
      </w:pPr>
    </w:p>
    <w:p>
      <w:pPr>
        <w:snapToGrid w:val="0"/>
        <w:spacing w:line="360" w:lineRule="auto"/>
        <w:ind w:firstLine="422" w:firstLineChars="20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法定代表（或负责人）：                     </w:t>
      </w:r>
    </w:p>
    <w:p>
      <w:pPr>
        <w:snapToGrid w:val="0"/>
        <w:spacing w:line="360" w:lineRule="auto"/>
        <w:ind w:firstLine="422" w:firstLineChars="201"/>
        <w:outlineLvl w:val="9"/>
        <w:rPr>
          <w:rFonts w:hint="eastAsia" w:ascii="宋体" w:hAnsi="宋体" w:eastAsia="宋体" w:cs="宋体"/>
          <w:color w:val="auto"/>
          <w:szCs w:val="21"/>
          <w:highlight w:val="none"/>
        </w:rPr>
      </w:pPr>
    </w:p>
    <w:p>
      <w:pPr>
        <w:snapToGrid w:val="0"/>
        <w:spacing w:line="360" w:lineRule="auto"/>
        <w:ind w:firstLine="422" w:firstLineChars="20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签订日期：   年  月  日</w:t>
      </w:r>
    </w:p>
    <w:p>
      <w:pPr>
        <w:snapToGrid w:val="0"/>
        <w:spacing w:line="360" w:lineRule="auto"/>
        <w:ind w:firstLine="422" w:firstLineChars="201"/>
        <w:outlineLvl w:val="9"/>
        <w:rPr>
          <w:rFonts w:hint="eastAsia" w:ascii="宋体" w:hAnsi="宋体" w:eastAsia="宋体" w:cs="宋体"/>
          <w:color w:val="auto"/>
          <w:szCs w:val="21"/>
          <w:highlight w:val="none"/>
        </w:rPr>
      </w:pPr>
    </w:p>
    <w:p>
      <w:pPr>
        <w:pStyle w:val="19"/>
        <w:snapToGrid w:val="0"/>
        <w:spacing w:line="360" w:lineRule="auto"/>
        <w:ind w:firstLine="424" w:firstLineChars="201"/>
        <w:outlineLvl w:val="9"/>
        <w:rPr>
          <w:rFonts w:hint="eastAsia" w:ascii="宋体" w:hAnsi="宋体" w:eastAsia="宋体" w:cs="宋体"/>
          <w:color w:val="auto"/>
          <w:sz w:val="21"/>
          <w:szCs w:val="21"/>
          <w:highlight w:val="none"/>
        </w:rPr>
      </w:pPr>
    </w:p>
    <w:p>
      <w:pPr>
        <w:snapToGrid w:val="0"/>
        <w:spacing w:line="360" w:lineRule="auto"/>
        <w:ind w:firstLine="422" w:firstLineChars="20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乙方（盖章）：</w:t>
      </w:r>
    </w:p>
    <w:p>
      <w:pPr>
        <w:snapToGrid w:val="0"/>
        <w:spacing w:line="360" w:lineRule="auto"/>
        <w:ind w:firstLine="422" w:firstLineChars="201"/>
        <w:outlineLvl w:val="9"/>
        <w:rPr>
          <w:rFonts w:hint="eastAsia" w:ascii="宋体" w:hAnsi="宋体" w:eastAsia="宋体" w:cs="宋体"/>
          <w:color w:val="auto"/>
          <w:szCs w:val="21"/>
          <w:highlight w:val="none"/>
        </w:rPr>
      </w:pPr>
    </w:p>
    <w:p>
      <w:pPr>
        <w:snapToGrid w:val="0"/>
        <w:spacing w:line="360" w:lineRule="auto"/>
        <w:ind w:firstLine="422" w:firstLineChars="20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法定代表（或负责人）：</w:t>
      </w:r>
    </w:p>
    <w:p>
      <w:pPr>
        <w:snapToGrid w:val="0"/>
        <w:spacing w:line="360" w:lineRule="auto"/>
        <w:ind w:firstLine="422" w:firstLineChars="201"/>
        <w:outlineLvl w:val="9"/>
        <w:rPr>
          <w:rFonts w:hint="eastAsia" w:ascii="宋体" w:hAnsi="宋体" w:eastAsia="宋体" w:cs="宋体"/>
          <w:color w:val="auto"/>
          <w:szCs w:val="21"/>
          <w:highlight w:val="none"/>
        </w:rPr>
      </w:pPr>
    </w:p>
    <w:p>
      <w:pPr>
        <w:snapToGrid w:val="0"/>
        <w:spacing w:line="360" w:lineRule="auto"/>
        <w:ind w:firstLine="420" w:firstLineChars="200"/>
        <w:outlineLvl w:val="9"/>
        <w:rPr>
          <w:rFonts w:hint="eastAsia" w:ascii="宋体" w:hAnsi="宋体" w:eastAsia="宋体" w:cs="宋体"/>
          <w:bCs/>
          <w:color w:val="auto"/>
          <w:szCs w:val="32"/>
          <w:highlight w:val="none"/>
        </w:rPr>
      </w:pPr>
      <w:r>
        <w:rPr>
          <w:rFonts w:hint="eastAsia" w:ascii="宋体" w:hAnsi="宋体" w:eastAsia="宋体" w:cs="宋体"/>
          <w:color w:val="auto"/>
          <w:szCs w:val="21"/>
          <w:highlight w:val="none"/>
        </w:rPr>
        <w:t>签订日期：    年  月  日</w:t>
      </w:r>
    </w:p>
    <w:p>
      <w:pPr>
        <w:spacing w:line="360" w:lineRule="auto"/>
        <w:ind w:firstLine="422" w:firstLineChars="201"/>
        <w:outlineLvl w:val="9"/>
        <w:rPr>
          <w:rFonts w:ascii="宋体" w:hAnsi="宋体" w:eastAsia="宋体" w:cs="宋体"/>
          <w:color w:val="auto"/>
          <w:szCs w:val="21"/>
          <w:highlight w:val="none"/>
        </w:rPr>
      </w:pPr>
    </w:p>
    <w:p>
      <w:pPr>
        <w:pStyle w:val="19"/>
        <w:spacing w:line="360" w:lineRule="auto"/>
        <w:ind w:firstLine="424" w:firstLineChars="201"/>
        <w:outlineLvl w:val="9"/>
        <w:rPr>
          <w:rFonts w:hAnsi="宋体" w:cs="宋体"/>
          <w:color w:val="auto"/>
          <w:sz w:val="21"/>
          <w:szCs w:val="21"/>
          <w:highlight w:val="none"/>
        </w:rPr>
      </w:pPr>
    </w:p>
    <w:p>
      <w:pPr>
        <w:spacing w:line="360" w:lineRule="auto"/>
        <w:outlineLvl w:val="9"/>
        <w:rPr>
          <w:rFonts w:hAnsi="宋体" w:cs="宋体"/>
          <w:b/>
          <w:color w:val="auto"/>
          <w:sz w:val="21"/>
          <w:szCs w:val="21"/>
          <w:highlight w:val="none"/>
        </w:rPr>
      </w:pPr>
      <w:bookmarkStart w:id="431" w:name="_Toc62826974"/>
    </w:p>
    <w:p>
      <w:pPr>
        <w:spacing w:line="360" w:lineRule="auto"/>
        <w:outlineLvl w:val="9"/>
        <w:rPr>
          <w:rFonts w:hAnsi="宋体" w:cs="宋体"/>
          <w:b/>
          <w:color w:val="auto"/>
          <w:sz w:val="21"/>
          <w:szCs w:val="21"/>
          <w:highlight w:val="none"/>
        </w:rPr>
      </w:pPr>
    </w:p>
    <w:p>
      <w:pPr>
        <w:spacing w:line="360" w:lineRule="auto"/>
        <w:outlineLvl w:val="9"/>
        <w:rPr>
          <w:rFonts w:hAnsi="宋体" w:cs="宋体"/>
          <w:b/>
          <w:color w:val="auto"/>
          <w:sz w:val="21"/>
          <w:szCs w:val="21"/>
          <w:highlight w:val="none"/>
        </w:rPr>
      </w:pPr>
    </w:p>
    <w:p>
      <w:pPr>
        <w:spacing w:line="360" w:lineRule="auto"/>
        <w:outlineLvl w:val="9"/>
        <w:rPr>
          <w:rFonts w:hAnsi="宋体" w:cs="宋体"/>
          <w:b/>
          <w:color w:val="auto"/>
          <w:sz w:val="21"/>
          <w:szCs w:val="21"/>
          <w:highlight w:val="none"/>
        </w:rPr>
      </w:pPr>
    </w:p>
    <w:p>
      <w:pPr>
        <w:spacing w:line="360" w:lineRule="auto"/>
        <w:outlineLvl w:val="9"/>
        <w:rPr>
          <w:rFonts w:hAnsi="宋体" w:cs="宋体"/>
          <w:b/>
          <w:color w:val="auto"/>
          <w:sz w:val="21"/>
          <w:szCs w:val="21"/>
          <w:highlight w:val="none"/>
        </w:rPr>
      </w:pPr>
    </w:p>
    <w:p>
      <w:pPr>
        <w:pageBreakBefore/>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附件2：安全生产管理协议</w:t>
      </w:r>
      <w:bookmarkEnd w:id="431"/>
    </w:p>
    <w:p>
      <w:pPr>
        <w:ind w:left="648" w:right="-26"/>
        <w:jc w:val="center"/>
        <w:outlineLvl w:val="9"/>
        <w:rPr>
          <w:rFonts w:ascii="宋体" w:hAnsi="宋体" w:eastAsia="宋体" w:cs="宋体"/>
          <w:b/>
          <w:bCs/>
          <w:color w:val="auto"/>
          <w:szCs w:val="21"/>
          <w:highlight w:val="none"/>
          <w:lang w:val="zh-CN"/>
        </w:rPr>
      </w:pPr>
    </w:p>
    <w:p>
      <w:pPr>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《安全生产管理协议（施工、安装、服务类）》</w:t>
      </w:r>
    </w:p>
    <w:p>
      <w:pPr>
        <w:jc w:val="center"/>
        <w:outlineLvl w:val="9"/>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 xml:space="preserve">         </w:t>
      </w:r>
      <w:r>
        <w:rPr>
          <w:rFonts w:hint="eastAsia" w:ascii="宋体" w:hAnsi="宋体" w:eastAsia="宋体" w:cs="宋体"/>
          <w:bCs/>
          <w:color w:val="auto"/>
          <w:sz w:val="28"/>
          <w:szCs w:val="28"/>
          <w:highlight w:val="none"/>
        </w:rPr>
        <w:t xml:space="preserve">                                         </w:t>
      </w:r>
    </w:p>
    <w:p>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甲方：</w:t>
      </w:r>
      <w:r>
        <w:rPr>
          <w:rFonts w:hint="eastAsia" w:ascii="宋体" w:hAnsi="宋体" w:eastAsia="宋体" w:cs="宋体"/>
          <w:color w:val="auto"/>
          <w:sz w:val="21"/>
          <w:szCs w:val="21"/>
          <w:highlight w:val="none"/>
          <w:u w:val="single"/>
        </w:rPr>
        <w:t xml:space="preserve">                                   </w:t>
      </w:r>
    </w:p>
    <w:p>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single"/>
        </w:rPr>
        <w:t xml:space="preserve">                                   </w:t>
      </w:r>
    </w:p>
    <w:p>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spacing w:line="360" w:lineRule="auto"/>
        <w:outlineLvl w:val="9"/>
        <w:rPr>
          <w:rFonts w:hint="eastAsia" w:ascii="宋体" w:hAnsi="宋体" w:eastAsia="宋体" w:cs="宋体"/>
          <w:color w:val="auto"/>
          <w:sz w:val="21"/>
          <w:szCs w:val="21"/>
          <w:highlight w:val="none"/>
          <w:u w:val="single"/>
        </w:rPr>
      </w:pPr>
    </w:p>
    <w:p>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u w:val="single"/>
        </w:rPr>
        <w:t xml:space="preserve">                                   </w:t>
      </w:r>
    </w:p>
    <w:p>
      <w:pPr>
        <w:spacing w:line="360" w:lineRule="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spacing w:line="360" w:lineRule="auto"/>
        <w:outlineLvl w:val="9"/>
        <w:rPr>
          <w:rFonts w:hint="eastAsia" w:ascii="宋体" w:hAnsi="宋体" w:eastAsia="宋体" w:cs="宋体"/>
          <w:color w:val="auto"/>
          <w:sz w:val="21"/>
          <w:szCs w:val="21"/>
          <w:highlight w:val="none"/>
        </w:rPr>
      </w:pPr>
    </w:p>
    <w:p>
      <w:pPr>
        <w:pStyle w:val="21"/>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根据《中华人民共和国安全生产法》和《建设工程安全生产管理条例》等法规要求，为加强作业现场的安</w:t>
      </w:r>
    </w:p>
    <w:p>
      <w:pPr>
        <w:pStyle w:val="21"/>
        <w:spacing w:line="360" w:lineRule="auto"/>
        <w:ind w:left="0" w:leftChars="0" w:firstLine="0" w:firstLineChars="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全管理，落实各自</w:t>
      </w:r>
      <w:r>
        <w:rPr>
          <w:rFonts w:hint="eastAsia" w:ascii="宋体" w:hAnsi="宋体" w:eastAsia="宋体" w:cs="宋体"/>
          <w:color w:val="auto"/>
          <w:sz w:val="21"/>
          <w:szCs w:val="21"/>
          <w:highlight w:val="none"/>
        </w:rPr>
        <w:t>的安全生产职责，进一步加强作业的安全管理，杜绝作业人员因安全管理不善而引发的各类安全事故，保证甲、乙双方的财产和员工的人身安全不受侵害，经甲乙双方协商一致，签订协议如下：</w:t>
      </w:r>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至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before="44" w:line="360" w:lineRule="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第一条、污水处理厂风险辨识</w:t>
      </w:r>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2、其他有限空间辨识，如:建筑施工未完工的地下暗室、管道及管道井等封闭、半封闭的设施及场所（地下隐蔽工程、密闭容器、长期不用的设施或通风不畅的场所等）等。</w:t>
      </w:r>
    </w:p>
    <w:p>
      <w:pPr>
        <w:spacing w:before="44"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第二条</w:t>
      </w:r>
      <w:r>
        <w:rPr>
          <w:rFonts w:hint="eastAsia" w:ascii="宋体" w:hAnsi="宋体" w:eastAsia="宋体" w:cs="宋体"/>
          <w:b/>
          <w:bCs/>
          <w:color w:val="auto"/>
          <w:sz w:val="21"/>
          <w:szCs w:val="21"/>
          <w:highlight w:val="none"/>
        </w:rPr>
        <w:t>、危害因素分析</w:t>
      </w:r>
    </w:p>
    <w:p>
      <w:pPr>
        <w:autoSpaceDE/>
        <w:autoSpaceDN/>
        <w:adjustRightInd/>
        <w:spacing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pPr>
        <w:numPr>
          <w:ilvl w:val="255"/>
          <w:numId w:val="0"/>
        </w:numPr>
        <w:autoSpaceDE/>
        <w:autoSpaceDN/>
        <w:adjustRightInd/>
        <w:spacing w:line="360" w:lineRule="auto"/>
        <w:jc w:val="both"/>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第三条</w:t>
      </w:r>
      <w:r>
        <w:rPr>
          <w:rFonts w:hint="eastAsia" w:ascii="宋体" w:hAnsi="宋体" w:eastAsia="宋体" w:cs="宋体"/>
          <w:b/>
          <w:bCs/>
          <w:color w:val="auto"/>
          <w:sz w:val="21"/>
          <w:szCs w:val="21"/>
          <w:highlight w:val="none"/>
        </w:rPr>
        <w:t>、协议实施条款</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“相关方”是指：</w:t>
      </w:r>
      <w:r>
        <w:rPr>
          <w:rFonts w:hint="eastAsia" w:ascii="宋体" w:hAnsi="宋体" w:eastAsia="宋体" w:cs="宋体"/>
          <w:color w:val="auto"/>
          <w:sz w:val="21"/>
          <w:szCs w:val="21"/>
          <w:highlight w:val="none"/>
          <w:lang w:val="en-US" w:eastAsia="zh-CN"/>
        </w:rPr>
        <w:t>乙方在甲方场所内或指定场所</w:t>
      </w:r>
      <w:r>
        <w:rPr>
          <w:rFonts w:hint="eastAsia" w:ascii="宋体" w:hAnsi="宋体" w:eastAsia="宋体" w:cs="宋体"/>
          <w:color w:val="auto"/>
          <w:sz w:val="21"/>
          <w:szCs w:val="21"/>
          <w:highlight w:val="none"/>
        </w:rPr>
        <w:t>从事与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生产经营活动有关的、在</w:t>
      </w:r>
      <w:r>
        <w:rPr>
          <w:rFonts w:hint="eastAsia" w:ascii="宋体" w:hAnsi="宋体" w:eastAsia="宋体" w:cs="宋体"/>
          <w:color w:val="auto"/>
          <w:sz w:val="21"/>
          <w:szCs w:val="21"/>
          <w:highlight w:val="none"/>
          <w:lang w:val="en-US" w:eastAsia="zh-CN"/>
        </w:rPr>
        <w:t>甲方场所内或指定场所</w:t>
      </w:r>
      <w:r>
        <w:rPr>
          <w:rFonts w:hint="eastAsia" w:ascii="宋体" w:hAnsi="宋体" w:eastAsia="宋体" w:cs="宋体"/>
          <w:color w:val="auto"/>
          <w:sz w:val="21"/>
          <w:szCs w:val="21"/>
          <w:highlight w:val="none"/>
        </w:rPr>
        <w:t xml:space="preserve">内从事各种公务活动和进行业务往来的外部单位和个人（以下简称“相关方”）。主要包括： </w:t>
      </w:r>
    </w:p>
    <w:p>
      <w:pPr>
        <w:numPr>
          <w:ilvl w:val="255"/>
          <w:numId w:val="0"/>
        </w:num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（1）依照与</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订立的有关合同，在</w:t>
      </w:r>
      <w:r>
        <w:rPr>
          <w:rFonts w:hint="eastAsia" w:ascii="宋体" w:hAnsi="宋体" w:eastAsia="宋体" w:cs="宋体"/>
          <w:color w:val="auto"/>
          <w:sz w:val="21"/>
          <w:szCs w:val="21"/>
          <w:highlight w:val="none"/>
          <w:lang w:val="en-US" w:eastAsia="zh-CN"/>
        </w:rPr>
        <w:t>甲方场所内或指定场所</w:t>
      </w:r>
      <w:r>
        <w:rPr>
          <w:rFonts w:hint="eastAsia" w:ascii="宋体" w:hAnsi="宋体" w:eastAsia="宋体" w:cs="宋体"/>
          <w:color w:val="auto"/>
          <w:sz w:val="21"/>
          <w:szCs w:val="21"/>
          <w:highlight w:val="none"/>
        </w:rPr>
        <w:t xml:space="preserve">内从事基建、设备安装、维修保养、运输、后勤服务、劳务输出以及其他承包各种项目的外来单位或个人。 </w:t>
      </w:r>
    </w:p>
    <w:p>
      <w:pPr>
        <w:numPr>
          <w:ilvl w:val="0"/>
          <w:numId w:val="3"/>
        </w:numPr>
        <w:autoSpaceDE/>
        <w:autoSpaceDN/>
        <w:adjustRightInd/>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进入</w:t>
      </w:r>
      <w:r>
        <w:rPr>
          <w:rFonts w:hint="eastAsia" w:ascii="宋体" w:hAnsi="宋体" w:eastAsia="宋体" w:cs="宋体"/>
          <w:color w:val="auto"/>
          <w:sz w:val="21"/>
          <w:szCs w:val="21"/>
          <w:highlight w:val="none"/>
          <w:lang w:val="en-US" w:eastAsia="zh-CN"/>
        </w:rPr>
        <w:t>甲方场所内或指定场所</w:t>
      </w:r>
      <w:r>
        <w:rPr>
          <w:rFonts w:hint="eastAsia" w:ascii="宋体" w:hAnsi="宋体" w:eastAsia="宋体" w:cs="宋体"/>
          <w:color w:val="auto"/>
          <w:sz w:val="21"/>
          <w:szCs w:val="21"/>
          <w:highlight w:val="none"/>
        </w:rPr>
        <w:t>内进行商务洽谈、参观访问、工作检查、学习交流及其他各类公务活动的外来单位或个人。</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危险作业包括但不限于以下内容：临水作业、进入受限空间作业、临时用电作业、高处作业、断路作业、破土作业、吊装作业、盲板抽堵作业。（以下简称：危险作业）</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进场前乙方应将本企业的营业执照、企业资质等级证书、安全生产许可证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、进场人员花名册、携带进场的机具一览表、特种作业人员及特种作业操作证的复印件报甲方。进场职工必须办好作业所在地所需办理的各种证件，不得使用未成年工、童工、超龄工和安排女工从事禁忌劳动。</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安全交底。每次进行危险作业等其他可能存在危险的作业前需由乙方的带班人员对作业人员进行安全交底。</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乙方需完善并加强对相关方的的日常考勤管理，严格遵守厂区对进出人员的管理要求。</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乙方使用被派遣劳动者的，应当将被派遣劳动者纳入本单位从业人员统一管理，对被派遣劳动者进行岗位安全操作规程和安全操作技能的教育和培训。</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乙方应制定与作业范围相适应的应急处置预案，并定期组织演练或者参加甲方组织的演练。</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乙方应当教育和督促从业人员严格执行本单位的安全生产规章制度和安全操作规程；并向从业人员如实告知作业场所和工作岗位存在的危险因素、防范措施以及事故应急措施。</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乙方依法参加工伤保险，为从业人员缴纳保险费，并应当为从事危险作业的人员办理意外伤害保险。</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乙方应严格遵守国家、地方政府有关安全生产及劳动保护的法律法规、标准、规定，贯彻执行甲方的各项安全管理规章制度，严格按照生产场所操作规程制度。</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乙方作业人员未经许可不得随意到厂区区域以内的其它工作场所活动，活动内容包括不限于采摘水果、前往其他池体活动、攀爬构筑物等危险行为，出现人身损伤或伤亡的，由乙方自行负责一切责任。</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在作业过程中，需要进行动土、动火、登高、吊装、断路、进入限制性空间等危险性较高的作业时，乙方的作业负责人、专职或兼职安全员必须现场确认，作业前报甲方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根据甲方的关于危险作业安全要求执行。</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因乙方原因，造成乙方损失，由乙方自负，给甲方造成财产损失和人员伤害，乙方要负全部责任，并全额赔偿甲方。</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非因甲方原因，造成乙方损失的，甲方不承担任何责任，由乙方自行承担全部责任。</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乙方应严格遵守法律法规以及甲方的安全管理要求，并接受甲方的安全生产工作协调和监督，积极消除安全隐患。安全管理的基本要求包括但不限于以下条款：</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①禁火区内严禁吸烟、动火。有火灾危险的作业区域，乙方必须配置足够的灭火设施。</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②焊接、气割作业时两瓶距离必须达到5M及以上，</w:t>
      </w:r>
      <w:r>
        <w:rPr>
          <w:rFonts w:hint="eastAsia" w:ascii="宋体" w:hAnsi="宋体" w:eastAsia="宋体" w:cs="宋体"/>
          <w:color w:val="auto"/>
          <w:sz w:val="21"/>
          <w:szCs w:val="21"/>
          <w:highlight w:val="none"/>
          <w:lang w:val="en-US" w:eastAsia="zh-CN"/>
        </w:rPr>
        <w:t>且有防倾倒措施及安装阻火器，</w:t>
      </w:r>
      <w:r>
        <w:rPr>
          <w:rFonts w:hint="eastAsia" w:ascii="宋体" w:hAnsi="宋体" w:eastAsia="宋体" w:cs="宋体"/>
          <w:color w:val="auto"/>
          <w:sz w:val="21"/>
          <w:szCs w:val="21"/>
          <w:highlight w:val="none"/>
        </w:rPr>
        <w:t>气瓶距可能产生火花的电器、设备和其它火源的间距必须达到10M及以上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气瓶严禁烈日暴晒及卧倒使用</w:t>
      </w:r>
      <w:r>
        <w:rPr>
          <w:rFonts w:hint="eastAsia" w:ascii="宋体" w:hAnsi="宋体" w:eastAsia="宋体" w:cs="宋体"/>
          <w:color w:val="auto"/>
          <w:sz w:val="21"/>
          <w:szCs w:val="21"/>
          <w:highlight w:val="none"/>
        </w:rPr>
        <w:t>。</w:t>
      </w:r>
    </w:p>
    <w:p>
      <w:pPr>
        <w:spacing w:line="360" w:lineRule="auto"/>
        <w:ind w:left="525" w:left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③严禁在厂内道路、消防通道内搭建临时建筑或堆放物资；</w:t>
      </w: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严禁占用、堵塞、遮掩、挪用、损毁、破坏或因装修作业等工作或其他原因导致消防设施设备损坏。</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④作业场所的电动工具、电焊机等须有漏电保护器和相应的安全防护装置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接线方式符合</w:t>
      </w:r>
      <w:r>
        <w:rPr>
          <w:rFonts w:hint="eastAsia" w:ascii="宋体" w:hAnsi="宋体" w:eastAsia="宋体" w:cs="宋体"/>
          <w:color w:val="auto"/>
          <w:sz w:val="21"/>
          <w:szCs w:val="21"/>
          <w:highlight w:val="none"/>
        </w:rPr>
        <w:t>“一机一闸</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有关</w:t>
      </w:r>
      <w:r>
        <w:rPr>
          <w:rFonts w:hint="eastAsia" w:ascii="宋体" w:hAnsi="宋体" w:eastAsia="宋体" w:cs="宋体"/>
          <w:color w:val="auto"/>
          <w:sz w:val="21"/>
          <w:szCs w:val="21"/>
          <w:highlight w:val="none"/>
        </w:rPr>
        <w:t>规定。</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eastAsia="宋体" w:cs="宋体"/>
          <w:color w:val="auto"/>
          <w:sz w:val="21"/>
          <w:szCs w:val="21"/>
          <w:highlight w:val="none"/>
          <w:lang w:val="en-US" w:eastAsia="zh-CN"/>
        </w:rPr>
        <w:t>生产、</w:t>
      </w:r>
      <w:r>
        <w:rPr>
          <w:rFonts w:hint="eastAsia" w:ascii="宋体" w:hAnsi="宋体" w:eastAsia="宋体" w:cs="宋体"/>
          <w:color w:val="auto"/>
          <w:sz w:val="21"/>
          <w:szCs w:val="21"/>
          <w:highlight w:val="none"/>
        </w:rPr>
        <w:t>作业现场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居住室、办公室内的用电设施必须符合要求，严禁电线乱接、乱拉，刀闸和开关无盖，在电器设施上堆放物品。</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⑥防雷、防静电设施及用电设施要有良好接地。</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⑦作业现场的危险区域，如临边、深坑、土方堆填区等，必须设置围栏和危险标志，夜间要设信号灯。</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⑪</w:t>
      </w:r>
      <w:r>
        <w:rPr>
          <w:rFonts w:hint="eastAsia" w:ascii="宋体" w:hAnsi="宋体" w:eastAsia="宋体" w:cs="宋体"/>
          <w:color w:val="auto"/>
          <w:sz w:val="21"/>
          <w:szCs w:val="21"/>
          <w:highlight w:val="none"/>
          <w:lang w:val="en-US" w:eastAsia="zh-CN"/>
        </w:rPr>
        <w:t>乙方落实好化学品及危险化学品管理，禁止</w:t>
      </w:r>
      <w:r>
        <w:rPr>
          <w:rFonts w:hint="eastAsia" w:ascii="宋体" w:hAnsi="宋体" w:eastAsia="宋体" w:cs="宋体"/>
          <w:color w:val="auto"/>
          <w:sz w:val="21"/>
          <w:szCs w:val="21"/>
          <w:highlight w:val="none"/>
          <w:lang w:val="en-US"/>
        </w:rPr>
        <w:t>危化品废弃物随意丢弃、倒掉</w:t>
      </w:r>
      <w:r>
        <w:rPr>
          <w:rFonts w:hint="eastAsia" w:ascii="宋体" w:hAnsi="宋体" w:eastAsia="宋体" w:cs="宋体"/>
          <w:color w:val="auto"/>
          <w:sz w:val="21"/>
          <w:szCs w:val="21"/>
          <w:highlight w:val="none"/>
          <w:lang w:val="en-US" w:eastAsia="zh-CN"/>
        </w:rPr>
        <w:t>，危险化学品泄漏应采取正确防护措施。</w:t>
      </w:r>
    </w:p>
    <w:p>
      <w:pPr>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⑫</w:t>
      </w:r>
      <w:r>
        <w:rPr>
          <w:rFonts w:hint="eastAsia" w:ascii="宋体" w:hAnsi="宋体" w:eastAsia="宋体" w:cs="宋体"/>
          <w:color w:val="auto"/>
          <w:sz w:val="21"/>
          <w:szCs w:val="21"/>
          <w:highlight w:val="none"/>
          <w:lang w:val="en-US" w:eastAsia="zh-CN"/>
        </w:rPr>
        <w:t>吊装作业前应检查吊具、吊绳安全性能，禁止超载吊装作业，吊运半径下方严禁站人。</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乙方应当定期排查并及时治理作业范围内的事故隐患，建立台账，做好相关记录，及时向甲方报告。乙方在发现重大事故隐患后不能立即治理的，应当采取必要的防范措施，并及时书面报告甲方，消除事故隐患。</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必须接受甲方的检查与监督，并应主动配合，做好安全工作。乙方若有出现违反本协议“第三条，协议实施条款”任一情形的，甲方有权要求乙方立即整改，且甲方有权视情况从工程结算款/服务价款中扣除1000元/</w:t>
      </w:r>
      <w:r>
        <w:rPr>
          <w:rFonts w:hint="eastAsia" w:ascii="宋体" w:hAnsi="宋体" w:eastAsia="宋体" w:cs="宋体"/>
          <w:color w:val="auto"/>
          <w:sz w:val="21"/>
          <w:szCs w:val="21"/>
          <w:highlight w:val="none"/>
          <w:lang w:val="en-US" w:eastAsia="zh-CN"/>
        </w:rPr>
        <w:t>条/款</w:t>
      </w:r>
      <w:r>
        <w:rPr>
          <w:rFonts w:hint="eastAsia" w:ascii="宋体" w:hAnsi="宋体" w:eastAsia="宋体" w:cs="宋体"/>
          <w:color w:val="auto"/>
          <w:sz w:val="21"/>
          <w:szCs w:val="21"/>
          <w:highlight w:val="none"/>
        </w:rPr>
        <w:t>作为违约金。</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若乙方有下列情形之一的或在整改后仍违反协议的，甲方有权</w:t>
      </w:r>
      <w:r>
        <w:rPr>
          <w:rFonts w:hint="eastAsia" w:ascii="宋体" w:hAnsi="宋体" w:eastAsia="宋体" w:cs="宋体"/>
          <w:color w:val="auto"/>
          <w:sz w:val="21"/>
          <w:szCs w:val="21"/>
          <w:highlight w:val="none"/>
          <w:lang w:val="en-US" w:eastAsia="zh-CN"/>
        </w:rPr>
        <w:t>按合同第九条违约责任相关条款执行</w:t>
      </w:r>
      <w:r>
        <w:rPr>
          <w:rFonts w:hint="eastAsia" w:ascii="宋体" w:hAnsi="宋体" w:eastAsia="宋体" w:cs="宋体"/>
          <w:color w:val="auto"/>
          <w:sz w:val="21"/>
          <w:szCs w:val="21"/>
          <w:highlight w:val="none"/>
        </w:rPr>
        <w:t>，同时甲方有权要求乙方承担第24条的违约金。造成甲方损失的，乙方需另行赔偿：</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①乙方不能提供与项目相匹配的营业执照、施工资质、安全生产许可证、技术人员、特种作业人员、安全员和设备设施的；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②乙方未对作业人员进行岗位安全操作规程和安全操作技能的教育和培训的；没有向作业人员提供劳动防护用品的；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③乙方未对所属员工定期开展安全教育培训的；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④在开展涉及危险性较高的作业时，乙方未在作业前报甲方的；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⑤乙方违章作业或违章指挥作业的；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⑥乙方现场安全管理不到位或不服从甲方安全管理的；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⑦发生事故后，乙方未及时开展应急救援工作的；</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⑨未制定与作业范围相适应的应急处置预案；</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⑩乙方不履行协议义务或者未按协议约定履行义务的其他情况。</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pPr>
        <w:numPr>
          <w:ilvl w:val="0"/>
          <w:numId w:val="4"/>
        </w:num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乙方在实施临水作业时，需设一名或以上监护人员；作业存在多种危险作业情况下，需严格落实2人或2人以上为一组协同作业或交替作业，不能单独作业。</w:t>
      </w:r>
    </w:p>
    <w:p>
      <w:pPr>
        <w:numPr>
          <w:ilvl w:val="0"/>
          <w:numId w:val="4"/>
        </w:num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危险作业前，必须检查作业工具是否完好，做好交底工作。</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（3）危险作业时，必须做好安全防护措施（穿戴救生衣、安全绳（带）、水鞋、手套、不得穿拖鞋或凉鞋等），严格落实2人或2人以上为一组进行协同作业，不得单独作业。</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（4）如遇阴雨及大雾、雷暴雨、台风等恶劣天气，禁止危险作业。</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乙方对作业过程中潜在的安全风险不明确的，不可盲目作业，否则，造成的后果由乙方独自承担。</w:t>
      </w:r>
    </w:p>
    <w:p>
      <w:pPr>
        <w:numPr>
          <w:ilvl w:val="0"/>
          <w:numId w:val="2"/>
        </w:num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份，其中甲方执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份，乙方执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份，自甲、乙双方法定代表人或负责人签字并盖章之日起生效。</w:t>
      </w:r>
    </w:p>
    <w:p>
      <w:pPr>
        <w:spacing w:line="360" w:lineRule="auto"/>
        <w:ind w:firstLine="420" w:firstLineChars="200"/>
        <w:outlineLvl w:val="9"/>
        <w:rPr>
          <w:rFonts w:hint="eastAsia" w:ascii="宋体" w:hAnsi="宋体" w:eastAsia="宋体" w:cs="宋体"/>
          <w:color w:val="auto"/>
          <w:sz w:val="21"/>
          <w:szCs w:val="21"/>
          <w:highlight w:val="none"/>
        </w:rPr>
      </w:pPr>
    </w:p>
    <w:p>
      <w:pPr>
        <w:spacing w:line="360" w:lineRule="auto"/>
        <w:ind w:firstLine="426" w:firstLineChars="202"/>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乙方声明：</w:t>
      </w:r>
    </w:p>
    <w:p>
      <w:pPr>
        <w:spacing w:line="360" w:lineRule="auto"/>
        <w:ind w:firstLine="426" w:firstLineChars="202"/>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乙方已认真阅读协议内容，对协议条款、现场的安全管理要求、安全风险充分理解，并自愿承担因违约造成的一切后果。</w:t>
      </w:r>
    </w:p>
    <w:p>
      <w:pPr>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（以下无正文）</w:t>
      </w:r>
    </w:p>
    <w:p>
      <w:pPr>
        <w:spacing w:line="360" w:lineRule="auto"/>
        <w:ind w:firstLine="420" w:firstLineChars="200"/>
        <w:outlineLvl w:val="9"/>
        <w:rPr>
          <w:rFonts w:hint="eastAsia" w:ascii="宋体" w:hAnsi="宋体" w:eastAsia="宋体" w:cs="宋体"/>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pPr>
        <w:spacing w:line="360" w:lineRule="auto"/>
        <w:outlineLvl w:val="9"/>
        <w:rPr>
          <w:rFonts w:hint="eastAsia" w:ascii="宋体" w:hAnsi="宋体" w:eastAsia="宋体" w:cs="宋体"/>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                法定代表人或负责人：</w:t>
      </w:r>
    </w:p>
    <w:p>
      <w:pPr>
        <w:spacing w:line="360" w:lineRule="auto"/>
        <w:outlineLvl w:val="9"/>
        <w:rPr>
          <w:rFonts w:hint="eastAsia" w:ascii="宋体" w:hAnsi="宋体" w:eastAsia="宋体" w:cs="宋体"/>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p>
    <w:p>
      <w:pPr>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日期：</w:t>
      </w:r>
    </w:p>
    <w:p>
      <w:pPr>
        <w:autoSpaceDE w:val="0"/>
        <w:autoSpaceDN w:val="0"/>
        <w:adjustRightInd w:val="0"/>
        <w:snapToGrid w:val="0"/>
        <w:spacing w:line="360" w:lineRule="auto"/>
        <w:jc w:val="left"/>
        <w:outlineLvl w:val="9"/>
        <w:rPr>
          <w:rFonts w:ascii="宋体" w:hAnsi="宋体" w:eastAsia="宋体" w:cs="宋体"/>
          <w:color w:val="auto"/>
          <w:kern w:val="0"/>
          <w:szCs w:val="21"/>
          <w:highlight w:val="none"/>
        </w:rPr>
      </w:pPr>
    </w:p>
    <w:p>
      <w:pPr>
        <w:pageBreakBefore/>
        <w:spacing w:before="120" w:beforeLines="50" w:after="120" w:afterLines="50" w:line="360" w:lineRule="auto"/>
        <w:ind w:firstLine="640"/>
        <w:jc w:val="center"/>
        <w:outlineLvl w:val="0"/>
        <w:rPr>
          <w:rFonts w:ascii="宋体" w:hAnsi="宋体" w:eastAsia="宋体" w:cs="宋体"/>
          <w:b/>
          <w:bCs/>
          <w:color w:val="auto"/>
          <w:sz w:val="32"/>
          <w:szCs w:val="32"/>
          <w:highlight w:val="none"/>
          <w:lang w:val="zh-CN"/>
        </w:rPr>
      </w:pPr>
      <w:bookmarkStart w:id="432" w:name="_Toc13867"/>
      <w:bookmarkStart w:id="433" w:name="_Toc447044603"/>
      <w:bookmarkStart w:id="434" w:name="_Toc142508360"/>
      <w:bookmarkStart w:id="435" w:name="_Toc24427_WPSOffice_Level1"/>
      <w:bookmarkStart w:id="436" w:name="_Toc447044479"/>
      <w:bookmarkStart w:id="437" w:name="_Toc447045090"/>
      <w:bookmarkStart w:id="438" w:name="_Toc512353083"/>
      <w:bookmarkStart w:id="439" w:name="_Toc25564"/>
      <w:bookmarkStart w:id="440" w:name="_Toc30025"/>
      <w:bookmarkStart w:id="441" w:name="_Toc26785"/>
      <w:r>
        <w:rPr>
          <w:rFonts w:hint="eastAsia" w:ascii="宋体" w:hAnsi="宋体" w:eastAsia="宋体" w:cs="宋体"/>
          <w:b/>
          <w:bCs/>
          <w:color w:val="auto"/>
          <w:sz w:val="32"/>
          <w:szCs w:val="32"/>
          <w:highlight w:val="none"/>
          <w:lang w:val="zh-CN"/>
        </w:rPr>
        <w:t>第五篇 相关保函格式</w:t>
      </w:r>
      <w:bookmarkEnd w:id="432"/>
      <w:bookmarkEnd w:id="433"/>
      <w:bookmarkEnd w:id="434"/>
      <w:bookmarkEnd w:id="435"/>
      <w:bookmarkEnd w:id="436"/>
      <w:bookmarkEnd w:id="437"/>
      <w:bookmarkEnd w:id="438"/>
      <w:bookmarkEnd w:id="439"/>
      <w:bookmarkEnd w:id="440"/>
      <w:bookmarkEnd w:id="441"/>
      <w:bookmarkStart w:id="442" w:name="_Toc447044480"/>
      <w:bookmarkStart w:id="443" w:name="_Toc447045091"/>
      <w:bookmarkStart w:id="444" w:name="_Toc447044604"/>
    </w:p>
    <w:p>
      <w:pPr>
        <w:autoSpaceDE w:val="0"/>
        <w:autoSpaceDN w:val="0"/>
        <w:adjustRightInd w:val="0"/>
        <w:spacing w:after="120" w:afterLines="50" w:line="360" w:lineRule="auto"/>
        <w:jc w:val="left"/>
        <w:outlineLvl w:val="9"/>
        <w:rPr>
          <w:rFonts w:ascii="宋体" w:hAnsi="宋体" w:eastAsia="宋体" w:cs="宋体"/>
          <w:b/>
          <w:color w:val="auto"/>
          <w:kern w:val="0"/>
          <w:sz w:val="28"/>
          <w:szCs w:val="28"/>
          <w:highlight w:val="none"/>
        </w:rPr>
      </w:pPr>
      <w:bookmarkStart w:id="445" w:name="_Toc26521_WPSOffice_Level2"/>
      <w:r>
        <w:rPr>
          <w:rFonts w:hint="eastAsia" w:ascii="宋体" w:hAnsi="宋体" w:eastAsia="宋体" w:cs="宋体"/>
          <w:b/>
          <w:color w:val="auto"/>
          <w:kern w:val="0"/>
          <w:sz w:val="28"/>
          <w:szCs w:val="28"/>
          <w:highlight w:val="none"/>
        </w:rPr>
        <w:t>一、不可撤销银行履约保函格式</w:t>
      </w:r>
      <w:bookmarkEnd w:id="442"/>
      <w:bookmarkEnd w:id="443"/>
      <w:bookmarkEnd w:id="444"/>
      <w:bookmarkEnd w:id="445"/>
    </w:p>
    <w:p>
      <w:pPr>
        <w:autoSpaceDE w:val="0"/>
        <w:autoSpaceDN w:val="0"/>
        <w:adjustRightInd w:val="0"/>
        <w:jc w:val="center"/>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r>
        <w:rPr>
          <w:rFonts w:hint="eastAsia" w:ascii="宋体" w:hAnsi="宋体" w:eastAsia="宋体" w:cs="宋体"/>
          <w:b/>
          <w:color w:val="auto"/>
          <w:kern w:val="0"/>
          <w:sz w:val="30"/>
          <w:szCs w:val="30"/>
          <w:highlight w:val="none"/>
          <w:u w:val="single"/>
        </w:rPr>
        <w:t xml:space="preserve">   </w:t>
      </w:r>
      <w:r>
        <w:rPr>
          <w:rFonts w:hint="eastAsia" w:ascii="宋体" w:hAnsi="宋体" w:eastAsia="宋体" w:cs="宋体"/>
          <w:b/>
          <w:color w:val="auto"/>
          <w:kern w:val="0"/>
          <w:sz w:val="30"/>
          <w:szCs w:val="30"/>
          <w:highlight w:val="none"/>
          <w:lang w:eastAsia="zh-CN"/>
        </w:rPr>
        <w:t>包组</w:t>
      </w:r>
      <w:r>
        <w:rPr>
          <w:rFonts w:hint="eastAsia" w:ascii="宋体" w:hAnsi="宋体" w:eastAsia="宋体" w:cs="宋体"/>
          <w:b/>
          <w:color w:val="auto"/>
          <w:kern w:val="0"/>
          <w:sz w:val="30"/>
          <w:szCs w:val="30"/>
          <w:highlight w:val="none"/>
        </w:rPr>
        <w:t>)</w:t>
      </w:r>
    </w:p>
    <w:p>
      <w:pPr>
        <w:widowControl/>
        <w:autoSpaceDE w:val="0"/>
        <w:autoSpaceDN w:val="0"/>
        <w:adjustRightInd w:val="0"/>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6300"/>
        <w:jc w:val="left"/>
        <w:outlineLvl w:val="9"/>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pPr>
        <w:widowControl/>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widowControl/>
        <w:autoSpaceDE w:val="0"/>
        <w:autoSpaceDN w:val="0"/>
        <w:adjustRightInd w:val="0"/>
        <w:spacing w:line="360" w:lineRule="auto"/>
        <w:ind w:firstLine="567" w:firstLine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pPr>
        <w:widowControl/>
        <w:autoSpaceDE w:val="0"/>
        <w:autoSpaceDN w:val="0"/>
        <w:adjustRightInd w:val="0"/>
        <w:spacing w:line="360" w:lineRule="auto"/>
        <w:ind w:firstLine="567" w:firstLine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后，在保函限额内向受益人支付不超过人民币（大写）_________（¥_______元）的款项。</w:t>
      </w:r>
    </w:p>
    <w:p>
      <w:pPr>
        <w:widowControl/>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pPr>
        <w:widowControl/>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本保函应自合同签订之日起至合同期限届满并完成合同全部服务义务后二十八（28）日内保持有效。</w:t>
      </w:r>
    </w:p>
    <w:p>
      <w:pPr>
        <w:widowControl/>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p>
    <w:p>
      <w:pPr>
        <w:widowControl/>
        <w:autoSpaceDE w:val="0"/>
        <w:autoSpaceDN w:val="0"/>
        <w:adjustRightInd w:val="0"/>
        <w:spacing w:line="360" w:lineRule="auto"/>
        <w:ind w:firstLine="2520" w:firstLineChars="1200"/>
        <w:jc w:val="left"/>
        <w:outlineLvl w:val="9"/>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pPr>
        <w:widowControl/>
        <w:autoSpaceDE w:val="0"/>
        <w:autoSpaceDN w:val="0"/>
        <w:adjustRightInd w:val="0"/>
        <w:spacing w:line="360" w:lineRule="auto"/>
        <w:ind w:firstLine="2520" w:firstLineChars="1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pPr>
        <w:widowControl/>
        <w:autoSpaceDE w:val="0"/>
        <w:autoSpaceDN w:val="0"/>
        <w:adjustRightInd w:val="0"/>
        <w:spacing w:line="360" w:lineRule="auto"/>
        <w:ind w:firstLine="5502" w:firstLineChars="2620"/>
        <w:jc w:val="left"/>
        <w:outlineLvl w:val="9"/>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pPr>
        <w:widowControl/>
        <w:autoSpaceDE w:val="0"/>
        <w:autoSpaceDN w:val="0"/>
        <w:adjustRightInd w:val="0"/>
        <w:spacing w:line="360" w:lineRule="auto"/>
        <w:ind w:firstLine="5502" w:firstLineChars="2620"/>
        <w:jc w:val="left"/>
        <w:outlineLvl w:val="9"/>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pPr>
        <w:autoSpaceDE w:val="0"/>
        <w:autoSpaceDN w:val="0"/>
        <w:adjustRightInd w:val="0"/>
        <w:spacing w:line="360" w:lineRule="auto"/>
        <w:ind w:left="840"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pPr>
        <w:widowControl/>
        <w:autoSpaceDE w:val="0"/>
        <w:autoSpaceDN w:val="0"/>
        <w:adjustRightInd w:val="0"/>
        <w:spacing w:line="360" w:lineRule="auto"/>
        <w:jc w:val="left"/>
        <w:outlineLvl w:val="9"/>
        <w:rPr>
          <w:rFonts w:ascii="宋体" w:hAnsi="宋体" w:eastAsia="宋体" w:cs="宋体"/>
          <w:color w:val="auto"/>
          <w:kern w:val="0"/>
          <w:szCs w:val="21"/>
          <w:highlight w:val="none"/>
        </w:rPr>
      </w:pPr>
    </w:p>
    <w:p>
      <w:pPr>
        <w:widowControl/>
        <w:autoSpaceDE w:val="0"/>
        <w:autoSpaceDN w:val="0"/>
        <w:adjustRightInd w:val="0"/>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ind w:right="368" w:rightChars="175"/>
        <w:jc w:val="left"/>
        <w:outlineLvl w:val="9"/>
        <w:rPr>
          <w:rFonts w:ascii="宋体" w:hAnsi="宋体" w:eastAsia="宋体" w:cs="宋体"/>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outlineLvl w:val="9"/>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二、履约保证保险凭证格式</w:t>
      </w:r>
    </w:p>
    <w:p>
      <w:pPr>
        <w:autoSpaceDE w:val="0"/>
        <w:autoSpaceDN w:val="0"/>
        <w:adjustRightInd w:val="0"/>
        <w:jc w:val="center"/>
        <w:outlineLvl w:val="9"/>
        <w:rPr>
          <w:rFonts w:ascii="宋体" w:hAnsi="宋体" w:eastAsia="宋体" w:cs="宋体"/>
          <w:b/>
          <w:color w:val="auto"/>
          <w:kern w:val="0"/>
          <w:sz w:val="30"/>
          <w:szCs w:val="30"/>
          <w:highlight w:val="none"/>
        </w:rPr>
      </w:pPr>
    </w:p>
    <w:p>
      <w:pPr>
        <w:autoSpaceDE w:val="0"/>
        <w:autoSpaceDN w:val="0"/>
        <w:adjustRightInd w:val="0"/>
        <w:jc w:val="center"/>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履约保证保险凭证(</w:t>
      </w:r>
      <w:r>
        <w:rPr>
          <w:rFonts w:hint="eastAsia" w:ascii="宋体" w:hAnsi="宋体" w:eastAsia="宋体" w:cs="宋体"/>
          <w:b/>
          <w:color w:val="auto"/>
          <w:kern w:val="0"/>
          <w:sz w:val="30"/>
          <w:szCs w:val="30"/>
          <w:highlight w:val="none"/>
          <w:u w:val="single"/>
        </w:rPr>
        <w:t xml:space="preserve">   </w:t>
      </w:r>
      <w:r>
        <w:rPr>
          <w:rFonts w:hint="eastAsia" w:ascii="宋体" w:hAnsi="宋体" w:eastAsia="宋体" w:cs="宋体"/>
          <w:b/>
          <w:color w:val="auto"/>
          <w:kern w:val="0"/>
          <w:sz w:val="30"/>
          <w:szCs w:val="30"/>
          <w:highlight w:val="none"/>
          <w:lang w:eastAsia="zh-CN"/>
        </w:rPr>
        <w:t>包组</w:t>
      </w:r>
      <w:r>
        <w:rPr>
          <w:rFonts w:hint="eastAsia" w:ascii="宋体" w:hAnsi="宋体" w:eastAsia="宋体" w:cs="宋体"/>
          <w:b/>
          <w:color w:val="auto"/>
          <w:kern w:val="0"/>
          <w:sz w:val="30"/>
          <w:szCs w:val="30"/>
          <w:highlight w:val="none"/>
        </w:rPr>
        <w:t>)</w:t>
      </w:r>
    </w:p>
    <w:p>
      <w:pPr>
        <w:autoSpaceDE w:val="0"/>
        <w:autoSpaceDN w:val="0"/>
        <w:adjustRightInd w:val="0"/>
        <w:spacing w:line="360" w:lineRule="auto"/>
        <w:ind w:firstLine="437"/>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437"/>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编号：</w:t>
      </w:r>
    </w:p>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（下称“受益人”）： </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 xml:space="preserve">合同。我方已接受申请人的请求，并出具《履约保证保险》保险单。 </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一、保证保险金额 </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 xml:space="preserve"> ）。 </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二、保证保险的责任范围 </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 xml:space="preserve">合同履行相关义务，给贵方造成损失的，贵方可向我方提出索赔，我方按照保险合同的约定承担损失赔偿责任。 </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三、代偿的安排 </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四、生效时间 </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本保险凭证自我方法定代表人（或其授权代理人）签字并加盖保险承保章之日起生效。 </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五、其他</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本履约保证保险应自合同签订之日起至合同期限届满并完成相关服务义务后二十八（28）日内保持有效。</w:t>
      </w:r>
    </w:p>
    <w:p>
      <w:pPr>
        <w:outlineLvl w:val="9"/>
        <w:rPr>
          <w:rFonts w:hAnsi="宋体" w:cs="宋体"/>
          <w:color w:val="auto"/>
          <w:highlight w:val="none"/>
        </w:rPr>
      </w:pP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附：《XXX 保险有限公司履约保证保险（X 款）条款》及保单 </w:t>
      </w:r>
    </w:p>
    <w:p>
      <w:pPr>
        <w:autoSpaceDE w:val="0"/>
        <w:autoSpaceDN w:val="0"/>
        <w:adjustRightInd w:val="0"/>
        <w:spacing w:line="360" w:lineRule="auto"/>
        <w:ind w:firstLine="437"/>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437"/>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保险人：（盖章）</w:t>
      </w:r>
    </w:p>
    <w:p>
      <w:pPr>
        <w:autoSpaceDE w:val="0"/>
        <w:autoSpaceDN w:val="0"/>
        <w:adjustRightInd w:val="0"/>
        <w:spacing w:line="360" w:lineRule="auto"/>
        <w:ind w:firstLine="437"/>
        <w:jc w:val="righ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法定代表人或授权代理人：________ </w:t>
      </w:r>
    </w:p>
    <w:p>
      <w:pPr>
        <w:autoSpaceDE w:val="0"/>
        <w:autoSpaceDN w:val="0"/>
        <w:adjustRightInd w:val="0"/>
        <w:spacing w:line="360" w:lineRule="auto"/>
        <w:ind w:firstLine="437"/>
        <w:jc w:val="righ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p>
      <w:pPr>
        <w:widowControl/>
        <w:autoSpaceDE w:val="0"/>
        <w:autoSpaceDN w:val="0"/>
        <w:adjustRightInd w:val="0"/>
        <w:spacing w:before="100" w:beforeAutospacing="1" w:after="100" w:afterAutospacing="1"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autoSpaceDE w:val="0"/>
        <w:autoSpaceDN w:val="0"/>
        <w:adjustRightInd w:val="0"/>
        <w:spacing w:after="120" w:afterLines="50" w:line="360" w:lineRule="auto"/>
        <w:jc w:val="left"/>
        <w:outlineLvl w:val="9"/>
        <w:rPr>
          <w:rFonts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三、担保公司履约担保书格式</w:t>
      </w:r>
    </w:p>
    <w:p>
      <w:pPr>
        <w:autoSpaceDE w:val="0"/>
        <w:autoSpaceDN w:val="0"/>
        <w:adjustRightInd w:val="0"/>
        <w:jc w:val="center"/>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r>
        <w:rPr>
          <w:rFonts w:hint="eastAsia" w:ascii="宋体" w:hAnsi="宋体" w:eastAsia="宋体" w:cs="宋体"/>
          <w:b/>
          <w:color w:val="auto"/>
          <w:kern w:val="0"/>
          <w:sz w:val="30"/>
          <w:szCs w:val="30"/>
          <w:highlight w:val="none"/>
          <w:u w:val="single"/>
        </w:rPr>
        <w:t xml:space="preserve">   </w:t>
      </w:r>
      <w:r>
        <w:rPr>
          <w:rFonts w:hint="eastAsia" w:ascii="宋体" w:hAnsi="宋体" w:eastAsia="宋体" w:cs="宋体"/>
          <w:b/>
          <w:color w:val="auto"/>
          <w:kern w:val="0"/>
          <w:sz w:val="30"/>
          <w:szCs w:val="30"/>
          <w:highlight w:val="none"/>
          <w:lang w:eastAsia="zh-CN"/>
        </w:rPr>
        <w:t>包组</w:t>
      </w:r>
      <w:r>
        <w:rPr>
          <w:rFonts w:hint="eastAsia" w:ascii="宋体" w:hAnsi="宋体" w:eastAsia="宋体" w:cs="宋体"/>
          <w:b/>
          <w:color w:val="auto"/>
          <w:kern w:val="0"/>
          <w:sz w:val="30"/>
          <w:szCs w:val="30"/>
          <w:highlight w:val="none"/>
        </w:rPr>
        <w:t>)</w:t>
      </w:r>
    </w:p>
    <w:p>
      <w:pPr>
        <w:widowControl/>
        <w:autoSpaceDE w:val="0"/>
        <w:autoSpaceDN w:val="0"/>
        <w:adjustRightInd w:val="0"/>
        <w:spacing w:before="100" w:beforeAutospacing="1" w:after="100" w:afterAutospacing="1"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pPr>
        <w:widowControl/>
        <w:autoSpaceDE w:val="0"/>
        <w:autoSpaceDN w:val="0"/>
        <w:adjustRightInd w:val="0"/>
        <w:spacing w:line="360" w:lineRule="auto"/>
        <w:ind w:firstLine="567" w:firstLine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pPr>
        <w:autoSpaceDE w:val="0"/>
        <w:autoSpaceDN w:val="0"/>
        <w:adjustRightInd w:val="0"/>
        <w:spacing w:line="360" w:lineRule="auto"/>
        <w:ind w:firstLine="437"/>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本保函应自合同签订之日起至合同期限届满并完成相关服务义务后二十八（28）日内保持有效。</w:t>
      </w:r>
    </w:p>
    <w:p>
      <w:pPr>
        <w:autoSpaceDE w:val="0"/>
        <w:autoSpaceDN w:val="0"/>
        <w:adjustRightInd w:val="0"/>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3990" w:firstLineChars="19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pPr>
        <w:autoSpaceDE w:val="0"/>
        <w:autoSpaceDN w:val="0"/>
        <w:adjustRightInd w:val="0"/>
        <w:spacing w:line="360" w:lineRule="auto"/>
        <w:ind w:firstLine="3990" w:firstLineChars="19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pPr>
        <w:autoSpaceDE w:val="0"/>
        <w:autoSpaceDN w:val="0"/>
        <w:adjustRightInd w:val="0"/>
        <w:spacing w:line="360" w:lineRule="auto"/>
        <w:ind w:firstLine="3990" w:firstLineChars="19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pPr>
        <w:autoSpaceDE w:val="0"/>
        <w:autoSpaceDN w:val="0"/>
        <w:adjustRightInd w:val="0"/>
        <w:spacing w:line="360" w:lineRule="auto"/>
        <w:ind w:firstLine="3990" w:firstLineChars="19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pPr>
        <w:autoSpaceDE w:val="0"/>
        <w:autoSpaceDN w:val="0"/>
        <w:adjustRightInd w:val="0"/>
        <w:spacing w:line="360" w:lineRule="auto"/>
        <w:ind w:firstLine="3990" w:firstLineChars="19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spacing w:line="360" w:lineRule="auto"/>
        <w:ind w:right="368" w:rightChars="175"/>
        <w:jc w:val="left"/>
        <w:outlineLvl w:val="9"/>
        <w:rPr>
          <w:rFonts w:ascii="宋体" w:hAnsi="宋体" w:eastAsia="宋体" w:cs="宋体"/>
          <w:color w:val="auto"/>
          <w:kern w:val="0"/>
          <w:szCs w:val="21"/>
          <w:highlight w:val="none"/>
        </w:rPr>
      </w:pPr>
    </w:p>
    <w:p>
      <w:pPr>
        <w:autoSpaceDE w:val="0"/>
        <w:autoSpaceDN w:val="0"/>
        <w:adjustRightInd w:val="0"/>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outlineLvl w:val="9"/>
        <w:rPr>
          <w:rFonts w:ascii="宋体" w:hAnsi="宋体" w:eastAsia="宋体" w:cs="宋体"/>
          <w:color w:val="auto"/>
          <w:kern w:val="0"/>
          <w:szCs w:val="21"/>
          <w:highlight w:val="none"/>
        </w:rPr>
      </w:pPr>
    </w:p>
    <w:p>
      <w:pPr>
        <w:autoSpaceDE w:val="0"/>
        <w:autoSpaceDN w:val="0"/>
        <w:adjustRightInd w:val="0"/>
        <w:spacing w:line="360" w:lineRule="auto"/>
        <w:ind w:firstLine="5775" w:firstLineChars="2750"/>
        <w:jc w:val="left"/>
        <w:rPr>
          <w:rFonts w:ascii="宋体" w:hAnsi="宋体" w:eastAsia="宋体" w:cs="宋体"/>
          <w:color w:val="auto"/>
          <w:kern w:val="0"/>
          <w:szCs w:val="21"/>
          <w:highlight w:val="none"/>
        </w:rPr>
      </w:pPr>
    </w:p>
    <w:p>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p>
    <w:p>
      <w:pPr>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446" w:name="_Toc30352"/>
      <w:bookmarkStart w:id="447" w:name="_Toc9840"/>
      <w:bookmarkStart w:id="448" w:name="_Toc142508361"/>
      <w:bookmarkStart w:id="449" w:name="_Toc486167708"/>
      <w:bookmarkStart w:id="450" w:name="_Toc14958"/>
      <w:bookmarkStart w:id="451" w:name="_Toc450662895"/>
      <w:bookmarkStart w:id="452" w:name="_Toc15817"/>
      <w:bookmarkStart w:id="453" w:name="_Toc32761_WPSOffice_Level1"/>
      <w:r>
        <w:rPr>
          <w:rFonts w:hint="eastAsia" w:ascii="宋体" w:hAnsi="宋体" w:eastAsia="宋体" w:cs="宋体"/>
          <w:b/>
          <w:bCs/>
          <w:color w:val="auto"/>
          <w:kern w:val="44"/>
          <w:sz w:val="32"/>
          <w:szCs w:val="32"/>
          <w:highlight w:val="none"/>
          <w:lang w:val="zh-CN"/>
        </w:rPr>
        <w:t>第六篇 投标文件格式</w:t>
      </w:r>
      <w:bookmarkEnd w:id="446"/>
      <w:bookmarkEnd w:id="447"/>
      <w:bookmarkEnd w:id="448"/>
      <w:bookmarkEnd w:id="449"/>
      <w:bookmarkEnd w:id="450"/>
      <w:bookmarkEnd w:id="451"/>
      <w:bookmarkEnd w:id="452"/>
      <w:bookmarkEnd w:id="453"/>
      <w:bookmarkStart w:id="454" w:name="_Toc142508362"/>
      <w:bookmarkStart w:id="455" w:name="_Toc102860411"/>
      <w:bookmarkStart w:id="456" w:name="_Toc94107202"/>
      <w:bookmarkStart w:id="457" w:name="_Toc21133_WPSOffice_Level2"/>
      <w:bookmarkStart w:id="458" w:name="_Toc533708121"/>
      <w:bookmarkStart w:id="459" w:name="_Toc104991868"/>
      <w:bookmarkStart w:id="460" w:name="_Toc486167709"/>
      <w:bookmarkStart w:id="461" w:name="_Toc140596921"/>
      <w:bookmarkStart w:id="462" w:name="_Toc102860067"/>
      <w:bookmarkStart w:id="463" w:name="_Toc1977721"/>
    </w:p>
    <w:p>
      <w:pPr>
        <w:tabs>
          <w:tab w:val="left" w:pos="1080"/>
        </w:tabs>
        <w:autoSpaceDE w:val="0"/>
        <w:autoSpaceDN w:val="0"/>
        <w:adjustRightInd w:val="0"/>
        <w:spacing w:before="360" w:beforeLines="150" w:line="360" w:lineRule="auto"/>
        <w:ind w:left="357" w:leftChars="-100" w:hanging="567"/>
        <w:jc w:val="center"/>
        <w:outlineLvl w:val="9"/>
        <w:rPr>
          <w:rFonts w:ascii="宋体" w:hAnsi="宋体" w:eastAsia="宋体" w:cs="宋体"/>
          <w:color w:val="auto"/>
          <w:sz w:val="84"/>
          <w:highlight w:val="none"/>
        </w:rPr>
      </w:pPr>
      <w:r>
        <w:rPr>
          <w:rFonts w:hint="eastAsia" w:ascii="宋体" w:hAnsi="宋体" w:eastAsia="宋体" w:cs="宋体"/>
          <w:color w:val="auto"/>
          <w:sz w:val="84"/>
          <w:highlight w:val="none"/>
        </w:rPr>
        <w:t>投 标 文 件</w:t>
      </w: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ind w:firstLine="1875" w:firstLineChars="625"/>
        <w:outlineLvl w:val="9"/>
        <w:rPr>
          <w:rFonts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val="zh-CN"/>
        </w:rPr>
        <w:t>YDZB23DGQY0240</w:t>
      </w:r>
      <w:r>
        <w:rPr>
          <w:rFonts w:hint="eastAsia" w:ascii="宋体" w:hAnsi="宋体" w:cs="宋体"/>
          <w:color w:val="auto"/>
          <w:sz w:val="30"/>
          <w:highlight w:val="none"/>
          <w:u w:val="single"/>
        </w:rPr>
        <w:t xml:space="preserve"> </w:t>
      </w:r>
    </w:p>
    <w:p>
      <w:pPr>
        <w:pStyle w:val="21"/>
        <w:spacing w:line="360" w:lineRule="auto"/>
        <w:ind w:left="2356" w:leftChars="1122" w:firstLine="75" w:firstLineChars="25"/>
        <w:outlineLvl w:val="9"/>
        <w:rPr>
          <w:rFonts w:hint="eastAsia" w:ascii="宋体" w:hAnsi="宋体" w:cs="宋体"/>
          <w:color w:val="auto"/>
          <w:sz w:val="30"/>
          <w:highlight w:val="none"/>
          <w:u w:val="single"/>
          <w:lang w:val="en-US" w:eastAsia="zh-CN"/>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val="en-US" w:eastAsia="zh-CN"/>
        </w:rPr>
        <w:t>东莞市众源环境投资有限公司污泥脱水减量配</w:t>
      </w:r>
    </w:p>
    <w:p>
      <w:pPr>
        <w:pStyle w:val="21"/>
        <w:spacing w:line="360" w:lineRule="auto"/>
        <w:ind w:left="2356" w:leftChars="1122" w:firstLine="75" w:firstLineChars="25"/>
        <w:outlineLvl w:val="9"/>
        <w:rPr>
          <w:rFonts w:ascii="宋体" w:hAnsi="宋体" w:cs="宋体"/>
          <w:color w:val="auto"/>
          <w:sz w:val="30"/>
          <w:highlight w:val="none"/>
          <w:u w:val="single"/>
        </w:rPr>
      </w:pPr>
      <w:r>
        <w:rPr>
          <w:rFonts w:hint="eastAsia" w:ascii="宋体" w:hAnsi="宋体" w:cs="宋体"/>
          <w:color w:val="auto"/>
          <w:sz w:val="30"/>
          <w:highlight w:val="none"/>
          <w:u w:val="single"/>
          <w:lang w:val="en-US" w:eastAsia="zh-CN"/>
        </w:rPr>
        <w:t>合服务采购项目（    包组）</w:t>
      </w:r>
    </w:p>
    <w:p>
      <w:pPr>
        <w:pStyle w:val="21"/>
        <w:spacing w:line="360" w:lineRule="auto"/>
        <w:ind w:firstLine="1875" w:firstLineChars="625"/>
        <w:outlineLvl w:val="9"/>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投标文件商务部分 </w:t>
      </w:r>
    </w:p>
    <w:p>
      <w:pPr>
        <w:pStyle w:val="21"/>
        <w:spacing w:line="360" w:lineRule="auto"/>
        <w:ind w:firstLine="1875" w:firstLineChars="625"/>
        <w:outlineLvl w:val="9"/>
        <w:rPr>
          <w:rFonts w:ascii="宋体" w:hAnsi="宋体" w:cs="宋体"/>
          <w:color w:val="auto"/>
          <w:sz w:val="30"/>
          <w:highlight w:val="none"/>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val="en-US" w:eastAsia="zh-CN"/>
        </w:rPr>
        <w:t>东莞市众源环境投资有限公司</w:t>
      </w:r>
      <w:r>
        <w:rPr>
          <w:rFonts w:hint="eastAsia" w:ascii="宋体" w:hAnsi="宋体" w:cs="宋体"/>
          <w:color w:val="auto"/>
          <w:sz w:val="30"/>
          <w:highlight w:val="none"/>
          <w:u w:val="single"/>
        </w:rPr>
        <w:t xml:space="preserve"> </w:t>
      </w:r>
    </w:p>
    <w:p>
      <w:pPr>
        <w:pStyle w:val="21"/>
        <w:spacing w:line="360" w:lineRule="auto"/>
        <w:ind w:firstLine="1875" w:firstLineChars="625"/>
        <w:outlineLvl w:val="9"/>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pPr>
        <w:pStyle w:val="21"/>
        <w:spacing w:line="360" w:lineRule="auto"/>
        <w:ind w:firstLine="1875" w:firstLineChars="625"/>
        <w:outlineLvl w:val="9"/>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r>
        <w:rPr>
          <w:rFonts w:hint="eastAsia" w:ascii="宋体" w:hAnsi="宋体" w:cs="宋体"/>
          <w:color w:val="auto"/>
          <w:highlight w:val="none"/>
        </w:rPr>
        <w:br w:type="page"/>
      </w:r>
    </w:p>
    <w:p>
      <w:pPr>
        <w:pStyle w:val="21"/>
        <w:spacing w:line="360" w:lineRule="auto"/>
        <w:outlineLvl w:val="9"/>
        <w:rPr>
          <w:rFonts w:ascii="宋体" w:hAnsi="宋体" w:cs="宋体"/>
          <w:color w:val="auto"/>
          <w:highlight w:val="none"/>
        </w:rPr>
      </w:pPr>
    </w:p>
    <w:p>
      <w:pPr>
        <w:spacing w:line="480" w:lineRule="auto"/>
        <w:ind w:firstLine="472" w:firstLineChars="224"/>
        <w:jc w:val="center"/>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8"/>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1957" w:type="pct"/>
            <w:tcBorders>
              <w:left w:val="single" w:color="auto" w:sz="4" w:space="0"/>
            </w:tcBorders>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337"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040"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outlineLvl w:val="9"/>
              <w:rPr>
                <w:rFonts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outlineLvl w:val="9"/>
              <w:rPr>
                <w:rFonts w:ascii="宋体" w:hAnsi="宋体" w:eastAsia="宋体" w:cs="宋体"/>
                <w:bCs/>
                <w:color w:val="auto"/>
                <w:szCs w:val="21"/>
                <w:highlight w:val="none"/>
              </w:rPr>
            </w:pPr>
          </w:p>
        </w:tc>
        <w:tc>
          <w:tcPr>
            <w:tcW w:w="1337" w:type="pct"/>
            <w:vAlign w:val="center"/>
          </w:tcPr>
          <w:p>
            <w:pPr>
              <w:outlineLvl w:val="9"/>
              <w:rPr>
                <w:rFonts w:ascii="宋体" w:hAnsi="宋体" w:eastAsia="宋体" w:cs="宋体"/>
                <w:bCs/>
                <w:color w:val="auto"/>
                <w:szCs w:val="21"/>
                <w:highlight w:val="none"/>
              </w:rPr>
            </w:pPr>
          </w:p>
        </w:tc>
        <w:tc>
          <w:tcPr>
            <w:tcW w:w="1040" w:type="pct"/>
            <w:vAlign w:val="center"/>
          </w:tcPr>
          <w:p>
            <w:pPr>
              <w:outlineLvl w:val="9"/>
              <w:rPr>
                <w:rFonts w:ascii="宋体" w:hAnsi="宋体" w:eastAsia="宋体" w:cs="宋体"/>
                <w:bCs/>
                <w:color w:val="auto"/>
                <w:szCs w:val="21"/>
                <w:highlight w:val="none"/>
              </w:rPr>
            </w:pPr>
          </w:p>
        </w:tc>
        <w:tc>
          <w:tcPr>
            <w:tcW w:w="1957" w:type="pct"/>
            <w:tcBorders>
              <w:left w:val="single" w:color="auto" w:sz="4" w:space="0"/>
            </w:tcBorders>
            <w:vAlign w:val="center"/>
          </w:tcPr>
          <w:p>
            <w:pPr>
              <w:adjustRightInd w:val="0"/>
              <w:snapToGrid w:val="0"/>
              <w:spacing w:line="360" w:lineRule="auto"/>
              <w:ind w:firstLine="105" w:firstLineChars="50"/>
              <w:outlineLvl w:val="9"/>
              <w:rPr>
                <w:rFonts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337" w:type="pct"/>
            <w:vAlign w:val="center"/>
          </w:tcPr>
          <w:p>
            <w:pPr>
              <w:adjustRightInd w:val="0"/>
              <w:snapToGrid w:val="0"/>
              <w:spacing w:line="360" w:lineRule="auto"/>
              <w:outlineLvl w:val="9"/>
              <w:rPr>
                <w:rFonts w:ascii="宋体" w:hAnsi="宋体" w:eastAsia="宋体" w:cs="宋体"/>
                <w:bCs/>
                <w:color w:val="auto"/>
                <w:szCs w:val="21"/>
                <w:highlight w:val="none"/>
              </w:rPr>
            </w:pPr>
          </w:p>
        </w:tc>
        <w:tc>
          <w:tcPr>
            <w:tcW w:w="1040"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957" w:type="pct"/>
            <w:tcBorders>
              <w:left w:val="single" w:color="auto" w:sz="4" w:space="0"/>
            </w:tcBorders>
            <w:vAlign w:val="center"/>
          </w:tcPr>
          <w:p>
            <w:pPr>
              <w:spacing w:line="360" w:lineRule="auto"/>
              <w:ind w:firstLine="8" w:firstLineChars="4"/>
              <w:outlineLvl w:val="9"/>
              <w:rPr>
                <w:rFonts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outlineLvl w:val="9"/>
              <w:rPr>
                <w:rFonts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outlineLvl w:val="9"/>
              <w:rPr>
                <w:rFonts w:ascii="宋体" w:hAnsi="宋体" w:eastAsia="宋体" w:cs="宋体"/>
                <w:bCs/>
                <w:color w:val="auto"/>
                <w:szCs w:val="21"/>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pPr>
              <w:spacing w:line="360" w:lineRule="auto"/>
              <w:jc w:val="center"/>
              <w:outlineLvl w:val="9"/>
              <w:rPr>
                <w:rFonts w:ascii="宋体" w:hAnsi="宋体" w:eastAsia="宋体" w:cs="宋体"/>
                <w:bCs/>
                <w:color w:val="auto"/>
                <w:szCs w:val="21"/>
                <w:highlight w:val="none"/>
              </w:rPr>
            </w:pPr>
          </w:p>
        </w:tc>
      </w:tr>
    </w:tbl>
    <w:p>
      <w:pPr>
        <w:outlineLvl w:val="9"/>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bookmarkStart w:id="464" w:name="_Toc13281"/>
      <w:bookmarkStart w:id="465" w:name="_Toc27679"/>
      <w:bookmarkStart w:id="466" w:name="_Toc23782"/>
      <w:r>
        <w:rPr>
          <w:rFonts w:hint="eastAsia" w:ascii="宋体" w:hAnsi="宋体" w:eastAsia="宋体" w:cs="宋体"/>
          <w:b/>
          <w:color w:val="auto"/>
          <w:kern w:val="0"/>
          <w:sz w:val="32"/>
          <w:szCs w:val="32"/>
          <w:highlight w:val="none"/>
        </w:rPr>
        <w:t>一、投标函格式</w:t>
      </w:r>
      <w:bookmarkEnd w:id="454"/>
      <w:bookmarkEnd w:id="455"/>
      <w:bookmarkEnd w:id="456"/>
      <w:bookmarkEnd w:id="457"/>
      <w:bookmarkEnd w:id="458"/>
      <w:bookmarkEnd w:id="459"/>
      <w:bookmarkEnd w:id="460"/>
      <w:bookmarkEnd w:id="461"/>
      <w:bookmarkEnd w:id="462"/>
      <w:bookmarkEnd w:id="463"/>
      <w:bookmarkEnd w:id="464"/>
      <w:bookmarkEnd w:id="465"/>
      <w:bookmarkEnd w:id="466"/>
    </w:p>
    <w:p>
      <w:pPr>
        <w:autoSpaceDE w:val="0"/>
        <w:autoSpaceDN w:val="0"/>
        <w:adjustRightInd w:val="0"/>
        <w:spacing w:line="360" w:lineRule="auto"/>
        <w:jc w:val="center"/>
        <w:outlineLvl w:val="9"/>
        <w:rPr>
          <w:rFonts w:ascii="宋体" w:hAnsi="宋体" w:eastAsia="宋体" w:cs="宋体"/>
          <w:b/>
          <w:bCs/>
          <w:color w:val="auto"/>
          <w:sz w:val="30"/>
          <w:szCs w:val="30"/>
          <w:highlight w:val="none"/>
        </w:rPr>
      </w:pPr>
      <w:bookmarkStart w:id="467" w:name="_Toc16695_WPSOffice_Level3"/>
      <w:r>
        <w:rPr>
          <w:rFonts w:hint="eastAsia" w:ascii="宋体" w:hAnsi="宋体" w:eastAsia="宋体" w:cs="宋体"/>
          <w:b/>
          <w:bCs/>
          <w:color w:val="auto"/>
          <w:sz w:val="30"/>
          <w:szCs w:val="30"/>
          <w:highlight w:val="none"/>
          <w:lang w:val="zh-CN"/>
        </w:rPr>
        <w:t>投 标 函</w:t>
      </w:r>
      <w:bookmarkEnd w:id="467"/>
    </w:p>
    <w:p>
      <w:pPr>
        <w:autoSpaceDE w:val="0"/>
        <w:autoSpaceDN w:val="0"/>
        <w:adjustRightInd w:val="0"/>
        <w:spacing w:line="360" w:lineRule="auto"/>
        <w:outlineLvl w:val="9"/>
        <w:rPr>
          <w:rFonts w:ascii="宋体" w:hAnsi="宋体" w:eastAsia="宋体" w:cs="宋体"/>
          <w:color w:val="auto"/>
          <w:szCs w:val="21"/>
          <w:highlight w:val="none"/>
          <w:lang w:val="zh-CN"/>
        </w:rPr>
      </w:pPr>
    </w:p>
    <w:p>
      <w:pPr>
        <w:autoSpaceDE w:val="0"/>
        <w:autoSpaceDN w:val="0"/>
        <w:adjustRightInd w:val="0"/>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东莞市众源环境投资有限公司</w:t>
      </w:r>
    </w:p>
    <w:p>
      <w:pPr>
        <w:autoSpaceDE w:val="0"/>
        <w:autoSpaceDN w:val="0"/>
        <w:adjustRightInd w:val="0"/>
        <w:spacing w:line="360" w:lineRule="auto"/>
        <w:outlineLvl w:val="9"/>
        <w:rPr>
          <w:rFonts w:ascii="宋体" w:hAnsi="宋体" w:eastAsia="宋体" w:cs="宋体"/>
          <w:color w:val="auto"/>
          <w:szCs w:val="21"/>
          <w:highlight w:val="none"/>
        </w:rPr>
      </w:pPr>
    </w:p>
    <w:p>
      <w:pPr>
        <w:wordWrap w:val="0"/>
        <w:autoSpaceDE w:val="0"/>
        <w:autoSpaceDN w:val="0"/>
        <w:adjustRightInd w:val="0"/>
        <w:spacing w:line="360" w:lineRule="auto"/>
        <w:ind w:firstLine="42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szCs w:val="32"/>
          <w:highlight w:val="none"/>
          <w:u w:val="single"/>
        </w:rPr>
        <w:t xml:space="preserve">东莞市众源环境投资有限公司污泥脱水减量配合服务采购项目(   </w:t>
      </w:r>
      <w:r>
        <w:rPr>
          <w:rFonts w:hint="eastAsia" w:ascii="宋体" w:hAnsi="宋体" w:eastAsia="宋体" w:cs="宋体"/>
          <w:color w:val="auto"/>
          <w:szCs w:val="32"/>
          <w:highlight w:val="none"/>
          <w:u w:val="single"/>
          <w:lang w:eastAsia="zh-CN"/>
        </w:rPr>
        <w:t>包组</w:t>
      </w:r>
      <w:r>
        <w:rPr>
          <w:rFonts w:hint="eastAsia" w:ascii="宋体" w:hAnsi="宋体" w:eastAsia="宋体" w:cs="宋体"/>
          <w:color w:val="auto"/>
          <w:szCs w:val="32"/>
          <w:highlight w:val="none"/>
          <w:u w:val="single"/>
        </w:rPr>
        <w:t>)</w:t>
      </w:r>
      <w:r>
        <w:rPr>
          <w:rFonts w:hint="eastAsia" w:ascii="宋体" w:hAnsi="宋体" w:eastAsia="宋体" w:cs="宋体"/>
          <w:color w:val="auto"/>
          <w:szCs w:val="21"/>
          <w:highlight w:val="none"/>
          <w:lang w:val="zh-CN"/>
        </w:rPr>
        <w:t>(招标编号：YDZB23DGQY0240)的投标邀请，我方</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lang w:val="zh-CN"/>
        </w:rPr>
        <w:t>（投标人名称）作为投标人正式授权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pPr>
        <w:autoSpaceDE w:val="0"/>
        <w:autoSpaceDN w:val="0"/>
        <w:adjustRightInd w:val="0"/>
        <w:spacing w:line="360" w:lineRule="auto"/>
        <w:ind w:firstLine="42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pPr>
        <w:autoSpaceDE w:val="0"/>
        <w:autoSpaceDN w:val="0"/>
        <w:adjustRightInd w:val="0"/>
        <w:spacing w:line="360" w:lineRule="auto"/>
        <w:ind w:firstLine="42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（—）我方决定参加招标编号为YDZB23DGQY0240的投标；</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pPr>
        <w:autoSpaceDE w:val="0"/>
        <w:autoSpaceDN w:val="0"/>
        <w:adjustRightInd w:val="0"/>
        <w:spacing w:line="360" w:lineRule="auto"/>
        <w:ind w:firstLine="315" w:firstLineChars="15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pPr>
        <w:autoSpaceDE w:val="0"/>
        <w:autoSpaceDN w:val="0"/>
        <w:adjustRightInd w:val="0"/>
        <w:spacing w:line="360" w:lineRule="auto"/>
        <w:ind w:left="395" w:leftChars="-12" w:hanging="420" w:hangingChars="200"/>
        <w:outlineLvl w:val="9"/>
        <w:rPr>
          <w:rFonts w:ascii="宋体" w:hAnsi="宋体" w:eastAsia="宋体" w:cs="宋体"/>
          <w:color w:val="auto"/>
          <w:szCs w:val="21"/>
          <w:highlight w:val="none"/>
          <w:u w:val="single"/>
          <w:lang w:val="zh-CN"/>
        </w:rPr>
      </w:pPr>
    </w:p>
    <w:p>
      <w:pPr>
        <w:autoSpaceDE w:val="0"/>
        <w:autoSpaceDN w:val="0"/>
        <w:adjustRightInd w:val="0"/>
        <w:spacing w:line="360" w:lineRule="auto"/>
        <w:ind w:firstLine="420" w:firstLineChars="200"/>
        <w:outlineLvl w:val="9"/>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ind w:firstLine="420" w:firstLineChars="20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pPr>
        <w:autoSpaceDE w:val="0"/>
        <w:autoSpaceDN w:val="0"/>
        <w:adjustRightInd w:val="0"/>
        <w:spacing w:line="360" w:lineRule="auto"/>
        <w:ind w:firstLine="420" w:firstLineChars="200"/>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pPr>
        <w:autoSpaceDE w:val="0"/>
        <w:autoSpaceDN w:val="0"/>
        <w:adjustRightInd w:val="0"/>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pPr>
        <w:autoSpaceDE w:val="0"/>
        <w:autoSpaceDN w:val="0"/>
        <w:adjustRightInd w:val="0"/>
        <w:spacing w:line="360" w:lineRule="auto"/>
        <w:ind w:firstLine="4960" w:firstLineChars="2362"/>
        <w:outlineLvl w:val="9"/>
        <w:rPr>
          <w:rFonts w:ascii="宋体" w:hAnsi="宋体" w:eastAsia="宋体" w:cs="宋体"/>
          <w:color w:val="auto"/>
          <w:szCs w:val="21"/>
          <w:highlight w:val="none"/>
          <w:lang w:val="zh-CN"/>
        </w:rPr>
      </w:pPr>
    </w:p>
    <w:p>
      <w:pPr>
        <w:autoSpaceDE w:val="0"/>
        <w:autoSpaceDN w:val="0"/>
        <w:adjustRightInd w:val="0"/>
        <w:spacing w:line="360" w:lineRule="auto"/>
        <w:ind w:firstLine="4960" w:firstLineChars="2362"/>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outlineLvl w:val="9"/>
        <w:rPr>
          <w:rFonts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color w:val="auto"/>
          <w:kern w:val="0"/>
          <w:sz w:val="24"/>
          <w:szCs w:val="24"/>
          <w:highlight w:val="none"/>
        </w:rPr>
      </w:pPr>
    </w:p>
    <w:p>
      <w:pPr>
        <w:tabs>
          <w:tab w:val="left" w:pos="567"/>
        </w:tabs>
        <w:autoSpaceDE w:val="0"/>
        <w:autoSpaceDN w:val="0"/>
        <w:adjustRightInd w:val="0"/>
        <w:spacing w:line="360" w:lineRule="auto"/>
        <w:ind w:left="357" w:leftChars="-100" w:hanging="567"/>
        <w:jc w:val="center"/>
        <w:outlineLvl w:val="9"/>
        <w:rPr>
          <w:rFonts w:ascii="宋体" w:hAnsi="宋体" w:eastAsia="宋体" w:cs="宋体"/>
          <w:b/>
          <w:bCs/>
          <w:color w:val="auto"/>
          <w:kern w:val="0"/>
          <w:sz w:val="24"/>
          <w:szCs w:val="24"/>
          <w:highlight w:val="none"/>
        </w:rPr>
      </w:pP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68" w:name="_Toc140596922"/>
      <w:bookmarkStart w:id="469" w:name="_Toc1977722"/>
      <w:bookmarkStart w:id="470" w:name="_Toc12417"/>
      <w:bookmarkStart w:id="471" w:name="_Toc486167710"/>
      <w:bookmarkStart w:id="472" w:name="_Toc94107203"/>
      <w:bookmarkStart w:id="473" w:name="_Toc30995"/>
      <w:bookmarkStart w:id="474" w:name="_Toc3104"/>
      <w:bookmarkStart w:id="475" w:name="_Toc104991869"/>
      <w:bookmarkStart w:id="476" w:name="_Toc102860412"/>
      <w:bookmarkStart w:id="477" w:name="_Toc28613_WPSOffice_Level2"/>
      <w:bookmarkStart w:id="478" w:name="_Toc533708122"/>
      <w:bookmarkStart w:id="479" w:name="_Toc142508363"/>
      <w:bookmarkStart w:id="480" w:name="_Toc102860068"/>
      <w:r>
        <w:rPr>
          <w:rFonts w:hint="eastAsia" w:ascii="宋体" w:hAnsi="宋体" w:eastAsia="宋体" w:cs="宋体"/>
          <w:b/>
          <w:color w:val="auto"/>
          <w:kern w:val="0"/>
          <w:sz w:val="32"/>
          <w:szCs w:val="32"/>
          <w:highlight w:val="none"/>
        </w:rPr>
        <w:t>二、投标承诺书格式</w:t>
      </w:r>
      <w:bookmarkEnd w:id="468"/>
      <w:bookmarkEnd w:id="469"/>
      <w:bookmarkEnd w:id="470"/>
      <w:bookmarkEnd w:id="471"/>
      <w:bookmarkEnd w:id="472"/>
      <w:bookmarkEnd w:id="473"/>
      <w:bookmarkEnd w:id="474"/>
      <w:bookmarkEnd w:id="475"/>
      <w:bookmarkEnd w:id="476"/>
      <w:bookmarkEnd w:id="477"/>
      <w:bookmarkEnd w:id="478"/>
      <w:bookmarkEnd w:id="479"/>
      <w:bookmarkEnd w:id="480"/>
    </w:p>
    <w:p>
      <w:pPr>
        <w:autoSpaceDE w:val="0"/>
        <w:autoSpaceDN w:val="0"/>
        <w:adjustRightInd w:val="0"/>
        <w:spacing w:line="360" w:lineRule="auto"/>
        <w:jc w:val="center"/>
        <w:outlineLvl w:val="9"/>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   包组)</w:t>
      </w:r>
    </w:p>
    <w:p>
      <w:pPr>
        <w:widowControl/>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p>
    <w:p>
      <w:pPr>
        <w:widowControl/>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szCs w:val="32"/>
          <w:highlight w:val="none"/>
          <w:u w:val="single"/>
        </w:rPr>
        <w:t xml:space="preserve">东莞市众源环境投资有限公司污泥脱水减量配合服务采购项目(   </w:t>
      </w:r>
      <w:r>
        <w:rPr>
          <w:rFonts w:hint="eastAsia" w:ascii="宋体" w:hAnsi="宋体" w:eastAsia="宋体" w:cs="宋体"/>
          <w:color w:val="auto"/>
          <w:szCs w:val="32"/>
          <w:highlight w:val="none"/>
          <w:u w:val="single"/>
          <w:lang w:eastAsia="zh-CN"/>
        </w:rPr>
        <w:t>包组</w:t>
      </w:r>
      <w:r>
        <w:rPr>
          <w:rFonts w:hint="eastAsia" w:ascii="宋体" w:hAnsi="宋体" w:eastAsia="宋体" w:cs="宋体"/>
          <w:color w:val="auto"/>
          <w:szCs w:val="32"/>
          <w:highlight w:val="none"/>
          <w:u w:val="single"/>
        </w:rPr>
        <w:t>)</w:t>
      </w:r>
      <w:r>
        <w:rPr>
          <w:rFonts w:hint="eastAsia" w:ascii="宋体" w:hAnsi="宋体" w:eastAsia="宋体" w:cs="宋体"/>
          <w:color w:val="auto"/>
          <w:kern w:val="0"/>
          <w:szCs w:val="21"/>
          <w:highlight w:val="none"/>
        </w:rPr>
        <w:t>（招标编号：</w:t>
      </w:r>
      <w:r>
        <w:rPr>
          <w:rFonts w:hint="eastAsia" w:ascii="宋体" w:hAnsi="宋体" w:eastAsia="宋体" w:cs="宋体"/>
          <w:color w:val="auto"/>
          <w:szCs w:val="21"/>
          <w:highlight w:val="none"/>
          <w:lang w:val="zh-CN"/>
        </w:rPr>
        <w:t>YDZB23DGQY0240</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p>
    <w:p>
      <w:pPr>
        <w:autoSpaceDE w:val="0"/>
        <w:autoSpaceDN w:val="0"/>
        <w:adjustRightInd w:val="0"/>
        <w:spacing w:line="360" w:lineRule="auto"/>
        <w:jc w:val="left"/>
        <w:outlineLvl w:val="9"/>
        <w:rPr>
          <w:rFonts w:ascii="宋体" w:hAnsi="宋体" w:eastAsia="宋体" w:cs="宋体"/>
          <w:color w:val="auto"/>
          <w:kern w:val="0"/>
          <w:sz w:val="24"/>
          <w:szCs w:val="24"/>
          <w:highlight w:val="none"/>
        </w:rPr>
      </w:pPr>
    </w:p>
    <w:p>
      <w:pPr>
        <w:autoSpaceDE w:val="0"/>
        <w:autoSpaceDN w:val="0"/>
        <w:adjustRightInd w:val="0"/>
        <w:spacing w:line="360" w:lineRule="auto"/>
        <w:jc w:val="left"/>
        <w:outlineLvl w:val="9"/>
        <w:rPr>
          <w:rFonts w:ascii="宋体" w:hAnsi="宋体" w:eastAsia="宋体" w:cs="宋体"/>
          <w:color w:val="auto"/>
          <w:kern w:val="0"/>
          <w:sz w:val="24"/>
          <w:szCs w:val="24"/>
          <w:highlight w:val="none"/>
        </w:rPr>
      </w:pPr>
    </w:p>
    <w:p>
      <w:pPr>
        <w:autoSpaceDE w:val="0"/>
        <w:autoSpaceDN w:val="0"/>
        <w:adjustRightInd w:val="0"/>
        <w:spacing w:line="360" w:lineRule="auto"/>
        <w:ind w:firstLine="504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firstLine="5040"/>
        <w:outlineLvl w:val="9"/>
        <w:rPr>
          <w:rFonts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pPr>
        <w:autoSpaceDE w:val="0"/>
        <w:autoSpaceDN w:val="0"/>
        <w:adjustRightInd w:val="0"/>
        <w:spacing w:line="360" w:lineRule="auto"/>
        <w:ind w:firstLine="480" w:firstLineChars="200"/>
        <w:jc w:val="left"/>
        <w:outlineLvl w:val="9"/>
        <w:rPr>
          <w:rFonts w:ascii="宋体" w:hAnsi="宋体" w:eastAsia="宋体" w:cs="宋体"/>
          <w:color w:val="auto"/>
          <w:kern w:val="0"/>
          <w:sz w:val="24"/>
          <w:szCs w:val="24"/>
          <w:highlight w:val="none"/>
        </w:rPr>
      </w:pPr>
    </w:p>
    <w:p>
      <w:pPr>
        <w:autoSpaceDE w:val="0"/>
        <w:autoSpaceDN w:val="0"/>
        <w:adjustRightInd w:val="0"/>
        <w:spacing w:line="360" w:lineRule="auto"/>
        <w:jc w:val="left"/>
        <w:outlineLvl w:val="9"/>
        <w:rPr>
          <w:rFonts w:ascii="宋体" w:hAnsi="宋体" w:eastAsia="宋体" w:cs="宋体"/>
          <w:color w:val="auto"/>
          <w:kern w:val="0"/>
          <w:sz w:val="24"/>
          <w:szCs w:val="24"/>
          <w:highlight w:val="none"/>
        </w:rPr>
      </w:pPr>
    </w:p>
    <w:p>
      <w:pPr>
        <w:autoSpaceDE w:val="0"/>
        <w:autoSpaceDN w:val="0"/>
        <w:adjustRightInd w:val="0"/>
        <w:spacing w:line="360" w:lineRule="auto"/>
        <w:jc w:val="left"/>
        <w:outlineLvl w:val="9"/>
        <w:rPr>
          <w:rFonts w:ascii="宋体" w:hAnsi="宋体" w:eastAsia="宋体" w:cs="宋体"/>
          <w:color w:val="auto"/>
          <w:kern w:val="0"/>
          <w:sz w:val="24"/>
          <w:szCs w:val="24"/>
          <w:highlight w:val="none"/>
        </w:rPr>
      </w:pPr>
      <w:bookmarkStart w:id="481" w:name="_Toc326768876"/>
      <w:bookmarkStart w:id="482" w:name="_Toc316896755"/>
      <w:bookmarkStart w:id="483" w:name="_Toc311032584"/>
    </w:p>
    <w:p>
      <w:pPr>
        <w:pageBreakBefore/>
        <w:autoSpaceDE w:val="0"/>
        <w:autoSpaceDN w:val="0"/>
        <w:adjustRightInd w:val="0"/>
        <w:spacing w:line="360" w:lineRule="auto"/>
        <w:jc w:val="left"/>
        <w:outlineLvl w:val="9"/>
        <w:rPr>
          <w:rFonts w:ascii="宋体" w:hAnsi="宋体" w:eastAsia="宋体" w:cs="宋体"/>
          <w:b/>
          <w:color w:val="auto"/>
          <w:kern w:val="44"/>
          <w:sz w:val="32"/>
          <w:szCs w:val="32"/>
          <w:highlight w:val="none"/>
        </w:rPr>
      </w:pPr>
      <w:bookmarkStart w:id="484" w:name="_Toc102860069"/>
      <w:bookmarkStart w:id="485" w:name="_Toc86764083"/>
      <w:bookmarkStart w:id="486" w:name="_Toc29910"/>
      <w:bookmarkStart w:id="487" w:name="_Toc104991870"/>
      <w:bookmarkStart w:id="488" w:name="_Toc5075"/>
      <w:bookmarkStart w:id="489" w:name="_Toc94107204"/>
      <w:bookmarkStart w:id="490" w:name="_Toc140596923"/>
      <w:bookmarkStart w:id="491" w:name="_Toc24336"/>
      <w:bookmarkStart w:id="492" w:name="_Toc82182546"/>
      <w:bookmarkStart w:id="493" w:name="_Toc102860413"/>
      <w:bookmarkStart w:id="494" w:name="_Toc142508364"/>
      <w:bookmarkStart w:id="495" w:name="_Toc7024_WPSOffice_Level2"/>
      <w:bookmarkStart w:id="496" w:name="_Toc1977723"/>
      <w:bookmarkStart w:id="497" w:name="_Toc533708123"/>
      <w:bookmarkStart w:id="498" w:name="_Toc486167711"/>
      <w:r>
        <w:rPr>
          <w:rFonts w:hint="eastAsia" w:ascii="宋体" w:hAnsi="宋体" w:eastAsia="宋体" w:cs="宋体"/>
          <w:b/>
          <w:color w:val="auto"/>
          <w:kern w:val="44"/>
          <w:sz w:val="32"/>
          <w:szCs w:val="32"/>
          <w:highlight w:val="none"/>
        </w:rPr>
        <w:t>三、供货及/或提供服务过程承诺函格式</w:t>
      </w:r>
      <w:bookmarkEnd w:id="484"/>
      <w:bookmarkEnd w:id="485"/>
      <w:bookmarkEnd w:id="486"/>
      <w:bookmarkEnd w:id="487"/>
      <w:bookmarkEnd w:id="488"/>
      <w:bookmarkEnd w:id="489"/>
      <w:bookmarkEnd w:id="490"/>
      <w:bookmarkEnd w:id="491"/>
      <w:bookmarkEnd w:id="492"/>
      <w:bookmarkEnd w:id="493"/>
      <w:bookmarkEnd w:id="494"/>
    </w:p>
    <w:p>
      <w:pPr>
        <w:autoSpaceDE w:val="0"/>
        <w:autoSpaceDN w:val="0"/>
        <w:adjustRightInd w:val="0"/>
        <w:spacing w:line="360" w:lineRule="auto"/>
        <w:jc w:val="center"/>
        <w:outlineLvl w:val="9"/>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r>
        <w:rPr>
          <w:rFonts w:hint="eastAsia" w:ascii="宋体" w:hAnsi="宋体" w:eastAsia="宋体" w:cs="宋体"/>
          <w:b/>
          <w:bCs/>
          <w:color w:val="auto"/>
          <w:sz w:val="30"/>
          <w:szCs w:val="30"/>
          <w:highlight w:val="none"/>
          <w:lang w:val="zh-CN"/>
        </w:rPr>
        <w:t>(   包组)</w:t>
      </w:r>
    </w:p>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致东莞市众源环境投资有限公司：</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szCs w:val="21"/>
          <w:highlight w:val="none"/>
          <w:u w:val="single"/>
        </w:rPr>
        <w:t>东莞市众源环境投资有限公司污泥脱水减量配合服务采购项目</w:t>
      </w:r>
      <w:r>
        <w:rPr>
          <w:rFonts w:hint="eastAsia" w:ascii="宋体" w:hAnsi="宋体" w:eastAsia="宋体" w:cs="宋体"/>
          <w:color w:val="auto"/>
          <w:szCs w:val="32"/>
          <w:highlight w:val="none"/>
          <w:u w:val="single"/>
        </w:rPr>
        <w:t xml:space="preserve">(   </w:t>
      </w:r>
      <w:r>
        <w:rPr>
          <w:rFonts w:hint="eastAsia" w:ascii="宋体" w:hAnsi="宋体" w:eastAsia="宋体" w:cs="宋体"/>
          <w:color w:val="auto"/>
          <w:szCs w:val="32"/>
          <w:highlight w:val="none"/>
          <w:u w:val="single"/>
          <w:lang w:eastAsia="zh-CN"/>
        </w:rPr>
        <w:t>包组</w:t>
      </w:r>
      <w:r>
        <w:rPr>
          <w:rFonts w:hint="eastAsia" w:ascii="宋体" w:hAnsi="宋体" w:eastAsia="宋体" w:cs="宋体"/>
          <w:color w:val="auto"/>
          <w:szCs w:val="32"/>
          <w:highlight w:val="none"/>
          <w:u w:val="single"/>
        </w:rPr>
        <w:t>)</w:t>
      </w:r>
      <w:r>
        <w:rPr>
          <w:rFonts w:hint="eastAsia" w:ascii="宋体" w:hAnsi="宋体" w:eastAsia="宋体" w:cs="宋体"/>
          <w:color w:val="auto"/>
          <w:kern w:val="0"/>
          <w:szCs w:val="21"/>
          <w:highlight w:val="none"/>
        </w:rPr>
        <w:t xml:space="preserve"> (招标编号：</w:t>
      </w:r>
      <w:r>
        <w:rPr>
          <w:rFonts w:hint="eastAsia" w:ascii="宋体" w:hAnsi="宋体" w:eastAsia="宋体" w:cs="宋体"/>
          <w:color w:val="auto"/>
          <w:szCs w:val="21"/>
          <w:highlight w:val="none"/>
          <w:u w:val="single"/>
        </w:rPr>
        <w:t>YDZB23DGQY0240</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13、我方承诺接受招标人的检查与监督，并主动配合，做好安全工作，凡有违反上述条款的即视为我方违约，招标人有权视情况从货物/服务价款中扣除1000元/次作为违约金。</w:t>
      </w:r>
    </w:p>
    <w:p>
      <w:pPr>
        <w:autoSpaceDE w:val="0"/>
        <w:autoSpaceDN w:val="0"/>
        <w:adjustRightInd w:val="0"/>
        <w:spacing w:line="360" w:lineRule="auto"/>
        <w:ind w:firstLine="420" w:firstLine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pPr>
        <w:autoSpaceDE w:val="0"/>
        <w:autoSpaceDN w:val="0"/>
        <w:adjustRightInd w:val="0"/>
        <w:spacing w:line="360" w:lineRule="auto"/>
        <w:ind w:firstLine="504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pPr>
        <w:autoSpaceDE w:val="0"/>
        <w:autoSpaceDN w:val="0"/>
        <w:adjustRightInd w:val="0"/>
        <w:spacing w:line="360" w:lineRule="auto"/>
        <w:ind w:right="420" w:firstLine="5040" w:firstLineChars="2400"/>
        <w:jc w:val="left"/>
        <w:outlineLvl w:val="9"/>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pPr>
        <w:pageBreakBefore/>
        <w:autoSpaceDE w:val="0"/>
        <w:autoSpaceDN w:val="0"/>
        <w:adjustRightInd w:val="0"/>
        <w:spacing w:line="360" w:lineRule="auto"/>
        <w:jc w:val="left"/>
        <w:outlineLvl w:val="9"/>
        <w:rPr>
          <w:rFonts w:ascii="宋体" w:hAnsi="宋体" w:eastAsia="宋体" w:cs="宋体"/>
          <w:b/>
          <w:color w:val="auto"/>
          <w:kern w:val="0"/>
          <w:sz w:val="32"/>
          <w:szCs w:val="32"/>
          <w:highlight w:val="none"/>
        </w:rPr>
      </w:pPr>
      <w:bookmarkStart w:id="499" w:name="_Toc1140"/>
      <w:bookmarkStart w:id="500" w:name="_Toc102860415"/>
      <w:bookmarkStart w:id="501" w:name="_Toc104991872"/>
      <w:bookmarkStart w:id="502" w:name="_Toc140596925"/>
      <w:bookmarkStart w:id="503" w:name="_Toc13416"/>
      <w:bookmarkStart w:id="504" w:name="_Toc142508366"/>
      <w:bookmarkStart w:id="505" w:name="_Toc102860071"/>
      <w:bookmarkStart w:id="506" w:name="_Toc94107206"/>
      <w:bookmarkStart w:id="507" w:name="_Toc18346"/>
      <w:r>
        <w:rPr>
          <w:rFonts w:hint="eastAsia" w:ascii="宋体" w:hAnsi="宋体" w:eastAsia="宋体" w:cs="宋体"/>
          <w:b/>
          <w:color w:val="auto"/>
          <w:kern w:val="0"/>
          <w:sz w:val="32"/>
          <w:szCs w:val="32"/>
          <w:highlight w:val="none"/>
        </w:rPr>
        <w:t>四、投标报价表格式</w:t>
      </w:r>
      <w:bookmarkEnd w:id="495"/>
      <w:bookmarkEnd w:id="496"/>
      <w:bookmarkEnd w:id="497"/>
      <w:bookmarkEnd w:id="498"/>
      <w:bookmarkEnd w:id="499"/>
      <w:bookmarkEnd w:id="500"/>
      <w:bookmarkEnd w:id="501"/>
      <w:bookmarkEnd w:id="502"/>
      <w:bookmarkEnd w:id="503"/>
      <w:bookmarkEnd w:id="504"/>
      <w:bookmarkEnd w:id="505"/>
      <w:bookmarkEnd w:id="506"/>
      <w:bookmarkEnd w:id="507"/>
    </w:p>
    <w:p>
      <w:pPr>
        <w:tabs>
          <w:tab w:val="left" w:pos="567"/>
        </w:tabs>
        <w:autoSpaceDE w:val="0"/>
        <w:autoSpaceDN w:val="0"/>
        <w:adjustRightInd w:val="0"/>
        <w:spacing w:line="360" w:lineRule="auto"/>
        <w:ind w:left="711" w:hanging="711" w:hangingChars="236"/>
        <w:jc w:val="left"/>
        <w:outlineLvl w:val="9"/>
        <w:rPr>
          <w:rFonts w:ascii="宋体" w:hAnsi="宋体" w:eastAsia="宋体" w:cs="宋体"/>
          <w:b/>
          <w:color w:val="auto"/>
          <w:kern w:val="0"/>
          <w:sz w:val="30"/>
          <w:szCs w:val="30"/>
          <w:highlight w:val="none"/>
        </w:rPr>
      </w:pPr>
      <w:bookmarkStart w:id="508" w:name="_Toc1294"/>
      <w:bookmarkStart w:id="509" w:name="_Toc102860072"/>
      <w:bookmarkStart w:id="510" w:name="_Toc142508367"/>
      <w:bookmarkStart w:id="511" w:name="_Toc104991873"/>
      <w:bookmarkStart w:id="512" w:name="_Toc94107207"/>
      <w:bookmarkStart w:id="513" w:name="_Toc140596926"/>
      <w:bookmarkStart w:id="514" w:name="_Toc24175"/>
      <w:bookmarkStart w:id="515" w:name="_Toc2395_WPSOffice_Level3"/>
      <w:bookmarkStart w:id="516" w:name="_Toc102860416"/>
      <w:bookmarkStart w:id="517" w:name="_Toc15425"/>
      <w:r>
        <w:rPr>
          <w:rFonts w:hint="eastAsia" w:ascii="宋体" w:hAnsi="宋体" w:eastAsia="宋体" w:cs="宋体"/>
          <w:b/>
          <w:color w:val="auto"/>
          <w:kern w:val="0"/>
          <w:sz w:val="30"/>
          <w:szCs w:val="30"/>
          <w:highlight w:val="none"/>
        </w:rPr>
        <w:t>4.1 投标报价表</w:t>
      </w:r>
      <w:bookmarkEnd w:id="508"/>
      <w:bookmarkEnd w:id="509"/>
      <w:bookmarkEnd w:id="510"/>
      <w:bookmarkEnd w:id="511"/>
      <w:bookmarkEnd w:id="512"/>
      <w:bookmarkEnd w:id="513"/>
      <w:bookmarkEnd w:id="514"/>
      <w:bookmarkEnd w:id="515"/>
      <w:bookmarkEnd w:id="516"/>
      <w:bookmarkEnd w:id="517"/>
    </w:p>
    <w:p>
      <w:pPr>
        <w:spacing w:line="360" w:lineRule="auto"/>
        <w:jc w:val="center"/>
        <w:outlineLvl w:val="9"/>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lang w:eastAsia="zh-CN"/>
        </w:rPr>
        <w:t>包组</w:t>
      </w:r>
      <w:r>
        <w:rPr>
          <w:rFonts w:hint="eastAsia" w:ascii="宋体" w:hAnsi="宋体" w:eastAsia="宋体" w:cs="宋体"/>
          <w:b/>
          <w:bCs/>
          <w:color w:val="auto"/>
          <w:sz w:val="30"/>
          <w:szCs w:val="30"/>
          <w:highlight w:val="none"/>
        </w:rPr>
        <w:t>)</w:t>
      </w:r>
    </w:p>
    <w:p>
      <w:pPr>
        <w:spacing w:line="360" w:lineRule="auto"/>
        <w:outlineLvl w:val="9"/>
        <w:rPr>
          <w:rFonts w:ascii="宋体" w:hAnsi="宋体" w:eastAsia="宋体" w:cs="宋体"/>
          <w:color w:val="auto"/>
          <w:szCs w:val="21"/>
          <w:highlight w:val="none"/>
          <w:u w:val="singl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szCs w:val="21"/>
          <w:highlight w:val="none"/>
          <w:u w:val="single"/>
        </w:rPr>
        <w:t>东莞市众源环境投资有限公司污泥脱水减量配合服务采购项目</w:t>
      </w:r>
    </w:p>
    <w:p>
      <w:pPr>
        <w:spacing w:line="360" w:lineRule="auto"/>
        <w:outlineLvl w:val="9"/>
        <w:rPr>
          <w:rFonts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szCs w:val="21"/>
          <w:highlight w:val="none"/>
          <w:u w:val="single"/>
        </w:rPr>
        <w:t>YDZB23DGQY0240</w:t>
      </w:r>
    </w:p>
    <w:tbl>
      <w:tblPr>
        <w:tblStyle w:val="3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3701"/>
        <w:gridCol w:w="4301"/>
        <w:gridCol w:w="13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784"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2073"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投标报价（不含销项税）</w:t>
            </w:r>
          </w:p>
        </w:tc>
        <w:tc>
          <w:tcPr>
            <w:tcW w:w="64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 w:hRule="atLeast"/>
        </w:trPr>
        <w:tc>
          <w:tcPr>
            <w:tcW w:w="499" w:type="pct"/>
            <w:tcBorders>
              <w:top w:val="single" w:color="auto" w:sz="4" w:space="0"/>
              <w:left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784" w:type="pct"/>
            <w:tcBorders>
              <w:top w:val="single" w:color="auto" w:sz="4" w:space="0"/>
              <w:left w:val="single" w:color="auto" w:sz="4" w:space="0"/>
              <w:right w:val="single" w:color="auto" w:sz="4" w:space="0"/>
            </w:tcBorders>
            <w:vAlign w:val="center"/>
          </w:tcPr>
          <w:p>
            <w:pPr>
              <w:autoSpaceDE w:val="0"/>
              <w:autoSpaceDN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szCs w:val="21"/>
                <w:highlight w:val="none"/>
              </w:rPr>
              <w:t>东莞市众源环境投资有限公司污泥脱水减量配合服务采购项目(</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包组</w:t>
            </w:r>
            <w:r>
              <w:rPr>
                <w:rFonts w:hint="eastAsia" w:ascii="宋体" w:hAnsi="宋体" w:eastAsia="宋体" w:cs="宋体"/>
                <w:color w:val="auto"/>
                <w:szCs w:val="21"/>
                <w:highlight w:val="none"/>
              </w:rPr>
              <w:t>)</w:t>
            </w:r>
          </w:p>
        </w:tc>
        <w:tc>
          <w:tcPr>
            <w:tcW w:w="2073" w:type="pct"/>
            <w:tcBorders>
              <w:top w:val="single" w:color="auto" w:sz="4" w:space="0"/>
              <w:left w:val="single" w:color="auto" w:sz="4" w:space="0"/>
              <w:right w:val="single" w:color="auto" w:sz="4" w:space="0"/>
            </w:tcBorders>
            <w:vAlign w:val="center"/>
          </w:tcPr>
          <w:p>
            <w:pPr>
              <w:tabs>
                <w:tab w:val="left" w:pos="8610"/>
              </w:tabs>
              <w:spacing w:line="360" w:lineRule="auto"/>
              <w:outlineLvl w:val="9"/>
              <w:rPr>
                <w:rFonts w:ascii="宋体" w:hAnsi="宋体" w:eastAsia="宋体" w:cs="宋体"/>
                <w:color w:val="auto"/>
                <w:kern w:val="0"/>
                <w:szCs w:val="21"/>
                <w:highlight w:val="none"/>
              </w:rPr>
            </w:pPr>
            <w:r>
              <w:rPr>
                <w:rFonts w:hint="eastAsia" w:ascii="宋体" w:hAnsi="宋体" w:eastAsia="宋体" w:cs="宋体"/>
                <w:color w:val="auto"/>
                <w:szCs w:val="21"/>
                <w:highlight w:val="none"/>
              </w:rPr>
              <w:t>污泥脱水减量配合服务不含税综合单价（</w:t>
            </w:r>
            <w:r>
              <w:rPr>
                <w:rFonts w:hint="eastAsia" w:ascii="宋体" w:hAnsi="宋体" w:eastAsia="宋体" w:cs="宋体"/>
                <w:bCs/>
                <w:color w:val="auto"/>
                <w:szCs w:val="21"/>
                <w:highlight w:val="none"/>
                <w:lang w:val="zh-CN"/>
              </w:rPr>
              <w:t>按含水率80%湿泥</w:t>
            </w:r>
            <w:r>
              <w:rPr>
                <w:rFonts w:hint="eastAsia" w:ascii="宋体" w:hAnsi="宋体" w:eastAsia="宋体" w:cs="宋体"/>
                <w:bCs/>
                <w:color w:val="auto"/>
                <w:szCs w:val="21"/>
                <w:highlight w:val="none"/>
              </w:rPr>
              <w:t>计费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元/吨</w:t>
            </w:r>
          </w:p>
        </w:tc>
        <w:tc>
          <w:tcPr>
            <w:tcW w:w="642" w:type="pct"/>
            <w:tcBorders>
              <w:top w:val="single" w:color="auto" w:sz="4" w:space="0"/>
              <w:left w:val="single" w:color="auto" w:sz="4" w:space="0"/>
              <w:right w:val="single" w:color="auto" w:sz="4" w:space="0"/>
            </w:tcBorders>
            <w:vAlign w:val="center"/>
          </w:tcPr>
          <w:p>
            <w:pPr>
              <w:tabs>
                <w:tab w:val="left" w:pos="8610"/>
              </w:tabs>
              <w:spacing w:line="360" w:lineRule="auto"/>
              <w:jc w:val="center"/>
              <w:outlineLvl w:val="9"/>
              <w:rPr>
                <w:rFonts w:ascii="宋体" w:hAnsi="宋体" w:eastAsia="宋体" w:cs="宋体"/>
                <w:color w:val="auto"/>
                <w:kern w:val="0"/>
                <w:szCs w:val="21"/>
                <w:highlight w:val="none"/>
              </w:rPr>
            </w:pPr>
          </w:p>
        </w:tc>
      </w:tr>
    </w:tbl>
    <w:p>
      <w:pPr>
        <w:outlineLvl w:val="9"/>
        <w:rPr>
          <w:rFonts w:ascii="宋体" w:hAnsi="宋体" w:eastAsia="宋体" w:cs="宋体"/>
          <w:color w:val="auto"/>
          <w:kern w:val="0"/>
          <w:sz w:val="20"/>
          <w:szCs w:val="21"/>
          <w:highlight w:val="none"/>
        </w:rPr>
      </w:pPr>
    </w:p>
    <w:p>
      <w:pPr>
        <w:autoSpaceDE w:val="0"/>
        <w:autoSpaceDN w:val="0"/>
        <w:adjustRightInd w:val="0"/>
        <w:spacing w:line="360" w:lineRule="auto"/>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pPr>
        <w:autoSpaceDE w:val="0"/>
        <w:autoSpaceDN w:val="0"/>
        <w:adjustRightInd w:val="0"/>
        <w:snapToGrid w:val="0"/>
        <w:spacing w:line="360" w:lineRule="auto"/>
        <w:ind w:left="605" w:leftChars="18" w:hanging="567" w:hanging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color w:val="auto"/>
          <w:kern w:val="0"/>
          <w:szCs w:val="21"/>
          <w:highlight w:val="none"/>
          <w:u w:val="single"/>
        </w:rPr>
        <w:t>本项目投标报价为不含税价，即为《中华人民共和国增值税暂行条例》（国务院令第691号修订版）规定的销售额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pPr>
        <w:autoSpaceDE w:val="0"/>
        <w:autoSpaceDN w:val="0"/>
        <w:adjustRightInd w:val="0"/>
        <w:snapToGrid w:val="0"/>
        <w:spacing w:line="360" w:lineRule="auto"/>
        <w:ind w:left="605" w:leftChars="18" w:hanging="567" w:hangingChars="270"/>
        <w:jc w:val="left"/>
        <w:outlineLvl w:val="9"/>
        <w:rPr>
          <w:rFonts w:ascii="宋体" w:hAnsi="宋体" w:eastAsia="宋体" w:cs="宋体"/>
          <w:b/>
          <w:bCs/>
          <w:color w:val="auto"/>
          <w:kern w:val="0"/>
          <w:szCs w:val="21"/>
          <w:highlight w:val="none"/>
        </w:rPr>
      </w:pPr>
      <w:r>
        <w:rPr>
          <w:rFonts w:hint="eastAsia" w:ascii="宋体" w:hAnsi="宋体" w:eastAsia="宋体" w:cs="宋体"/>
          <w:b w:val="0"/>
          <w:bCs w:val="0"/>
          <w:color w:val="auto"/>
          <w:kern w:val="0"/>
          <w:szCs w:val="21"/>
          <w:highlight w:val="none"/>
        </w:rPr>
        <w:t>（2）</w:t>
      </w:r>
      <w:r>
        <w:rPr>
          <w:rFonts w:hint="eastAsia" w:ascii="宋体" w:hAnsi="宋体" w:eastAsia="宋体" w:cs="宋体"/>
          <w:b/>
          <w:bCs/>
          <w:color w:val="auto"/>
          <w:kern w:val="0"/>
          <w:szCs w:val="21"/>
          <w:highlight w:val="none"/>
          <w:u w:val="single"/>
        </w:rPr>
        <w:t>投标人的投标报价高于</w:t>
      </w:r>
      <w:r>
        <w:rPr>
          <w:rFonts w:hint="eastAsia" w:ascii="宋体" w:hAnsi="宋体" w:eastAsia="宋体" w:cs="宋体"/>
          <w:b/>
          <w:bCs/>
          <w:color w:val="auto"/>
          <w:kern w:val="0"/>
          <w:szCs w:val="21"/>
          <w:highlight w:val="none"/>
          <w:u w:val="single"/>
          <w:lang w:val="en-US" w:eastAsia="zh-CN"/>
        </w:rPr>
        <w:t>对应包组</w:t>
      </w:r>
      <w:r>
        <w:rPr>
          <w:rFonts w:hint="eastAsia" w:ascii="宋体" w:hAnsi="宋体" w:eastAsia="宋体" w:cs="宋体"/>
          <w:b/>
          <w:bCs/>
          <w:color w:val="auto"/>
          <w:kern w:val="0"/>
          <w:szCs w:val="24"/>
          <w:highlight w:val="none"/>
          <w:u w:val="single"/>
        </w:rPr>
        <w:t>最高投标限价</w:t>
      </w:r>
      <w:r>
        <w:rPr>
          <w:rFonts w:hint="eastAsia" w:ascii="宋体" w:hAnsi="宋体" w:eastAsia="宋体" w:cs="宋体"/>
          <w:b/>
          <w:bCs/>
          <w:color w:val="auto"/>
          <w:kern w:val="0"/>
          <w:szCs w:val="21"/>
          <w:highlight w:val="none"/>
          <w:u w:val="single"/>
        </w:rPr>
        <w:t>的，该投标人的投标文件将被视为无效投标</w:t>
      </w:r>
      <w:r>
        <w:rPr>
          <w:rFonts w:hint="eastAsia" w:ascii="宋体" w:hAnsi="宋体" w:eastAsia="宋体" w:cs="宋体"/>
          <w:b/>
          <w:bCs/>
          <w:color w:val="auto"/>
          <w:kern w:val="0"/>
          <w:szCs w:val="21"/>
          <w:highlight w:val="none"/>
        </w:rPr>
        <w:t>。</w:t>
      </w:r>
    </w:p>
    <w:p>
      <w:pPr>
        <w:autoSpaceDE w:val="0"/>
        <w:autoSpaceDN w:val="0"/>
        <w:adjustRightInd w:val="0"/>
        <w:snapToGrid w:val="0"/>
        <w:spacing w:line="360" w:lineRule="auto"/>
        <w:ind w:left="605" w:leftChars="18" w:hanging="567" w:hanging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（3）对不同文字文本投标文件的解释发生异议的，以中文文本为准。</w:t>
      </w:r>
    </w:p>
    <w:p>
      <w:pPr>
        <w:autoSpaceDE w:val="0"/>
        <w:autoSpaceDN w:val="0"/>
        <w:adjustRightInd w:val="0"/>
        <w:snapToGrid w:val="0"/>
        <w:spacing w:line="360" w:lineRule="auto"/>
        <w:ind w:left="605" w:leftChars="18" w:hanging="567" w:hangingChars="270"/>
        <w:jc w:val="left"/>
        <w:outlineLvl w:val="9"/>
        <w:rPr>
          <w:rFonts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pPr>
        <w:autoSpaceDE w:val="0"/>
        <w:autoSpaceDN w:val="0"/>
        <w:adjustRightInd w:val="0"/>
        <w:snapToGrid w:val="0"/>
        <w:spacing w:line="360" w:lineRule="auto"/>
        <w:ind w:left="605" w:leftChars="18" w:hanging="567" w:hangingChars="270"/>
        <w:jc w:val="left"/>
        <w:outlineLvl w:val="9"/>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（5）</w:t>
      </w:r>
      <w:r>
        <w:rPr>
          <w:rFonts w:hint="eastAsia" w:ascii="宋体" w:hAnsi="宋体" w:eastAsia="宋体" w:cs="宋体"/>
          <w:color w:val="auto"/>
          <w:kern w:val="0"/>
          <w:szCs w:val="21"/>
          <w:highlight w:val="none"/>
        </w:rPr>
        <w:t>报价保留小数点后两位。</w:t>
      </w:r>
    </w:p>
    <w:p>
      <w:pPr>
        <w:autoSpaceDE w:val="0"/>
        <w:autoSpaceDN w:val="0"/>
        <w:adjustRightInd w:val="0"/>
        <w:spacing w:line="360" w:lineRule="auto"/>
        <w:ind w:firstLine="4960" w:firstLineChars="2362"/>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pPr>
        <w:autoSpaceDE w:val="0"/>
        <w:autoSpaceDN w:val="0"/>
        <w:adjustRightInd w:val="0"/>
        <w:spacing w:line="360" w:lineRule="auto"/>
        <w:ind w:firstLine="4960" w:firstLineChars="2362"/>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pPr>
        <w:autoSpaceDE w:val="0"/>
        <w:autoSpaceDN w:val="0"/>
        <w:adjustRightInd w:val="0"/>
        <w:spacing w:line="360" w:lineRule="auto"/>
        <w:ind w:firstLine="4960" w:firstLineChars="2362"/>
        <w:outlineLvl w:val="9"/>
        <w:rPr>
          <w:rFonts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pPr>
        <w:tabs>
          <w:tab w:val="left" w:pos="567"/>
        </w:tabs>
        <w:autoSpaceDE w:val="0"/>
        <w:autoSpaceDN w:val="0"/>
        <w:adjustRightInd w:val="0"/>
        <w:spacing w:line="360" w:lineRule="auto"/>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18" w:name="_Toc140596928"/>
      <w:bookmarkStart w:id="519" w:name="_Toc26516"/>
      <w:bookmarkStart w:id="520" w:name="_Toc102860074"/>
      <w:bookmarkStart w:id="521" w:name="_Toc6190"/>
      <w:bookmarkStart w:id="522" w:name="_Toc1977725"/>
      <w:bookmarkStart w:id="523" w:name="_Toc142508369"/>
      <w:bookmarkStart w:id="524" w:name="_Toc23083"/>
      <w:bookmarkStart w:id="525" w:name="_Toc102860418"/>
      <w:bookmarkStart w:id="526" w:name="_Toc104991875"/>
      <w:bookmarkStart w:id="527" w:name="_Toc94107209"/>
      <w:bookmarkStart w:id="528" w:name="_Toc486167712"/>
      <w:bookmarkStart w:id="529" w:name="_Toc20759_WPSOffice_Level2"/>
      <w:bookmarkStart w:id="530" w:name="_Toc533708124"/>
      <w:r>
        <w:rPr>
          <w:rFonts w:hint="eastAsia" w:ascii="宋体" w:hAnsi="宋体" w:eastAsia="宋体" w:cs="宋体"/>
          <w:b/>
          <w:bCs/>
          <w:color w:val="auto"/>
          <w:sz w:val="30"/>
          <w:szCs w:val="30"/>
          <w:highlight w:val="none"/>
        </w:rPr>
        <w:t>五</w:t>
      </w:r>
      <w:r>
        <w:rPr>
          <w:rFonts w:hint="eastAsia" w:ascii="宋体" w:hAnsi="宋体" w:eastAsia="宋体" w:cs="宋体"/>
          <w:b/>
          <w:color w:val="auto"/>
          <w:kern w:val="0"/>
          <w:sz w:val="32"/>
          <w:szCs w:val="32"/>
          <w:highlight w:val="none"/>
        </w:rPr>
        <w:t>、投标人资格证明文件</w:t>
      </w:r>
      <w:bookmarkEnd w:id="518"/>
      <w:bookmarkEnd w:id="519"/>
      <w:bookmarkEnd w:id="520"/>
      <w:bookmarkEnd w:id="521"/>
      <w:bookmarkEnd w:id="522"/>
      <w:bookmarkEnd w:id="523"/>
      <w:bookmarkEnd w:id="524"/>
      <w:bookmarkEnd w:id="525"/>
      <w:bookmarkEnd w:id="526"/>
      <w:bookmarkEnd w:id="527"/>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531" w:name="_Toc142508370"/>
      <w:bookmarkStart w:id="532" w:name="_Toc102860419"/>
      <w:bookmarkStart w:id="533" w:name="_Toc29874"/>
      <w:bookmarkStart w:id="534" w:name="_Toc104991876"/>
      <w:bookmarkStart w:id="535" w:name="_Toc102860075"/>
      <w:bookmarkStart w:id="536" w:name="_Toc94107210"/>
      <w:bookmarkStart w:id="537" w:name="_Toc140596929"/>
      <w:bookmarkStart w:id="538" w:name="_Toc25267"/>
      <w:bookmarkStart w:id="539" w:name="_Toc17358"/>
      <w:bookmarkStart w:id="540" w:name="_Toc1977726"/>
      <w:r>
        <w:rPr>
          <w:rFonts w:hint="eastAsia" w:ascii="宋体" w:hAnsi="宋体" w:eastAsia="宋体" w:cs="宋体"/>
          <w:b/>
          <w:color w:val="auto"/>
          <w:kern w:val="0"/>
          <w:sz w:val="30"/>
          <w:szCs w:val="30"/>
          <w:highlight w:val="none"/>
        </w:rPr>
        <w:t>5.1 多证合一营业执照（或事业单位法人证书）复印件</w:t>
      </w:r>
      <w:bookmarkEnd w:id="531"/>
      <w:bookmarkEnd w:id="532"/>
      <w:bookmarkEnd w:id="533"/>
      <w:bookmarkEnd w:id="534"/>
      <w:bookmarkEnd w:id="535"/>
      <w:bookmarkEnd w:id="536"/>
      <w:bookmarkEnd w:id="537"/>
      <w:bookmarkEnd w:id="538"/>
      <w:bookmarkEnd w:id="539"/>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tabs>
          <w:tab w:val="left" w:pos="567"/>
        </w:tabs>
        <w:autoSpaceDE w:val="0"/>
        <w:autoSpaceDN w:val="0"/>
        <w:adjustRightInd w:val="0"/>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541" w:name="_Toc7756"/>
      <w:bookmarkStart w:id="542" w:name="_Toc102860076"/>
      <w:bookmarkStart w:id="543" w:name="_Toc25013"/>
      <w:bookmarkStart w:id="544" w:name="_Toc94107211"/>
      <w:bookmarkStart w:id="545" w:name="_Toc102860420"/>
      <w:bookmarkStart w:id="546" w:name="_Toc142508371"/>
      <w:bookmarkStart w:id="547" w:name="_Toc27861"/>
      <w:bookmarkStart w:id="548" w:name="_Toc140596930"/>
      <w:bookmarkStart w:id="549" w:name="_Toc104991877"/>
      <w:r>
        <w:rPr>
          <w:rFonts w:hint="eastAsia" w:ascii="宋体" w:hAnsi="宋体" w:eastAsia="宋体" w:cs="宋体"/>
          <w:b/>
          <w:color w:val="auto"/>
          <w:kern w:val="0"/>
          <w:sz w:val="30"/>
          <w:szCs w:val="30"/>
          <w:highlight w:val="none"/>
        </w:rPr>
        <w:t>5.2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541"/>
      <w:bookmarkEnd w:id="542"/>
      <w:bookmarkEnd w:id="543"/>
      <w:bookmarkEnd w:id="544"/>
      <w:bookmarkEnd w:id="545"/>
      <w:bookmarkEnd w:id="546"/>
      <w:bookmarkEnd w:id="547"/>
      <w:bookmarkEnd w:id="548"/>
      <w:bookmarkEnd w:id="549"/>
    </w:p>
    <w:p>
      <w:pPr>
        <w:tabs>
          <w:tab w:val="left" w:pos="567"/>
        </w:tabs>
        <w:autoSpaceDE w:val="0"/>
        <w:autoSpaceDN w:val="0"/>
        <w:adjustRightInd w:val="0"/>
        <w:spacing w:line="360" w:lineRule="auto"/>
        <w:jc w:val="left"/>
        <w:outlineLvl w:val="9"/>
        <w:rPr>
          <w:rFonts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550" w:name="_Toc94107212"/>
      <w:bookmarkStart w:id="551" w:name="_Toc104991878"/>
      <w:bookmarkStart w:id="552" w:name="_Toc142508372"/>
      <w:bookmarkStart w:id="553" w:name="_Toc140596931"/>
      <w:bookmarkStart w:id="554" w:name="_Toc102860077"/>
      <w:bookmarkStart w:id="555" w:name="_Toc7441"/>
      <w:bookmarkStart w:id="556" w:name="_Toc102860421"/>
      <w:bookmarkStart w:id="557" w:name="_Toc17499"/>
      <w:bookmarkStart w:id="558" w:name="_Toc9132"/>
      <w:r>
        <w:rPr>
          <w:rFonts w:hint="eastAsia" w:ascii="宋体" w:hAnsi="宋体" w:eastAsia="宋体" w:cs="宋体"/>
          <w:b/>
          <w:color w:val="auto"/>
          <w:kern w:val="0"/>
          <w:sz w:val="30"/>
          <w:szCs w:val="30"/>
          <w:highlight w:val="none"/>
        </w:rPr>
        <w:t>5.3 法定代表人身份证明书原件、法定代表人授权书原件格式（法定代表人投标时只需提供法定代表人身份证明书，委托他人为投标代表或签署投标文件时需同时提供法定代表人授权书）</w:t>
      </w:r>
      <w:bookmarkEnd w:id="550"/>
      <w:bookmarkEnd w:id="551"/>
      <w:bookmarkEnd w:id="552"/>
      <w:bookmarkEnd w:id="553"/>
      <w:bookmarkEnd w:id="554"/>
      <w:bookmarkEnd w:id="555"/>
      <w:bookmarkEnd w:id="556"/>
      <w:bookmarkEnd w:id="557"/>
      <w:bookmarkEnd w:id="558"/>
    </w:p>
    <w:p>
      <w:pPr>
        <w:spacing w:before="120" w:after="120" w:line="360" w:lineRule="auto"/>
        <w:ind w:firstLine="426" w:firstLineChars="202"/>
        <w:outlineLvl w:val="9"/>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528"/>
      <w:bookmarkEnd w:id="529"/>
      <w:bookmarkEnd w:id="530"/>
      <w:bookmarkEnd w:id="540"/>
    </w:p>
    <w:p>
      <w:pPr>
        <w:spacing w:before="120" w:after="120" w:line="360" w:lineRule="auto"/>
        <w:ind w:firstLine="608" w:firstLineChars="202"/>
        <w:jc w:val="center"/>
        <w:outlineLvl w:val="9"/>
        <w:rPr>
          <w:rFonts w:ascii="宋体" w:hAnsi="宋体" w:eastAsia="宋体" w:cs="宋体"/>
          <w:b/>
          <w:color w:val="auto"/>
          <w:sz w:val="30"/>
          <w:szCs w:val="30"/>
          <w:highlight w:val="none"/>
        </w:rPr>
      </w:pPr>
    </w:p>
    <w:p>
      <w:pPr>
        <w:spacing w:before="120" w:after="120" w:line="360" w:lineRule="auto"/>
        <w:ind w:firstLine="608" w:firstLineChars="202"/>
        <w:jc w:val="center"/>
        <w:outlineLvl w:val="9"/>
        <w:rPr>
          <w:rFonts w:ascii="宋体" w:hAnsi="宋体" w:eastAsia="宋体" w:cs="宋体"/>
          <w:b/>
          <w:bCs/>
          <w:color w:val="auto"/>
          <w:sz w:val="30"/>
          <w:szCs w:val="30"/>
          <w:highlight w:val="none"/>
        </w:rPr>
      </w:pPr>
      <w:bookmarkStart w:id="559" w:name="_Toc11033_WPSOffice_Level3"/>
      <w:r>
        <w:rPr>
          <w:rFonts w:hint="eastAsia" w:ascii="宋体" w:hAnsi="宋体" w:eastAsia="宋体" w:cs="宋体"/>
          <w:b/>
          <w:color w:val="auto"/>
          <w:sz w:val="30"/>
          <w:szCs w:val="30"/>
          <w:highlight w:val="none"/>
        </w:rPr>
        <w:t>法定代</w:t>
      </w:r>
      <w:bookmarkStart w:id="560" w:name="_Toc36971359"/>
      <w:bookmarkStart w:id="561" w:name="_Toc45995270"/>
      <w:r>
        <w:rPr>
          <w:rFonts w:hint="eastAsia" w:ascii="宋体" w:hAnsi="宋体" w:eastAsia="宋体" w:cs="宋体"/>
          <w:b/>
          <w:color w:val="auto"/>
          <w:sz w:val="30"/>
          <w:szCs w:val="30"/>
          <w:highlight w:val="none"/>
        </w:rPr>
        <w:t>表人身份证明书</w:t>
      </w:r>
      <w:bookmarkEnd w:id="559"/>
      <w:r>
        <w:rPr>
          <w:rFonts w:hint="eastAsia" w:ascii="宋体" w:hAnsi="宋体" w:eastAsia="宋体" w:cs="宋体"/>
          <w:b/>
          <w:color w:val="auto"/>
          <w:sz w:val="30"/>
          <w:szCs w:val="30"/>
          <w:highlight w:val="none"/>
          <w:lang w:val="zh-CN"/>
        </w:rPr>
        <w:t>(</w:t>
      </w:r>
      <w:r>
        <w:rPr>
          <w:rFonts w:hint="eastAsia" w:ascii="宋体" w:hAnsi="宋体" w:eastAsia="宋体" w:cs="宋体"/>
          <w:b/>
          <w:color w:val="auto"/>
          <w:sz w:val="30"/>
          <w:szCs w:val="30"/>
          <w:highlight w:val="none"/>
          <w:u w:val="single"/>
          <w:lang w:val="zh-CN"/>
        </w:rPr>
        <w:t xml:space="preserve">   </w:t>
      </w:r>
      <w:r>
        <w:rPr>
          <w:rFonts w:hint="eastAsia" w:ascii="宋体" w:hAnsi="宋体" w:eastAsia="宋体" w:cs="宋体"/>
          <w:b/>
          <w:color w:val="auto"/>
          <w:sz w:val="30"/>
          <w:szCs w:val="30"/>
          <w:highlight w:val="none"/>
          <w:lang w:val="zh-CN"/>
        </w:rPr>
        <w:t>包组)</w:t>
      </w:r>
    </w:p>
    <w:bookmarkEnd w:id="560"/>
    <w:bookmarkEnd w:id="561"/>
    <w:p>
      <w:pPr>
        <w:spacing w:before="120" w:after="120" w:line="360" w:lineRule="auto"/>
        <w:ind w:firstLine="420" w:firstLineChars="200"/>
        <w:outlineLvl w:val="9"/>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pPr>
        <w:spacing w:before="120" w:after="120"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pPr>
        <w:spacing w:before="120" w:after="120"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pPr>
        <w:spacing w:before="120" w:after="120" w:line="360" w:lineRule="auto"/>
        <w:ind w:firstLine="424" w:firstLineChars="202"/>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pPr>
        <w:spacing w:before="120" w:after="120" w:line="360" w:lineRule="auto"/>
        <w:ind w:firstLine="424" w:firstLineChars="202"/>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pPr>
        <w:spacing w:before="120" w:after="120"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pPr>
        <w:spacing w:before="120" w:after="120" w:line="360" w:lineRule="auto"/>
        <w:ind w:left="340" w:leftChars="162" w:firstLine="4740"/>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pPr>
        <w:autoSpaceDE w:val="0"/>
        <w:autoSpaceDN w:val="0"/>
        <w:adjustRightInd w:val="0"/>
        <w:spacing w:line="360" w:lineRule="auto"/>
        <w:ind w:right="1010" w:rightChars="481" w:firstLine="6090" w:firstLineChars="29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pPr>
        <w:autoSpaceDE w:val="0"/>
        <w:autoSpaceDN w:val="0"/>
        <w:adjustRightInd w:val="0"/>
        <w:jc w:val="left"/>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b/>
          <w:color w:val="auto"/>
          <w:kern w:val="0"/>
          <w:szCs w:val="21"/>
          <w:highlight w:val="none"/>
        </w:rPr>
      </w:pPr>
    </w:p>
    <w:p>
      <w:pPr>
        <w:autoSpaceDE w:val="0"/>
        <w:autoSpaceDN w:val="0"/>
        <w:adjustRightInd w:val="0"/>
        <w:jc w:val="left"/>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pPr>
        <w:autoSpaceDE w:val="0"/>
        <w:autoSpaceDN w:val="0"/>
        <w:adjustRightInd w:val="0"/>
        <w:jc w:val="left"/>
        <w:outlineLvl w:val="9"/>
        <w:rPr>
          <w:rFonts w:ascii="宋体" w:hAnsi="宋体" w:eastAsia="宋体" w:cs="宋体"/>
          <w:color w:val="auto"/>
          <w:kern w:val="0"/>
          <w:szCs w:val="21"/>
          <w:highlight w:val="none"/>
        </w:rPr>
      </w:pPr>
    </w:p>
    <w:p>
      <w:pPr>
        <w:spacing w:before="120" w:after="120" w:line="360" w:lineRule="auto"/>
        <w:ind w:firstLine="424" w:firstLineChars="202"/>
        <w:outlineLvl w:val="9"/>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81"/>
      <w:bookmarkEnd w:id="482"/>
      <w:bookmarkEnd w:id="483"/>
      <w:bookmarkStart w:id="562" w:name="_Toc6240_WPSOffice_Level2"/>
      <w:bookmarkStart w:id="563" w:name="_Toc486167713"/>
      <w:bookmarkStart w:id="564" w:name="_Toc1977727"/>
      <w:bookmarkStart w:id="565" w:name="_Toc533708125"/>
      <w:r>
        <w:rPr>
          <w:rFonts w:hint="eastAsia" w:ascii="宋体" w:hAnsi="宋体" w:eastAsia="宋体" w:cs="宋体"/>
          <w:b/>
          <w:color w:val="auto"/>
          <w:szCs w:val="24"/>
          <w:highlight w:val="none"/>
        </w:rPr>
        <w:t>（2）法定代表人授权书格式</w:t>
      </w:r>
      <w:bookmarkEnd w:id="562"/>
      <w:bookmarkEnd w:id="563"/>
      <w:bookmarkEnd w:id="564"/>
      <w:bookmarkEnd w:id="565"/>
    </w:p>
    <w:p>
      <w:pPr>
        <w:autoSpaceDE w:val="0"/>
        <w:autoSpaceDN w:val="0"/>
        <w:adjustRightInd w:val="0"/>
        <w:spacing w:line="360" w:lineRule="auto"/>
        <w:jc w:val="center"/>
        <w:outlineLvl w:val="9"/>
        <w:rPr>
          <w:rFonts w:ascii="宋体" w:hAnsi="宋体" w:eastAsia="宋体" w:cs="宋体"/>
          <w:b/>
          <w:bCs/>
          <w:color w:val="auto"/>
          <w:sz w:val="30"/>
          <w:szCs w:val="30"/>
          <w:highlight w:val="none"/>
          <w:lang w:val="zh-CN"/>
        </w:rPr>
      </w:pPr>
    </w:p>
    <w:p>
      <w:pPr>
        <w:autoSpaceDE w:val="0"/>
        <w:autoSpaceDN w:val="0"/>
        <w:adjustRightInd w:val="0"/>
        <w:spacing w:line="360" w:lineRule="auto"/>
        <w:jc w:val="center"/>
        <w:outlineLvl w:val="9"/>
        <w:rPr>
          <w:rFonts w:ascii="宋体" w:hAnsi="宋体" w:eastAsia="宋体" w:cs="宋体"/>
          <w:b/>
          <w:bCs/>
          <w:color w:val="auto"/>
          <w:sz w:val="30"/>
          <w:szCs w:val="30"/>
          <w:highlight w:val="none"/>
          <w:lang w:val="zh-CN"/>
        </w:rPr>
      </w:pPr>
      <w:bookmarkStart w:id="566" w:name="_Toc29146_WPSOffice_Level3"/>
      <w:r>
        <w:rPr>
          <w:rFonts w:hint="eastAsia" w:ascii="宋体" w:hAnsi="宋体" w:eastAsia="宋体" w:cs="宋体"/>
          <w:b/>
          <w:bCs/>
          <w:color w:val="auto"/>
          <w:sz w:val="30"/>
          <w:szCs w:val="30"/>
          <w:highlight w:val="none"/>
          <w:lang w:val="zh-CN"/>
        </w:rPr>
        <w:t>法定代表人授权书</w:t>
      </w:r>
      <w:bookmarkEnd w:id="566"/>
      <w:r>
        <w:rPr>
          <w:rFonts w:hint="eastAsia" w:ascii="宋体" w:hAnsi="宋体" w:eastAsia="宋体" w:cs="宋体"/>
          <w:b/>
          <w:color w:val="auto"/>
          <w:sz w:val="30"/>
          <w:szCs w:val="30"/>
          <w:highlight w:val="none"/>
          <w:lang w:val="zh-CN"/>
        </w:rPr>
        <w:t>(</w:t>
      </w:r>
      <w:r>
        <w:rPr>
          <w:rFonts w:hint="eastAsia" w:ascii="宋体" w:hAnsi="宋体" w:eastAsia="宋体" w:cs="宋体"/>
          <w:b/>
          <w:color w:val="auto"/>
          <w:sz w:val="30"/>
          <w:szCs w:val="30"/>
          <w:highlight w:val="none"/>
          <w:u w:val="single"/>
          <w:lang w:val="zh-CN"/>
        </w:rPr>
        <w:t xml:space="preserve">   </w:t>
      </w:r>
      <w:r>
        <w:rPr>
          <w:rFonts w:hint="eastAsia" w:ascii="宋体" w:hAnsi="宋体" w:eastAsia="宋体" w:cs="宋体"/>
          <w:b/>
          <w:color w:val="auto"/>
          <w:sz w:val="30"/>
          <w:szCs w:val="30"/>
          <w:highlight w:val="none"/>
          <w:lang w:val="zh-CN"/>
        </w:rPr>
        <w:t>包组)</w:t>
      </w:r>
    </w:p>
    <w:p>
      <w:pPr>
        <w:autoSpaceDE w:val="0"/>
        <w:autoSpaceDN w:val="0"/>
        <w:adjustRightInd w:val="0"/>
        <w:spacing w:line="360" w:lineRule="auto"/>
        <w:jc w:val="center"/>
        <w:outlineLvl w:val="9"/>
        <w:rPr>
          <w:rFonts w:ascii="宋体" w:hAnsi="宋体" w:eastAsia="宋体" w:cs="宋体"/>
          <w:color w:val="auto"/>
          <w:szCs w:val="28"/>
          <w:highlight w:val="none"/>
          <w:lang w:val="zh-CN"/>
        </w:rPr>
      </w:pPr>
    </w:p>
    <w:p>
      <w:pPr>
        <w:spacing w:before="120" w:after="120" w:line="360" w:lineRule="auto"/>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致：东莞市众源环境投资有限公司</w:t>
      </w:r>
    </w:p>
    <w:p>
      <w:pPr>
        <w:spacing w:before="120" w:after="120" w:line="360" w:lineRule="auto"/>
        <w:ind w:firstLine="630" w:firstLineChars="300"/>
        <w:outlineLvl w:val="9"/>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rPr>
        <w:t>东莞市众源环境投资有限公司污泥脱水减量配合服务采购项目</w:t>
      </w:r>
      <w:r>
        <w:rPr>
          <w:rFonts w:hint="eastAsia" w:ascii="宋体" w:hAnsi="宋体" w:eastAsia="宋体" w:cs="宋体"/>
          <w:color w:val="auto"/>
          <w:szCs w:val="21"/>
          <w:highlight w:val="none"/>
          <w:u w:val="single"/>
          <w:lang w:val="zh-CN"/>
        </w:rPr>
        <w:t>(   包组)</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YDZB23DGQY0240</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pPr>
        <w:spacing w:before="120" w:after="120"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pPr>
        <w:spacing w:before="120" w:after="120" w:line="360" w:lineRule="auto"/>
        <w:ind w:left="348" w:leftChars="136" w:hanging="62"/>
        <w:outlineLvl w:val="9"/>
        <w:rPr>
          <w:rFonts w:ascii="宋体" w:hAnsi="宋体" w:eastAsia="宋体" w:cs="宋体"/>
          <w:color w:val="auto"/>
          <w:szCs w:val="24"/>
          <w:highlight w:val="none"/>
        </w:rPr>
      </w:pP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pPr>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pPr>
        <w:widowControl/>
        <w:autoSpaceDE w:val="0"/>
        <w:autoSpaceDN w:val="0"/>
        <w:spacing w:before="120" w:after="120" w:line="360" w:lineRule="auto"/>
        <w:ind w:right="781" w:rightChars="372" w:firstLine="422" w:firstLineChars="200"/>
        <w:textAlignment w:val="bottom"/>
        <w:outlineLvl w:val="9"/>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pPr>
        <w:pageBreakBefore/>
        <w:spacing w:line="360" w:lineRule="auto"/>
        <w:outlineLvl w:val="9"/>
        <w:rPr>
          <w:rFonts w:hint="eastAsia" w:ascii="宋体" w:hAnsi="宋体" w:eastAsia="宋体" w:cs="宋体"/>
          <w:b/>
          <w:color w:val="auto"/>
          <w:sz w:val="32"/>
          <w:szCs w:val="32"/>
          <w:highlight w:val="none"/>
          <w:lang w:val="zh-CN"/>
        </w:rPr>
      </w:pPr>
      <w:bookmarkStart w:id="567" w:name="_Toc32328"/>
      <w:bookmarkStart w:id="568" w:name="_Toc15716"/>
      <w:bookmarkStart w:id="569" w:name="_Toc12400"/>
      <w:bookmarkStart w:id="570" w:name="_Toc94107214"/>
      <w:bookmarkStart w:id="571" w:name="_Toc142508373"/>
      <w:bookmarkStart w:id="572" w:name="_Toc140596933"/>
      <w:bookmarkStart w:id="573" w:name="_Toc104991880"/>
      <w:bookmarkStart w:id="574" w:name="_Toc1977730"/>
      <w:r>
        <w:rPr>
          <w:rFonts w:hint="eastAsia" w:ascii="宋体" w:hAnsi="宋体" w:eastAsia="宋体" w:cs="宋体"/>
          <w:b/>
          <w:color w:val="auto"/>
          <w:sz w:val="32"/>
          <w:szCs w:val="32"/>
          <w:highlight w:val="none"/>
        </w:rPr>
        <w:t xml:space="preserve">5.4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【投标人</w:t>
      </w:r>
      <w:r>
        <w:rPr>
          <w:rFonts w:hint="eastAsia" w:ascii="宋体" w:hAnsi="宋体" w:eastAsia="宋体" w:cs="宋体"/>
          <w:b/>
          <w:bCs/>
          <w:color w:val="auto"/>
          <w:sz w:val="32"/>
          <w:szCs w:val="32"/>
          <w:highlight w:val="none"/>
          <w:lang w:val="en-US" w:eastAsia="zh-CN"/>
        </w:rPr>
        <w:t>提供</w:t>
      </w:r>
      <w:r>
        <w:rPr>
          <w:rFonts w:hint="eastAsia" w:ascii="宋体" w:hAnsi="宋体" w:eastAsia="宋体" w:cs="宋体"/>
          <w:b/>
          <w:bCs/>
          <w:color w:val="auto"/>
          <w:sz w:val="32"/>
          <w:szCs w:val="32"/>
          <w:highlight w:val="none"/>
        </w:rPr>
        <w:t>一份202</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年1月1日以来具有污泥脱水减量化处理服务或污泥脱水减量配合服务业绩（合同签订日期为202</w:t>
      </w:r>
      <w:r>
        <w:rPr>
          <w:rFonts w:hint="eastAsia" w:ascii="宋体" w:hAnsi="宋体" w:eastAsia="宋体" w:cs="宋体"/>
          <w:b/>
          <w:bCs/>
          <w:color w:val="auto"/>
          <w:sz w:val="32"/>
          <w:szCs w:val="32"/>
          <w:highlight w:val="none"/>
          <w:lang w:val="en-US" w:eastAsia="zh-CN"/>
        </w:rPr>
        <w:t>1</w:t>
      </w:r>
      <w:r>
        <w:rPr>
          <w:rFonts w:hint="eastAsia" w:ascii="宋体" w:hAnsi="宋体" w:eastAsia="宋体" w:cs="宋体"/>
          <w:b/>
          <w:bCs/>
          <w:color w:val="auto"/>
          <w:sz w:val="32"/>
          <w:szCs w:val="32"/>
          <w:highlight w:val="none"/>
        </w:rPr>
        <w:t>年1月1日或以后）</w:t>
      </w:r>
      <w:bookmarkEnd w:id="567"/>
      <w:bookmarkEnd w:id="568"/>
      <w:bookmarkEnd w:id="569"/>
      <w:r>
        <w:rPr>
          <w:rFonts w:hint="eastAsia" w:ascii="宋体" w:hAnsi="宋体" w:eastAsia="宋体" w:cs="宋体"/>
          <w:b/>
          <w:bCs/>
          <w:color w:val="auto"/>
          <w:kern w:val="2"/>
          <w:sz w:val="32"/>
          <w:szCs w:val="32"/>
          <w:highlight w:val="none"/>
        </w:rPr>
        <w:t>】</w:t>
      </w:r>
    </w:p>
    <w:p>
      <w:pPr>
        <w:spacing w:line="360" w:lineRule="auto"/>
        <w:outlineLvl w:val="9"/>
        <w:rPr>
          <w:rFonts w:ascii="宋体" w:hAnsi="宋体" w:eastAsia="宋体" w:cs="宋体"/>
          <w:b/>
          <w:color w:val="auto"/>
          <w:szCs w:val="21"/>
          <w:highlight w:val="none"/>
          <w:lang w:val="zh-CN"/>
        </w:rPr>
      </w:pPr>
    </w:p>
    <w:tbl>
      <w:tblPr>
        <w:tblStyle w:val="38"/>
        <w:tblW w:w="466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5"/>
        <w:gridCol w:w="1178"/>
        <w:gridCol w:w="2813"/>
        <w:gridCol w:w="1913"/>
        <w:gridCol w:w="2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序号</w:t>
            </w:r>
          </w:p>
        </w:tc>
        <w:tc>
          <w:tcPr>
            <w:tcW w:w="67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项目名称</w:t>
            </w:r>
          </w:p>
        </w:tc>
        <w:tc>
          <w:tcPr>
            <w:tcW w:w="162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投标人负责的主要服务内容</w:t>
            </w:r>
          </w:p>
        </w:tc>
        <w:tc>
          <w:tcPr>
            <w:tcW w:w="1103"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签约日期</w:t>
            </w:r>
          </w:p>
        </w:tc>
        <w:tc>
          <w:tcPr>
            <w:tcW w:w="116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67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62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424"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7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62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1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bl>
    <w:p>
      <w:pPr>
        <w:spacing w:line="360" w:lineRule="auto"/>
        <w:ind w:left="424" w:hanging="424" w:hangingChars="201"/>
        <w:outlineLvl w:val="9"/>
        <w:rPr>
          <w:rFonts w:ascii="宋体" w:hAnsi="宋体" w:eastAsia="宋体" w:cs="宋体"/>
          <w:b/>
          <w:color w:val="auto"/>
          <w:szCs w:val="21"/>
          <w:highlight w:val="none"/>
          <w:lang w:val="zh-CN"/>
        </w:rPr>
      </w:pPr>
    </w:p>
    <w:p>
      <w:pPr>
        <w:spacing w:line="360" w:lineRule="auto"/>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资格业绩证明材料提交要求：</w:t>
      </w:r>
    </w:p>
    <w:p>
      <w:pPr>
        <w:snapToGrid w:val="0"/>
        <w:spacing w:line="360" w:lineRule="auto"/>
        <w:ind w:left="399" w:leftChars="-58" w:hanging="521" w:hangingChars="247"/>
        <w:outlineLvl w:val="9"/>
        <w:rPr>
          <w:rFonts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rPr>
        <w:t>（1）作为投标人资格条件证明的业绩放置在此处。</w:t>
      </w:r>
    </w:p>
    <w:p>
      <w:pPr>
        <w:snapToGrid w:val="0"/>
        <w:spacing w:line="360" w:lineRule="auto"/>
        <w:ind w:left="399" w:leftChars="-58" w:hanging="521" w:hangingChars="247"/>
        <w:outlineLvl w:val="9"/>
        <w:rPr>
          <w:rFonts w:ascii="宋体" w:hAnsi="宋体" w:eastAsia="宋体" w:cs="宋体"/>
          <w:b/>
          <w:bCs w:val="0"/>
          <w:color w:val="auto"/>
          <w:szCs w:val="21"/>
          <w:highlight w:val="none"/>
          <w:lang w:val="zh-CN"/>
        </w:rPr>
      </w:pPr>
      <w:r>
        <w:rPr>
          <w:rFonts w:hint="eastAsia" w:ascii="宋体" w:hAnsi="宋体" w:eastAsia="宋体" w:cs="宋体"/>
          <w:b/>
          <w:bCs w:val="0"/>
          <w:color w:val="auto"/>
          <w:szCs w:val="21"/>
          <w:highlight w:val="none"/>
        </w:rPr>
        <w:t>（2）</w:t>
      </w:r>
      <w:r>
        <w:rPr>
          <w:rFonts w:hint="eastAsia" w:ascii="宋体" w:hAnsi="宋体" w:eastAsia="宋体" w:cs="宋体"/>
          <w:b/>
          <w:bCs w:val="0"/>
          <w:color w:val="auto"/>
          <w:szCs w:val="21"/>
          <w:highlight w:val="none"/>
          <w:u w:val="single"/>
        </w:rPr>
        <w:t>业绩必须附合同复印件。</w:t>
      </w:r>
      <w:r>
        <w:rPr>
          <w:rFonts w:hint="eastAsia" w:ascii="宋体" w:hAnsi="宋体" w:eastAsia="宋体" w:cs="宋体"/>
          <w:b/>
          <w:bCs w:val="0"/>
          <w:color w:val="auto"/>
          <w:szCs w:val="21"/>
          <w:highlight w:val="none"/>
          <w:u w:val="single"/>
          <w:lang w:val="zh-CN"/>
        </w:rPr>
        <w:t>若合同无法反映合同签订时间、合同</w:t>
      </w:r>
      <w:r>
        <w:rPr>
          <w:rFonts w:hint="eastAsia" w:ascii="宋体" w:hAnsi="宋体" w:eastAsia="宋体" w:cs="宋体"/>
          <w:b/>
          <w:bCs w:val="0"/>
          <w:color w:val="auto"/>
          <w:szCs w:val="21"/>
          <w:highlight w:val="none"/>
          <w:u w:val="single"/>
        </w:rPr>
        <w:t>服务内容的</w:t>
      </w:r>
      <w:r>
        <w:rPr>
          <w:rFonts w:hint="eastAsia" w:ascii="宋体" w:hAnsi="宋体" w:eastAsia="宋体" w:cs="宋体"/>
          <w:b/>
          <w:bCs w:val="0"/>
          <w:color w:val="auto"/>
          <w:szCs w:val="21"/>
          <w:highlight w:val="none"/>
          <w:u w:val="single"/>
          <w:lang w:val="zh-CN"/>
        </w:rPr>
        <w:t>，还需</w:t>
      </w:r>
      <w:r>
        <w:rPr>
          <w:rFonts w:hint="eastAsia" w:ascii="宋体" w:hAnsi="宋体" w:eastAsia="宋体" w:cs="宋体"/>
          <w:b/>
          <w:bCs w:val="0"/>
          <w:color w:val="auto"/>
          <w:szCs w:val="21"/>
          <w:highlight w:val="none"/>
          <w:u w:val="single"/>
        </w:rPr>
        <w:t>提供服务购买方出具的书面补充情况说明文件复印件</w:t>
      </w:r>
      <w:r>
        <w:rPr>
          <w:rFonts w:hint="eastAsia" w:ascii="宋体" w:hAnsi="宋体" w:eastAsia="宋体" w:cs="宋体"/>
          <w:b/>
          <w:bCs w:val="0"/>
          <w:color w:val="auto"/>
          <w:szCs w:val="21"/>
          <w:highlight w:val="none"/>
          <w:u w:val="single"/>
          <w:lang w:val="zh-CN"/>
        </w:rPr>
        <w:t>作为辅助证明</w:t>
      </w:r>
      <w:r>
        <w:rPr>
          <w:rFonts w:hint="eastAsia" w:ascii="宋体" w:hAnsi="宋体" w:eastAsia="宋体" w:cs="宋体"/>
          <w:b/>
          <w:bCs w:val="0"/>
          <w:color w:val="auto"/>
          <w:szCs w:val="21"/>
          <w:highlight w:val="none"/>
          <w:lang w:val="zh-CN"/>
        </w:rPr>
        <w:t>。</w:t>
      </w:r>
    </w:p>
    <w:p>
      <w:pPr>
        <w:snapToGrid w:val="0"/>
        <w:spacing w:line="360" w:lineRule="auto"/>
        <w:ind w:left="399" w:leftChars="-58" w:hanging="521" w:hangingChars="247"/>
        <w:outlineLvl w:val="9"/>
        <w:rPr>
          <w:rFonts w:ascii="宋体" w:hAnsi="宋体" w:eastAsia="宋体" w:cs="宋体"/>
          <w:b/>
          <w:bCs w:val="0"/>
          <w:color w:val="auto"/>
          <w:szCs w:val="21"/>
          <w:highlight w:val="none"/>
        </w:rPr>
      </w:pPr>
      <w:r>
        <w:rPr>
          <w:rFonts w:hint="eastAsia" w:ascii="宋体" w:hAnsi="宋体" w:eastAsia="宋体" w:cs="宋体"/>
          <w:b/>
          <w:bCs w:val="0"/>
          <w:color w:val="auto"/>
          <w:szCs w:val="21"/>
          <w:highlight w:val="none"/>
        </w:rPr>
        <w:t>（3）</w:t>
      </w:r>
      <w:r>
        <w:rPr>
          <w:rFonts w:hint="eastAsia" w:ascii="宋体" w:hAnsi="宋体" w:eastAsia="宋体" w:cs="宋体"/>
          <w:b/>
          <w:bCs w:val="0"/>
          <w:color w:val="auto"/>
          <w:szCs w:val="21"/>
          <w:highlight w:val="none"/>
          <w:u w:val="single"/>
        </w:rPr>
        <w:t>合同业绩证明材料必须满足下列条件：①合同签订日期为202</w:t>
      </w:r>
      <w:r>
        <w:rPr>
          <w:rFonts w:hint="eastAsia" w:ascii="宋体" w:hAnsi="宋体" w:eastAsia="宋体" w:cs="宋体"/>
          <w:b/>
          <w:bCs w:val="0"/>
          <w:color w:val="auto"/>
          <w:szCs w:val="21"/>
          <w:highlight w:val="none"/>
          <w:u w:val="single"/>
          <w:lang w:val="en-US" w:eastAsia="zh-CN"/>
        </w:rPr>
        <w:t>1</w:t>
      </w:r>
      <w:r>
        <w:rPr>
          <w:rFonts w:hint="eastAsia" w:ascii="宋体" w:hAnsi="宋体" w:eastAsia="宋体" w:cs="宋体"/>
          <w:b/>
          <w:bCs w:val="0"/>
          <w:color w:val="auto"/>
          <w:szCs w:val="21"/>
          <w:highlight w:val="none"/>
          <w:u w:val="single"/>
        </w:rPr>
        <w:t>年1月1日或以后；②合同服务内容为污泥脱水减量化处理服务或污泥脱水减量化配合服务，其中污泥脱水减量配合服务单项合同业绩的服务内容若为以劳务派遣或劳务外包的方式提供污泥脱水减量化服务人员的，</w:t>
      </w:r>
      <w:r>
        <w:rPr>
          <w:rFonts w:hint="eastAsia" w:ascii="宋体" w:hAnsi="宋体" w:eastAsia="宋体" w:cs="宋体"/>
          <w:b/>
          <w:bCs w:val="0"/>
          <w:color w:val="auto"/>
          <w:szCs w:val="21"/>
          <w:highlight w:val="none"/>
          <w:u w:val="single"/>
          <w:lang w:val="en-US" w:eastAsia="zh-CN"/>
        </w:rPr>
        <w:t>服务内容必须包含</w:t>
      </w:r>
      <w:r>
        <w:rPr>
          <w:rFonts w:hint="eastAsia" w:ascii="宋体" w:hAnsi="宋体" w:eastAsia="宋体" w:cs="宋体"/>
          <w:b/>
          <w:bCs w:val="0"/>
          <w:color w:val="auto"/>
          <w:szCs w:val="21"/>
          <w:highlight w:val="none"/>
          <w:u w:val="single"/>
        </w:rPr>
        <w:t>提供从事污泥脱水压滤设备的操作技术人员</w:t>
      </w:r>
      <w:r>
        <w:rPr>
          <w:rFonts w:hint="eastAsia" w:ascii="宋体" w:hAnsi="宋体" w:eastAsia="宋体" w:cs="宋体"/>
          <w:b/>
          <w:bCs w:val="0"/>
          <w:color w:val="auto"/>
          <w:szCs w:val="21"/>
          <w:highlight w:val="none"/>
        </w:rPr>
        <w:t>。</w:t>
      </w:r>
    </w:p>
    <w:p>
      <w:pPr>
        <w:snapToGrid w:val="0"/>
        <w:spacing w:line="360" w:lineRule="auto"/>
        <w:ind w:left="399" w:leftChars="-58" w:hanging="521" w:hangingChars="247"/>
        <w:outlineLvl w:val="9"/>
        <w:rPr>
          <w:rFonts w:hint="eastAsia" w:ascii="宋体" w:hAnsi="宋体" w:eastAsia="宋体" w:cs="宋体"/>
          <w:b/>
          <w:bCs w:val="0"/>
          <w:color w:val="auto"/>
          <w:szCs w:val="21"/>
          <w:highlight w:val="none"/>
          <w:lang w:val="zh-CN"/>
        </w:rPr>
      </w:pPr>
      <w:bookmarkStart w:id="575" w:name="_Toc24862"/>
      <w:bookmarkStart w:id="576" w:name="_Toc20010"/>
      <w:bookmarkStart w:id="577" w:name="_Toc12931"/>
      <w:r>
        <w:rPr>
          <w:rFonts w:hint="eastAsia" w:ascii="宋体" w:hAnsi="宋体" w:eastAsia="宋体" w:cs="宋体"/>
          <w:b/>
          <w:bCs w:val="0"/>
          <w:color w:val="auto"/>
          <w:szCs w:val="21"/>
          <w:highlight w:val="none"/>
          <w:lang w:val="zh-CN"/>
        </w:rPr>
        <w:t>（4）</w:t>
      </w:r>
      <w:bookmarkEnd w:id="575"/>
      <w:bookmarkEnd w:id="576"/>
      <w:bookmarkEnd w:id="577"/>
      <w:r>
        <w:rPr>
          <w:rFonts w:hint="eastAsia" w:ascii="宋体" w:hAnsi="宋体" w:eastAsia="宋体" w:cs="宋体"/>
          <w:b/>
          <w:bCs w:val="0"/>
          <w:color w:val="auto"/>
          <w:szCs w:val="21"/>
          <w:highlight w:val="none"/>
          <w:lang w:val="zh-CN"/>
        </w:rPr>
        <w:t>未按上述要求在此格式下提供证明材料的业绩，或在此格式下所附材料无法证明符合资格要求的业绩，按无效投标文件处理。</w:t>
      </w:r>
    </w:p>
    <w:p>
      <w:pPr>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9"/>
        <w:rPr>
          <w:rFonts w:ascii="宋体" w:hAnsi="宋体" w:eastAsia="宋体" w:cs="宋体"/>
          <w:b/>
          <w:bCs/>
          <w:color w:val="auto"/>
          <w:sz w:val="32"/>
          <w:szCs w:val="32"/>
          <w:highlight w:val="none"/>
          <w:lang w:val="zh-CN"/>
        </w:rPr>
      </w:pPr>
      <w:bookmarkStart w:id="578" w:name="_Toc21843"/>
      <w:bookmarkStart w:id="579" w:name="_Toc7508"/>
      <w:bookmarkStart w:id="580" w:name="_Toc8121"/>
      <w:r>
        <w:rPr>
          <w:rFonts w:hint="eastAsia" w:ascii="宋体" w:hAnsi="宋体" w:eastAsia="宋体" w:cs="宋体"/>
          <w:b/>
          <w:color w:val="auto"/>
          <w:kern w:val="0"/>
          <w:sz w:val="32"/>
          <w:szCs w:val="32"/>
          <w:highlight w:val="none"/>
        </w:rPr>
        <w:t>5.5 最近3年投标人牵涉的其他（失信和违法）处罚说明格式</w:t>
      </w:r>
      <w:bookmarkEnd w:id="570"/>
      <w:bookmarkEnd w:id="571"/>
      <w:bookmarkEnd w:id="572"/>
      <w:bookmarkEnd w:id="573"/>
      <w:bookmarkEnd w:id="574"/>
      <w:bookmarkEnd w:id="578"/>
      <w:bookmarkEnd w:id="579"/>
      <w:bookmarkEnd w:id="580"/>
    </w:p>
    <w:p>
      <w:pPr>
        <w:autoSpaceDE w:val="0"/>
        <w:autoSpaceDN w:val="0"/>
        <w:adjustRightInd w:val="0"/>
        <w:spacing w:line="360" w:lineRule="auto"/>
        <w:jc w:val="center"/>
        <w:outlineLvl w:val="9"/>
        <w:rPr>
          <w:rFonts w:ascii="宋体" w:hAnsi="宋体" w:eastAsia="宋体" w:cs="宋体"/>
          <w:color w:val="auto"/>
          <w:kern w:val="0"/>
          <w:sz w:val="32"/>
          <w:szCs w:val="32"/>
          <w:highlight w:val="none"/>
        </w:rPr>
      </w:pPr>
      <w:r>
        <w:rPr>
          <w:rFonts w:hint="eastAsia" w:ascii="宋体" w:hAnsi="宋体" w:eastAsia="宋体" w:cs="宋体"/>
          <w:b/>
          <w:color w:val="auto"/>
          <w:kern w:val="0"/>
          <w:sz w:val="32"/>
          <w:szCs w:val="32"/>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是否被认定为政府采购严重违法失信行为记录名单</w:t>
            </w:r>
          </w:p>
        </w:tc>
        <w:tc>
          <w:tcPr>
            <w:tcW w:w="1417"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268"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27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bl>
    <w:p>
      <w:pPr>
        <w:autoSpaceDE w:val="0"/>
        <w:autoSpaceDN w:val="0"/>
        <w:adjustRightInd w:val="0"/>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jc w:val="left"/>
        <w:outlineLvl w:val="9"/>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pPr>
        <w:autoSpaceDE w:val="0"/>
        <w:autoSpaceDN w:val="0"/>
        <w:adjustRightInd w:val="0"/>
        <w:ind w:right="-23" w:rightChars="-11"/>
        <w:jc w:val="left"/>
        <w:outlineLvl w:val="9"/>
        <w:rPr>
          <w:rFonts w:ascii="宋体" w:hAnsi="宋体" w:eastAsia="宋体" w:cs="宋体"/>
          <w:b/>
          <w:bCs/>
          <w:color w:val="auto"/>
          <w:kern w:val="0"/>
          <w:szCs w:val="21"/>
          <w:highlight w:val="none"/>
          <w:lang w:val="zh-CN"/>
        </w:rPr>
      </w:pPr>
    </w:p>
    <w:p>
      <w:pPr>
        <w:autoSpaceDE w:val="0"/>
        <w:autoSpaceDN w:val="0"/>
        <w:adjustRightInd w:val="0"/>
        <w:spacing w:line="360" w:lineRule="auto"/>
        <w:jc w:val="center"/>
        <w:outlineLvl w:val="9"/>
        <w:rPr>
          <w:rFonts w:ascii="宋体" w:hAnsi="宋体" w:eastAsia="宋体" w:cs="宋体"/>
          <w:color w:val="auto"/>
          <w:kern w:val="0"/>
          <w:sz w:val="24"/>
          <w:szCs w:val="24"/>
          <w:highlight w:val="none"/>
        </w:rPr>
      </w:pPr>
    </w:p>
    <w:p>
      <w:pPr>
        <w:spacing w:line="360" w:lineRule="auto"/>
        <w:ind w:firstLine="494" w:firstLineChars="206"/>
        <w:outlineLvl w:val="9"/>
        <w:rPr>
          <w:rFonts w:ascii="宋体" w:hAnsi="宋体" w:eastAsia="宋体" w:cs="宋体"/>
          <w:color w:val="auto"/>
          <w:kern w:val="0"/>
          <w:sz w:val="24"/>
          <w:szCs w:val="24"/>
          <w:highlight w:val="none"/>
        </w:rPr>
      </w:pPr>
    </w:p>
    <w:p>
      <w:pPr>
        <w:spacing w:line="360" w:lineRule="auto"/>
        <w:ind w:firstLine="494" w:firstLineChars="206"/>
        <w:outlineLvl w:val="9"/>
        <w:rPr>
          <w:rFonts w:ascii="宋体" w:hAnsi="宋体" w:eastAsia="宋体" w:cs="宋体"/>
          <w:color w:val="auto"/>
          <w:kern w:val="0"/>
          <w:sz w:val="24"/>
          <w:szCs w:val="24"/>
          <w:highlight w:val="none"/>
        </w:rPr>
      </w:pPr>
    </w:p>
    <w:p>
      <w:pPr>
        <w:spacing w:line="360" w:lineRule="auto"/>
        <w:ind w:firstLine="494" w:firstLineChars="206"/>
        <w:outlineLvl w:val="9"/>
        <w:rPr>
          <w:rFonts w:ascii="宋体" w:hAnsi="宋体" w:eastAsia="宋体" w:cs="宋体"/>
          <w:color w:val="auto"/>
          <w:kern w:val="0"/>
          <w:sz w:val="24"/>
          <w:szCs w:val="24"/>
          <w:highlight w:val="none"/>
        </w:rPr>
      </w:pPr>
    </w:p>
    <w:p>
      <w:pPr>
        <w:spacing w:line="360" w:lineRule="auto"/>
        <w:ind w:right="368" w:rightChars="175" w:firstLine="5460" w:firstLineChars="2600"/>
        <w:jc w:val="left"/>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781" w:rightChars="372" w:firstLine="2811" w:firstLineChars="1339"/>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pPr>
        <w:outlineLvl w:val="9"/>
        <w:rPr>
          <w:rFonts w:ascii="宋体" w:hAnsi="宋体" w:eastAsia="宋体" w:cs="宋体"/>
          <w:color w:val="auto"/>
          <w:szCs w:val="24"/>
          <w:highlight w:val="none"/>
          <w:lang w:val="zh-CN"/>
        </w:rPr>
      </w:pPr>
      <w:bookmarkStart w:id="581" w:name="_Toc2031_WPSOffice_Level2"/>
      <w:bookmarkStart w:id="582" w:name="_Toc104991881"/>
      <w:bookmarkStart w:id="583" w:name="_Toc6412"/>
      <w:bookmarkStart w:id="584" w:name="_Toc486167714"/>
      <w:bookmarkStart w:id="585" w:name="_Toc142508374"/>
      <w:bookmarkStart w:id="586" w:name="_Toc94107215"/>
      <w:bookmarkStart w:id="587" w:name="_Toc102860423"/>
      <w:bookmarkStart w:id="588" w:name="_Toc102860079"/>
      <w:bookmarkStart w:id="589" w:name="_Toc140596934"/>
      <w:bookmarkStart w:id="590" w:name="_Toc1977731"/>
      <w:bookmarkStart w:id="591" w:name="_Toc533708126"/>
      <w:bookmarkStart w:id="592" w:name="_Toc30939"/>
      <w:r>
        <w:rPr>
          <w:rFonts w:hint="eastAsia" w:ascii="宋体" w:hAnsi="宋体" w:eastAsia="宋体" w:cs="宋体"/>
          <w:color w:val="auto"/>
          <w:szCs w:val="24"/>
          <w:highlight w:val="none"/>
          <w:lang w:val="zh-CN"/>
        </w:rPr>
        <w:br w:type="page"/>
      </w:r>
    </w:p>
    <w:p>
      <w:pPr>
        <w:tabs>
          <w:tab w:val="left" w:pos="567"/>
        </w:tabs>
        <w:autoSpaceDE w:val="0"/>
        <w:autoSpaceDN w:val="0"/>
        <w:adjustRightInd w:val="0"/>
        <w:spacing w:line="360" w:lineRule="auto"/>
        <w:jc w:val="left"/>
        <w:outlineLvl w:val="9"/>
        <w:rPr>
          <w:rFonts w:ascii="宋体" w:hAnsi="宋体" w:eastAsia="宋体" w:cs="宋体"/>
          <w:color w:val="auto"/>
          <w:kern w:val="0"/>
          <w:szCs w:val="21"/>
          <w:highlight w:val="none"/>
          <w:u w:val="single"/>
        </w:rPr>
      </w:pPr>
      <w:bookmarkStart w:id="593" w:name="_Toc17508"/>
      <w:r>
        <w:rPr>
          <w:rFonts w:hint="eastAsia" w:ascii="宋体" w:hAnsi="宋体" w:eastAsia="宋体" w:cs="宋体"/>
          <w:b/>
          <w:color w:val="auto"/>
          <w:sz w:val="32"/>
          <w:szCs w:val="32"/>
          <w:highlight w:val="none"/>
        </w:rPr>
        <w:t>六</w:t>
      </w:r>
      <w:r>
        <w:rPr>
          <w:rFonts w:hint="eastAsia" w:ascii="宋体" w:hAnsi="宋体" w:eastAsia="宋体" w:cs="宋体"/>
          <w:b/>
          <w:color w:val="auto"/>
          <w:kern w:val="0"/>
          <w:sz w:val="32"/>
          <w:szCs w:val="32"/>
          <w:highlight w:val="none"/>
        </w:rPr>
        <w:t>、投标人基本情况一览表</w:t>
      </w:r>
      <w:bookmarkEnd w:id="581"/>
      <w:bookmarkEnd w:id="582"/>
      <w:bookmarkEnd w:id="583"/>
      <w:bookmarkEnd w:id="584"/>
      <w:bookmarkEnd w:id="585"/>
      <w:bookmarkEnd w:id="586"/>
      <w:bookmarkEnd w:id="587"/>
      <w:bookmarkEnd w:id="588"/>
      <w:bookmarkEnd w:id="589"/>
      <w:bookmarkEnd w:id="590"/>
      <w:bookmarkEnd w:id="591"/>
      <w:bookmarkEnd w:id="592"/>
      <w:bookmarkEnd w:id="593"/>
    </w:p>
    <w:p>
      <w:pPr>
        <w:autoSpaceDE w:val="0"/>
        <w:autoSpaceDN w:val="0"/>
        <w:adjustRightInd w:val="0"/>
        <w:spacing w:line="360" w:lineRule="auto"/>
        <w:jc w:val="center"/>
        <w:outlineLvl w:val="9"/>
        <w:rPr>
          <w:rFonts w:ascii="宋体" w:hAnsi="宋体" w:eastAsia="宋体" w:cs="宋体"/>
          <w:b/>
          <w:bCs/>
          <w:color w:val="auto"/>
          <w:sz w:val="30"/>
          <w:szCs w:val="30"/>
          <w:highlight w:val="none"/>
        </w:rPr>
      </w:pPr>
      <w:bookmarkStart w:id="594" w:name="_Toc2773_WPSOffice_Level3"/>
      <w:r>
        <w:rPr>
          <w:rFonts w:hint="eastAsia" w:ascii="宋体" w:hAnsi="宋体" w:eastAsia="宋体" w:cs="宋体"/>
          <w:b/>
          <w:bCs/>
          <w:color w:val="auto"/>
          <w:sz w:val="30"/>
          <w:szCs w:val="30"/>
          <w:highlight w:val="none"/>
          <w:lang w:val="zh-CN"/>
        </w:rPr>
        <w:t>投标人基本情况一览表</w:t>
      </w:r>
      <w:bookmarkEnd w:id="594"/>
    </w:p>
    <w:p>
      <w:pPr>
        <w:autoSpaceDE w:val="0"/>
        <w:autoSpaceDN w:val="0"/>
        <w:adjustRightInd w:val="0"/>
        <w:spacing w:line="360" w:lineRule="auto"/>
        <w:ind w:firstLine="420"/>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pPr>
        <w:autoSpaceDE w:val="0"/>
        <w:autoSpaceDN w:val="0"/>
        <w:adjustRightInd w:val="0"/>
        <w:spacing w:line="360" w:lineRule="auto"/>
        <w:ind w:firstLine="66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w:t>
      </w:r>
      <w:r>
        <w:rPr>
          <w:rFonts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pPr>
        <w:autoSpaceDE w:val="0"/>
        <w:autoSpaceDN w:val="0"/>
        <w:adjustRightInd w:val="0"/>
        <w:spacing w:line="360" w:lineRule="auto"/>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pPr>
        <w:autoSpaceDE w:val="0"/>
        <w:autoSpaceDN w:val="0"/>
        <w:adjustRightInd w:val="0"/>
        <w:spacing w:line="360" w:lineRule="auto"/>
        <w:ind w:firstLine="420"/>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pPr>
        <w:autoSpaceDE w:val="0"/>
        <w:autoSpaceDN w:val="0"/>
        <w:adjustRightInd w:val="0"/>
        <w:spacing w:line="360" w:lineRule="auto"/>
        <w:ind w:firstLine="630" w:firstLineChars="3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pPr>
        <w:autoSpaceDE w:val="0"/>
        <w:autoSpaceDN w:val="0"/>
        <w:adjustRightInd w:val="0"/>
        <w:spacing w:line="360" w:lineRule="auto"/>
        <w:ind w:firstLine="1155" w:firstLineChars="55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pPr>
        <w:autoSpaceDE w:val="0"/>
        <w:autoSpaceDN w:val="0"/>
        <w:adjustRightInd w:val="0"/>
        <w:spacing w:line="360" w:lineRule="auto"/>
        <w:ind w:firstLine="630" w:firstLineChars="3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pPr>
        <w:autoSpaceDE w:val="0"/>
        <w:autoSpaceDN w:val="0"/>
        <w:adjustRightInd w:val="0"/>
        <w:spacing w:line="360" w:lineRule="auto"/>
        <w:ind w:firstLine="1155" w:firstLineChars="55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pPr>
        <w:autoSpaceDE w:val="0"/>
        <w:autoSpaceDN w:val="0"/>
        <w:adjustRightInd w:val="0"/>
        <w:spacing w:line="360" w:lineRule="auto"/>
        <w:ind w:left="836" w:leftChars="137" w:hanging="548" w:hangingChars="261"/>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outlineLvl w:val="9"/>
        <w:rPr>
          <w:rFonts w:ascii="宋体" w:hAnsi="宋体" w:eastAsia="宋体" w:cs="宋体"/>
          <w:color w:val="auto"/>
          <w:szCs w:val="24"/>
          <w:highlight w:val="none"/>
        </w:rPr>
      </w:pPr>
    </w:p>
    <w:p>
      <w:pPr>
        <w:autoSpaceDE w:val="0"/>
        <w:autoSpaceDN w:val="0"/>
        <w:adjustRightInd w:val="0"/>
        <w:spacing w:line="360" w:lineRule="auto"/>
        <w:ind w:right="368" w:rightChars="175"/>
        <w:jc w:val="right"/>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right="368" w:rightChars="175" w:firstLine="6237"/>
        <w:jc w:val="left"/>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95" w:name="_Toc104991882"/>
      <w:bookmarkStart w:id="596" w:name="_Toc10443"/>
      <w:bookmarkStart w:id="597" w:name="_Toc29014"/>
      <w:bookmarkStart w:id="598" w:name="_Toc102860080"/>
      <w:bookmarkStart w:id="599" w:name="_Toc142508375"/>
      <w:bookmarkStart w:id="600" w:name="_Toc94107216"/>
      <w:bookmarkStart w:id="601" w:name="_Toc4023"/>
      <w:bookmarkStart w:id="602" w:name="_Toc140596935"/>
      <w:bookmarkStart w:id="603" w:name="_Toc102860424"/>
      <w:bookmarkStart w:id="604" w:name="_Toc1977733"/>
      <w:bookmarkStart w:id="605" w:name="_Toc533708128"/>
      <w:bookmarkStart w:id="606" w:name="_Toc486167715"/>
      <w:bookmarkStart w:id="607" w:name="_Toc9051_WPSOffice_Level2"/>
      <w:r>
        <w:rPr>
          <w:rFonts w:hint="eastAsia" w:ascii="宋体" w:hAnsi="宋体" w:eastAsia="宋体" w:cs="宋体"/>
          <w:b/>
          <w:color w:val="auto"/>
          <w:sz w:val="32"/>
          <w:szCs w:val="32"/>
          <w:highlight w:val="none"/>
        </w:rPr>
        <w:t>七</w:t>
      </w:r>
      <w:r>
        <w:rPr>
          <w:rFonts w:hint="eastAsia" w:ascii="宋体" w:hAnsi="宋体" w:eastAsia="宋体" w:cs="宋体"/>
          <w:b/>
          <w:color w:val="auto"/>
          <w:sz w:val="32"/>
          <w:szCs w:val="32"/>
          <w:highlight w:val="none"/>
          <w:lang w:val="zh-CN"/>
        </w:rPr>
        <w:t>、投标人财务状况表格式</w:t>
      </w:r>
      <w:bookmarkEnd w:id="595"/>
      <w:bookmarkEnd w:id="596"/>
      <w:bookmarkEnd w:id="597"/>
      <w:bookmarkEnd w:id="598"/>
      <w:bookmarkEnd w:id="599"/>
      <w:bookmarkEnd w:id="600"/>
      <w:bookmarkEnd w:id="601"/>
      <w:bookmarkEnd w:id="602"/>
      <w:bookmarkEnd w:id="603"/>
    </w:p>
    <w:p>
      <w:pPr>
        <w:autoSpaceDE w:val="0"/>
        <w:autoSpaceDN w:val="0"/>
        <w:adjustRightInd w:val="0"/>
        <w:spacing w:line="360" w:lineRule="auto"/>
        <w:jc w:val="center"/>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pPr>
        <w:autoSpaceDE w:val="0"/>
        <w:autoSpaceDN w:val="0"/>
        <w:adjustRightInd w:val="0"/>
        <w:spacing w:line="360" w:lineRule="auto"/>
        <w:jc w:val="righ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2020</w:t>
            </w:r>
          </w:p>
        </w:tc>
        <w:tc>
          <w:tcPr>
            <w:tcW w:w="1944"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713"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2021</w:t>
            </w:r>
          </w:p>
        </w:tc>
        <w:tc>
          <w:tcPr>
            <w:tcW w:w="1944"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2022</w:t>
            </w:r>
          </w:p>
        </w:tc>
        <w:tc>
          <w:tcPr>
            <w:tcW w:w="1944"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1946"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713" w:type="dxa"/>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c>
          <w:tcPr>
            <w:tcW w:w="2060" w:type="dxa"/>
            <w:vAlign w:val="center"/>
          </w:tcPr>
          <w:p>
            <w:pPr>
              <w:autoSpaceDE w:val="0"/>
              <w:autoSpaceDN w:val="0"/>
              <w:adjustRightInd w:val="0"/>
              <w:spacing w:line="360" w:lineRule="auto"/>
              <w:jc w:val="center"/>
              <w:outlineLvl w:val="9"/>
              <w:rPr>
                <w:rFonts w:ascii="宋体" w:hAnsi="宋体" w:eastAsia="宋体" w:cs="宋体"/>
                <w:color w:val="auto"/>
                <w:kern w:val="0"/>
                <w:szCs w:val="21"/>
                <w:highlight w:val="none"/>
              </w:rPr>
            </w:pPr>
          </w:p>
        </w:tc>
      </w:tr>
    </w:tbl>
    <w:p>
      <w:pPr>
        <w:spacing w:before="120" w:beforeLines="50" w:line="360" w:lineRule="auto"/>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outlineLvl w:val="9"/>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outlineLvl w:val="9"/>
        <w:rPr>
          <w:rFonts w:ascii="宋体" w:hAnsi="宋体" w:eastAsia="宋体" w:cs="宋体"/>
          <w:color w:val="auto"/>
          <w:szCs w:val="24"/>
          <w:highlight w:val="none"/>
          <w:lang w:val="zh-CN"/>
        </w:rPr>
      </w:pPr>
    </w:p>
    <w:p>
      <w:pPr>
        <w:autoSpaceDE w:val="0"/>
        <w:autoSpaceDN w:val="0"/>
        <w:adjustRightInd w:val="0"/>
        <w:spacing w:line="360" w:lineRule="auto"/>
        <w:ind w:firstLine="5409" w:firstLineChars="2576"/>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pPr>
        <w:autoSpaceDE w:val="0"/>
        <w:autoSpaceDN w:val="0"/>
        <w:adjustRightInd w:val="0"/>
        <w:spacing w:line="360" w:lineRule="auto"/>
        <w:ind w:firstLine="6249" w:firstLineChars="2976"/>
        <w:outlineLvl w:val="9"/>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　年  月  日</w:t>
      </w:r>
    </w:p>
    <w:bookmarkEnd w:id="604"/>
    <w:bookmarkEnd w:id="605"/>
    <w:bookmarkEnd w:id="606"/>
    <w:bookmarkEnd w:id="607"/>
    <w:p>
      <w:pPr>
        <w:tabs>
          <w:tab w:val="left" w:pos="567"/>
        </w:tabs>
        <w:autoSpaceDE w:val="0"/>
        <w:autoSpaceDN w:val="0"/>
        <w:adjustRightInd w:val="0"/>
        <w:spacing w:line="360" w:lineRule="auto"/>
        <w:jc w:val="left"/>
        <w:outlineLvl w:val="9"/>
        <w:rPr>
          <w:rFonts w:ascii="宋体" w:hAnsi="宋体" w:eastAsia="宋体" w:cs="宋体"/>
          <w:b/>
          <w:color w:val="auto"/>
          <w:kern w:val="0"/>
          <w:sz w:val="32"/>
          <w:szCs w:val="32"/>
          <w:highlight w:val="none"/>
          <w:lang w:val="zh-CN"/>
        </w:rPr>
      </w:pPr>
      <w:bookmarkStart w:id="608" w:name="_Toc739_WPSOffice_Level2"/>
      <w:bookmarkStart w:id="609" w:name="_Toc533708130"/>
      <w:bookmarkStart w:id="610" w:name="_Toc104991883"/>
      <w:bookmarkStart w:id="611" w:name="_Toc1977736"/>
      <w:bookmarkStart w:id="612" w:name="_Toc140596936"/>
      <w:bookmarkStart w:id="613" w:name="_Toc486167716"/>
      <w:bookmarkStart w:id="614" w:name="_Toc102860425"/>
      <w:bookmarkStart w:id="615" w:name="_Toc26821"/>
      <w:bookmarkStart w:id="616" w:name="_Toc333"/>
      <w:bookmarkStart w:id="617" w:name="_Toc142508376"/>
      <w:bookmarkStart w:id="618" w:name="_Toc17995"/>
      <w:bookmarkStart w:id="619" w:name="_Toc94107217"/>
      <w:bookmarkStart w:id="620" w:name="_Toc102860081"/>
      <w:r>
        <w:rPr>
          <w:rFonts w:hint="eastAsia" w:ascii="宋体" w:hAnsi="宋体" w:eastAsia="宋体" w:cs="宋体"/>
          <w:b/>
          <w:color w:val="auto"/>
          <w:kern w:val="0"/>
          <w:sz w:val="32"/>
          <w:szCs w:val="32"/>
          <w:highlight w:val="none"/>
        </w:rPr>
        <w:t>八</w:t>
      </w:r>
      <w:r>
        <w:rPr>
          <w:rFonts w:hint="eastAsia" w:ascii="宋体" w:hAnsi="宋体" w:eastAsia="宋体" w:cs="宋体"/>
          <w:b/>
          <w:color w:val="auto"/>
          <w:kern w:val="0"/>
          <w:sz w:val="32"/>
          <w:szCs w:val="32"/>
          <w:highlight w:val="none"/>
          <w:lang w:val="zh-CN"/>
        </w:rPr>
        <w:t>、标准化体系认证</w:t>
      </w:r>
    </w:p>
    <w:p>
      <w:pPr>
        <w:tabs>
          <w:tab w:val="left" w:pos="567"/>
        </w:tabs>
        <w:autoSpaceDE w:val="0"/>
        <w:autoSpaceDN w:val="0"/>
        <w:adjustRightInd w:val="0"/>
        <w:spacing w:line="360" w:lineRule="auto"/>
        <w:ind w:firstLine="420" w:firstLineChars="200"/>
        <w:outlineLvl w:val="9"/>
        <w:rPr>
          <w:rFonts w:ascii="宋体" w:hAnsi="宋体" w:eastAsia="宋体" w:cs="宋体"/>
          <w:b w:val="0"/>
          <w:bCs/>
          <w:color w:val="auto"/>
          <w:kern w:val="0"/>
          <w:szCs w:val="21"/>
          <w:highlight w:val="none"/>
        </w:rPr>
      </w:pPr>
      <w:r>
        <w:rPr>
          <w:rFonts w:hint="eastAsia" w:ascii="宋体" w:hAnsi="宋体" w:eastAsia="宋体" w:cs="宋体"/>
          <w:b w:val="0"/>
          <w:bCs/>
          <w:color w:val="auto"/>
          <w:kern w:val="0"/>
          <w:szCs w:val="21"/>
          <w:highlight w:val="none"/>
        </w:rPr>
        <w:t>备注：投标人应提供上述证书复印件及能显示证书有效状态的全国认证认可信息公共服务平台（http://cx.cnca.cn/)查询结果凭证{凭证界面需显示有“全国认证认可信息公共服务平台”或“认证证书（需显示网址cx.cnca.cn）”}。</w:t>
      </w:r>
    </w:p>
    <w:p>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608"/>
      <w:bookmarkEnd w:id="609"/>
      <w:bookmarkEnd w:id="610"/>
      <w:bookmarkEnd w:id="611"/>
      <w:bookmarkEnd w:id="612"/>
      <w:bookmarkEnd w:id="613"/>
      <w:bookmarkEnd w:id="614"/>
      <w:bookmarkEnd w:id="615"/>
      <w:bookmarkEnd w:id="616"/>
      <w:bookmarkEnd w:id="617"/>
      <w:bookmarkEnd w:id="618"/>
      <w:bookmarkEnd w:id="619"/>
      <w:bookmarkEnd w:id="620"/>
    </w:p>
    <w:p>
      <w:pPr>
        <w:autoSpaceDE w:val="0"/>
        <w:autoSpaceDN w:val="0"/>
        <w:adjustRightInd w:val="0"/>
        <w:spacing w:line="360" w:lineRule="auto"/>
        <w:jc w:val="center"/>
        <w:outlineLvl w:val="9"/>
        <w:rPr>
          <w:rFonts w:ascii="宋体" w:hAnsi="宋体" w:eastAsia="宋体" w:cs="宋体"/>
          <w:b/>
          <w:bCs/>
          <w:color w:val="auto"/>
          <w:kern w:val="0"/>
          <w:sz w:val="28"/>
          <w:szCs w:val="30"/>
          <w:highlight w:val="none"/>
          <w:lang w:val="zh-CN"/>
        </w:rPr>
      </w:pPr>
      <w:bookmarkStart w:id="621" w:name="_Toc26412_WPSOffice_Level3"/>
      <w:r>
        <w:rPr>
          <w:rFonts w:hint="eastAsia" w:ascii="宋体" w:hAnsi="宋体" w:eastAsia="宋体" w:cs="宋体"/>
          <w:b/>
          <w:bCs/>
          <w:color w:val="auto"/>
          <w:kern w:val="0"/>
          <w:sz w:val="28"/>
          <w:szCs w:val="30"/>
          <w:highlight w:val="none"/>
          <w:lang w:val="zh-CN"/>
        </w:rPr>
        <w:t>东莞市众源环境投资有限公司污泥脱水减量配合服务采购项目合同条款偏离表</w:t>
      </w:r>
      <w:bookmarkEnd w:id="621"/>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1425"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一</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服务内容</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二</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服务期限、服务费用</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三</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lang w:val="en-US" w:eastAsia="zh-CN"/>
              </w:rPr>
              <w:t>服务费用</w:t>
            </w:r>
            <w:r>
              <w:rPr>
                <w:rFonts w:hint="eastAsia" w:ascii="宋体" w:eastAsia="宋体" w:cs="宋体"/>
                <w:color w:val="auto"/>
                <w:sz w:val="21"/>
                <w:szCs w:val="21"/>
                <w:highlight w:val="none"/>
              </w:rPr>
              <w:t>计费</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四</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费用支付</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五</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服务要求</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六</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管理要求</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七</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双方的权利与义务</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八</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履约担保</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九</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违约责任</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十</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廉政保证</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十一</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其他约定</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十二</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保密约定</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十三</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不可抗力</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十四</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争议解决</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十五</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其他</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附件1</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廉洁协议书</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附件2</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安全生产管理协议</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一</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不可撤销银行履约保函</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ascii="宋体" w:hAnsi="宋体" w:eastAsia="宋体" w:cs="宋体"/>
                <w:color w:val="auto"/>
                <w:kern w:val="0"/>
                <w:szCs w:val="21"/>
                <w:highlight w:val="none"/>
              </w:rPr>
              <w:t>19</w:t>
            </w:r>
          </w:p>
        </w:tc>
        <w:tc>
          <w:tcPr>
            <w:tcW w:w="1425" w:type="dxa"/>
            <w:vAlign w:val="center"/>
          </w:tcPr>
          <w:p>
            <w:pPr>
              <w:pStyle w:val="63"/>
              <w:snapToGrid w:val="0"/>
              <w:spacing w:line="240" w:lineRule="auto"/>
              <w:ind w:firstLine="0" w:firstLineChars="0"/>
              <w:jc w:val="center"/>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二</w:t>
            </w:r>
          </w:p>
        </w:tc>
        <w:tc>
          <w:tcPr>
            <w:tcW w:w="3055" w:type="dxa"/>
            <w:vAlign w:val="center"/>
          </w:tcPr>
          <w:p>
            <w:pPr>
              <w:pStyle w:val="63"/>
              <w:snapToGrid w:val="0"/>
              <w:spacing w:line="240" w:lineRule="auto"/>
              <w:ind w:firstLine="0" w:firstLineChars="0"/>
              <w:jc w:val="center"/>
              <w:outlineLvl w:val="9"/>
              <w:rPr>
                <w:rFonts w:hint="eastAsia" w:ascii="宋体" w:eastAsia="宋体" w:cs="宋体"/>
                <w:color w:val="auto"/>
                <w:sz w:val="21"/>
                <w:szCs w:val="21"/>
                <w:highlight w:val="none"/>
              </w:rPr>
            </w:pPr>
            <w:r>
              <w:rPr>
                <w:rFonts w:hint="eastAsia" w:ascii="宋体" w:eastAsia="宋体" w:cs="宋体"/>
                <w:color w:val="auto"/>
                <w:sz w:val="21"/>
                <w:szCs w:val="21"/>
                <w:highlight w:val="none"/>
              </w:rPr>
              <w:t>履约保证保险凭证</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r>
              <w:rPr>
                <w:rFonts w:ascii="宋体" w:hAnsi="宋体" w:eastAsia="宋体" w:cs="宋体"/>
                <w:color w:val="auto"/>
                <w:kern w:val="0"/>
                <w:szCs w:val="21"/>
                <w:highlight w:val="none"/>
              </w:rPr>
              <w:t>20</w:t>
            </w:r>
          </w:p>
        </w:tc>
        <w:tc>
          <w:tcPr>
            <w:tcW w:w="142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ascii="宋体" w:eastAsia="宋体" w:cs="宋体"/>
                <w:color w:val="auto"/>
                <w:sz w:val="21"/>
                <w:szCs w:val="21"/>
                <w:highlight w:val="none"/>
              </w:rPr>
              <w:t>三</w:t>
            </w:r>
          </w:p>
        </w:tc>
        <w:tc>
          <w:tcPr>
            <w:tcW w:w="3055" w:type="dxa"/>
            <w:vAlign w:val="center"/>
          </w:tcPr>
          <w:p>
            <w:pPr>
              <w:pStyle w:val="63"/>
              <w:snapToGrid w:val="0"/>
              <w:spacing w:line="240" w:lineRule="auto"/>
              <w:ind w:firstLine="0" w:firstLineChars="0"/>
              <w:jc w:val="center"/>
              <w:outlineLvl w:val="9"/>
              <w:rPr>
                <w:rFonts w:ascii="宋体" w:eastAsia="宋体" w:cs="宋体"/>
                <w:color w:val="auto"/>
                <w:kern w:val="0"/>
                <w:szCs w:val="21"/>
                <w:highlight w:val="none"/>
              </w:rPr>
            </w:pPr>
            <w:r>
              <w:rPr>
                <w:rFonts w:hint="eastAsia" w:ascii="宋体" w:eastAsia="宋体" w:cs="宋体"/>
                <w:color w:val="auto"/>
                <w:sz w:val="21"/>
                <w:szCs w:val="21"/>
                <w:highlight w:val="none"/>
              </w:rPr>
              <w:t>担保公司履约担保书</w:t>
            </w:r>
          </w:p>
        </w:tc>
        <w:tc>
          <w:tcPr>
            <w:tcW w:w="1346"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c>
          <w:tcPr>
            <w:tcW w:w="3524" w:type="dxa"/>
            <w:vAlign w:val="center"/>
          </w:tcPr>
          <w:p>
            <w:pPr>
              <w:autoSpaceDE w:val="0"/>
              <w:autoSpaceDN w:val="0"/>
              <w:adjustRightInd w:val="0"/>
              <w:spacing w:line="400" w:lineRule="exact"/>
              <w:jc w:val="center"/>
              <w:outlineLvl w:val="9"/>
              <w:rPr>
                <w:rFonts w:ascii="宋体" w:hAnsi="宋体" w:eastAsia="宋体" w:cs="宋体"/>
                <w:color w:val="auto"/>
                <w:kern w:val="0"/>
                <w:szCs w:val="21"/>
                <w:highlight w:val="none"/>
              </w:rPr>
            </w:pPr>
          </w:p>
        </w:tc>
      </w:tr>
    </w:tbl>
    <w:p>
      <w:pPr>
        <w:autoSpaceDE w:val="0"/>
        <w:autoSpaceDN w:val="0"/>
        <w:adjustRightInd w:val="0"/>
        <w:snapToGrid w:val="0"/>
        <w:spacing w:line="360" w:lineRule="auto"/>
        <w:ind w:left="186" w:leftChars="-158" w:hanging="518" w:hangingChars="247"/>
        <w:jc w:val="left"/>
        <w:outlineLvl w:val="9"/>
        <w:rPr>
          <w:rFonts w:ascii="宋体" w:hAnsi="宋体" w:eastAsia="宋体" w:cs="宋体"/>
          <w:color w:val="auto"/>
          <w:szCs w:val="24"/>
          <w:highlight w:val="none"/>
          <w:lang w:val="zh-CN"/>
        </w:rPr>
      </w:pPr>
    </w:p>
    <w:p>
      <w:pPr>
        <w:autoSpaceDE w:val="0"/>
        <w:autoSpaceDN w:val="0"/>
        <w:adjustRightInd w:val="0"/>
        <w:snapToGrid w:val="0"/>
        <w:spacing w:line="360" w:lineRule="auto"/>
        <w:ind w:left="166" w:leftChars="-101" w:hanging="378" w:hangingChars="180"/>
        <w:jc w:val="left"/>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pPr>
        <w:spacing w:line="360" w:lineRule="auto"/>
        <w:ind w:left="357" w:leftChars="-100" w:hanging="567" w:hangingChars="270"/>
        <w:outlineLvl w:val="9"/>
        <w:rPr>
          <w:rFonts w:ascii="宋体" w:hAnsi="宋体" w:eastAsia="宋体" w:cs="宋体"/>
          <w:color w:val="auto"/>
          <w:szCs w:val="21"/>
          <w:highlight w:val="none"/>
        </w:rPr>
      </w:pPr>
    </w:p>
    <w:p>
      <w:pPr>
        <w:spacing w:line="360" w:lineRule="auto"/>
        <w:ind w:left="357" w:leftChars="-100" w:hanging="567" w:hangingChars="270"/>
        <w:outlineLvl w:val="9"/>
        <w:rPr>
          <w:rFonts w:ascii="宋体" w:hAnsi="宋体" w:eastAsia="宋体" w:cs="宋体"/>
          <w:color w:val="auto"/>
          <w:szCs w:val="21"/>
          <w:highlight w:val="none"/>
        </w:rPr>
      </w:pPr>
    </w:p>
    <w:p>
      <w:pPr>
        <w:spacing w:line="360" w:lineRule="auto"/>
        <w:ind w:left="357" w:leftChars="-100" w:hanging="567" w:hangingChars="270"/>
        <w:outlineLvl w:val="9"/>
        <w:rPr>
          <w:rFonts w:ascii="宋体" w:hAnsi="宋体" w:eastAsia="宋体" w:cs="宋体"/>
          <w:color w:val="auto"/>
          <w:szCs w:val="21"/>
          <w:highlight w:val="none"/>
        </w:rPr>
      </w:pPr>
    </w:p>
    <w:p>
      <w:pPr>
        <w:spacing w:line="360" w:lineRule="auto"/>
        <w:ind w:right="368" w:rightChars="175" w:firstLine="5355" w:firstLineChars="2550"/>
        <w:jc w:val="left"/>
        <w:outlineLvl w:val="9"/>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pPr>
        <w:autoSpaceDE w:val="0"/>
        <w:autoSpaceDN w:val="0"/>
        <w:adjustRightInd w:val="0"/>
        <w:spacing w:line="360" w:lineRule="auto"/>
        <w:ind w:firstLine="5355" w:firstLineChars="255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pPr>
        <w:tabs>
          <w:tab w:val="left" w:pos="567"/>
        </w:tabs>
        <w:autoSpaceDE w:val="0"/>
        <w:autoSpaceDN w:val="0"/>
        <w:adjustRightInd w:val="0"/>
        <w:spacing w:line="360" w:lineRule="auto"/>
        <w:ind w:firstLine="602" w:firstLineChars="200"/>
        <w:outlineLvl w:val="9"/>
        <w:rPr>
          <w:rFonts w:ascii="宋体" w:hAnsi="宋体" w:eastAsia="宋体" w:cs="宋体"/>
          <w:b w:val="0"/>
          <w:bCs/>
          <w:color w:val="auto"/>
          <w:kern w:val="0"/>
          <w:szCs w:val="21"/>
          <w:highlight w:val="none"/>
        </w:rPr>
      </w:pPr>
      <w:r>
        <w:rPr>
          <w:rFonts w:hint="eastAsia" w:ascii="宋体" w:hAnsi="宋体" w:eastAsia="宋体" w:cs="宋体"/>
          <w:b/>
          <w:bCs/>
          <w:color w:val="auto"/>
          <w:kern w:val="0"/>
          <w:sz w:val="30"/>
          <w:szCs w:val="30"/>
          <w:highlight w:val="none"/>
          <w:lang w:val="zh-CN"/>
        </w:rPr>
        <w:br w:type="page"/>
      </w:r>
      <w:bookmarkStart w:id="622" w:name="_Toc102860082"/>
      <w:bookmarkStart w:id="623" w:name="_Toc104991884"/>
      <w:bookmarkStart w:id="624" w:name="_Toc140596937"/>
      <w:bookmarkStart w:id="625" w:name="_Toc102860426"/>
      <w:bookmarkStart w:id="626" w:name="_Toc5473"/>
      <w:bookmarkStart w:id="627" w:name="_Toc142508377"/>
      <w:bookmarkStart w:id="628" w:name="_Toc29505"/>
      <w:bookmarkStart w:id="629" w:name="_Toc13179"/>
      <w:bookmarkStart w:id="630" w:name="_Toc94107218"/>
      <w:bookmarkStart w:id="631" w:name="_Toc27980_WPSOffice_Level2"/>
      <w:bookmarkStart w:id="632" w:name="_Toc486167717"/>
    </w:p>
    <w:p>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622"/>
      <w:bookmarkEnd w:id="623"/>
      <w:bookmarkEnd w:id="624"/>
      <w:bookmarkEnd w:id="625"/>
      <w:bookmarkEnd w:id="626"/>
      <w:bookmarkEnd w:id="627"/>
      <w:bookmarkEnd w:id="628"/>
      <w:bookmarkEnd w:id="629"/>
      <w:bookmarkEnd w:id="630"/>
    </w:p>
    <w:p>
      <w:pPr>
        <w:snapToGrid w:val="0"/>
        <w:spacing w:line="360" w:lineRule="auto"/>
        <w:ind w:left="244" w:leftChars="116" w:firstLine="25" w:firstLineChars="12"/>
        <w:jc w:val="left"/>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1、污泥脱水减量化处理服务业绩表：投标人202</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年1月1日至今（签订合同的时间为202</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年1月1</w:t>
      </w:r>
    </w:p>
    <w:p>
      <w:pPr>
        <w:snapToGrid w:val="0"/>
        <w:spacing w:line="360" w:lineRule="auto"/>
        <w:jc w:val="left"/>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日或以后）承接的污泥脱水减量化处理服务业绩表</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u w:val="single"/>
          <w:lang w:val="zh-CN"/>
        </w:rPr>
        <w:t xml:space="preserve">   </w:t>
      </w:r>
      <w:r>
        <w:rPr>
          <w:rFonts w:hint="eastAsia" w:ascii="宋体" w:hAnsi="宋体" w:eastAsia="宋体" w:cs="宋体"/>
          <w:bCs/>
          <w:color w:val="auto"/>
          <w:szCs w:val="21"/>
          <w:highlight w:val="none"/>
          <w:lang w:val="zh-CN"/>
        </w:rPr>
        <w:t>包组)</w:t>
      </w:r>
    </w:p>
    <w:tbl>
      <w:tblPr>
        <w:tblStyle w:val="38"/>
        <w:tblW w:w="463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9"/>
        <w:gridCol w:w="1687"/>
        <w:gridCol w:w="1501"/>
        <w:gridCol w:w="2023"/>
        <w:gridCol w:w="1003"/>
        <w:gridCol w:w="1074"/>
        <w:gridCol w:w="1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序号</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项目名称</w:t>
            </w:r>
          </w:p>
        </w:tc>
        <w:tc>
          <w:tcPr>
            <w:tcW w:w="781"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投标人负责的主要服务内容</w:t>
            </w:r>
          </w:p>
        </w:tc>
        <w:tc>
          <w:tcPr>
            <w:tcW w:w="1053" w:type="pct"/>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污泥处理规模（按含水率80%计）（单位：吨/天）</w:t>
            </w:r>
            <w:r>
              <w:rPr>
                <w:rFonts w:hint="eastAsia" w:ascii="宋体" w:hAnsi="宋体" w:eastAsia="宋体" w:cs="宋体"/>
                <w:color w:val="auto"/>
                <w:szCs w:val="21"/>
                <w:highlight w:val="none"/>
                <w:lang w:val="en-US" w:eastAsia="zh-CN"/>
              </w:rPr>
              <w:t>或提供的污泥减量设备操作技术人员数量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单位：人</w:t>
            </w:r>
            <w:r>
              <w:rPr>
                <w:rFonts w:hint="eastAsia" w:ascii="宋体" w:hAnsi="宋体" w:eastAsia="宋体" w:cs="宋体"/>
                <w:color w:val="auto"/>
                <w:szCs w:val="21"/>
                <w:highlight w:val="none"/>
                <w:lang w:eastAsia="zh-CN"/>
              </w:rPr>
              <w:t>）</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合同服务期</w:t>
            </w:r>
            <w:r>
              <w:rPr>
                <w:rFonts w:hint="eastAsia" w:ascii="宋体" w:hAnsi="宋体" w:eastAsia="宋体" w:cs="宋体"/>
                <w:color w:val="auto"/>
                <w:szCs w:val="21"/>
                <w:highlight w:val="none"/>
                <w:lang w:val="en-US" w:eastAsia="zh-CN"/>
              </w:rPr>
              <w:t>限</w:t>
            </w:r>
          </w:p>
        </w:tc>
        <w:tc>
          <w:tcPr>
            <w:tcW w:w="55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签约日期</w:t>
            </w:r>
          </w:p>
        </w:tc>
        <w:tc>
          <w:tcPr>
            <w:tcW w:w="83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5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5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5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87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781"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053"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55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bl>
    <w:p>
      <w:pPr>
        <w:outlineLvl w:val="9"/>
        <w:rPr>
          <w:rFonts w:ascii="宋体" w:hAnsi="宋体" w:eastAsia="宋体" w:cs="宋体"/>
          <w:color w:val="auto"/>
          <w:sz w:val="28"/>
          <w:szCs w:val="28"/>
          <w:highlight w:val="none"/>
        </w:rPr>
      </w:pPr>
    </w:p>
    <w:p>
      <w:pPr>
        <w:snapToGrid w:val="0"/>
        <w:spacing w:line="360" w:lineRule="auto"/>
        <w:ind w:left="244" w:leftChars="116" w:firstLine="25" w:firstLineChars="12"/>
        <w:jc w:val="left"/>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2、污泥脱水减量配合服务业绩表：投标人202</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年1月1日至今（签订合同的时间为202</w:t>
      </w: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rPr>
        <w:t>年1月1日</w:t>
      </w:r>
    </w:p>
    <w:p>
      <w:pPr>
        <w:snapToGrid w:val="0"/>
        <w:spacing w:line="360" w:lineRule="auto"/>
        <w:jc w:val="left"/>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或以后）承接的污泥脱水减量配合服务业绩表</w:t>
      </w:r>
      <w:r>
        <w:rPr>
          <w:rFonts w:hint="eastAsia" w:ascii="宋体" w:hAnsi="宋体" w:eastAsia="宋体" w:cs="宋体"/>
          <w:bCs/>
          <w:color w:val="auto"/>
          <w:szCs w:val="21"/>
          <w:highlight w:val="none"/>
          <w:lang w:val="zh-CN"/>
        </w:rPr>
        <w:t>(</w:t>
      </w:r>
      <w:r>
        <w:rPr>
          <w:rFonts w:hint="eastAsia" w:ascii="宋体" w:hAnsi="宋体" w:eastAsia="宋体" w:cs="宋体"/>
          <w:bCs/>
          <w:color w:val="auto"/>
          <w:szCs w:val="21"/>
          <w:highlight w:val="none"/>
          <w:u w:val="single"/>
          <w:lang w:val="zh-CN"/>
        </w:rPr>
        <w:t xml:space="preserve">   </w:t>
      </w:r>
      <w:r>
        <w:rPr>
          <w:rFonts w:hint="eastAsia" w:ascii="宋体" w:hAnsi="宋体" w:eastAsia="宋体" w:cs="宋体"/>
          <w:bCs/>
          <w:color w:val="auto"/>
          <w:szCs w:val="21"/>
          <w:highlight w:val="none"/>
          <w:lang w:val="zh-CN"/>
        </w:rPr>
        <w:t>包组)</w:t>
      </w:r>
    </w:p>
    <w:tbl>
      <w:tblPr>
        <w:tblStyle w:val="38"/>
        <w:tblW w:w="472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1"/>
        <w:gridCol w:w="1320"/>
        <w:gridCol w:w="1626"/>
        <w:gridCol w:w="2370"/>
        <w:gridCol w:w="1208"/>
        <w:gridCol w:w="1196"/>
        <w:gridCol w:w="13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序号</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项目名称</w:t>
            </w:r>
          </w:p>
        </w:tc>
        <w:tc>
          <w:tcPr>
            <w:tcW w:w="82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投标人负责的主要服务内容</w:t>
            </w:r>
          </w:p>
        </w:tc>
        <w:tc>
          <w:tcPr>
            <w:tcW w:w="1207" w:type="pct"/>
            <w:tcBorders>
              <w:top w:val="single" w:color="auto" w:sz="4" w:space="0"/>
              <w:left w:val="single" w:color="auto" w:sz="4" w:space="0"/>
              <w:bottom w:val="single" w:color="auto" w:sz="4" w:space="0"/>
              <w:right w:val="single" w:color="auto" w:sz="4" w:space="0"/>
            </w:tcBorders>
            <w:vAlign w:val="center"/>
          </w:tcPr>
          <w:p>
            <w:pPr>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提供的污泥减量设备操作技术人员数量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单位：人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或污泥处理规模（按含水率80%计）（单位：吨/天）</w:t>
            </w:r>
          </w:p>
        </w:tc>
        <w:tc>
          <w:tcPr>
            <w:tcW w:w="61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合同服务期</w:t>
            </w:r>
            <w:r>
              <w:rPr>
                <w:rFonts w:hint="eastAsia" w:ascii="宋体" w:hAnsi="宋体" w:eastAsia="宋体" w:cs="宋体"/>
                <w:color w:val="auto"/>
                <w:szCs w:val="21"/>
                <w:highlight w:val="none"/>
                <w:lang w:val="en-US" w:eastAsia="zh-CN"/>
              </w:rPr>
              <w:t>限</w:t>
            </w:r>
          </w:p>
        </w:tc>
        <w:tc>
          <w:tcPr>
            <w:tcW w:w="61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签约日期</w:t>
            </w:r>
          </w:p>
        </w:tc>
        <w:tc>
          <w:tcPr>
            <w:tcW w:w="69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业主联系人及电话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6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7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828"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120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1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1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c>
          <w:tcPr>
            <w:tcW w:w="696"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p>
        </w:tc>
      </w:tr>
    </w:tbl>
    <w:p>
      <w:pPr>
        <w:snapToGrid w:val="0"/>
        <w:spacing w:line="360" w:lineRule="auto"/>
        <w:ind w:left="396" w:leftChars="-58" w:hanging="518" w:hangingChars="247"/>
        <w:outlineLvl w:val="9"/>
        <w:rPr>
          <w:rFonts w:ascii="宋体" w:hAnsi="宋体" w:eastAsia="宋体" w:cs="宋体"/>
          <w:color w:val="auto"/>
          <w:highlight w:val="none"/>
          <w:lang w:val="zh-CN"/>
        </w:rPr>
      </w:pPr>
      <w:r>
        <w:rPr>
          <w:rFonts w:hint="eastAsia" w:ascii="宋体" w:hAnsi="宋体" w:eastAsia="宋体" w:cs="宋体"/>
          <w:color w:val="auto"/>
          <w:highlight w:val="none"/>
          <w:lang w:val="zh-CN"/>
        </w:rPr>
        <w:t>备注：</w:t>
      </w:r>
    </w:p>
    <w:p>
      <w:pPr>
        <w:snapToGrid w:val="0"/>
        <w:spacing w:line="360" w:lineRule="auto"/>
        <w:ind w:left="396" w:leftChars="-58" w:hanging="518" w:hangingChars="247"/>
        <w:outlineLvl w:val="9"/>
        <w:rPr>
          <w:rFonts w:ascii="宋体" w:hAnsi="宋体" w:eastAsia="宋体" w:cs="宋体"/>
          <w:color w:val="auto"/>
          <w:highlight w:val="none"/>
          <w:lang w:val="zh-CN"/>
        </w:rPr>
      </w:pPr>
      <w:r>
        <w:rPr>
          <w:rFonts w:hint="eastAsia" w:ascii="宋体" w:hAnsi="宋体" w:eastAsia="宋体" w:cs="宋体"/>
          <w:color w:val="auto"/>
          <w:highlight w:val="none"/>
          <w:lang w:val="zh-CN"/>
        </w:rPr>
        <w:t>（1）业绩</w:t>
      </w:r>
      <w:r>
        <w:rPr>
          <w:rFonts w:hint="eastAsia" w:ascii="宋体" w:hAnsi="宋体" w:eastAsia="宋体" w:cs="宋体"/>
          <w:color w:val="auto"/>
          <w:highlight w:val="none"/>
        </w:rPr>
        <w:t>需</w:t>
      </w:r>
      <w:r>
        <w:rPr>
          <w:rFonts w:hint="eastAsia" w:ascii="宋体" w:hAnsi="宋体" w:eastAsia="宋体" w:cs="宋体"/>
          <w:color w:val="auto"/>
          <w:highlight w:val="none"/>
          <w:lang w:val="zh-CN"/>
        </w:rPr>
        <w:t>按</w:t>
      </w:r>
      <w:r>
        <w:rPr>
          <w:rFonts w:hint="eastAsia" w:ascii="宋体" w:hAnsi="宋体" w:eastAsia="宋体" w:cs="宋体"/>
          <w:bCs/>
          <w:color w:val="auto"/>
          <w:szCs w:val="21"/>
          <w:highlight w:val="none"/>
        </w:rPr>
        <w:t>污泥脱水减量化处理服务</w:t>
      </w:r>
      <w:r>
        <w:rPr>
          <w:rFonts w:hint="eastAsia" w:ascii="宋体" w:hAnsi="宋体" w:eastAsia="宋体" w:cs="宋体"/>
          <w:color w:val="auto"/>
          <w:highlight w:val="none"/>
        </w:rPr>
        <w:t>和</w:t>
      </w:r>
      <w:r>
        <w:rPr>
          <w:rFonts w:hint="eastAsia" w:ascii="宋体" w:hAnsi="宋体" w:eastAsia="宋体" w:cs="宋体"/>
          <w:bCs/>
          <w:color w:val="auto"/>
          <w:szCs w:val="21"/>
          <w:highlight w:val="none"/>
        </w:rPr>
        <w:t>污泥脱水减量配合服务两个类别分别填入对应业绩表中；</w:t>
      </w:r>
      <w:r>
        <w:rPr>
          <w:rFonts w:hint="eastAsia" w:ascii="宋体" w:hAnsi="宋体" w:eastAsia="宋体" w:cs="宋体"/>
          <w:b/>
          <w:bCs/>
          <w:color w:val="auto"/>
          <w:highlight w:val="none"/>
          <w:u w:val="single"/>
        </w:rPr>
        <w:t>同一个单项合同的业绩可以同时在资格业绩和评分业绩重复放置，作为投标人资格条件证明的业绩放置在“</w:t>
      </w:r>
      <w:r>
        <w:rPr>
          <w:rFonts w:ascii="宋体" w:hAnsi="宋体" w:eastAsia="宋体" w:cs="宋体"/>
          <w:b/>
          <w:bCs/>
          <w:color w:val="auto"/>
          <w:highlight w:val="none"/>
          <w:u w:val="single"/>
        </w:rPr>
        <w:t>5.4</w:t>
      </w:r>
      <w:r>
        <w:rPr>
          <w:rFonts w:hint="eastAsia" w:ascii="宋体" w:hAnsi="宋体" w:eastAsia="宋体" w:cs="宋体"/>
          <w:b/>
          <w:bCs/>
          <w:color w:val="auto"/>
          <w:highlight w:val="none"/>
          <w:u w:val="single"/>
        </w:rPr>
        <w:t>资格业绩”处</w:t>
      </w:r>
      <w:r>
        <w:rPr>
          <w:rFonts w:hint="eastAsia" w:ascii="宋体" w:hAnsi="宋体" w:eastAsia="宋体" w:cs="宋体"/>
          <w:color w:val="auto"/>
          <w:highlight w:val="none"/>
          <w:lang w:val="zh-CN"/>
        </w:rPr>
        <w:t>。</w:t>
      </w:r>
    </w:p>
    <w:p>
      <w:pPr>
        <w:snapToGrid w:val="0"/>
        <w:spacing w:line="360" w:lineRule="auto"/>
        <w:ind w:left="396" w:leftChars="-58" w:hanging="518" w:hangingChars="247"/>
        <w:outlineLvl w:val="9"/>
        <w:rPr>
          <w:rFonts w:ascii="宋体" w:hAnsi="宋体" w:eastAsia="宋体" w:cs="宋体"/>
          <w:color w:val="auto"/>
          <w:highlight w:val="none"/>
          <w:lang w:val="zh-CN"/>
        </w:rPr>
      </w:pPr>
      <w:r>
        <w:rPr>
          <w:rFonts w:hint="eastAsia" w:ascii="宋体" w:hAnsi="宋体" w:eastAsia="宋体" w:cs="宋体"/>
          <w:color w:val="auto"/>
          <w:highlight w:val="none"/>
          <w:lang w:val="zh-CN"/>
        </w:rPr>
        <w:t>（2）</w:t>
      </w:r>
      <w:r>
        <w:rPr>
          <w:rFonts w:hint="eastAsia" w:ascii="宋体" w:hAnsi="宋体" w:eastAsia="宋体" w:cs="宋体"/>
          <w:b w:val="0"/>
          <w:bCs w:val="0"/>
          <w:color w:val="auto"/>
          <w:highlight w:val="none"/>
          <w:u w:val="none"/>
        </w:rPr>
        <w:t>两个类别的业绩分别按污泥处理规模（日处理量）和提供的污泥减量设备操作技术人员数量</w:t>
      </w:r>
      <w:r>
        <w:rPr>
          <w:rFonts w:hint="eastAsia" w:ascii="宋体" w:hAnsi="宋体" w:eastAsia="宋体" w:cs="宋体"/>
          <w:b w:val="0"/>
          <w:bCs w:val="0"/>
          <w:color w:val="auto"/>
          <w:highlight w:val="none"/>
          <w:u w:val="none"/>
          <w:lang w:val="zh-CN"/>
        </w:rPr>
        <w:t>从大到小的顺序排列</w:t>
      </w:r>
      <w:r>
        <w:rPr>
          <w:rFonts w:hint="eastAsia" w:ascii="宋体" w:hAnsi="宋体" w:eastAsia="宋体" w:cs="宋体"/>
          <w:color w:val="auto"/>
          <w:highlight w:val="none"/>
          <w:lang w:val="zh-CN"/>
        </w:rPr>
        <w:t>；</w:t>
      </w:r>
    </w:p>
    <w:p>
      <w:pPr>
        <w:snapToGrid w:val="0"/>
        <w:spacing w:line="360" w:lineRule="auto"/>
        <w:ind w:left="396" w:leftChars="-58" w:hanging="518" w:hangingChars="247"/>
        <w:outlineLvl w:val="9"/>
        <w:rPr>
          <w:rFonts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w:t>
      </w:r>
      <w:r>
        <w:rPr>
          <w:rFonts w:hint="eastAsia" w:ascii="宋体" w:hAnsi="宋体" w:eastAsia="宋体" w:cs="宋体"/>
          <w:color w:val="auto"/>
          <w:highlight w:val="none"/>
          <w:lang w:val="zh-CN"/>
        </w:rPr>
        <w:t>）</w:t>
      </w:r>
      <w:r>
        <w:rPr>
          <w:rFonts w:hint="eastAsia" w:ascii="宋体" w:hAnsi="宋体" w:eastAsia="宋体" w:cs="宋体"/>
          <w:b/>
          <w:bCs/>
          <w:color w:val="auto"/>
          <w:highlight w:val="none"/>
          <w:u w:val="single"/>
          <w:lang w:val="zh-CN"/>
        </w:rPr>
        <w:t>业绩必须附合同复印件（</w:t>
      </w:r>
      <w:r>
        <w:rPr>
          <w:rFonts w:hint="eastAsia" w:ascii="宋体" w:hAnsi="宋体" w:eastAsia="宋体" w:cs="宋体"/>
          <w:b/>
          <w:bCs/>
          <w:color w:val="auto"/>
          <w:highlight w:val="none"/>
          <w:u w:val="single"/>
        </w:rPr>
        <w:t>合同服务提供方为投标人</w:t>
      </w:r>
      <w:r>
        <w:rPr>
          <w:rFonts w:hint="eastAsia" w:ascii="宋体" w:hAnsi="宋体" w:eastAsia="宋体" w:cs="宋体"/>
          <w:b/>
          <w:bCs/>
          <w:color w:val="auto"/>
          <w:highlight w:val="none"/>
          <w:u w:val="single"/>
          <w:lang w:val="zh-CN"/>
        </w:rPr>
        <w:t>）。合同必须能反映评分条件（</w:t>
      </w:r>
      <w:r>
        <w:rPr>
          <w:rFonts w:hint="eastAsia" w:ascii="宋体" w:hAnsi="宋体" w:eastAsia="宋体" w:cs="宋体"/>
          <w:b/>
          <w:bCs/>
          <w:color w:val="auto"/>
          <w:highlight w:val="none"/>
          <w:u w:val="single"/>
        </w:rPr>
        <w:t>合同签订日期、服务内容、污泥处理规模/污泥减量设备操作技术人员数量、合同期限</w:t>
      </w:r>
      <w:r>
        <w:rPr>
          <w:rFonts w:hint="eastAsia" w:ascii="宋体" w:hAnsi="宋体" w:eastAsia="宋体" w:cs="宋体"/>
          <w:b/>
          <w:bCs/>
          <w:color w:val="auto"/>
          <w:highlight w:val="none"/>
          <w:u w:val="single"/>
          <w:lang w:val="zh-CN"/>
        </w:rPr>
        <w:t>），否则，需同时提供服务购买方出具的书面补充情况说明文件复印件（</w:t>
      </w:r>
      <w:r>
        <w:rPr>
          <w:rFonts w:hint="eastAsia" w:ascii="宋体" w:hAnsi="宋体" w:eastAsia="宋体" w:cs="宋体"/>
          <w:b/>
          <w:bCs/>
          <w:color w:val="auto"/>
          <w:highlight w:val="none"/>
          <w:u w:val="single"/>
        </w:rPr>
        <w:t>需加盖服务购买方公章，即复印件能显示服务购买方公章</w:t>
      </w:r>
      <w:r>
        <w:rPr>
          <w:rFonts w:hint="eastAsia" w:ascii="宋体" w:hAnsi="宋体" w:eastAsia="宋体" w:cs="宋体"/>
          <w:b/>
          <w:bCs/>
          <w:color w:val="auto"/>
          <w:highlight w:val="none"/>
          <w:u w:val="single"/>
          <w:lang w:val="zh-CN"/>
        </w:rPr>
        <w:t>），</w:t>
      </w:r>
      <w:r>
        <w:rPr>
          <w:rFonts w:hint="eastAsia" w:ascii="宋体" w:hAnsi="宋体" w:eastAsia="宋体" w:cs="宋体"/>
          <w:b/>
          <w:bCs/>
          <w:color w:val="auto"/>
          <w:highlight w:val="none"/>
          <w:u w:val="single"/>
        </w:rPr>
        <w:t>否则不得分</w:t>
      </w:r>
      <w:r>
        <w:rPr>
          <w:rFonts w:hint="eastAsia" w:ascii="宋体" w:hAnsi="宋体" w:eastAsia="宋体" w:cs="宋体"/>
          <w:color w:val="auto"/>
          <w:highlight w:val="none"/>
          <w:lang w:val="zh-CN"/>
        </w:rPr>
        <w:t>。</w:t>
      </w:r>
    </w:p>
    <w:p>
      <w:pPr>
        <w:snapToGrid w:val="0"/>
        <w:spacing w:line="360" w:lineRule="auto"/>
        <w:ind w:left="396" w:leftChars="-58" w:hanging="518" w:hangingChars="247"/>
        <w:outlineLvl w:val="9"/>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w:t>
      </w:r>
      <w:r>
        <w:rPr>
          <w:rFonts w:hint="eastAsia" w:ascii="宋体" w:hAnsi="宋体" w:eastAsia="宋体" w:cs="宋体"/>
          <w:b/>
          <w:bCs w:val="0"/>
          <w:color w:val="auto"/>
          <w:szCs w:val="21"/>
          <w:highlight w:val="none"/>
          <w:u w:val="single"/>
        </w:rPr>
        <w:t>污泥脱水减量化处理服务</w:t>
      </w:r>
      <w:r>
        <w:rPr>
          <w:rFonts w:hint="eastAsia" w:ascii="宋体" w:hAnsi="宋体" w:eastAsia="宋体" w:cs="宋体"/>
          <w:b/>
          <w:bCs w:val="0"/>
          <w:color w:val="auto"/>
          <w:highlight w:val="none"/>
          <w:u w:val="single"/>
        </w:rPr>
        <w:t>单项合同业绩的服务内容须</w:t>
      </w:r>
      <w:r>
        <w:rPr>
          <w:rFonts w:hint="eastAsia" w:ascii="宋体" w:hAnsi="宋体" w:eastAsia="宋体" w:cs="宋体"/>
          <w:b/>
          <w:bCs w:val="0"/>
          <w:color w:val="auto"/>
          <w:highlight w:val="none"/>
          <w:u w:val="single"/>
          <w:lang w:val="en-US" w:eastAsia="zh-CN"/>
        </w:rPr>
        <w:t>为</w:t>
      </w:r>
      <w:r>
        <w:rPr>
          <w:rFonts w:hint="eastAsia" w:ascii="宋体" w:hAnsi="宋体" w:eastAsia="宋体" w:cs="宋体"/>
          <w:b/>
          <w:bCs w:val="0"/>
          <w:color w:val="auto"/>
          <w:highlight w:val="none"/>
          <w:u w:val="single"/>
        </w:rPr>
        <w:t>污泥脱水减量化处理服务，如单项合同业绩的服务内容为污泥的全流程处理处置，必须</w:t>
      </w:r>
      <w:r>
        <w:rPr>
          <w:rFonts w:hint="eastAsia" w:ascii="宋体" w:hAnsi="宋体" w:eastAsia="宋体" w:cs="宋体"/>
          <w:b/>
          <w:bCs w:val="0"/>
          <w:color w:val="auto"/>
          <w:highlight w:val="none"/>
          <w:u w:val="single"/>
          <w:lang w:val="en-US" w:eastAsia="zh-CN"/>
        </w:rPr>
        <w:t>包含</w:t>
      </w:r>
      <w:r>
        <w:rPr>
          <w:rFonts w:hint="eastAsia" w:ascii="宋体" w:hAnsi="宋体" w:eastAsia="宋体" w:cs="宋体"/>
          <w:b/>
          <w:bCs w:val="0"/>
          <w:color w:val="auto"/>
          <w:highlight w:val="none"/>
          <w:u w:val="single"/>
        </w:rPr>
        <w:t>污泥</w:t>
      </w:r>
      <w:r>
        <w:rPr>
          <w:rFonts w:hint="eastAsia" w:ascii="宋体" w:hAnsi="宋体" w:eastAsia="宋体" w:cs="宋体"/>
          <w:b/>
          <w:bCs w:val="0"/>
          <w:color w:val="auto"/>
          <w:highlight w:val="none"/>
          <w:u w:val="single"/>
          <w:lang w:val="en-US" w:eastAsia="zh-CN"/>
        </w:rPr>
        <w:t>脱水</w:t>
      </w:r>
      <w:r>
        <w:rPr>
          <w:rFonts w:hint="eastAsia" w:ascii="宋体" w:hAnsi="宋体" w:eastAsia="宋体" w:cs="宋体"/>
          <w:b/>
          <w:bCs w:val="0"/>
          <w:color w:val="auto"/>
          <w:highlight w:val="none"/>
          <w:u w:val="single"/>
        </w:rPr>
        <w:t>减量化处理</w:t>
      </w:r>
      <w:r>
        <w:rPr>
          <w:rFonts w:hint="eastAsia" w:ascii="宋体" w:hAnsi="宋体" w:eastAsia="宋体" w:cs="宋体"/>
          <w:b/>
          <w:bCs w:val="0"/>
          <w:color w:val="auto"/>
          <w:highlight w:val="none"/>
          <w:u w:val="single"/>
          <w:lang w:val="en-US" w:eastAsia="zh-CN"/>
        </w:rPr>
        <w:t>的</w:t>
      </w:r>
      <w:r>
        <w:rPr>
          <w:rFonts w:hint="eastAsia" w:ascii="宋体" w:hAnsi="宋体" w:eastAsia="宋体" w:cs="宋体"/>
          <w:b/>
          <w:bCs w:val="0"/>
          <w:color w:val="auto"/>
          <w:highlight w:val="none"/>
          <w:u w:val="single"/>
        </w:rPr>
        <w:t>服务内容，否则不得分</w:t>
      </w:r>
      <w:r>
        <w:rPr>
          <w:rFonts w:hint="eastAsia" w:ascii="宋体" w:hAnsi="宋体" w:eastAsia="宋体" w:cs="宋体"/>
          <w:color w:val="auto"/>
          <w:highlight w:val="none"/>
        </w:rPr>
        <w:t>。</w:t>
      </w:r>
    </w:p>
    <w:p>
      <w:pPr>
        <w:snapToGrid w:val="0"/>
        <w:spacing w:line="360" w:lineRule="auto"/>
        <w:ind w:left="396" w:leftChars="-58" w:hanging="518" w:hangingChars="247"/>
        <w:outlineLvl w:val="9"/>
        <w:rPr>
          <w:rFonts w:ascii="宋体" w:hAnsi="宋体" w:eastAsia="宋体" w:cs="宋体"/>
          <w:color w:val="auto"/>
          <w:highlight w:val="none"/>
          <w:lang w:val="zh-CN"/>
        </w:rPr>
      </w:pPr>
      <w:r>
        <w:rPr>
          <w:rFonts w:hint="eastAsia" w:ascii="宋体" w:hAnsi="宋体" w:eastAsia="宋体" w:cs="宋体"/>
          <w:color w:val="auto"/>
          <w:highlight w:val="none"/>
        </w:rPr>
        <w:t>（5）</w:t>
      </w:r>
      <w:r>
        <w:rPr>
          <w:rFonts w:hint="eastAsia" w:ascii="宋体" w:hAnsi="宋体" w:eastAsia="宋体" w:cs="宋体"/>
          <w:b/>
          <w:bCs w:val="0"/>
          <w:color w:val="auto"/>
          <w:szCs w:val="21"/>
          <w:highlight w:val="none"/>
          <w:u w:val="single"/>
        </w:rPr>
        <w:t>污泥脱水减量化处理服务</w:t>
      </w:r>
      <w:r>
        <w:rPr>
          <w:rFonts w:hint="eastAsia" w:ascii="宋体" w:hAnsi="宋体" w:eastAsia="宋体" w:cs="宋体"/>
          <w:b/>
          <w:bCs w:val="0"/>
          <w:color w:val="auto"/>
          <w:highlight w:val="none"/>
          <w:u w:val="single"/>
        </w:rPr>
        <w:t>单项合同业绩的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highlight w:val="none"/>
          <w:lang w:val="zh-CN"/>
        </w:rPr>
        <w:t>。</w:t>
      </w:r>
    </w:p>
    <w:p>
      <w:pPr>
        <w:snapToGrid w:val="0"/>
        <w:spacing w:line="360" w:lineRule="auto"/>
        <w:ind w:left="396" w:leftChars="-58" w:hanging="518" w:hangingChars="247"/>
        <w:outlineLvl w:val="9"/>
        <w:rPr>
          <w:rFonts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w:t>
      </w:r>
      <w:r>
        <w:rPr>
          <w:rFonts w:hint="eastAsia" w:ascii="宋体" w:hAnsi="宋体" w:eastAsia="宋体" w:cs="宋体"/>
          <w:b/>
          <w:bCs/>
          <w:color w:val="auto"/>
          <w:szCs w:val="21"/>
          <w:highlight w:val="none"/>
          <w:u w:val="single"/>
          <w:lang w:val="zh-CN"/>
        </w:rPr>
        <w:t>若</w:t>
      </w:r>
      <w:r>
        <w:rPr>
          <w:rFonts w:hint="eastAsia" w:ascii="宋体" w:hAnsi="宋体" w:eastAsia="宋体" w:cs="宋体"/>
          <w:b/>
          <w:bCs/>
          <w:color w:val="auto"/>
          <w:highlight w:val="none"/>
          <w:u w:val="single"/>
        </w:rPr>
        <w:t>业绩</w:t>
      </w:r>
      <w:r>
        <w:rPr>
          <w:rFonts w:hint="eastAsia" w:ascii="宋体" w:hAnsi="宋体" w:eastAsia="宋体" w:cs="宋体"/>
          <w:b/>
          <w:bCs/>
          <w:color w:val="auto"/>
          <w:szCs w:val="21"/>
          <w:highlight w:val="none"/>
          <w:u w:val="single"/>
          <w:lang w:val="zh-CN"/>
        </w:rPr>
        <w:t>为无明确</w:t>
      </w:r>
      <w:r>
        <w:rPr>
          <w:rFonts w:hint="eastAsia" w:ascii="宋体" w:hAnsi="宋体" w:eastAsia="宋体" w:cs="宋体"/>
          <w:b/>
          <w:bCs/>
          <w:color w:val="auto"/>
          <w:szCs w:val="21"/>
          <w:highlight w:val="none"/>
          <w:u w:val="single"/>
        </w:rPr>
        <w:t>污泥处理规模，</w:t>
      </w:r>
      <w:r>
        <w:rPr>
          <w:rFonts w:hint="eastAsia" w:ascii="宋体" w:hAnsi="宋体" w:eastAsia="宋体" w:cs="宋体"/>
          <w:b/>
          <w:bCs/>
          <w:color w:val="auto"/>
          <w:szCs w:val="21"/>
          <w:highlight w:val="none"/>
          <w:u w:val="single"/>
          <w:lang w:val="zh-CN"/>
        </w:rPr>
        <w:t>必须同时提供合同期限内</w:t>
      </w:r>
      <w:r>
        <w:rPr>
          <w:rFonts w:hint="eastAsia" w:ascii="宋体" w:hAnsi="宋体" w:eastAsia="宋体" w:cs="宋体"/>
          <w:b/>
          <w:bCs/>
          <w:color w:val="auto"/>
          <w:szCs w:val="21"/>
          <w:highlight w:val="none"/>
          <w:u w:val="single"/>
          <w:lang w:val="zh-CN" w:eastAsia="zh-CN"/>
        </w:rPr>
        <w:t>单个月份</w:t>
      </w:r>
      <w:r>
        <w:rPr>
          <w:rFonts w:hint="eastAsia" w:ascii="宋体" w:hAnsi="宋体" w:eastAsia="宋体" w:cs="宋体"/>
          <w:b/>
          <w:bCs/>
          <w:color w:val="auto"/>
          <w:szCs w:val="21"/>
          <w:highlight w:val="none"/>
          <w:u w:val="single"/>
          <w:lang w:val="zh-CN"/>
        </w:rPr>
        <w:t>已处理的生活污水处理厂污泥处理量统计表和污泥转运联单复印件（无转运联单的，提供服务发票复印件及折算处理量数据或污泥产生单位盖章的证明文件替代）以证明污泥处理规模，日平均生活污水处理厂污泥处理量按合同期限内</w:t>
      </w:r>
      <w:r>
        <w:rPr>
          <w:rFonts w:hint="eastAsia" w:ascii="宋体" w:hAnsi="宋体" w:eastAsia="宋体" w:cs="宋体"/>
          <w:b/>
          <w:bCs/>
          <w:color w:val="auto"/>
          <w:szCs w:val="21"/>
          <w:highlight w:val="none"/>
          <w:u w:val="single"/>
          <w:lang w:val="zh-CN" w:eastAsia="zh-CN"/>
        </w:rPr>
        <w:t>单个月份</w:t>
      </w:r>
      <w:r>
        <w:rPr>
          <w:rFonts w:hint="eastAsia" w:ascii="宋体" w:hAnsi="宋体" w:eastAsia="宋体" w:cs="宋体"/>
          <w:b/>
          <w:bCs/>
          <w:color w:val="auto"/>
          <w:szCs w:val="21"/>
          <w:highlight w:val="none"/>
          <w:u w:val="single"/>
          <w:lang w:val="zh-CN"/>
        </w:rPr>
        <w:t>已处理的生活污水处理厂污泥处理量除以</w:t>
      </w:r>
      <w:r>
        <w:rPr>
          <w:rFonts w:hint="eastAsia" w:ascii="宋体" w:hAnsi="宋体" w:eastAsia="宋体" w:cs="宋体"/>
          <w:b/>
          <w:bCs/>
          <w:color w:val="auto"/>
          <w:szCs w:val="21"/>
          <w:highlight w:val="none"/>
          <w:u w:val="single"/>
          <w:lang w:val="zh-CN" w:eastAsia="zh-CN"/>
        </w:rPr>
        <w:t>单个月份自然天数</w:t>
      </w:r>
      <w:r>
        <w:rPr>
          <w:rFonts w:hint="eastAsia" w:ascii="宋体" w:hAnsi="宋体" w:eastAsia="宋体" w:cs="宋体"/>
          <w:b/>
          <w:bCs/>
          <w:color w:val="auto"/>
          <w:szCs w:val="21"/>
          <w:highlight w:val="none"/>
          <w:u w:val="single"/>
          <w:lang w:val="zh-CN"/>
        </w:rPr>
        <w:t>进行计算，并以此作为污泥处理规模进行评审</w:t>
      </w:r>
      <w:r>
        <w:rPr>
          <w:rFonts w:hint="eastAsia" w:ascii="宋体" w:hAnsi="宋体" w:eastAsia="宋体" w:cs="宋体"/>
          <w:color w:val="auto"/>
          <w:szCs w:val="21"/>
          <w:highlight w:val="none"/>
          <w:lang w:val="zh-CN"/>
        </w:rPr>
        <w:t>。</w:t>
      </w:r>
    </w:p>
    <w:p>
      <w:pPr>
        <w:snapToGrid w:val="0"/>
        <w:spacing w:line="360" w:lineRule="auto"/>
        <w:ind w:left="396" w:leftChars="-58" w:hanging="518" w:hangingChars="247"/>
        <w:outlineLvl w:val="9"/>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w:t>
      </w:r>
      <w:r>
        <w:rPr>
          <w:rFonts w:hint="eastAsia" w:ascii="宋体" w:hAnsi="宋体" w:eastAsia="宋体" w:cs="宋体"/>
          <w:b/>
          <w:bCs/>
          <w:color w:val="auto"/>
          <w:highlight w:val="none"/>
          <w:u w:val="single"/>
          <w:lang w:val="zh-CN"/>
        </w:rPr>
        <w:t>若污泥脱水减量化处理服务单项合同业绩中包含多个污泥脱水减量化处理服务项目，评分时污泥处理规模/污泥减量设备操作技术人员数量按单项合同中的各污泥脱水处理服务项目</w:t>
      </w:r>
      <w:r>
        <w:rPr>
          <w:rFonts w:hint="eastAsia" w:ascii="宋体" w:hAnsi="宋体" w:eastAsia="宋体" w:cs="宋体"/>
          <w:b/>
          <w:bCs/>
          <w:color w:val="auto"/>
          <w:highlight w:val="none"/>
          <w:u w:val="single"/>
          <w:lang w:val="zh-CN" w:eastAsia="zh-CN"/>
        </w:rPr>
        <w:t>的污泥</w:t>
      </w:r>
      <w:r>
        <w:rPr>
          <w:rFonts w:hint="eastAsia" w:ascii="宋体" w:hAnsi="宋体" w:eastAsia="宋体" w:cs="宋体"/>
          <w:b/>
          <w:bCs/>
          <w:color w:val="auto"/>
          <w:highlight w:val="none"/>
          <w:u w:val="single"/>
          <w:lang w:val="zh-CN"/>
        </w:rPr>
        <w:t>处理规模/污泥减量设备操作技术人员数量的累加值计算得分</w:t>
      </w:r>
      <w:r>
        <w:rPr>
          <w:rFonts w:hint="eastAsia" w:ascii="宋体" w:hAnsi="宋体" w:eastAsia="宋体" w:cs="宋体"/>
          <w:color w:val="auto"/>
          <w:highlight w:val="none"/>
          <w:lang w:val="zh-CN"/>
        </w:rPr>
        <w:t>。</w:t>
      </w:r>
    </w:p>
    <w:p>
      <w:pPr>
        <w:snapToGrid w:val="0"/>
        <w:spacing w:line="360" w:lineRule="auto"/>
        <w:ind w:left="396" w:leftChars="-58" w:hanging="518" w:hangingChars="247"/>
        <w:outlineLvl w:val="9"/>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w:t>
      </w:r>
      <w:r>
        <w:rPr>
          <w:rFonts w:hint="eastAsia" w:ascii="宋体" w:hAnsi="宋体" w:eastAsia="宋体" w:cs="宋体"/>
          <w:b/>
          <w:bCs w:val="0"/>
          <w:color w:val="auto"/>
          <w:szCs w:val="21"/>
          <w:highlight w:val="none"/>
          <w:u w:val="single"/>
        </w:rPr>
        <w:t>污泥脱水减量配合服务单项合同业绩的服务内容若为以劳务派遣或劳务外包的方式提供污泥脱水减量化服务人员的，</w:t>
      </w:r>
      <w:r>
        <w:rPr>
          <w:rFonts w:hint="eastAsia" w:ascii="宋体" w:hAnsi="宋体" w:eastAsia="宋体" w:cs="宋体"/>
          <w:b/>
          <w:bCs w:val="0"/>
          <w:color w:val="auto"/>
          <w:szCs w:val="21"/>
          <w:highlight w:val="none"/>
          <w:u w:val="single"/>
          <w:lang w:val="en-US" w:eastAsia="zh-CN"/>
        </w:rPr>
        <w:t>服务内容</w:t>
      </w:r>
      <w:r>
        <w:rPr>
          <w:rFonts w:hint="eastAsia" w:ascii="宋体" w:hAnsi="宋体" w:eastAsia="宋体" w:cs="宋体"/>
          <w:b/>
          <w:bCs w:val="0"/>
          <w:color w:val="auto"/>
          <w:szCs w:val="21"/>
          <w:highlight w:val="none"/>
          <w:u w:val="single"/>
        </w:rPr>
        <w:t>必须</w:t>
      </w:r>
      <w:r>
        <w:rPr>
          <w:rFonts w:hint="eastAsia" w:ascii="宋体" w:hAnsi="宋体" w:eastAsia="宋体" w:cs="宋体"/>
          <w:b/>
          <w:bCs w:val="0"/>
          <w:color w:val="auto"/>
          <w:szCs w:val="21"/>
          <w:highlight w:val="none"/>
          <w:u w:val="single"/>
          <w:lang w:val="en-US" w:eastAsia="zh-CN"/>
        </w:rPr>
        <w:t>包含提供从事污泥脱水压滤设备的操作技术人员</w:t>
      </w:r>
      <w:r>
        <w:rPr>
          <w:rFonts w:hint="eastAsia" w:ascii="宋体" w:hAnsi="宋体" w:eastAsia="宋体" w:cs="宋体"/>
          <w:b/>
          <w:bCs w:val="0"/>
          <w:color w:val="auto"/>
          <w:szCs w:val="21"/>
          <w:highlight w:val="none"/>
          <w:u w:val="single"/>
        </w:rPr>
        <w:t>，否则不得分</w:t>
      </w:r>
      <w:r>
        <w:rPr>
          <w:rFonts w:hint="eastAsia" w:ascii="宋体" w:hAnsi="宋体" w:eastAsia="宋体" w:cs="宋体"/>
          <w:bCs/>
          <w:color w:val="auto"/>
          <w:szCs w:val="21"/>
          <w:highlight w:val="none"/>
        </w:rPr>
        <w:t>。</w:t>
      </w:r>
    </w:p>
    <w:p>
      <w:pPr>
        <w:snapToGrid w:val="0"/>
        <w:spacing w:line="360" w:lineRule="auto"/>
        <w:ind w:left="396" w:leftChars="-58" w:hanging="518" w:hangingChars="247"/>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val="zh-CN"/>
        </w:rPr>
        <w:t>）</w:t>
      </w:r>
      <w:r>
        <w:rPr>
          <w:rFonts w:hint="eastAsia" w:ascii="宋体" w:hAnsi="宋体" w:eastAsia="宋体" w:cs="宋体"/>
          <w:b/>
          <w:bCs/>
          <w:color w:val="auto"/>
          <w:highlight w:val="none"/>
          <w:u w:val="single"/>
          <w:lang w:val="en-US" w:eastAsia="zh-CN"/>
        </w:rPr>
        <w:t>若单项合同业绩中既有</w:t>
      </w:r>
      <w:r>
        <w:rPr>
          <w:rFonts w:hint="eastAsia" w:ascii="宋体" w:hAnsi="宋体" w:eastAsia="宋体" w:cs="宋体"/>
          <w:b/>
          <w:bCs/>
          <w:color w:val="auto"/>
          <w:szCs w:val="21"/>
          <w:highlight w:val="none"/>
          <w:u w:val="single"/>
        </w:rPr>
        <w:t>污泥处理规模</w:t>
      </w:r>
      <w:r>
        <w:rPr>
          <w:rFonts w:hint="eastAsia" w:ascii="宋体" w:hAnsi="宋体" w:eastAsia="宋体" w:cs="宋体"/>
          <w:b/>
          <w:bCs/>
          <w:color w:val="auto"/>
          <w:szCs w:val="21"/>
          <w:highlight w:val="none"/>
          <w:u w:val="single"/>
          <w:lang w:val="en-US" w:eastAsia="zh-CN"/>
        </w:rPr>
        <w:t>又有</w:t>
      </w:r>
      <w:r>
        <w:rPr>
          <w:rFonts w:hint="eastAsia" w:ascii="宋体" w:hAnsi="宋体" w:eastAsia="宋体" w:cs="宋体"/>
          <w:b/>
          <w:bCs/>
          <w:color w:val="auto"/>
          <w:szCs w:val="21"/>
          <w:highlight w:val="none"/>
          <w:u w:val="single"/>
        </w:rPr>
        <w:t>污泥减量设备操作技术人员数量</w:t>
      </w:r>
      <w:r>
        <w:rPr>
          <w:rFonts w:hint="eastAsia" w:ascii="宋体" w:hAnsi="宋体" w:eastAsia="宋体" w:cs="宋体"/>
          <w:b/>
          <w:bCs/>
          <w:color w:val="auto"/>
          <w:szCs w:val="21"/>
          <w:highlight w:val="none"/>
          <w:u w:val="single"/>
          <w:lang w:val="en-US" w:eastAsia="zh-CN"/>
        </w:rPr>
        <w:t>的，不重复得分，按较高得分标准计分</w:t>
      </w:r>
      <w:r>
        <w:rPr>
          <w:rFonts w:hint="eastAsia" w:ascii="宋体" w:hAnsi="宋体" w:eastAsia="宋体" w:cs="宋体"/>
          <w:color w:val="auto"/>
          <w:szCs w:val="21"/>
          <w:highlight w:val="none"/>
          <w:lang w:val="en-US" w:eastAsia="zh-CN"/>
        </w:rPr>
        <w:t>。</w:t>
      </w:r>
    </w:p>
    <w:p>
      <w:pPr>
        <w:snapToGrid w:val="0"/>
        <w:spacing w:line="360" w:lineRule="auto"/>
        <w:ind w:left="396" w:leftChars="-58" w:hanging="518" w:hangingChars="247"/>
        <w:outlineLvl w:val="9"/>
        <w:rPr>
          <w:rFonts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val="zh-CN"/>
        </w:rPr>
        <w:t>）</w:t>
      </w:r>
      <w:r>
        <w:rPr>
          <w:rFonts w:hint="eastAsia" w:ascii="宋体" w:hAnsi="宋体" w:eastAsia="宋体" w:cs="宋体"/>
          <w:b/>
          <w:bCs/>
          <w:color w:val="auto"/>
          <w:highlight w:val="none"/>
          <w:u w:val="single"/>
        </w:rPr>
        <w:t>单项合同业绩的</w:t>
      </w:r>
      <w:r>
        <w:rPr>
          <w:rFonts w:hint="eastAsia" w:ascii="宋体" w:hAnsi="宋体" w:eastAsia="宋体" w:cs="宋体"/>
          <w:b/>
          <w:bCs/>
          <w:color w:val="auto"/>
          <w:highlight w:val="none"/>
          <w:u w:val="single"/>
          <w:lang w:val="zh-CN"/>
        </w:rPr>
        <w:t>合同服务期限要求大于或等于</w:t>
      </w:r>
      <w:r>
        <w:rPr>
          <w:rFonts w:hint="eastAsia" w:ascii="宋体" w:hAnsi="宋体" w:eastAsia="宋体" w:cs="宋体"/>
          <w:b/>
          <w:bCs/>
          <w:color w:val="auto"/>
          <w:highlight w:val="none"/>
          <w:u w:val="single"/>
          <w:lang w:val="zh-CN" w:eastAsia="zh-CN"/>
        </w:rPr>
        <w:t>1年</w:t>
      </w:r>
      <w:r>
        <w:rPr>
          <w:rFonts w:hint="eastAsia" w:ascii="宋体" w:hAnsi="宋体" w:eastAsia="宋体" w:cs="宋体"/>
          <w:b/>
          <w:bCs/>
          <w:color w:val="auto"/>
          <w:highlight w:val="none"/>
          <w:u w:val="single"/>
          <w:lang w:val="zh-CN"/>
        </w:rPr>
        <w:t>，小于</w:t>
      </w:r>
      <w:r>
        <w:rPr>
          <w:rFonts w:hint="eastAsia" w:ascii="宋体" w:hAnsi="宋体" w:eastAsia="宋体" w:cs="宋体"/>
          <w:b/>
          <w:bCs/>
          <w:color w:val="auto"/>
          <w:highlight w:val="none"/>
          <w:u w:val="single"/>
          <w:lang w:val="zh-CN" w:eastAsia="zh-CN"/>
        </w:rPr>
        <w:t>1年</w:t>
      </w:r>
      <w:r>
        <w:rPr>
          <w:rFonts w:hint="eastAsia" w:ascii="宋体" w:hAnsi="宋体" w:eastAsia="宋体" w:cs="宋体"/>
          <w:b/>
          <w:bCs/>
          <w:color w:val="auto"/>
          <w:highlight w:val="none"/>
          <w:u w:val="single"/>
          <w:lang w:val="zh-CN"/>
        </w:rPr>
        <w:t>的业绩合同在评标时不予考虑</w:t>
      </w:r>
      <w:r>
        <w:rPr>
          <w:rFonts w:hint="eastAsia" w:ascii="宋体" w:hAnsi="宋体" w:eastAsia="宋体" w:cs="宋体"/>
          <w:color w:val="auto"/>
          <w:highlight w:val="none"/>
          <w:lang w:val="zh-CN"/>
        </w:rPr>
        <w:t>。</w:t>
      </w:r>
    </w:p>
    <w:p>
      <w:pPr>
        <w:snapToGrid w:val="0"/>
        <w:spacing w:line="360" w:lineRule="auto"/>
        <w:ind w:left="396" w:leftChars="-58" w:hanging="518" w:hangingChars="247"/>
        <w:outlineLvl w:val="9"/>
        <w:rPr>
          <w:rFonts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w:t>
      </w:r>
      <w:r>
        <w:rPr>
          <w:rFonts w:hint="eastAsia" w:ascii="宋体" w:hAnsi="宋体" w:eastAsia="宋体" w:cs="宋体"/>
          <w:b/>
          <w:bCs/>
          <w:color w:val="auto"/>
          <w:highlight w:val="none"/>
          <w:u w:val="single"/>
          <w:lang w:val="zh-CN"/>
        </w:rPr>
        <w:t>未按上述要求</w:t>
      </w:r>
      <w:r>
        <w:rPr>
          <w:rFonts w:hint="eastAsia" w:ascii="宋体" w:hAnsi="宋体" w:eastAsia="宋体" w:cs="宋体"/>
          <w:b/>
          <w:bCs/>
          <w:color w:val="auto"/>
          <w:highlight w:val="none"/>
          <w:u w:val="single"/>
          <w:lang w:val="en-US" w:eastAsia="zh-CN"/>
        </w:rPr>
        <w:t>在此格式下</w:t>
      </w:r>
      <w:r>
        <w:rPr>
          <w:rFonts w:hint="eastAsia" w:ascii="宋体" w:hAnsi="宋体" w:eastAsia="宋体" w:cs="宋体"/>
          <w:b/>
          <w:bCs/>
          <w:color w:val="auto"/>
          <w:highlight w:val="none"/>
          <w:u w:val="single"/>
          <w:lang w:val="zh-CN"/>
        </w:rPr>
        <w:t>提供证明材料的业绩，或</w:t>
      </w:r>
      <w:r>
        <w:rPr>
          <w:rFonts w:hint="eastAsia" w:ascii="宋体" w:hAnsi="宋体" w:eastAsia="宋体" w:cs="宋体"/>
          <w:b/>
          <w:bCs/>
          <w:color w:val="auto"/>
          <w:highlight w:val="none"/>
          <w:u w:val="single"/>
          <w:lang w:val="en-US" w:eastAsia="zh-CN"/>
        </w:rPr>
        <w:t>在此格式下</w:t>
      </w:r>
      <w:r>
        <w:rPr>
          <w:rFonts w:hint="eastAsia" w:ascii="宋体" w:hAnsi="宋体" w:eastAsia="宋体" w:cs="宋体"/>
          <w:b/>
          <w:bCs/>
          <w:color w:val="auto"/>
          <w:highlight w:val="none"/>
          <w:u w:val="single"/>
          <w:lang w:val="zh-CN"/>
        </w:rPr>
        <w:t>所附材料无法证明填报项目属投标人完成的或不符合本项评分要求的业绩，在评标时将不予考虑</w:t>
      </w:r>
      <w:r>
        <w:rPr>
          <w:rFonts w:hint="eastAsia" w:ascii="宋体" w:hAnsi="宋体" w:eastAsia="宋体" w:cs="宋体"/>
          <w:color w:val="auto"/>
          <w:highlight w:val="none"/>
          <w:lang w:val="zh-CN"/>
        </w:rPr>
        <w:t>。</w:t>
      </w:r>
    </w:p>
    <w:p>
      <w:pPr>
        <w:snapToGrid w:val="0"/>
        <w:spacing w:line="360" w:lineRule="auto"/>
        <w:ind w:left="396" w:leftChars="-58" w:hanging="518" w:hangingChars="247"/>
        <w:outlineLvl w:val="9"/>
        <w:rPr>
          <w:rFonts w:ascii="宋体" w:hAnsi="宋体" w:eastAsia="宋体" w:cs="宋体"/>
          <w:b w:val="0"/>
          <w:bCs w:val="0"/>
          <w:color w:val="auto"/>
          <w:highlight w:val="none"/>
          <w:u w:val="none"/>
          <w:lang w:val="zh-CN"/>
        </w:rPr>
      </w:pPr>
      <w:r>
        <w:rPr>
          <w:rFonts w:hint="eastAsia" w:ascii="宋体" w:hAnsi="宋体" w:eastAsia="宋体" w:cs="宋体"/>
          <w:b w:val="0"/>
          <w:bCs w:val="0"/>
          <w:color w:val="auto"/>
          <w:highlight w:val="none"/>
          <w:u w:val="none"/>
          <w:lang w:val="zh-CN"/>
        </w:rPr>
        <w:t>（</w:t>
      </w:r>
      <w:r>
        <w:rPr>
          <w:rFonts w:hint="eastAsia" w:ascii="宋体" w:hAnsi="宋体" w:eastAsia="宋体" w:cs="宋体"/>
          <w:b w:val="0"/>
          <w:bCs w:val="0"/>
          <w:color w:val="auto"/>
          <w:highlight w:val="none"/>
          <w:u w:val="none"/>
        </w:rPr>
        <w:t>1</w:t>
      </w:r>
      <w:r>
        <w:rPr>
          <w:rFonts w:hint="eastAsia" w:ascii="宋体" w:hAnsi="宋体" w:eastAsia="宋体" w:cs="宋体"/>
          <w:b w:val="0"/>
          <w:bCs w:val="0"/>
          <w:color w:val="auto"/>
          <w:highlight w:val="none"/>
          <w:u w:val="none"/>
          <w:lang w:val="en-US" w:eastAsia="zh-CN"/>
        </w:rPr>
        <w:t>2</w:t>
      </w:r>
      <w:r>
        <w:rPr>
          <w:rFonts w:hint="eastAsia" w:ascii="宋体" w:hAnsi="宋体" w:eastAsia="宋体" w:cs="宋体"/>
          <w:b w:val="0"/>
          <w:bCs w:val="0"/>
          <w:color w:val="auto"/>
          <w:highlight w:val="none"/>
          <w:u w:val="none"/>
          <w:lang w:val="zh-CN"/>
        </w:rPr>
        <w:t>）招标人有权对投标人提供的业绩进行核查，若发现弄虚作假，有权按照评标委员会推荐的中标候选人名单排序依次确定其他中标候选人为中标人或重新招标，并不予退还投标保证金；若合同履行过程中发现弄虚作假，将没收履约担保，并将上报监督管理部门，从严处理。</w:t>
      </w:r>
    </w:p>
    <w:p>
      <w:pPr>
        <w:snapToGrid w:val="0"/>
        <w:spacing w:line="360" w:lineRule="auto"/>
        <w:ind w:left="396" w:leftChars="-58" w:hanging="518" w:hangingChars="247"/>
        <w:outlineLvl w:val="9"/>
        <w:rPr>
          <w:rFonts w:ascii="宋体" w:hAnsi="宋体" w:eastAsia="宋体" w:cs="宋体"/>
          <w:color w:val="auto"/>
          <w:highlight w:val="none"/>
        </w:rPr>
      </w:pPr>
      <w:r>
        <w:rPr>
          <w:rFonts w:hint="eastAsia" w:ascii="宋体" w:hAnsi="宋体" w:eastAsia="宋体" w:cs="宋体"/>
          <w:b w:val="0"/>
          <w:bCs w:val="0"/>
          <w:color w:val="auto"/>
          <w:highlight w:val="none"/>
          <w:u w:val="none"/>
          <w:lang w:val="zh-CN"/>
        </w:rPr>
        <w:t>（</w:t>
      </w:r>
      <w:r>
        <w:rPr>
          <w:rFonts w:hint="eastAsia" w:ascii="宋体" w:hAnsi="宋体" w:eastAsia="宋体" w:cs="宋体"/>
          <w:b w:val="0"/>
          <w:bCs w:val="0"/>
          <w:color w:val="auto"/>
          <w:highlight w:val="none"/>
          <w:u w:val="none"/>
        </w:rPr>
        <w:t>1</w:t>
      </w:r>
      <w:r>
        <w:rPr>
          <w:rFonts w:hint="eastAsia" w:ascii="宋体" w:hAnsi="宋体" w:eastAsia="宋体" w:cs="宋体"/>
          <w:b w:val="0"/>
          <w:bCs w:val="0"/>
          <w:color w:val="auto"/>
          <w:highlight w:val="none"/>
          <w:u w:val="none"/>
          <w:lang w:val="en-US" w:eastAsia="zh-CN"/>
        </w:rPr>
        <w:t>3</w:t>
      </w:r>
      <w:r>
        <w:rPr>
          <w:rFonts w:hint="eastAsia" w:ascii="宋体" w:hAnsi="宋体" w:eastAsia="宋体" w:cs="宋体"/>
          <w:b w:val="0"/>
          <w:bCs w:val="0"/>
          <w:color w:val="auto"/>
          <w:highlight w:val="none"/>
          <w:u w:val="none"/>
          <w:lang w:val="zh-CN"/>
        </w:rPr>
        <w:t>）</w:t>
      </w:r>
      <w:r>
        <w:rPr>
          <w:rFonts w:hint="eastAsia" w:ascii="宋体" w:hAnsi="宋体" w:eastAsia="宋体" w:cs="宋体"/>
          <w:b w:val="0"/>
          <w:bCs w:val="0"/>
          <w:color w:val="auto"/>
          <w:highlight w:val="none"/>
          <w:u w:val="none"/>
        </w:rPr>
        <w:t>在接到招标人通知之日起3个工作日内</w:t>
      </w:r>
      <w:r>
        <w:rPr>
          <w:rFonts w:hint="eastAsia" w:ascii="宋体" w:hAnsi="宋体" w:eastAsia="宋体" w:cs="宋体"/>
          <w:b w:val="0"/>
          <w:bCs w:val="0"/>
          <w:color w:val="auto"/>
          <w:highlight w:val="none"/>
          <w:u w:val="none"/>
          <w:lang w:val="zh-CN"/>
        </w:rPr>
        <w:t>，</w:t>
      </w:r>
      <w:r>
        <w:rPr>
          <w:rFonts w:hint="eastAsia" w:ascii="宋体" w:hAnsi="宋体" w:eastAsia="宋体" w:cs="宋体"/>
          <w:b w:val="0"/>
          <w:bCs w:val="0"/>
          <w:color w:val="auto"/>
          <w:highlight w:val="none"/>
          <w:u w:val="none"/>
        </w:rPr>
        <w:t>投标人必须提供上述合同及其证明材料的原件供招标人核对其真实性</w:t>
      </w:r>
      <w:r>
        <w:rPr>
          <w:rFonts w:hint="eastAsia" w:ascii="宋体" w:hAnsi="宋体" w:eastAsia="宋体" w:cs="宋体"/>
          <w:color w:val="auto"/>
          <w:highlight w:val="none"/>
        </w:rPr>
        <w:t>。</w:t>
      </w:r>
    </w:p>
    <w:p>
      <w:pPr>
        <w:autoSpaceDE w:val="0"/>
        <w:autoSpaceDN w:val="0"/>
        <w:adjustRightInd w:val="0"/>
        <w:spacing w:line="360" w:lineRule="auto"/>
        <w:ind w:firstLine="5040" w:firstLineChars="2400"/>
        <w:jc w:val="left"/>
        <w:outlineLvl w:val="9"/>
        <w:rPr>
          <w:rFonts w:ascii="宋体" w:hAnsi="宋体" w:eastAsia="宋体" w:cs="宋体"/>
          <w:color w:val="auto"/>
          <w:szCs w:val="24"/>
          <w:highlight w:val="none"/>
          <w:lang w:val="zh-CN"/>
        </w:rPr>
      </w:pPr>
    </w:p>
    <w:p>
      <w:pPr>
        <w:autoSpaceDE w:val="0"/>
        <w:autoSpaceDN w:val="0"/>
        <w:adjustRightInd w:val="0"/>
        <w:spacing w:line="360" w:lineRule="auto"/>
        <w:ind w:firstLine="5040" w:firstLineChars="2400"/>
        <w:jc w:val="left"/>
        <w:outlineLvl w:val="9"/>
        <w:rPr>
          <w:rFonts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pPr>
        <w:autoSpaceDE w:val="0"/>
        <w:autoSpaceDN w:val="0"/>
        <w:adjustRightInd w:val="0"/>
        <w:spacing w:line="360" w:lineRule="auto"/>
        <w:ind w:firstLine="5040" w:firstLineChars="2400"/>
        <w:jc w:val="left"/>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pPr>
        <w:autoSpaceDE w:val="0"/>
        <w:autoSpaceDN w:val="0"/>
        <w:adjustRightInd w:val="0"/>
        <w:spacing w:line="360" w:lineRule="auto"/>
        <w:outlineLvl w:val="9"/>
        <w:rPr>
          <w:rFonts w:ascii="宋体" w:hAnsi="宋体" w:eastAsia="宋体" w:cs="宋体"/>
          <w:b/>
          <w:bCs/>
          <w:color w:val="auto"/>
          <w:sz w:val="30"/>
          <w:szCs w:val="30"/>
          <w:highlight w:val="none"/>
          <w:lang w:val="zh-CN"/>
        </w:rPr>
      </w:pPr>
    </w:p>
    <w:p>
      <w:pPr>
        <w:pStyle w:val="2"/>
        <w:pageBreakBefore/>
        <w:spacing w:line="360" w:lineRule="auto"/>
        <w:jc w:val="left"/>
        <w:outlineLvl w:val="9"/>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附表：污泥脱水减量化处理服务单项合同业绩</w:t>
      </w:r>
      <w:r>
        <w:rPr>
          <w:rFonts w:hint="eastAsia" w:ascii="宋体" w:hAnsi="宋体" w:eastAsia="宋体" w:cs="宋体"/>
          <w:color w:val="auto"/>
          <w:sz w:val="28"/>
          <w:szCs w:val="28"/>
          <w:highlight w:val="none"/>
          <w:lang w:val="en-US" w:eastAsia="zh-CN"/>
        </w:rPr>
        <w:t>服务期内单个月份</w:t>
      </w:r>
      <w:r>
        <w:rPr>
          <w:rFonts w:hint="eastAsia" w:ascii="宋体" w:hAnsi="宋体" w:eastAsia="宋体" w:cs="宋体"/>
          <w:color w:val="auto"/>
          <w:sz w:val="28"/>
          <w:szCs w:val="28"/>
          <w:highlight w:val="none"/>
        </w:rPr>
        <w:t>已完成的污泥处理量统计表</w:t>
      </w:r>
    </w:p>
    <w:tbl>
      <w:tblPr>
        <w:tblStyle w:val="38"/>
        <w:tblW w:w="469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0"/>
        <w:gridCol w:w="2524"/>
        <w:gridCol w:w="2532"/>
        <w:gridCol w:w="1399"/>
        <w:gridCol w:w="22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29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日期</w:t>
            </w:r>
          </w:p>
        </w:tc>
        <w:tc>
          <w:tcPr>
            <w:tcW w:w="130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污泥量</w:t>
            </w:r>
          </w:p>
        </w:tc>
        <w:tc>
          <w:tcPr>
            <w:tcW w:w="71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含水率（%）</w:t>
            </w:r>
          </w:p>
        </w:tc>
        <w:tc>
          <w:tcPr>
            <w:tcW w:w="115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污泥转运联单编号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p>
        </w:tc>
        <w:tc>
          <w:tcPr>
            <w:tcW w:w="129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30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15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p>
        </w:tc>
        <w:tc>
          <w:tcPr>
            <w:tcW w:w="129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30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15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p>
        </w:tc>
        <w:tc>
          <w:tcPr>
            <w:tcW w:w="129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30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15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2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p>
        </w:tc>
        <w:tc>
          <w:tcPr>
            <w:tcW w:w="1297"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300"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152" w:type="pct"/>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27" w:type="pct"/>
            <w:gridSpan w:val="3"/>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rPr>
              <w:t>日平均污泥处理量（按含水率80%计）（单位：吨/天）</w:t>
            </w:r>
          </w:p>
        </w:tc>
        <w:tc>
          <w:tcPr>
            <w:tcW w:w="1872" w:type="pct"/>
            <w:gridSpan w:val="2"/>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r>
    </w:tbl>
    <w:p>
      <w:pPr>
        <w:snapToGrid w:val="0"/>
        <w:spacing w:line="360" w:lineRule="auto"/>
        <w:ind w:left="491" w:leftChars="-57" w:hanging="611" w:hangingChars="291"/>
        <w:outlineLvl w:val="9"/>
        <w:rPr>
          <w:rFonts w:ascii="宋体" w:hAnsi="宋体" w:eastAsia="宋体" w:cs="宋体"/>
          <w:color w:val="auto"/>
          <w:szCs w:val="21"/>
          <w:highlight w:val="none"/>
        </w:rPr>
      </w:pPr>
    </w:p>
    <w:p>
      <w:pPr>
        <w:snapToGrid w:val="0"/>
        <w:spacing w:line="360" w:lineRule="auto"/>
        <w:ind w:left="491" w:leftChars="-57" w:hanging="611" w:hangingChars="291"/>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autoSpaceDE w:val="0"/>
        <w:autoSpaceDN w:val="0"/>
        <w:adjustRightInd w:val="0"/>
        <w:snapToGrid w:val="0"/>
        <w:spacing w:line="360" w:lineRule="auto"/>
        <w:ind w:left="481" w:leftChars="-41"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（1）投标人提供无明确污泥处理规模的合同时，必须同时提供合同期限内</w:t>
      </w:r>
      <w:r>
        <w:rPr>
          <w:rFonts w:hint="eastAsia" w:ascii="宋体" w:hAnsi="宋体" w:eastAsia="宋体" w:cs="宋体"/>
          <w:color w:val="auto"/>
          <w:szCs w:val="21"/>
          <w:highlight w:val="none"/>
          <w:lang w:val="en-US" w:eastAsia="zh-CN"/>
        </w:rPr>
        <w:t>单个月份</w:t>
      </w:r>
      <w:r>
        <w:rPr>
          <w:rFonts w:hint="eastAsia" w:ascii="宋体" w:hAnsi="宋体" w:eastAsia="宋体" w:cs="宋体"/>
          <w:color w:val="auto"/>
          <w:szCs w:val="21"/>
          <w:highlight w:val="none"/>
          <w:lang w:val="zh-CN"/>
        </w:rPr>
        <w:t>已处理的生活污水处理厂污泥处理量统计表和污泥转运联单复印件（无转运联单的，提供服务发票复印件及折算处理量数据或污泥产生单位盖章的证明文件替代）以证明污泥处理规模，本统计表及污泥转运联单复印件（无转运联单的，提供服务发票复印件及折算处理量数据或污泥产生单位盖章的证明文件替代）应后附于合同复印件。</w:t>
      </w:r>
    </w:p>
    <w:p>
      <w:pPr>
        <w:autoSpaceDE w:val="0"/>
        <w:autoSpaceDN w:val="0"/>
        <w:adjustRightInd w:val="0"/>
        <w:snapToGrid w:val="0"/>
        <w:spacing w:line="360" w:lineRule="auto"/>
        <w:ind w:left="481" w:leftChars="-41"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（2）污泥转运联单的接</w:t>
      </w:r>
      <w:r>
        <w:rPr>
          <w:rFonts w:hint="eastAsia" w:ascii="宋体" w:hAnsi="宋体" w:eastAsia="宋体" w:cs="宋体"/>
          <w:color w:val="auto"/>
          <w:szCs w:val="21"/>
          <w:highlight w:val="none"/>
          <w:lang w:val="en-US" w:eastAsia="zh-CN"/>
        </w:rPr>
        <w:t>收</w:t>
      </w:r>
      <w:r>
        <w:rPr>
          <w:rFonts w:hint="eastAsia" w:ascii="宋体" w:hAnsi="宋体" w:eastAsia="宋体" w:cs="宋体"/>
          <w:color w:val="auto"/>
          <w:szCs w:val="21"/>
          <w:highlight w:val="none"/>
          <w:lang w:val="zh-CN"/>
        </w:rPr>
        <w:t>单位应为投标人，且污水处理厂名称、日期应与合同约定内容一致，否则不计分。</w:t>
      </w:r>
    </w:p>
    <w:p>
      <w:pPr>
        <w:autoSpaceDE w:val="0"/>
        <w:autoSpaceDN w:val="0"/>
        <w:adjustRightInd w:val="0"/>
        <w:snapToGrid w:val="0"/>
        <w:spacing w:line="360" w:lineRule="auto"/>
        <w:ind w:left="481" w:leftChars="-41"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（3）污泥处理规模按含水率80%的湿泥计，其他含水率需按下列公式折算为含水率80%的湿泥进行评审，不同含水率污泥量的折算公式：（1-Y%）/（1-80%）×A，Y为污泥实际含水率，A为实际含水率对应的污泥量。</w:t>
      </w:r>
    </w:p>
    <w:p>
      <w:pPr>
        <w:autoSpaceDE w:val="0"/>
        <w:autoSpaceDN w:val="0"/>
        <w:adjustRightInd w:val="0"/>
        <w:snapToGrid w:val="0"/>
        <w:spacing w:line="360" w:lineRule="auto"/>
        <w:ind w:left="481" w:leftChars="-41"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（4）日平均污泥处理量按合同期限内</w:t>
      </w:r>
      <w:r>
        <w:rPr>
          <w:rFonts w:hint="eastAsia" w:ascii="宋体" w:hAnsi="宋体" w:eastAsia="宋体" w:cs="宋体"/>
          <w:color w:val="auto"/>
          <w:szCs w:val="21"/>
          <w:highlight w:val="none"/>
          <w:lang w:val="en-US" w:eastAsia="zh-CN"/>
        </w:rPr>
        <w:t>单个月份</w:t>
      </w:r>
      <w:r>
        <w:rPr>
          <w:rFonts w:hint="eastAsia" w:ascii="宋体" w:hAnsi="宋体" w:eastAsia="宋体" w:cs="宋体"/>
          <w:color w:val="auto"/>
          <w:szCs w:val="21"/>
          <w:highlight w:val="none"/>
          <w:lang w:val="zh-CN"/>
        </w:rPr>
        <w:t>已处理的生活污水处理厂污泥处理量除以</w:t>
      </w:r>
      <w:r>
        <w:rPr>
          <w:rFonts w:hint="eastAsia" w:ascii="宋体" w:hAnsi="宋体" w:eastAsia="宋体" w:cs="宋体"/>
          <w:color w:val="auto"/>
          <w:szCs w:val="21"/>
          <w:highlight w:val="none"/>
          <w:lang w:val="en-US" w:eastAsia="zh-CN"/>
        </w:rPr>
        <w:t>单个月份自然天数</w:t>
      </w:r>
      <w:r>
        <w:rPr>
          <w:rFonts w:hint="eastAsia" w:ascii="宋体" w:hAnsi="宋体" w:eastAsia="宋体" w:cs="宋体"/>
          <w:color w:val="auto"/>
          <w:szCs w:val="21"/>
          <w:highlight w:val="none"/>
          <w:lang w:val="zh-CN"/>
        </w:rPr>
        <w:t>进行计算，并以此作为污泥处理规模进行评审。</w:t>
      </w:r>
    </w:p>
    <w:p>
      <w:pPr>
        <w:autoSpaceDE w:val="0"/>
        <w:autoSpaceDN w:val="0"/>
        <w:adjustRightInd w:val="0"/>
        <w:spacing w:line="360" w:lineRule="auto"/>
        <w:ind w:firstLine="602"/>
        <w:outlineLvl w:val="9"/>
        <w:rPr>
          <w:rFonts w:ascii="宋体" w:hAnsi="宋体" w:eastAsia="宋体" w:cs="宋体"/>
          <w:b/>
          <w:bCs/>
          <w:color w:val="auto"/>
          <w:sz w:val="30"/>
          <w:szCs w:val="30"/>
          <w:highlight w:val="none"/>
          <w:lang w:val="zh-CN"/>
        </w:rPr>
      </w:pPr>
    </w:p>
    <w:bookmarkEnd w:id="631"/>
    <w:bookmarkEnd w:id="632"/>
    <w:p>
      <w:pPr>
        <w:pageBreakBefore/>
        <w:spacing w:before="120" w:after="120" w:line="360" w:lineRule="auto"/>
        <w:jc w:val="left"/>
        <w:outlineLvl w:val="9"/>
        <w:rPr>
          <w:rFonts w:ascii="宋体" w:hAnsi="宋体" w:eastAsia="宋体" w:cs="宋体"/>
          <w:b/>
          <w:bCs/>
          <w:color w:val="auto"/>
          <w:kern w:val="0"/>
          <w:sz w:val="32"/>
          <w:szCs w:val="32"/>
          <w:highlight w:val="none"/>
          <w:lang w:val="zh-CN"/>
        </w:rPr>
      </w:pPr>
      <w:bookmarkStart w:id="633" w:name="_Toc104991885"/>
      <w:bookmarkStart w:id="634" w:name="_Toc19890"/>
      <w:bookmarkStart w:id="635" w:name="_Toc18175_WPSOffice_Level2"/>
      <w:bookmarkStart w:id="636" w:name="_Toc1977737"/>
      <w:bookmarkStart w:id="637" w:name="_Toc486167719"/>
      <w:bookmarkStart w:id="638" w:name="_Toc102860427"/>
      <w:bookmarkStart w:id="639" w:name="_Toc94107220"/>
      <w:bookmarkStart w:id="640" w:name="_Toc102860083"/>
      <w:bookmarkStart w:id="641" w:name="_Toc18413"/>
      <w:bookmarkStart w:id="642" w:name="_Toc533708132"/>
      <w:bookmarkStart w:id="643" w:name="_Toc142508378"/>
      <w:bookmarkStart w:id="644" w:name="_Toc31965"/>
      <w:bookmarkStart w:id="645" w:name="_Toc140596938"/>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633"/>
      <w:bookmarkEnd w:id="634"/>
      <w:bookmarkEnd w:id="635"/>
      <w:bookmarkEnd w:id="636"/>
      <w:bookmarkEnd w:id="637"/>
      <w:bookmarkEnd w:id="638"/>
      <w:bookmarkEnd w:id="639"/>
      <w:bookmarkEnd w:id="640"/>
      <w:bookmarkEnd w:id="641"/>
      <w:bookmarkEnd w:id="642"/>
      <w:bookmarkEnd w:id="643"/>
      <w:bookmarkEnd w:id="644"/>
      <w:bookmarkEnd w:id="645"/>
    </w:p>
    <w:p>
      <w:pPr>
        <w:autoSpaceDE w:val="0"/>
        <w:autoSpaceDN w:val="0"/>
        <w:adjustRightInd w:val="0"/>
        <w:spacing w:line="360" w:lineRule="auto"/>
        <w:jc w:val="left"/>
        <w:outlineLvl w:val="9"/>
        <w:rPr>
          <w:rFonts w:ascii="宋体" w:hAnsi="宋体" w:eastAsia="宋体" w:cs="宋体"/>
          <w:color w:val="auto"/>
          <w:szCs w:val="24"/>
          <w:highlight w:val="none"/>
        </w:rPr>
      </w:pPr>
    </w:p>
    <w:p>
      <w:pPr>
        <w:autoSpaceDE w:val="0"/>
        <w:autoSpaceDN w:val="0"/>
        <w:adjustRightInd w:val="0"/>
        <w:spacing w:line="360" w:lineRule="auto"/>
        <w:jc w:val="center"/>
        <w:outlineLvl w:val="9"/>
        <w:rPr>
          <w:rFonts w:ascii="宋体" w:hAnsi="宋体" w:eastAsia="宋体" w:cs="宋体"/>
          <w:b/>
          <w:bCs/>
          <w:color w:val="auto"/>
          <w:kern w:val="0"/>
          <w:sz w:val="24"/>
          <w:szCs w:val="24"/>
          <w:highlight w:val="none"/>
        </w:rPr>
      </w:pPr>
      <w:bookmarkStart w:id="646" w:name="_Toc31832_WPSOffice_Level3"/>
      <w:r>
        <w:rPr>
          <w:rFonts w:hint="eastAsia" w:ascii="宋体" w:hAnsi="宋体" w:eastAsia="宋体" w:cs="宋体"/>
          <w:b/>
          <w:bCs/>
          <w:color w:val="auto"/>
          <w:kern w:val="0"/>
          <w:sz w:val="24"/>
          <w:szCs w:val="24"/>
          <w:highlight w:val="none"/>
        </w:rPr>
        <w:t>投标保证金汇入情况说明</w:t>
      </w:r>
      <w:bookmarkEnd w:id="646"/>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kern w:val="0"/>
          <w:sz w:val="24"/>
          <w:szCs w:val="24"/>
          <w:highlight w:val="none"/>
          <w:u w:val="single"/>
          <w:lang w:val="zh-CN"/>
        </w:rPr>
        <w:t xml:space="preserve">   </w:t>
      </w:r>
      <w:r>
        <w:rPr>
          <w:rFonts w:hint="eastAsia" w:ascii="宋体" w:hAnsi="宋体" w:eastAsia="宋体" w:cs="宋体"/>
          <w:b/>
          <w:bCs/>
          <w:color w:val="auto"/>
          <w:kern w:val="0"/>
          <w:sz w:val="24"/>
          <w:szCs w:val="24"/>
          <w:highlight w:val="none"/>
          <w:lang w:val="zh-CN"/>
        </w:rPr>
        <w:t>包组)</w:t>
      </w:r>
    </w:p>
    <w:p>
      <w:pPr>
        <w:autoSpaceDE w:val="0"/>
        <w:autoSpaceDN w:val="0"/>
        <w:adjustRightInd w:val="0"/>
        <w:spacing w:line="360" w:lineRule="auto"/>
        <w:jc w:val="center"/>
        <w:outlineLvl w:val="9"/>
        <w:rPr>
          <w:rFonts w:ascii="宋体" w:hAnsi="宋体" w:eastAsia="宋体" w:cs="宋体"/>
          <w:b/>
          <w:bCs/>
          <w:color w:val="auto"/>
          <w:kern w:val="0"/>
          <w:szCs w:val="24"/>
          <w:highlight w:val="none"/>
        </w:rPr>
      </w:pP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highlight w:val="none"/>
        </w:rPr>
        <w:t>广东有德招标采购有限公司</w:t>
      </w:r>
      <w:r>
        <w:rPr>
          <w:rFonts w:hint="eastAsia" w:ascii="宋体" w:hAnsi="宋体" w:eastAsia="宋体" w:cs="宋体"/>
          <w:color w:val="auto"/>
          <w:szCs w:val="21"/>
          <w:highlight w:val="none"/>
        </w:rPr>
        <w:t>：</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rPr>
        <w:t>东莞市众源环境投资有限公司污泥脱水减量配合服务采购项目</w:t>
      </w:r>
      <w:r>
        <w:rPr>
          <w:rFonts w:hint="eastAsia" w:ascii="宋体" w:hAnsi="宋体" w:eastAsia="宋体" w:cs="宋体"/>
          <w:color w:val="auto"/>
          <w:szCs w:val="21"/>
          <w:highlight w:val="none"/>
          <w:u w:val="single"/>
          <w:lang w:val="zh-CN"/>
        </w:rPr>
        <w:t>(   包组)</w:t>
      </w:r>
      <w:r>
        <w:rPr>
          <w:rFonts w:hint="eastAsia" w:ascii="宋体" w:hAnsi="宋体" w:eastAsia="宋体" w:cs="宋体"/>
          <w:color w:val="auto"/>
          <w:szCs w:val="21"/>
          <w:highlight w:val="none"/>
          <w:u w:val="single"/>
        </w:rPr>
        <w:t>（招标编号：</w:t>
      </w:r>
      <w:bookmarkStart w:id="647" w:name="_Hlk154153752"/>
      <w:r>
        <w:rPr>
          <w:rFonts w:hint="eastAsia" w:ascii="宋体" w:hAnsi="宋体" w:eastAsia="宋体" w:cs="宋体"/>
          <w:color w:val="auto"/>
          <w:szCs w:val="21"/>
          <w:highlight w:val="none"/>
          <w:u w:val="single"/>
          <w:lang w:val="zh-CN"/>
        </w:rPr>
        <w:t>YDZB23DGQY0240</w:t>
      </w:r>
      <w:bookmarkEnd w:id="647"/>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本单位投标保证金的汇款情况：（详见附件－投标保证金进账单）</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pPr>
        <w:spacing w:line="360" w:lineRule="auto"/>
        <w:ind w:firstLine="424" w:firstLineChars="202"/>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rPr>
        <w:t>（大写）人民币      元（小写：¥      元）</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pPr>
        <w:spacing w:line="360" w:lineRule="auto"/>
        <w:ind w:firstLine="424" w:firstLineChars="202"/>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投标保证金退回时，请按上述资料退回。</w:t>
      </w:r>
    </w:p>
    <w:p>
      <w:pPr>
        <w:spacing w:line="360" w:lineRule="auto"/>
        <w:ind w:right="844" w:rightChars="402" w:firstLine="424" w:firstLineChars="202"/>
        <w:jc w:val="right"/>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pPr>
        <w:spacing w:line="360" w:lineRule="auto"/>
        <w:ind w:right="628" w:rightChars="299" w:firstLine="7774" w:firstLineChars="3702"/>
        <w:jc w:val="left"/>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pPr>
        <w:spacing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pPr>
        <w:spacing w:line="360" w:lineRule="auto"/>
        <w:ind w:left="340" w:leftChars="162" w:firstLine="425"/>
        <w:outlineLvl w:val="9"/>
        <w:rPr>
          <w:rFonts w:ascii="宋体" w:hAnsi="宋体" w:eastAsia="宋体" w:cs="宋体"/>
          <w:b/>
          <w:bCs/>
          <w:color w:val="auto"/>
          <w:szCs w:val="21"/>
          <w:highlight w:val="none"/>
        </w:rPr>
      </w:pPr>
      <w:bookmarkStart w:id="648" w:name="_Toc26208_WPSOffice_Level3"/>
      <w:r>
        <w:rPr>
          <w:rFonts w:hint="eastAsia" w:ascii="宋体" w:hAnsi="宋体" w:eastAsia="宋体" w:cs="宋体"/>
          <w:b/>
          <w:bCs/>
          <w:color w:val="auto"/>
          <w:szCs w:val="21"/>
          <w:highlight w:val="none"/>
        </w:rPr>
        <w:t>附：1、我方投标保证金汇款凭证（复印件）</w:t>
      </w:r>
      <w:bookmarkEnd w:id="648"/>
    </w:p>
    <w:p>
      <w:pPr>
        <w:spacing w:line="360" w:lineRule="auto"/>
        <w:ind w:left="340" w:leftChars="162" w:firstLine="839" w:firstLineChars="398"/>
        <w:outlineLvl w:val="9"/>
        <w:rPr>
          <w:rFonts w:ascii="宋体" w:hAnsi="宋体" w:eastAsia="宋体" w:cs="宋体"/>
          <w:b/>
          <w:bCs/>
          <w:color w:val="auto"/>
          <w:szCs w:val="21"/>
          <w:highlight w:val="none"/>
        </w:rPr>
      </w:pPr>
      <w:bookmarkStart w:id="649" w:name="_Toc12992_WPSOffice_Level3"/>
      <w:r>
        <w:rPr>
          <w:rFonts w:hint="eastAsia" w:ascii="宋体" w:hAnsi="宋体" w:eastAsia="宋体" w:cs="宋体"/>
          <w:b/>
          <w:bCs/>
          <w:color w:val="auto"/>
          <w:szCs w:val="21"/>
          <w:highlight w:val="none"/>
        </w:rPr>
        <w:t>2、我方基本账户开户许可证（复印件）</w:t>
      </w:r>
      <w:bookmarkEnd w:id="649"/>
    </w:p>
    <w:p>
      <w:pPr>
        <w:spacing w:line="360" w:lineRule="auto"/>
        <w:ind w:left="340" w:leftChars="162" w:firstLine="736" w:firstLineChars="349"/>
        <w:outlineLvl w:val="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pPr>
        <w:autoSpaceDE w:val="0"/>
        <w:autoSpaceDN w:val="0"/>
        <w:adjustRightInd w:val="0"/>
        <w:spacing w:line="360" w:lineRule="auto"/>
        <w:ind w:firstLine="5145" w:firstLineChars="2450"/>
        <w:outlineLvl w:val="9"/>
        <w:rPr>
          <w:rFonts w:ascii="宋体" w:hAnsi="宋体" w:eastAsia="宋体" w:cs="宋体"/>
          <w:color w:val="auto"/>
          <w:szCs w:val="24"/>
          <w:highlight w:val="none"/>
          <w:lang w:val="zh-CN"/>
        </w:rPr>
      </w:pPr>
    </w:p>
    <w:p>
      <w:pPr>
        <w:spacing w:line="360" w:lineRule="auto"/>
        <w:outlineLvl w:val="9"/>
        <w:rPr>
          <w:rFonts w:ascii="宋体" w:hAnsi="宋体" w:eastAsia="宋体" w:cs="宋体"/>
          <w:b/>
          <w:color w:val="auto"/>
          <w:kern w:val="0"/>
          <w:szCs w:val="21"/>
          <w:highlight w:val="none"/>
        </w:rPr>
      </w:pPr>
      <w:bookmarkStart w:id="650" w:name="_Toc533708134"/>
      <w:bookmarkStart w:id="651" w:name="_Toc486167721"/>
    </w:p>
    <w:p>
      <w:pPr>
        <w:tabs>
          <w:tab w:val="left" w:pos="567"/>
        </w:tabs>
        <w:autoSpaceDE w:val="0"/>
        <w:autoSpaceDN w:val="0"/>
        <w:adjustRightInd w:val="0"/>
        <w:spacing w:line="360" w:lineRule="auto"/>
        <w:ind w:left="357" w:leftChars="-100" w:hanging="567"/>
        <w:jc w:val="left"/>
        <w:outlineLvl w:val="9"/>
        <w:rPr>
          <w:rFonts w:ascii="宋体" w:hAnsi="宋体" w:eastAsia="宋体" w:cs="宋体"/>
          <w:b/>
          <w:bCs/>
          <w:color w:val="auto"/>
          <w:kern w:val="0"/>
          <w:sz w:val="32"/>
          <w:szCs w:val="32"/>
          <w:highlight w:val="none"/>
          <w:lang w:val="zh-CN"/>
        </w:rPr>
      </w:pPr>
      <w:bookmarkStart w:id="652" w:name="_Toc104991886"/>
      <w:bookmarkStart w:id="653" w:name="_Toc102860428"/>
      <w:bookmarkStart w:id="654" w:name="_Toc94107221"/>
      <w:bookmarkStart w:id="655" w:name="_Toc142508379"/>
      <w:bookmarkStart w:id="656" w:name="_Toc102860084"/>
      <w:bookmarkStart w:id="657" w:name="_Toc24616"/>
      <w:bookmarkStart w:id="658" w:name="_Toc140596939"/>
      <w:bookmarkStart w:id="659" w:name="_Toc1977738"/>
    </w:p>
    <w:p>
      <w:pPr>
        <w:tabs>
          <w:tab w:val="left" w:pos="567"/>
        </w:tabs>
        <w:autoSpaceDE w:val="0"/>
        <w:autoSpaceDN w:val="0"/>
        <w:adjustRightInd w:val="0"/>
        <w:spacing w:line="360" w:lineRule="auto"/>
        <w:ind w:left="357" w:leftChars="-100" w:hanging="567"/>
        <w:jc w:val="left"/>
        <w:outlineLvl w:val="9"/>
        <w:rPr>
          <w:rFonts w:ascii="宋体" w:hAnsi="宋体" w:eastAsia="宋体" w:cs="宋体"/>
          <w:b/>
          <w:bCs/>
          <w:color w:val="auto"/>
          <w:kern w:val="0"/>
          <w:sz w:val="32"/>
          <w:szCs w:val="32"/>
          <w:highlight w:val="none"/>
          <w:lang w:val="zh-CN"/>
        </w:rPr>
      </w:pPr>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60" w:name="_Toc2007"/>
      <w:bookmarkStart w:id="661" w:name="_Toc2965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二</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52"/>
      <w:bookmarkEnd w:id="653"/>
      <w:bookmarkEnd w:id="654"/>
      <w:bookmarkEnd w:id="655"/>
      <w:bookmarkEnd w:id="656"/>
      <w:bookmarkEnd w:id="657"/>
      <w:bookmarkEnd w:id="658"/>
      <w:bookmarkEnd w:id="659"/>
      <w:bookmarkEnd w:id="660"/>
      <w:bookmarkEnd w:id="661"/>
    </w:p>
    <w:p>
      <w:pPr>
        <w:tabs>
          <w:tab w:val="left" w:pos="567"/>
        </w:tabs>
        <w:autoSpaceDE w:val="0"/>
        <w:autoSpaceDN w:val="0"/>
        <w:adjustRightInd w:val="0"/>
        <w:spacing w:line="360" w:lineRule="auto"/>
        <w:ind w:left="357" w:leftChars="-100" w:hanging="567"/>
        <w:jc w:val="left"/>
        <w:outlineLvl w:val="9"/>
        <w:rPr>
          <w:rFonts w:ascii="宋体" w:hAnsi="宋体" w:eastAsia="宋体" w:cs="宋体"/>
          <w:b/>
          <w:color w:val="auto"/>
          <w:kern w:val="0"/>
          <w:sz w:val="32"/>
          <w:szCs w:val="32"/>
          <w:highlight w:val="none"/>
        </w:rPr>
      </w:pPr>
      <w:bookmarkStart w:id="662" w:name="_Toc18038"/>
      <w:bookmarkStart w:id="663" w:name="_Toc104991887"/>
      <w:bookmarkStart w:id="664" w:name="_Toc142508380"/>
      <w:bookmarkStart w:id="665" w:name="_Toc102860429"/>
      <w:bookmarkStart w:id="666" w:name="_Toc94107222"/>
      <w:bookmarkStart w:id="667" w:name="_Toc27482"/>
      <w:bookmarkStart w:id="668" w:name="_Toc1977739"/>
      <w:bookmarkStart w:id="669" w:name="_Toc31916"/>
      <w:bookmarkStart w:id="670" w:name="_Toc140596940"/>
      <w:bookmarkStart w:id="671" w:name="_Toc102860085"/>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、技术响应文件格式</w:t>
      </w:r>
      <w:bookmarkEnd w:id="650"/>
      <w:bookmarkEnd w:id="662"/>
      <w:bookmarkEnd w:id="663"/>
      <w:bookmarkEnd w:id="664"/>
      <w:bookmarkEnd w:id="665"/>
      <w:bookmarkEnd w:id="666"/>
      <w:bookmarkEnd w:id="667"/>
      <w:bookmarkEnd w:id="668"/>
      <w:bookmarkEnd w:id="669"/>
      <w:bookmarkEnd w:id="670"/>
      <w:bookmarkEnd w:id="671"/>
      <w:r>
        <w:rPr>
          <w:rFonts w:hint="eastAsia" w:ascii="宋体" w:hAnsi="宋体" w:eastAsia="宋体" w:cs="宋体"/>
          <w:b/>
          <w:color w:val="auto"/>
          <w:kern w:val="0"/>
          <w:sz w:val="32"/>
          <w:szCs w:val="32"/>
          <w:highlight w:val="none"/>
          <w:lang w:val="zh-CN"/>
        </w:rPr>
        <w:t>(</w:t>
      </w:r>
      <w:r>
        <w:rPr>
          <w:rFonts w:hint="eastAsia" w:ascii="宋体" w:hAnsi="宋体" w:eastAsia="宋体" w:cs="宋体"/>
          <w:b/>
          <w:color w:val="auto"/>
          <w:kern w:val="0"/>
          <w:sz w:val="32"/>
          <w:szCs w:val="32"/>
          <w:highlight w:val="none"/>
          <w:u w:val="single"/>
          <w:lang w:val="zh-CN"/>
        </w:rPr>
        <w:t xml:space="preserve">   </w:t>
      </w:r>
      <w:r>
        <w:rPr>
          <w:rFonts w:hint="eastAsia" w:ascii="宋体" w:hAnsi="宋体" w:eastAsia="宋体" w:cs="宋体"/>
          <w:b/>
          <w:color w:val="auto"/>
          <w:kern w:val="0"/>
          <w:sz w:val="32"/>
          <w:szCs w:val="32"/>
          <w:highlight w:val="none"/>
          <w:lang w:val="zh-CN"/>
        </w:rPr>
        <w:t>包组)</w:t>
      </w:r>
    </w:p>
    <w:p>
      <w:pPr>
        <w:tabs>
          <w:tab w:val="left" w:pos="8640"/>
        </w:tabs>
        <w:spacing w:line="360" w:lineRule="auto"/>
        <w:ind w:firstLine="420" w:firstLineChars="20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pPr>
        <w:spacing w:line="360" w:lineRule="auto"/>
        <w:ind w:left="443" w:leftChars="77" w:hanging="281" w:hangingChars="134"/>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lang w:val="zh-CN"/>
        </w:rPr>
        <w:t>用户需求响应程度</w:t>
      </w:r>
      <w:r>
        <w:rPr>
          <w:rFonts w:hint="eastAsia" w:ascii="宋体" w:hAnsi="宋体" w:eastAsia="宋体" w:cs="宋体"/>
          <w:color w:val="auto"/>
          <w:kern w:val="0"/>
          <w:szCs w:val="21"/>
          <w:highlight w:val="none"/>
        </w:rPr>
        <w:t>（即1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.1用户需求偏离表格式）；</w:t>
      </w:r>
    </w:p>
    <w:p>
      <w:pPr>
        <w:spacing w:line="360" w:lineRule="auto"/>
        <w:ind w:left="443" w:leftChars="77" w:hanging="281" w:hangingChars="134"/>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rPr>
        <w:t>总体服务方案</w:t>
      </w:r>
      <w:r>
        <w:rPr>
          <w:rFonts w:hint="eastAsia" w:ascii="宋体" w:hAnsi="宋体" w:eastAsia="宋体" w:cs="宋体"/>
          <w:color w:val="auto"/>
          <w:kern w:val="0"/>
          <w:szCs w:val="21"/>
          <w:highlight w:val="none"/>
        </w:rPr>
        <w:t>；</w:t>
      </w:r>
    </w:p>
    <w:p>
      <w:pPr>
        <w:spacing w:line="360" w:lineRule="auto"/>
        <w:ind w:left="443" w:leftChars="77" w:hanging="281" w:hangingChars="134"/>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lang w:val="en-US" w:eastAsia="zh-CN"/>
        </w:rPr>
        <w:t>服务团队</w:t>
      </w:r>
      <w:r>
        <w:rPr>
          <w:rFonts w:hint="eastAsia" w:ascii="宋体" w:hAnsi="宋体" w:eastAsia="宋体" w:cs="宋体"/>
          <w:color w:val="auto"/>
          <w:szCs w:val="21"/>
          <w:highlight w:val="none"/>
        </w:rPr>
        <w:t>情况</w:t>
      </w:r>
      <w:r>
        <w:rPr>
          <w:rFonts w:hint="eastAsia" w:ascii="宋体" w:hAnsi="宋体" w:eastAsia="宋体" w:cs="宋体"/>
          <w:color w:val="auto"/>
          <w:kern w:val="0"/>
          <w:szCs w:val="21"/>
          <w:highlight w:val="none"/>
        </w:rPr>
        <w:t>；</w:t>
      </w:r>
    </w:p>
    <w:p>
      <w:pPr>
        <w:spacing w:line="360" w:lineRule="auto"/>
        <w:ind w:left="443" w:leftChars="77" w:hanging="281" w:hangingChars="134"/>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应急预案和保障措施</w:t>
      </w:r>
      <w:r>
        <w:rPr>
          <w:rFonts w:hint="eastAsia" w:ascii="宋体" w:hAnsi="宋体" w:eastAsia="宋体" w:cs="宋体"/>
          <w:color w:val="auto"/>
          <w:kern w:val="0"/>
          <w:szCs w:val="21"/>
          <w:highlight w:val="none"/>
        </w:rPr>
        <w:t>；</w:t>
      </w:r>
    </w:p>
    <w:p>
      <w:pPr>
        <w:spacing w:line="360" w:lineRule="auto"/>
        <w:ind w:left="443" w:leftChars="77" w:hanging="281" w:hangingChars="134"/>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5、投标人认为有必要提供的其它材料（不做强制要求）。</w:t>
      </w:r>
    </w:p>
    <w:p>
      <w:pPr>
        <w:pStyle w:val="21"/>
        <w:spacing w:line="360" w:lineRule="auto"/>
        <w:jc w:val="center"/>
        <w:outlineLvl w:val="9"/>
        <w:rPr>
          <w:rFonts w:ascii="宋体" w:hAnsi="宋体" w:cs="宋体"/>
          <w:b/>
          <w:color w:val="auto"/>
          <w:kern w:val="0"/>
          <w:szCs w:val="21"/>
          <w:highlight w:val="none"/>
        </w:rPr>
      </w:pPr>
      <w:r>
        <w:rPr>
          <w:rFonts w:hint="eastAsia" w:ascii="宋体" w:hAnsi="宋体" w:cs="宋体"/>
          <w:b/>
          <w:color w:val="auto"/>
          <w:kern w:val="0"/>
          <w:szCs w:val="21"/>
          <w:highlight w:val="none"/>
        </w:rPr>
        <w:br w:type="page"/>
      </w:r>
      <w:bookmarkEnd w:id="651"/>
      <w:bookmarkStart w:id="672" w:name="_Toc102860430"/>
      <w:bookmarkStart w:id="673" w:name="_Toc533708135"/>
      <w:bookmarkStart w:id="674" w:name="_Toc94107223"/>
      <w:bookmarkStart w:id="675" w:name="_Toc104991888"/>
      <w:bookmarkStart w:id="676" w:name="_Toc102860086"/>
      <w:bookmarkStart w:id="677" w:name="_Toc140596941"/>
      <w:bookmarkStart w:id="678" w:name="_Toc142508381"/>
      <w:bookmarkStart w:id="679" w:name="_Toc1977740"/>
    </w:p>
    <w:p>
      <w:pPr>
        <w:pStyle w:val="21"/>
        <w:spacing w:line="360" w:lineRule="auto"/>
        <w:jc w:val="center"/>
        <w:outlineLvl w:val="9"/>
        <w:rPr>
          <w:rFonts w:ascii="宋体" w:hAnsi="宋体" w:cs="宋体"/>
          <w:b/>
          <w:color w:val="auto"/>
          <w:kern w:val="0"/>
          <w:szCs w:val="21"/>
          <w:highlight w:val="none"/>
        </w:rPr>
      </w:pPr>
    </w:p>
    <w:p>
      <w:pPr>
        <w:pStyle w:val="21"/>
        <w:spacing w:line="360" w:lineRule="auto"/>
        <w:jc w:val="center"/>
        <w:outlineLvl w:val="9"/>
        <w:rPr>
          <w:rFonts w:ascii="宋体" w:hAnsi="宋体" w:cs="宋体"/>
          <w:b/>
          <w:color w:val="auto"/>
          <w:kern w:val="0"/>
          <w:szCs w:val="21"/>
          <w:highlight w:val="none"/>
        </w:rPr>
      </w:pPr>
    </w:p>
    <w:p>
      <w:pPr>
        <w:pStyle w:val="21"/>
        <w:spacing w:line="360" w:lineRule="auto"/>
        <w:jc w:val="center"/>
        <w:outlineLvl w:val="9"/>
        <w:rPr>
          <w:rFonts w:ascii="宋体" w:hAnsi="宋体" w:cs="宋体"/>
          <w:b/>
          <w:color w:val="auto"/>
          <w:kern w:val="0"/>
          <w:szCs w:val="21"/>
          <w:highlight w:val="none"/>
        </w:rPr>
      </w:pPr>
    </w:p>
    <w:p>
      <w:pPr>
        <w:pStyle w:val="21"/>
        <w:spacing w:line="360" w:lineRule="auto"/>
        <w:jc w:val="center"/>
        <w:outlineLvl w:val="9"/>
        <w:rPr>
          <w:rFonts w:ascii="宋体" w:hAnsi="宋体" w:cs="宋体"/>
          <w:b/>
          <w:color w:val="auto"/>
          <w:kern w:val="0"/>
          <w:szCs w:val="21"/>
          <w:highlight w:val="none"/>
        </w:rPr>
      </w:pPr>
    </w:p>
    <w:p>
      <w:pPr>
        <w:pStyle w:val="21"/>
        <w:spacing w:line="360" w:lineRule="auto"/>
        <w:jc w:val="center"/>
        <w:outlineLvl w:val="9"/>
        <w:rPr>
          <w:rFonts w:ascii="宋体" w:hAnsi="宋体" w:cs="宋体"/>
          <w:b/>
          <w:color w:val="auto"/>
          <w:kern w:val="0"/>
          <w:szCs w:val="21"/>
          <w:highlight w:val="none"/>
        </w:rPr>
      </w:pPr>
    </w:p>
    <w:p>
      <w:pPr>
        <w:pStyle w:val="21"/>
        <w:spacing w:line="360" w:lineRule="auto"/>
        <w:jc w:val="center"/>
        <w:outlineLvl w:val="9"/>
        <w:rPr>
          <w:rFonts w:ascii="宋体" w:hAnsi="宋体" w:cs="宋体"/>
          <w:b/>
          <w:color w:val="auto"/>
          <w:kern w:val="0"/>
          <w:szCs w:val="21"/>
          <w:highlight w:val="none"/>
        </w:rPr>
      </w:pPr>
    </w:p>
    <w:p>
      <w:pPr>
        <w:pStyle w:val="21"/>
        <w:spacing w:line="360" w:lineRule="auto"/>
        <w:jc w:val="center"/>
        <w:outlineLvl w:val="9"/>
        <w:rPr>
          <w:rFonts w:ascii="宋体" w:hAnsi="宋体" w:cs="宋体"/>
          <w:b/>
          <w:color w:val="auto"/>
          <w:kern w:val="0"/>
          <w:szCs w:val="21"/>
          <w:highlight w:val="none"/>
        </w:rPr>
      </w:pPr>
    </w:p>
    <w:p>
      <w:pPr>
        <w:pStyle w:val="21"/>
        <w:spacing w:line="360" w:lineRule="auto"/>
        <w:jc w:val="center"/>
        <w:outlineLvl w:val="9"/>
        <w:rPr>
          <w:rFonts w:ascii="宋体" w:hAnsi="宋体" w:cs="宋体"/>
          <w:b/>
          <w:color w:val="auto"/>
          <w:kern w:val="0"/>
          <w:szCs w:val="21"/>
          <w:highlight w:val="none"/>
        </w:rPr>
      </w:pPr>
    </w:p>
    <w:p>
      <w:pPr>
        <w:pStyle w:val="21"/>
        <w:spacing w:line="360" w:lineRule="auto"/>
        <w:jc w:val="center"/>
        <w:outlineLvl w:val="9"/>
        <w:rPr>
          <w:rFonts w:ascii="宋体" w:hAnsi="宋体" w:cs="宋体"/>
          <w:color w:val="auto"/>
          <w:sz w:val="84"/>
          <w:highlight w:val="none"/>
        </w:rPr>
      </w:pPr>
      <w:r>
        <w:rPr>
          <w:rFonts w:hint="eastAsia" w:ascii="宋体" w:hAnsi="宋体" w:cs="宋体"/>
          <w:color w:val="auto"/>
          <w:sz w:val="84"/>
          <w:highlight w:val="none"/>
        </w:rPr>
        <w:t>投 标 文 件</w:t>
      </w: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p>
    <w:p>
      <w:pPr>
        <w:pStyle w:val="21"/>
        <w:spacing w:line="360" w:lineRule="auto"/>
        <w:ind w:firstLine="1875" w:firstLineChars="625"/>
        <w:outlineLvl w:val="9"/>
        <w:rPr>
          <w:rFonts w:hint="eastAsia" w:ascii="宋体" w:hAnsi="宋体" w:cs="宋体"/>
          <w:color w:val="auto"/>
          <w:sz w:val="30"/>
          <w:highlight w:val="none"/>
        </w:rPr>
      </w:pPr>
      <w:r>
        <w:rPr>
          <w:rFonts w:hint="eastAsia" w:ascii="宋体" w:hAnsi="宋体" w:cs="宋体"/>
          <w:color w:val="auto"/>
          <w:sz w:val="30"/>
          <w:highlight w:val="none"/>
        </w:rPr>
        <w:t>招标编号：</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val="zh-CN"/>
        </w:rPr>
        <w:t>YDZB23DGQY0240</w:t>
      </w:r>
      <w:r>
        <w:rPr>
          <w:rFonts w:hint="eastAsia" w:ascii="宋体" w:hAnsi="宋体" w:cs="宋体"/>
          <w:color w:val="auto"/>
          <w:sz w:val="30"/>
          <w:highlight w:val="none"/>
          <w:u w:val="single"/>
        </w:rPr>
        <w:t xml:space="preserve"> </w:t>
      </w:r>
    </w:p>
    <w:p>
      <w:pPr>
        <w:pStyle w:val="21"/>
        <w:spacing w:line="360" w:lineRule="auto"/>
        <w:ind w:left="2356" w:leftChars="1122" w:firstLine="75" w:firstLineChars="25"/>
        <w:outlineLvl w:val="9"/>
        <w:rPr>
          <w:rFonts w:hint="eastAsia" w:ascii="宋体" w:hAnsi="宋体" w:cs="宋体"/>
          <w:color w:val="auto"/>
          <w:sz w:val="30"/>
          <w:highlight w:val="none"/>
          <w:u w:val="single"/>
          <w:lang w:val="en-US" w:eastAsia="zh-CN"/>
        </w:rPr>
      </w:pPr>
      <w:r>
        <w:rPr>
          <w:rFonts w:hint="eastAsia" w:ascii="宋体" w:hAnsi="宋体" w:cs="宋体"/>
          <w:color w:val="auto"/>
          <w:sz w:val="30"/>
          <w:highlight w:val="none"/>
        </w:rPr>
        <w:t>项目名称：</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val="en-US" w:eastAsia="zh-CN"/>
        </w:rPr>
        <w:t>东莞市众源环境投资有限公司污泥脱水</w:t>
      </w:r>
    </w:p>
    <w:p>
      <w:pPr>
        <w:pStyle w:val="21"/>
        <w:spacing w:line="360" w:lineRule="auto"/>
        <w:ind w:left="2356" w:leftChars="1122" w:firstLine="75" w:firstLineChars="25"/>
        <w:outlineLvl w:val="9"/>
        <w:rPr>
          <w:rFonts w:hint="eastAsia" w:ascii="宋体" w:hAnsi="宋体" w:cs="宋体"/>
          <w:color w:val="auto"/>
          <w:sz w:val="30"/>
          <w:highlight w:val="none"/>
          <w:u w:val="single"/>
        </w:rPr>
      </w:pPr>
      <w:r>
        <w:rPr>
          <w:rFonts w:hint="eastAsia" w:ascii="宋体" w:hAnsi="宋体" w:cs="宋体"/>
          <w:color w:val="auto"/>
          <w:sz w:val="30"/>
          <w:highlight w:val="none"/>
          <w:u w:val="single"/>
          <w:lang w:val="en-US" w:eastAsia="zh-CN"/>
        </w:rPr>
        <w:t>减量配合服务采购项目（    包组）</w:t>
      </w:r>
    </w:p>
    <w:p>
      <w:pPr>
        <w:pStyle w:val="21"/>
        <w:spacing w:line="360" w:lineRule="auto"/>
        <w:ind w:firstLine="1875" w:firstLineChars="625"/>
        <w:outlineLvl w:val="9"/>
        <w:rPr>
          <w:rFonts w:ascii="宋体" w:hAnsi="宋体" w:cs="宋体"/>
          <w:color w:val="auto"/>
          <w:sz w:val="30"/>
          <w:highlight w:val="none"/>
          <w:u w:val="single"/>
        </w:rPr>
      </w:pPr>
      <w:r>
        <w:rPr>
          <w:rFonts w:hint="eastAsia" w:ascii="宋体" w:hAnsi="宋体" w:cs="宋体"/>
          <w:color w:val="auto"/>
          <w:sz w:val="30"/>
          <w:highlight w:val="none"/>
        </w:rPr>
        <w:t>投标文件内容：</w:t>
      </w:r>
      <w:r>
        <w:rPr>
          <w:rFonts w:hint="eastAsia" w:ascii="宋体" w:hAnsi="宋体" w:cs="宋体"/>
          <w:color w:val="auto"/>
          <w:sz w:val="30"/>
          <w:highlight w:val="none"/>
          <w:u w:val="single"/>
        </w:rPr>
        <w:t xml:space="preserve"> 投标文件技术部分 </w:t>
      </w:r>
    </w:p>
    <w:p>
      <w:pPr>
        <w:pStyle w:val="21"/>
        <w:spacing w:line="360" w:lineRule="auto"/>
        <w:ind w:firstLine="1875" w:firstLineChars="625"/>
        <w:outlineLvl w:val="9"/>
        <w:rPr>
          <w:rFonts w:hint="default" w:ascii="宋体" w:hAnsi="宋体" w:cs="宋体"/>
          <w:color w:val="auto"/>
          <w:sz w:val="30"/>
          <w:highlight w:val="none"/>
          <w:lang w:val="en-US"/>
        </w:rPr>
      </w:pPr>
      <w:r>
        <w:rPr>
          <w:rFonts w:hint="eastAsia" w:ascii="宋体" w:hAnsi="宋体" w:cs="宋体"/>
          <w:color w:val="auto"/>
          <w:sz w:val="30"/>
          <w:highlight w:val="none"/>
        </w:rPr>
        <w:t>招标人：</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val="en-US" w:eastAsia="zh-CN"/>
        </w:rPr>
        <w:t xml:space="preserve">东莞市众源环境投资有限公司 </w:t>
      </w:r>
    </w:p>
    <w:p>
      <w:pPr>
        <w:pStyle w:val="21"/>
        <w:spacing w:line="360" w:lineRule="auto"/>
        <w:ind w:firstLine="1875" w:firstLineChars="625"/>
        <w:outlineLvl w:val="9"/>
        <w:rPr>
          <w:rFonts w:ascii="宋体" w:hAnsi="宋体" w:cs="宋体"/>
          <w:color w:val="auto"/>
          <w:sz w:val="30"/>
          <w:highlight w:val="none"/>
          <w:u w:val="single"/>
        </w:rPr>
      </w:pPr>
      <w:r>
        <w:rPr>
          <w:rFonts w:hint="eastAsia" w:ascii="宋体" w:hAnsi="宋体" w:cs="宋体"/>
          <w:color w:val="auto"/>
          <w:sz w:val="30"/>
          <w:highlight w:val="none"/>
        </w:rPr>
        <w:t>投标人：</w:t>
      </w:r>
      <w:r>
        <w:rPr>
          <w:rFonts w:hint="eastAsia" w:ascii="宋体" w:hAnsi="宋体" w:cs="宋体"/>
          <w:color w:val="auto"/>
          <w:sz w:val="30"/>
          <w:highlight w:val="none"/>
          <w:u w:val="single"/>
        </w:rPr>
        <w:t xml:space="preserve">                        </w:t>
      </w:r>
    </w:p>
    <w:p>
      <w:pPr>
        <w:pStyle w:val="21"/>
        <w:spacing w:line="360" w:lineRule="auto"/>
        <w:ind w:firstLine="1875" w:firstLineChars="625"/>
        <w:outlineLvl w:val="9"/>
        <w:rPr>
          <w:rFonts w:ascii="宋体" w:hAnsi="宋体" w:cs="宋体"/>
          <w:color w:val="auto"/>
          <w:sz w:val="30"/>
          <w:highlight w:val="none"/>
        </w:rPr>
      </w:pPr>
      <w:r>
        <w:rPr>
          <w:rFonts w:hint="eastAsia" w:ascii="宋体" w:hAnsi="宋体" w:cs="宋体"/>
          <w:color w:val="auto"/>
          <w:sz w:val="30"/>
          <w:highlight w:val="none"/>
        </w:rPr>
        <w:t>日  期：</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年</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月</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日</w:t>
      </w:r>
    </w:p>
    <w:p>
      <w:pPr>
        <w:pStyle w:val="21"/>
        <w:spacing w:line="360" w:lineRule="auto"/>
        <w:outlineLvl w:val="9"/>
        <w:rPr>
          <w:rFonts w:ascii="宋体" w:hAnsi="宋体" w:cs="宋体"/>
          <w:color w:val="auto"/>
          <w:highlight w:val="none"/>
        </w:rPr>
      </w:pPr>
    </w:p>
    <w:p>
      <w:pPr>
        <w:pStyle w:val="21"/>
        <w:spacing w:line="360" w:lineRule="auto"/>
        <w:outlineLvl w:val="9"/>
        <w:rPr>
          <w:rFonts w:ascii="宋体" w:hAnsi="宋体" w:cs="宋体"/>
          <w:color w:val="auto"/>
          <w:highlight w:val="none"/>
        </w:rPr>
      </w:pPr>
      <w:r>
        <w:rPr>
          <w:rFonts w:hint="eastAsia" w:ascii="宋体" w:hAnsi="宋体" w:cs="宋体"/>
          <w:color w:val="auto"/>
          <w:highlight w:val="none"/>
        </w:rPr>
        <w:br w:type="page"/>
      </w:r>
    </w:p>
    <w:p>
      <w:pPr>
        <w:pStyle w:val="21"/>
        <w:spacing w:line="360" w:lineRule="auto"/>
        <w:outlineLvl w:val="9"/>
        <w:rPr>
          <w:rFonts w:ascii="宋体" w:hAnsi="宋体" w:cs="宋体"/>
          <w:color w:val="auto"/>
          <w:highlight w:val="none"/>
        </w:rPr>
      </w:pPr>
    </w:p>
    <w:p>
      <w:pPr>
        <w:spacing w:line="480" w:lineRule="auto"/>
        <w:ind w:firstLine="472" w:firstLineChars="224"/>
        <w:jc w:val="center"/>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投标文件技术评审部分索引表</w:t>
      </w:r>
    </w:p>
    <w:tbl>
      <w:tblPr>
        <w:tblStyle w:val="3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522"/>
        <w:gridCol w:w="1975"/>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招标文件上的满分值</w:t>
            </w:r>
          </w:p>
        </w:tc>
        <w:tc>
          <w:tcPr>
            <w:tcW w:w="1950" w:type="pct"/>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337"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047"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950" w:type="pct"/>
            <w:vAlign w:val="center"/>
          </w:tcPr>
          <w:p>
            <w:pPr>
              <w:adjustRightInd w:val="0"/>
              <w:snapToGrid w:val="0"/>
              <w:spacing w:line="360" w:lineRule="auto"/>
              <w:outlineLvl w:val="9"/>
              <w:rPr>
                <w:rFonts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665" w:type="pct"/>
            <w:vAlign w:val="center"/>
          </w:tcPr>
          <w:p>
            <w:pPr>
              <w:outlineLvl w:val="9"/>
              <w:rPr>
                <w:rFonts w:ascii="宋体" w:hAnsi="宋体" w:eastAsia="宋体" w:cs="宋体"/>
                <w:bCs/>
                <w:color w:val="auto"/>
                <w:szCs w:val="21"/>
                <w:highlight w:val="none"/>
              </w:rPr>
            </w:pPr>
          </w:p>
        </w:tc>
        <w:tc>
          <w:tcPr>
            <w:tcW w:w="1337" w:type="pct"/>
            <w:vAlign w:val="center"/>
          </w:tcPr>
          <w:p>
            <w:pPr>
              <w:outlineLvl w:val="9"/>
              <w:rPr>
                <w:rFonts w:ascii="宋体" w:hAnsi="宋体" w:eastAsia="宋体" w:cs="宋体"/>
                <w:bCs/>
                <w:color w:val="auto"/>
                <w:szCs w:val="21"/>
                <w:highlight w:val="none"/>
              </w:rPr>
            </w:pPr>
          </w:p>
        </w:tc>
        <w:tc>
          <w:tcPr>
            <w:tcW w:w="1047" w:type="pct"/>
            <w:vAlign w:val="center"/>
          </w:tcPr>
          <w:p>
            <w:pPr>
              <w:outlineLvl w:val="9"/>
              <w:rPr>
                <w:rFonts w:ascii="宋体" w:hAnsi="宋体" w:eastAsia="宋体" w:cs="宋体"/>
                <w:bCs/>
                <w:color w:val="auto"/>
                <w:szCs w:val="21"/>
                <w:highlight w:val="none"/>
              </w:rPr>
            </w:pPr>
          </w:p>
        </w:tc>
        <w:tc>
          <w:tcPr>
            <w:tcW w:w="1950" w:type="pct"/>
            <w:vAlign w:val="center"/>
          </w:tcPr>
          <w:p>
            <w:pPr>
              <w:adjustRightInd w:val="0"/>
              <w:snapToGrid w:val="0"/>
              <w:spacing w:line="360" w:lineRule="auto"/>
              <w:ind w:firstLine="105" w:firstLineChars="50"/>
              <w:outlineLvl w:val="9"/>
              <w:rPr>
                <w:rFonts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337" w:type="pct"/>
            <w:vAlign w:val="center"/>
          </w:tcPr>
          <w:p>
            <w:pPr>
              <w:adjustRightInd w:val="0"/>
              <w:snapToGrid w:val="0"/>
              <w:spacing w:line="360" w:lineRule="auto"/>
              <w:outlineLvl w:val="9"/>
              <w:rPr>
                <w:rFonts w:ascii="宋体" w:hAnsi="宋体" w:eastAsia="宋体" w:cs="宋体"/>
                <w:bCs/>
                <w:color w:val="auto"/>
                <w:szCs w:val="21"/>
                <w:highlight w:val="none"/>
              </w:rPr>
            </w:pPr>
          </w:p>
        </w:tc>
        <w:tc>
          <w:tcPr>
            <w:tcW w:w="1047"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950" w:type="pct"/>
            <w:vAlign w:val="center"/>
          </w:tcPr>
          <w:p>
            <w:pPr>
              <w:spacing w:line="360" w:lineRule="auto"/>
              <w:ind w:firstLine="8" w:firstLineChars="4"/>
              <w:outlineLvl w:val="9"/>
              <w:rPr>
                <w:rFonts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665"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337" w:type="pct"/>
            <w:vAlign w:val="center"/>
          </w:tcPr>
          <w:p>
            <w:pPr>
              <w:adjustRightInd w:val="0"/>
              <w:snapToGrid w:val="0"/>
              <w:spacing w:line="360" w:lineRule="auto"/>
              <w:outlineLvl w:val="9"/>
              <w:rPr>
                <w:rFonts w:ascii="宋体" w:hAnsi="宋体" w:eastAsia="宋体" w:cs="宋体"/>
                <w:bCs/>
                <w:color w:val="auto"/>
                <w:szCs w:val="21"/>
                <w:highlight w:val="none"/>
              </w:rPr>
            </w:pPr>
          </w:p>
        </w:tc>
        <w:tc>
          <w:tcPr>
            <w:tcW w:w="1047"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950" w:type="pct"/>
            <w:vAlign w:val="center"/>
          </w:tcPr>
          <w:p>
            <w:pPr>
              <w:adjustRightInd w:val="0"/>
              <w:snapToGrid w:val="0"/>
              <w:spacing w:line="360" w:lineRule="auto"/>
              <w:outlineLvl w:val="9"/>
              <w:rPr>
                <w:rFonts w:ascii="宋体" w:hAnsi="宋体" w:eastAsia="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2002" w:type="pct"/>
            <w:gridSpan w:val="2"/>
            <w:vAlign w:val="center"/>
          </w:tcPr>
          <w:p>
            <w:pPr>
              <w:adjustRightInd w:val="0"/>
              <w:snapToGrid w:val="0"/>
              <w:spacing w:line="360" w:lineRule="auto"/>
              <w:jc w:val="center"/>
              <w:outlineLvl w:val="9"/>
              <w:rPr>
                <w:rFonts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vAlign w:val="center"/>
          </w:tcPr>
          <w:p>
            <w:pPr>
              <w:adjustRightInd w:val="0"/>
              <w:snapToGrid w:val="0"/>
              <w:spacing w:line="360" w:lineRule="auto"/>
              <w:jc w:val="center"/>
              <w:outlineLvl w:val="9"/>
              <w:rPr>
                <w:rFonts w:ascii="宋体" w:hAnsi="宋体" w:eastAsia="宋体" w:cs="宋体"/>
                <w:bCs/>
                <w:color w:val="auto"/>
                <w:szCs w:val="21"/>
                <w:highlight w:val="none"/>
              </w:rPr>
            </w:pPr>
          </w:p>
        </w:tc>
        <w:tc>
          <w:tcPr>
            <w:tcW w:w="1950" w:type="pct"/>
            <w:vAlign w:val="center"/>
          </w:tcPr>
          <w:p>
            <w:pPr>
              <w:spacing w:line="360" w:lineRule="auto"/>
              <w:jc w:val="center"/>
              <w:outlineLvl w:val="9"/>
              <w:rPr>
                <w:rFonts w:ascii="宋体" w:hAnsi="宋体" w:eastAsia="宋体" w:cs="宋体"/>
                <w:bCs/>
                <w:color w:val="auto"/>
                <w:szCs w:val="21"/>
                <w:highlight w:val="none"/>
              </w:rPr>
            </w:pPr>
          </w:p>
        </w:tc>
      </w:tr>
    </w:tbl>
    <w:p>
      <w:pPr>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680" w:name="_Toc18999"/>
      <w:bookmarkStart w:id="681" w:name="_Toc30448"/>
      <w:bookmarkStart w:id="682" w:name="_Toc27934"/>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.1 用户需求偏离表格式</w:t>
      </w:r>
      <w:bookmarkEnd w:id="672"/>
      <w:bookmarkEnd w:id="673"/>
      <w:bookmarkEnd w:id="674"/>
      <w:bookmarkEnd w:id="675"/>
      <w:bookmarkEnd w:id="676"/>
      <w:bookmarkEnd w:id="677"/>
      <w:bookmarkEnd w:id="678"/>
      <w:bookmarkEnd w:id="679"/>
      <w:bookmarkEnd w:id="680"/>
      <w:bookmarkEnd w:id="681"/>
      <w:bookmarkEnd w:id="682"/>
    </w:p>
    <w:p>
      <w:pPr>
        <w:spacing w:before="120" w:after="120" w:line="360" w:lineRule="auto"/>
        <w:jc w:val="center"/>
        <w:outlineLvl w:val="9"/>
        <w:rPr>
          <w:rFonts w:ascii="宋体" w:hAnsi="宋体" w:eastAsia="宋体" w:cs="宋体"/>
          <w:color w:val="auto"/>
          <w:kern w:val="0"/>
          <w:szCs w:val="21"/>
          <w:highlight w:val="none"/>
        </w:rPr>
      </w:pPr>
      <w:bookmarkStart w:id="683" w:name="_Toc17449_WPSOffice_Level3"/>
      <w:r>
        <w:rPr>
          <w:rFonts w:hint="eastAsia" w:ascii="宋体" w:hAnsi="宋体" w:eastAsia="宋体" w:cs="宋体"/>
          <w:b/>
          <w:color w:val="auto"/>
          <w:kern w:val="0"/>
          <w:sz w:val="30"/>
          <w:szCs w:val="30"/>
          <w:highlight w:val="none"/>
          <w:lang w:val="zh-CN"/>
        </w:rPr>
        <w:t>用户需求偏离表</w:t>
      </w:r>
      <w:bookmarkEnd w:id="683"/>
    </w:p>
    <w:tbl>
      <w:tblPr>
        <w:tblStyle w:val="38"/>
        <w:tblW w:w="47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57"/>
        <w:gridCol w:w="5184"/>
        <w:gridCol w:w="709"/>
        <w:gridCol w:w="969"/>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6" w:type="pct"/>
            <w:vMerge w:val="restar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3341" w:type="pct"/>
            <w:gridSpan w:val="2"/>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招标文件要求</w:t>
            </w:r>
          </w:p>
        </w:tc>
        <w:tc>
          <w:tcPr>
            <w:tcW w:w="1363" w:type="pct"/>
            <w:gridSpan w:val="3"/>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96" w:type="pct"/>
            <w:vMerge w:val="continue"/>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74"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条款号</w:t>
            </w:r>
          </w:p>
        </w:tc>
        <w:tc>
          <w:tcPr>
            <w:tcW w:w="2867"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简要内容</w:t>
            </w:r>
          </w:p>
        </w:tc>
        <w:tc>
          <w:tcPr>
            <w:tcW w:w="392"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偏离情况</w:t>
            </w:r>
          </w:p>
        </w:tc>
        <w:tc>
          <w:tcPr>
            <w:tcW w:w="536"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实质性响应的具体内容</w:t>
            </w:r>
          </w:p>
        </w:tc>
        <w:tc>
          <w:tcPr>
            <w:tcW w:w="435"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96"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474" w:type="pct"/>
            <w:vAlign w:val="center"/>
          </w:tcPr>
          <w:p>
            <w:pPr>
              <w:spacing w:line="400" w:lineRule="exact"/>
              <w:jc w:val="center"/>
              <w:outlineLvl w:val="9"/>
              <w:rPr>
                <w:rFonts w:ascii="宋体" w:hAnsi="宋体" w:eastAsia="宋体" w:cs="宋体"/>
                <w:b/>
                <w:color w:val="auto"/>
                <w:kern w:val="0"/>
                <w:sz w:val="18"/>
                <w:szCs w:val="18"/>
                <w:highlight w:val="none"/>
              </w:rPr>
            </w:pPr>
          </w:p>
        </w:tc>
        <w:tc>
          <w:tcPr>
            <w:tcW w:w="2867" w:type="pct"/>
            <w:vAlign w:val="center"/>
          </w:tcPr>
          <w:p>
            <w:pPr>
              <w:autoSpaceDE w:val="0"/>
              <w:autoSpaceDN w:val="0"/>
              <w:adjustRightInd w:val="0"/>
              <w:spacing w:line="400" w:lineRule="exact"/>
              <w:outlineLvl w:val="9"/>
              <w:rPr>
                <w:rFonts w:ascii="宋体" w:hAnsi="宋体" w:eastAsia="宋体" w:cs="宋体"/>
                <w:color w:val="auto"/>
                <w:kern w:val="0"/>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536"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35"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474" w:type="pct"/>
            <w:vAlign w:val="center"/>
          </w:tcPr>
          <w:p>
            <w:pPr>
              <w:spacing w:line="400" w:lineRule="exact"/>
              <w:jc w:val="center"/>
              <w:outlineLvl w:val="9"/>
              <w:rPr>
                <w:rFonts w:ascii="宋体" w:hAnsi="宋体" w:eastAsia="宋体" w:cs="宋体"/>
                <w:color w:val="auto"/>
                <w:kern w:val="0"/>
                <w:sz w:val="18"/>
                <w:szCs w:val="18"/>
                <w:highlight w:val="none"/>
                <w:lang w:val="zh-CN"/>
              </w:rPr>
            </w:pPr>
          </w:p>
        </w:tc>
        <w:tc>
          <w:tcPr>
            <w:tcW w:w="2867" w:type="pct"/>
            <w:vAlign w:val="center"/>
          </w:tcPr>
          <w:p>
            <w:pPr>
              <w:adjustRightInd w:val="0"/>
              <w:snapToGrid w:val="0"/>
              <w:spacing w:line="360" w:lineRule="auto"/>
              <w:ind w:firstLine="570"/>
              <w:outlineLvl w:val="9"/>
              <w:rPr>
                <w:rFonts w:ascii="宋体" w:hAnsi="宋体" w:eastAsia="宋体" w:cs="宋体"/>
                <w:color w:val="auto"/>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536"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35"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474" w:type="pct"/>
            <w:vAlign w:val="center"/>
          </w:tcPr>
          <w:p>
            <w:pPr>
              <w:spacing w:line="400" w:lineRule="exact"/>
              <w:jc w:val="center"/>
              <w:outlineLvl w:val="9"/>
              <w:rPr>
                <w:rFonts w:ascii="宋体" w:hAnsi="宋体" w:eastAsia="宋体" w:cs="宋体"/>
                <w:b/>
                <w:color w:val="auto"/>
                <w:sz w:val="18"/>
                <w:szCs w:val="18"/>
                <w:highlight w:val="none"/>
                <w:lang w:val="zh-CN"/>
              </w:rPr>
            </w:pPr>
          </w:p>
        </w:tc>
        <w:tc>
          <w:tcPr>
            <w:tcW w:w="2867" w:type="pct"/>
            <w:vAlign w:val="center"/>
          </w:tcPr>
          <w:p>
            <w:pPr>
              <w:spacing w:line="360" w:lineRule="auto"/>
              <w:ind w:firstLine="360" w:firstLineChars="200"/>
              <w:outlineLvl w:val="9"/>
              <w:rPr>
                <w:rFonts w:ascii="宋体" w:hAnsi="宋体" w:eastAsia="宋体" w:cs="宋体"/>
                <w:color w:val="auto"/>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536"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35"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474" w:type="pct"/>
            <w:vAlign w:val="center"/>
          </w:tcPr>
          <w:p>
            <w:pPr>
              <w:spacing w:line="400" w:lineRule="exact"/>
              <w:jc w:val="center"/>
              <w:outlineLvl w:val="9"/>
              <w:rPr>
                <w:rFonts w:ascii="宋体" w:hAnsi="宋体" w:eastAsia="宋体" w:cs="宋体"/>
                <w:b/>
                <w:color w:val="auto"/>
                <w:sz w:val="18"/>
                <w:szCs w:val="18"/>
                <w:highlight w:val="none"/>
                <w:lang w:val="zh-CN"/>
              </w:rPr>
            </w:pPr>
          </w:p>
        </w:tc>
        <w:tc>
          <w:tcPr>
            <w:tcW w:w="2867" w:type="pct"/>
            <w:vAlign w:val="center"/>
          </w:tcPr>
          <w:p>
            <w:pPr>
              <w:spacing w:line="360" w:lineRule="auto"/>
              <w:ind w:firstLine="360" w:firstLineChars="200"/>
              <w:outlineLvl w:val="9"/>
              <w:rPr>
                <w:rFonts w:ascii="宋体" w:hAnsi="宋体" w:eastAsia="宋体" w:cs="宋体"/>
                <w:color w:val="auto"/>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536"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35"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474" w:type="pct"/>
            <w:vAlign w:val="center"/>
          </w:tcPr>
          <w:p>
            <w:pPr>
              <w:spacing w:line="400" w:lineRule="exact"/>
              <w:jc w:val="center"/>
              <w:outlineLvl w:val="9"/>
              <w:rPr>
                <w:rFonts w:ascii="宋体" w:hAnsi="宋体" w:eastAsia="宋体" w:cs="宋体"/>
                <w:color w:val="auto"/>
                <w:kern w:val="0"/>
                <w:sz w:val="18"/>
                <w:szCs w:val="18"/>
                <w:highlight w:val="none"/>
              </w:rPr>
            </w:pPr>
          </w:p>
        </w:tc>
        <w:tc>
          <w:tcPr>
            <w:tcW w:w="2867" w:type="pct"/>
            <w:vAlign w:val="center"/>
          </w:tcPr>
          <w:p>
            <w:pPr>
              <w:spacing w:line="360" w:lineRule="auto"/>
              <w:ind w:firstLine="360" w:firstLineChars="200"/>
              <w:outlineLvl w:val="9"/>
              <w:rPr>
                <w:rFonts w:ascii="宋体" w:hAnsi="宋体" w:eastAsia="宋体" w:cs="宋体"/>
                <w:color w:val="auto"/>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536"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35"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6" w:type="pct"/>
            <w:vAlign w:val="center"/>
          </w:tcPr>
          <w:p>
            <w:pPr>
              <w:spacing w:line="400" w:lineRule="exact"/>
              <w:jc w:val="center"/>
              <w:outlineLvl w:val="9"/>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474" w:type="pct"/>
            <w:vAlign w:val="center"/>
          </w:tcPr>
          <w:p>
            <w:pPr>
              <w:spacing w:line="400" w:lineRule="exact"/>
              <w:jc w:val="center"/>
              <w:outlineLvl w:val="9"/>
              <w:rPr>
                <w:rFonts w:ascii="宋体" w:hAnsi="宋体" w:eastAsia="宋体" w:cs="宋体"/>
                <w:color w:val="auto"/>
                <w:kern w:val="0"/>
                <w:sz w:val="18"/>
                <w:szCs w:val="18"/>
                <w:highlight w:val="none"/>
              </w:rPr>
            </w:pPr>
          </w:p>
        </w:tc>
        <w:tc>
          <w:tcPr>
            <w:tcW w:w="2867" w:type="pct"/>
            <w:vAlign w:val="center"/>
          </w:tcPr>
          <w:p>
            <w:pPr>
              <w:spacing w:line="360" w:lineRule="auto"/>
              <w:ind w:firstLine="360" w:firstLineChars="200"/>
              <w:outlineLvl w:val="9"/>
              <w:rPr>
                <w:rFonts w:ascii="宋体" w:hAnsi="宋体" w:eastAsia="宋体" w:cs="宋体"/>
                <w:color w:val="auto"/>
                <w:sz w:val="18"/>
                <w:szCs w:val="18"/>
                <w:highlight w:val="none"/>
              </w:rPr>
            </w:pPr>
          </w:p>
        </w:tc>
        <w:tc>
          <w:tcPr>
            <w:tcW w:w="392"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536"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c>
          <w:tcPr>
            <w:tcW w:w="435" w:type="pct"/>
            <w:vAlign w:val="center"/>
          </w:tcPr>
          <w:p>
            <w:pPr>
              <w:keepNext/>
              <w:keepLines/>
              <w:spacing w:line="400" w:lineRule="exact"/>
              <w:jc w:val="center"/>
              <w:outlineLvl w:val="9"/>
              <w:rPr>
                <w:rFonts w:ascii="宋体" w:hAnsi="宋体" w:eastAsia="宋体" w:cs="宋体"/>
                <w:color w:val="auto"/>
                <w:kern w:val="0"/>
                <w:sz w:val="18"/>
                <w:szCs w:val="18"/>
                <w:highlight w:val="none"/>
              </w:rPr>
            </w:pPr>
          </w:p>
        </w:tc>
      </w:tr>
    </w:tbl>
    <w:p>
      <w:pPr>
        <w:spacing w:line="360" w:lineRule="auto"/>
        <w:outlineLvl w:val="9"/>
        <w:rPr>
          <w:rFonts w:ascii="宋体" w:hAnsi="宋体" w:eastAsia="宋体" w:cs="宋体"/>
          <w:color w:val="auto"/>
          <w:szCs w:val="21"/>
          <w:highlight w:val="none"/>
        </w:rPr>
      </w:pP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left="605" w:leftChars="18" w:hanging="567" w:hangingChars="270"/>
        <w:outlineLvl w:val="9"/>
        <w:rPr>
          <w:rFonts w:ascii="宋体" w:hAnsi="宋体" w:eastAsia="宋体" w:cs="宋体"/>
          <w:b/>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outlineLvl w:val="9"/>
        <w:rPr>
          <w:rFonts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pPr>
        <w:spacing w:line="360" w:lineRule="auto"/>
        <w:ind w:left="607" w:leftChars="18" w:hanging="569" w:hangingChars="270"/>
        <w:outlineLvl w:val="9"/>
        <w:rPr>
          <w:rFonts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凡标有“★”的地方均被视为重要的技术指标要求或性能要求。投标人要特别加以注意，必须对此回答并完全满足这些要求，否则若有一项带“★”的指标未响应或不满足，将按无效投标处理</w:t>
      </w:r>
      <w:r>
        <w:rPr>
          <w:rFonts w:hint="eastAsia" w:ascii="宋体" w:hAnsi="宋体" w:eastAsia="宋体" w:cs="宋体"/>
          <w:b/>
          <w:color w:val="auto"/>
          <w:kern w:val="0"/>
          <w:sz w:val="24"/>
          <w:szCs w:val="21"/>
          <w:highlight w:val="none"/>
          <w:u w:val="single"/>
          <w:lang w:val="zh-CN"/>
        </w:rPr>
        <w:t>。</w:t>
      </w:r>
    </w:p>
    <w:p>
      <w:pPr>
        <w:spacing w:line="360" w:lineRule="auto"/>
        <w:outlineLvl w:val="9"/>
        <w:rPr>
          <w:rFonts w:ascii="宋体" w:hAnsi="宋体" w:eastAsia="宋体" w:cs="宋体"/>
          <w:color w:val="auto"/>
          <w:szCs w:val="21"/>
          <w:highlight w:val="none"/>
        </w:rPr>
      </w:pPr>
    </w:p>
    <w:p>
      <w:pPr>
        <w:autoSpaceDE w:val="0"/>
        <w:autoSpaceDN w:val="0"/>
        <w:adjustRightInd w:val="0"/>
        <w:spacing w:line="360" w:lineRule="auto"/>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pPr>
        <w:autoSpaceDE w:val="0"/>
        <w:autoSpaceDN w:val="0"/>
        <w:adjustRightInd w:val="0"/>
        <w:ind w:left="15" w:leftChars="-50" w:hanging="12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pPr>
        <w:tabs>
          <w:tab w:val="left" w:pos="567"/>
        </w:tabs>
        <w:autoSpaceDE w:val="0"/>
        <w:autoSpaceDN w:val="0"/>
        <w:adjustRightInd w:val="0"/>
        <w:spacing w:line="360" w:lineRule="auto"/>
        <w:jc w:val="left"/>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84" w:name="_Toc23150"/>
      <w:bookmarkStart w:id="685" w:name="_Toc102860087"/>
      <w:bookmarkStart w:id="686" w:name="_Toc94107224"/>
      <w:bookmarkStart w:id="687" w:name="_Toc102860431"/>
      <w:bookmarkStart w:id="688" w:name="_Toc104991889"/>
      <w:bookmarkStart w:id="689" w:name="_Toc5046"/>
      <w:bookmarkStart w:id="690" w:name="_Toc140596942"/>
      <w:bookmarkStart w:id="691" w:name="_Toc142508382"/>
      <w:bookmarkStart w:id="692" w:name="_Toc3593"/>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.2 </w:t>
      </w:r>
      <w:bookmarkEnd w:id="684"/>
      <w:bookmarkEnd w:id="685"/>
      <w:bookmarkEnd w:id="686"/>
      <w:bookmarkEnd w:id="687"/>
      <w:bookmarkEnd w:id="688"/>
      <w:bookmarkEnd w:id="689"/>
      <w:bookmarkEnd w:id="690"/>
      <w:bookmarkEnd w:id="691"/>
      <w:bookmarkEnd w:id="692"/>
      <w:r>
        <w:rPr>
          <w:rFonts w:hint="eastAsia" w:ascii="宋体" w:hAnsi="宋体" w:eastAsia="宋体" w:cs="宋体"/>
          <w:b/>
          <w:bCs/>
          <w:color w:val="auto"/>
          <w:sz w:val="32"/>
          <w:szCs w:val="32"/>
          <w:highlight w:val="none"/>
        </w:rPr>
        <w:t>总体服务方案(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lang w:eastAsia="zh-CN"/>
        </w:rPr>
        <w:t>包组</w:t>
      </w:r>
      <w:r>
        <w:rPr>
          <w:rFonts w:hint="eastAsia" w:ascii="宋体" w:hAnsi="宋体" w:eastAsia="宋体" w:cs="宋体"/>
          <w:b/>
          <w:bCs/>
          <w:color w:val="auto"/>
          <w:sz w:val="32"/>
          <w:szCs w:val="32"/>
          <w:highlight w:val="none"/>
        </w:rPr>
        <w:t>)</w:t>
      </w:r>
    </w:p>
    <w:p>
      <w:pPr>
        <w:spacing w:before="120" w:beforeLines="50" w:line="360" w:lineRule="auto"/>
        <w:outlineLvl w:val="9"/>
        <w:rPr>
          <w:rFonts w:ascii="宋体" w:hAnsi="宋体" w:eastAsia="宋体" w:cs="宋体"/>
          <w:color w:val="auto"/>
          <w:szCs w:val="21"/>
          <w:highlight w:val="none"/>
        </w:rPr>
      </w:pPr>
      <w:bookmarkStart w:id="693" w:name="_Toc94107225"/>
      <w:r>
        <w:rPr>
          <w:rFonts w:hint="eastAsia" w:ascii="宋体" w:hAnsi="宋体" w:eastAsia="宋体" w:cs="宋体"/>
          <w:color w:val="auto"/>
          <w:szCs w:val="21"/>
          <w:highlight w:val="none"/>
        </w:rPr>
        <w:t>说明：投标人应根据本项目采购内容和评标工作大纲技术评审细则的要求，自行编制，总体服务方案主要包括但不限于以下内容：</w:t>
      </w:r>
    </w:p>
    <w:p>
      <w:pPr>
        <w:spacing w:before="120" w:beforeLines="50"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（1）针对本项目服务的组织实施方案、响应速度及保障措施；</w:t>
      </w:r>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（格式自拟，包括对项目的理解、服务的重点及难点，详细实施计划、进度计划和保证项目完成的具体措施等内容。）</w:t>
      </w:r>
    </w:p>
    <w:p>
      <w:pPr>
        <w:spacing w:before="120" w:beforeLines="50"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（2）技术人员情况、污泥脱水设备操作经验；</w:t>
      </w:r>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（格式自拟，包括技术人员的情况、污泥脱水设备操作经验、配合服务人员安排等内容）</w:t>
      </w:r>
    </w:p>
    <w:p>
      <w:pPr>
        <w:spacing w:before="120" w:beforeLines="50"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（3）项目的管理方案、服务方案；</w:t>
      </w:r>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（格式自拟，包括设立的组织机构、人员管理方案、服务质量管理方案及与之配套的管理制度等内容。）</w:t>
      </w:r>
    </w:p>
    <w:p>
      <w:pPr>
        <w:spacing w:before="120" w:beforeLines="50"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（4）人员培训方案、经验；</w:t>
      </w:r>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（格式自拟，包括培训计划、培训渠道、培训经验、同类案例等内容。）</w:t>
      </w:r>
    </w:p>
    <w:p>
      <w:pPr>
        <w:spacing w:before="120" w:beforeLines="50"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（5）突发事件的处理措施和应急预案</w:t>
      </w:r>
    </w:p>
    <w:p>
      <w:pPr>
        <w:spacing w:before="120" w:beforeLines="50"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（格式自拟，包括指定劳动纠纷、工伤事故等突发事件的处理措施和应急预案。）</w:t>
      </w:r>
    </w:p>
    <w:p>
      <w:pPr>
        <w:widowControl/>
        <w:jc w:val="left"/>
        <w:outlineLvl w:val="9"/>
        <w:rPr>
          <w:rFonts w:ascii="宋体" w:hAnsi="宋体" w:eastAsia="宋体" w:cs="宋体"/>
          <w:color w:val="auto"/>
          <w:kern w:val="0"/>
          <w:szCs w:val="21"/>
          <w:highlight w:val="none"/>
        </w:rPr>
      </w:pPr>
    </w:p>
    <w:bookmarkEnd w:id="693"/>
    <w:p>
      <w:pPr>
        <w:pageBreakBefore/>
        <w:outlineLvl w:val="9"/>
        <w:rPr>
          <w:rFonts w:ascii="宋体" w:hAnsi="宋体" w:eastAsia="宋体" w:cs="宋体"/>
          <w:b/>
          <w:bCs/>
          <w:color w:val="auto"/>
          <w:sz w:val="32"/>
          <w:szCs w:val="32"/>
          <w:highlight w:val="none"/>
        </w:rPr>
      </w:pPr>
      <w:bookmarkStart w:id="694" w:name="_Toc140596949"/>
      <w:bookmarkStart w:id="695" w:name="_Toc142508389"/>
      <w:bookmarkStart w:id="696" w:name="_Toc104991896"/>
      <w:bookmarkStart w:id="697" w:name="_Toc102860438"/>
      <w:bookmarkStart w:id="698" w:name="_Toc102860094"/>
      <w:bookmarkStart w:id="699" w:name="_Toc533708139"/>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.3 </w:t>
      </w:r>
      <w:r>
        <w:rPr>
          <w:rFonts w:hint="eastAsia" w:ascii="宋体" w:hAnsi="宋体" w:eastAsia="宋体" w:cs="宋体"/>
          <w:b/>
          <w:bCs/>
          <w:color w:val="auto"/>
          <w:sz w:val="32"/>
          <w:szCs w:val="32"/>
          <w:highlight w:val="none"/>
          <w:lang w:val="en-US" w:eastAsia="zh-CN"/>
        </w:rPr>
        <w:t>服务团队</w:t>
      </w:r>
      <w:r>
        <w:rPr>
          <w:rFonts w:hint="eastAsia" w:ascii="宋体" w:hAnsi="宋体" w:eastAsia="宋体" w:cs="宋体"/>
          <w:b/>
          <w:bCs/>
          <w:color w:val="auto"/>
          <w:sz w:val="32"/>
          <w:szCs w:val="32"/>
          <w:highlight w:val="none"/>
        </w:rPr>
        <w:t>情况表格式(</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lang w:eastAsia="zh-CN"/>
        </w:rPr>
        <w:t>包组</w:t>
      </w:r>
      <w:r>
        <w:rPr>
          <w:rFonts w:hint="eastAsia" w:ascii="宋体" w:hAnsi="宋体" w:eastAsia="宋体" w:cs="宋体"/>
          <w:b/>
          <w:bCs/>
          <w:color w:val="auto"/>
          <w:sz w:val="32"/>
          <w:szCs w:val="32"/>
          <w:highlight w:val="none"/>
        </w:rPr>
        <w:t>)</w:t>
      </w:r>
    </w:p>
    <w:p>
      <w:pPr>
        <w:pStyle w:val="63"/>
        <w:spacing w:before="240" w:beforeLines="100" w:line="360" w:lineRule="auto"/>
        <w:ind w:firstLine="0" w:firstLineChars="0"/>
        <w:jc w:val="center"/>
        <w:outlineLvl w:val="9"/>
        <w:rPr>
          <w:rFonts w:ascii="宋体" w:eastAsia="宋体" w:cs="宋体"/>
          <w:b/>
          <w:color w:val="auto"/>
          <w:sz w:val="30"/>
          <w:szCs w:val="30"/>
          <w:highlight w:val="none"/>
        </w:rPr>
      </w:pPr>
      <w:r>
        <w:rPr>
          <w:rFonts w:hint="eastAsia" w:ascii="宋体" w:eastAsia="宋体" w:cs="宋体"/>
          <w:b/>
          <w:color w:val="auto"/>
          <w:sz w:val="30"/>
          <w:szCs w:val="30"/>
          <w:highlight w:val="none"/>
          <w:lang w:val="en-US" w:eastAsia="zh-CN"/>
        </w:rPr>
        <w:t>服务团队</w:t>
      </w:r>
      <w:r>
        <w:rPr>
          <w:rFonts w:hint="eastAsia" w:ascii="宋体" w:eastAsia="宋体" w:cs="宋体"/>
          <w:b/>
          <w:color w:val="auto"/>
          <w:sz w:val="30"/>
          <w:szCs w:val="30"/>
          <w:highlight w:val="none"/>
        </w:rPr>
        <w:t>清单表</w:t>
      </w:r>
      <w:r>
        <w:rPr>
          <w:rFonts w:hint="eastAsia" w:ascii="宋体" w:eastAsia="宋体" w:cs="宋体"/>
          <w:b/>
          <w:color w:val="auto"/>
          <w:sz w:val="30"/>
          <w:szCs w:val="30"/>
          <w:highlight w:val="none"/>
          <w:lang w:val="zh-CN"/>
        </w:rPr>
        <w:t>(</w:t>
      </w:r>
      <w:r>
        <w:rPr>
          <w:rFonts w:hint="eastAsia" w:ascii="宋体" w:eastAsia="宋体" w:cs="宋体"/>
          <w:b/>
          <w:color w:val="auto"/>
          <w:sz w:val="30"/>
          <w:szCs w:val="30"/>
          <w:highlight w:val="none"/>
          <w:u w:val="single"/>
          <w:lang w:val="zh-CN"/>
        </w:rPr>
        <w:t xml:space="preserve">   </w:t>
      </w:r>
      <w:r>
        <w:rPr>
          <w:rFonts w:hint="eastAsia" w:ascii="宋体" w:eastAsia="宋体" w:cs="宋体"/>
          <w:b/>
          <w:color w:val="auto"/>
          <w:sz w:val="30"/>
          <w:szCs w:val="30"/>
          <w:highlight w:val="none"/>
          <w:lang w:val="zh-CN"/>
        </w:rPr>
        <w:t>包组)</w:t>
      </w:r>
    </w:p>
    <w:tbl>
      <w:tblPr>
        <w:tblStyle w:val="38"/>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446"/>
        <w:gridCol w:w="677"/>
        <w:gridCol w:w="677"/>
        <w:gridCol w:w="804"/>
        <w:gridCol w:w="1135"/>
        <w:gridCol w:w="702"/>
        <w:gridCol w:w="1084"/>
        <w:gridCol w:w="1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序号</w:t>
            </w:r>
          </w:p>
        </w:tc>
        <w:tc>
          <w:tcPr>
            <w:tcW w:w="1446"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姓名</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性别</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年龄</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学历</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资格</w:t>
            </w:r>
            <w:r>
              <w:rPr>
                <w:rFonts w:hint="eastAsia" w:ascii="宋体" w:hAnsi="宋体" w:eastAsia="宋体" w:cs="宋体"/>
                <w:color w:val="auto"/>
                <w:szCs w:val="21"/>
                <w:highlight w:val="none"/>
              </w:rPr>
              <w:t>/职称</w:t>
            </w:r>
            <w:r>
              <w:rPr>
                <w:rFonts w:hint="eastAsia" w:ascii="宋体" w:hAnsi="宋体" w:eastAsia="宋体" w:cs="宋体"/>
                <w:color w:val="auto"/>
                <w:szCs w:val="21"/>
                <w:highlight w:val="none"/>
                <w:lang w:val="zh-CN"/>
              </w:rPr>
              <w:t>证书</w:t>
            </w:r>
          </w:p>
        </w:tc>
        <w:tc>
          <w:tcPr>
            <w:tcW w:w="702"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拟任职务</w:t>
            </w:r>
          </w:p>
        </w:tc>
        <w:tc>
          <w:tcPr>
            <w:tcW w:w="1084"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从事</w:t>
            </w:r>
            <w:r>
              <w:rPr>
                <w:rFonts w:hint="eastAsia" w:ascii="宋体" w:hAnsi="宋体" w:eastAsia="宋体" w:cs="宋体"/>
                <w:color w:val="auto"/>
                <w:szCs w:val="21"/>
                <w:highlight w:val="none"/>
              </w:rPr>
              <w:t>污泥脱水设备操作</w:t>
            </w:r>
            <w:r>
              <w:rPr>
                <w:rFonts w:hint="eastAsia" w:ascii="宋体" w:hAnsi="宋体" w:eastAsia="宋体" w:cs="宋体"/>
                <w:color w:val="auto"/>
                <w:szCs w:val="21"/>
                <w:highlight w:val="none"/>
                <w:lang w:val="zh-CN"/>
              </w:rPr>
              <w:t>年限</w:t>
            </w:r>
          </w:p>
        </w:tc>
        <w:tc>
          <w:tcPr>
            <w:tcW w:w="1901"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446"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804"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135"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702"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084"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c>
          <w:tcPr>
            <w:tcW w:w="1901" w:type="dxa"/>
            <w:tcBorders>
              <w:top w:val="single" w:color="auto" w:sz="4" w:space="0"/>
              <w:left w:val="single" w:color="auto" w:sz="4" w:space="0"/>
              <w:bottom w:val="single" w:color="auto" w:sz="4" w:space="0"/>
              <w:right w:val="single" w:color="auto" w:sz="4" w:space="0"/>
            </w:tcBorders>
            <w:vAlign w:val="center"/>
          </w:tcPr>
          <w:p>
            <w:pPr>
              <w:jc w:val="center"/>
              <w:outlineLvl w:val="9"/>
              <w:rPr>
                <w:rFonts w:ascii="宋体" w:hAnsi="宋体" w:eastAsia="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4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7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bl>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pPr>
        <w:spacing w:line="360" w:lineRule="auto"/>
        <w:ind w:firstLine="283" w:firstLineChars="135"/>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（1）此表格式供参照，投标人可以根据本表格式内容自行划表填写。</w:t>
      </w:r>
    </w:p>
    <w:p>
      <w:pPr>
        <w:spacing w:line="360" w:lineRule="auto"/>
        <w:ind w:firstLine="283" w:firstLineChars="135"/>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）拟投入本项目的</w:t>
      </w:r>
      <w:r>
        <w:rPr>
          <w:rFonts w:hint="eastAsia" w:ascii="宋体" w:hAnsi="宋体" w:eastAsia="宋体" w:cs="宋体"/>
          <w:color w:val="auto"/>
          <w:szCs w:val="21"/>
          <w:highlight w:val="none"/>
          <w:lang w:val="en-US" w:eastAsia="zh-CN"/>
        </w:rPr>
        <w:t>项目负责人</w:t>
      </w:r>
      <w:r>
        <w:rPr>
          <w:rFonts w:hint="eastAsia" w:ascii="宋体" w:hAnsi="宋体" w:eastAsia="宋体" w:cs="宋体"/>
          <w:color w:val="auto"/>
          <w:szCs w:val="21"/>
          <w:highlight w:val="none"/>
        </w:rPr>
        <w:t>需提供简历表。</w:t>
      </w:r>
    </w:p>
    <w:p>
      <w:pPr>
        <w:pStyle w:val="63"/>
        <w:pageBreakBefore/>
        <w:spacing w:line="360" w:lineRule="auto"/>
        <w:ind w:firstLine="0" w:firstLineChars="0"/>
        <w:jc w:val="center"/>
        <w:outlineLvl w:val="9"/>
        <w:rPr>
          <w:rFonts w:ascii="宋体" w:eastAsia="宋体" w:cs="宋体"/>
          <w:b/>
          <w:color w:val="auto"/>
          <w:sz w:val="30"/>
          <w:szCs w:val="30"/>
          <w:highlight w:val="none"/>
        </w:rPr>
      </w:pPr>
      <w:bookmarkStart w:id="700" w:name="_Toc37323112"/>
      <w:bookmarkStart w:id="701" w:name="_Toc35338204"/>
      <w:r>
        <w:rPr>
          <w:rFonts w:hint="eastAsia" w:ascii="宋体" w:eastAsia="宋体" w:cs="宋体"/>
          <w:b/>
          <w:color w:val="auto"/>
          <w:sz w:val="30"/>
          <w:szCs w:val="30"/>
          <w:highlight w:val="none"/>
        </w:rPr>
        <w:t>简历表格式</w:t>
      </w:r>
      <w:bookmarkEnd w:id="700"/>
      <w:bookmarkEnd w:id="701"/>
      <w:r>
        <w:rPr>
          <w:rFonts w:hint="eastAsia" w:ascii="宋体" w:eastAsia="宋体" w:cs="宋体"/>
          <w:b/>
          <w:color w:val="auto"/>
          <w:sz w:val="30"/>
          <w:szCs w:val="30"/>
          <w:highlight w:val="none"/>
          <w:lang w:val="zh-CN"/>
        </w:rPr>
        <w:t>(</w:t>
      </w:r>
      <w:r>
        <w:rPr>
          <w:rFonts w:hint="eastAsia" w:ascii="宋体" w:eastAsia="宋体" w:cs="宋体"/>
          <w:b/>
          <w:color w:val="auto"/>
          <w:sz w:val="30"/>
          <w:szCs w:val="30"/>
          <w:highlight w:val="none"/>
          <w:u w:val="single"/>
          <w:lang w:val="zh-CN"/>
        </w:rPr>
        <w:t xml:space="preserve">   </w:t>
      </w:r>
      <w:r>
        <w:rPr>
          <w:rFonts w:hint="eastAsia" w:ascii="宋体" w:eastAsia="宋体" w:cs="宋体"/>
          <w:b/>
          <w:color w:val="auto"/>
          <w:sz w:val="30"/>
          <w:szCs w:val="30"/>
          <w:highlight w:val="none"/>
          <w:lang w:val="zh-CN"/>
        </w:rPr>
        <w:t>包组)</w:t>
      </w:r>
    </w:p>
    <w:p>
      <w:pPr>
        <w:spacing w:line="360" w:lineRule="auto"/>
        <w:jc w:val="center"/>
        <w:outlineLvl w:val="9"/>
        <w:rPr>
          <w:rFonts w:ascii="宋体" w:hAnsi="宋体" w:eastAsia="宋体" w:cs="宋体"/>
          <w:b/>
          <w:color w:val="auto"/>
          <w:sz w:val="30"/>
          <w:szCs w:val="30"/>
          <w:highlight w:val="none"/>
        </w:rPr>
      </w:pPr>
    </w:p>
    <w:p>
      <w:pPr>
        <w:spacing w:line="360" w:lineRule="auto"/>
        <w:jc w:val="center"/>
        <w:outlineLvl w:val="9"/>
        <w:rPr>
          <w:rFonts w:ascii="宋体" w:hAnsi="宋体" w:eastAsia="宋体" w:cs="宋体"/>
          <w:b/>
          <w:color w:val="auto"/>
          <w:sz w:val="30"/>
          <w:szCs w:val="30"/>
          <w:highlight w:val="none"/>
        </w:rPr>
      </w:pPr>
      <w:r>
        <w:rPr>
          <w:rFonts w:hint="eastAsia" w:ascii="宋体" w:hAnsi="宋体" w:eastAsia="宋体" w:cs="宋体"/>
          <w:b/>
          <w:color w:val="auto"/>
          <w:sz w:val="30"/>
          <w:szCs w:val="30"/>
          <w:highlight w:val="none"/>
        </w:rPr>
        <w:t>拟担任本项目</w:t>
      </w:r>
      <w:r>
        <w:rPr>
          <w:rFonts w:hint="eastAsia" w:ascii="宋体" w:hAnsi="宋体" w:eastAsia="宋体" w:cs="宋体"/>
          <w:b/>
          <w:color w:val="auto"/>
          <w:sz w:val="30"/>
          <w:szCs w:val="30"/>
          <w:highlight w:val="none"/>
          <w:u w:val="single"/>
        </w:rPr>
        <w:t xml:space="preserve">     （职位名称）  </w:t>
      </w:r>
      <w:r>
        <w:rPr>
          <w:rFonts w:hint="eastAsia" w:ascii="宋体" w:hAnsi="宋体" w:eastAsia="宋体" w:cs="宋体"/>
          <w:b/>
          <w:color w:val="auto"/>
          <w:sz w:val="30"/>
          <w:szCs w:val="30"/>
          <w:highlight w:val="none"/>
        </w:rPr>
        <w:t>人员简历表</w:t>
      </w:r>
      <w:r>
        <w:rPr>
          <w:rFonts w:hint="eastAsia" w:ascii="宋体" w:hAnsi="宋体" w:eastAsia="宋体" w:cs="宋体"/>
          <w:b/>
          <w:color w:val="auto"/>
          <w:sz w:val="30"/>
          <w:szCs w:val="30"/>
          <w:highlight w:val="none"/>
          <w:lang w:val="zh-CN"/>
        </w:rPr>
        <w:t>(</w:t>
      </w:r>
      <w:r>
        <w:rPr>
          <w:rFonts w:hint="eastAsia" w:ascii="宋体" w:hAnsi="宋体" w:eastAsia="宋体" w:cs="宋体"/>
          <w:b/>
          <w:color w:val="auto"/>
          <w:sz w:val="30"/>
          <w:szCs w:val="30"/>
          <w:highlight w:val="none"/>
          <w:u w:val="single"/>
          <w:lang w:val="zh-CN"/>
        </w:rPr>
        <w:t xml:space="preserve">   </w:t>
      </w:r>
      <w:r>
        <w:rPr>
          <w:rFonts w:hint="eastAsia" w:ascii="宋体" w:hAnsi="宋体" w:eastAsia="宋体" w:cs="宋体"/>
          <w:b/>
          <w:color w:val="auto"/>
          <w:sz w:val="30"/>
          <w:szCs w:val="30"/>
          <w:highlight w:val="none"/>
          <w:lang w:val="zh-CN"/>
        </w:rPr>
        <w:t>包组)</w:t>
      </w:r>
    </w:p>
    <w:tbl>
      <w:tblPr>
        <w:tblStyle w:val="38"/>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41"/>
        <w:gridCol w:w="759"/>
        <w:gridCol w:w="510"/>
        <w:gridCol w:w="840"/>
        <w:gridCol w:w="540"/>
        <w:gridCol w:w="1065"/>
        <w:gridCol w:w="75"/>
        <w:gridCol w:w="1080"/>
        <w:gridCol w:w="43"/>
        <w:gridCol w:w="422"/>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6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6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8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资格或职称</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宋体" w:hAnsi="宋体" w:eastAsia="宋体" w:cs="宋体"/>
                <w:color w:val="auto"/>
                <w:szCs w:val="21"/>
                <w:highlight w:val="none"/>
              </w:rPr>
            </w:pPr>
          </w:p>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189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175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83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29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75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目前在任及以往服务项目情况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1、污泥脱水减量化处理服务项目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负责/参与过的污泥脱水减量化处理服务项目的项目名称</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主要服务内容</w:t>
            </w:r>
          </w:p>
        </w:tc>
        <w:tc>
          <w:tcPr>
            <w:tcW w:w="25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污泥处理规模（按含水率80%计）（单位：吨/天）</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污泥减量设备操作技术人员数量（单位：人）</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合同服务期限</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在该项目中任职职务及履职时间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25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25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25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745" w:type="dxa"/>
            <w:gridSpan w:val="1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2、污泥脱水减量化配合服务项目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负责/参与过的污泥脱水减量化配合服务项目的项目名称</w:t>
            </w: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主要服务内容</w:t>
            </w:r>
          </w:p>
        </w:tc>
        <w:tc>
          <w:tcPr>
            <w:tcW w:w="25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污泥减量设备操作技术人员数量（单位：人）</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污泥处理规模（按含水率80%计）（单位：吨/天）</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合同服务期限</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在该项目中任职职务及履职时间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25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25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2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252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54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p>
        </w:tc>
      </w:tr>
    </w:tbl>
    <w:p>
      <w:pPr>
        <w:pStyle w:val="19"/>
        <w:overflowPunct w:val="0"/>
        <w:spacing w:line="360" w:lineRule="auto"/>
        <w:ind w:firstLine="422"/>
        <w:outlineLvl w:val="9"/>
        <w:rPr>
          <w:rFonts w:hAnsi="宋体" w:cs="宋体"/>
          <w:b w:val="0"/>
          <w:color w:val="auto"/>
          <w:sz w:val="21"/>
          <w:szCs w:val="21"/>
          <w:highlight w:val="none"/>
        </w:rPr>
      </w:pPr>
    </w:p>
    <w:p>
      <w:pPr>
        <w:pStyle w:val="19"/>
        <w:overflowPunct w:val="0"/>
        <w:spacing w:line="360" w:lineRule="auto"/>
        <w:ind w:firstLine="422"/>
        <w:jc w:val="left"/>
        <w:outlineLvl w:val="9"/>
        <w:rPr>
          <w:rFonts w:hAnsi="宋体" w:cs="宋体"/>
          <w:b w:val="0"/>
          <w:color w:val="auto"/>
          <w:sz w:val="21"/>
          <w:szCs w:val="21"/>
          <w:highlight w:val="none"/>
        </w:rPr>
      </w:pPr>
    </w:p>
    <w:p>
      <w:pPr>
        <w:pStyle w:val="19"/>
        <w:overflowPunct w:val="0"/>
        <w:spacing w:line="360" w:lineRule="auto"/>
        <w:ind w:firstLine="422"/>
        <w:jc w:val="left"/>
        <w:outlineLvl w:val="9"/>
        <w:rPr>
          <w:rFonts w:hAnsi="宋体" w:cs="宋体"/>
          <w:color w:val="auto"/>
          <w:sz w:val="21"/>
          <w:szCs w:val="21"/>
          <w:highlight w:val="none"/>
        </w:rPr>
      </w:pPr>
      <w:r>
        <w:rPr>
          <w:rFonts w:hint="eastAsia" w:hAnsi="宋体" w:cs="宋体"/>
          <w:b w:val="0"/>
          <w:color w:val="auto"/>
          <w:sz w:val="21"/>
          <w:szCs w:val="21"/>
          <w:highlight w:val="none"/>
        </w:rPr>
        <w:t>备注：</w:t>
      </w:r>
    </w:p>
    <w:p>
      <w:pPr>
        <w:spacing w:line="360" w:lineRule="auto"/>
        <w:ind w:left="815" w:leftChars="1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拟投入本项目的项目负责人需提供简历表。</w:t>
      </w:r>
    </w:p>
    <w:p>
      <w:pPr>
        <w:spacing w:line="360" w:lineRule="auto"/>
        <w:ind w:left="815" w:leftChars="1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b/>
          <w:bCs/>
          <w:color w:val="auto"/>
          <w:szCs w:val="21"/>
          <w:highlight w:val="none"/>
          <w:u w:val="single"/>
        </w:rPr>
        <w:t>需提供上述人员的身份证、劳动合同的复印件、资格证书[学历证书/职称证/</w:t>
      </w:r>
      <w:r>
        <w:rPr>
          <w:rFonts w:hint="eastAsia" w:ascii="宋体" w:hAnsi="宋体" w:eastAsia="宋体" w:cs="宋体"/>
          <w:b/>
          <w:bCs/>
          <w:color w:val="auto"/>
          <w:szCs w:val="21"/>
          <w:highlight w:val="none"/>
          <w:u w:val="single"/>
          <w:lang w:val="en-US" w:eastAsia="zh-CN"/>
        </w:rPr>
        <w:t>注册资格</w:t>
      </w:r>
      <w:r>
        <w:rPr>
          <w:rFonts w:hint="eastAsia" w:ascii="宋体" w:hAnsi="宋体" w:eastAsia="宋体" w:cs="宋体"/>
          <w:b/>
          <w:bCs/>
          <w:color w:val="auto"/>
          <w:szCs w:val="21"/>
          <w:highlight w:val="none"/>
          <w:u w:val="single"/>
        </w:rPr>
        <w:t>证书]以及人力资源和社会保障部门（或税务部门）出具的近</w:t>
      </w:r>
      <w:r>
        <w:rPr>
          <w:rFonts w:hint="eastAsia" w:ascii="宋体" w:hAnsi="宋体" w:eastAsia="宋体" w:cs="宋体"/>
          <w:b/>
          <w:bCs/>
          <w:color w:val="auto"/>
          <w:szCs w:val="21"/>
          <w:highlight w:val="none"/>
          <w:u w:val="single"/>
          <w:lang w:val="en-US" w:eastAsia="zh-CN"/>
        </w:rPr>
        <w:t>六</w:t>
      </w:r>
      <w:r>
        <w:rPr>
          <w:rFonts w:hint="eastAsia" w:ascii="宋体" w:hAnsi="宋体" w:eastAsia="宋体" w:cs="宋体"/>
          <w:b/>
          <w:bCs/>
          <w:color w:val="auto"/>
          <w:szCs w:val="21"/>
          <w:highlight w:val="none"/>
          <w:u w:val="single"/>
        </w:rPr>
        <w:t>个月（</w:t>
      </w:r>
      <w:r>
        <w:rPr>
          <w:rFonts w:hint="eastAsia" w:ascii="宋体" w:hAnsi="宋体" w:eastAsia="宋体" w:cs="宋体"/>
          <w:b/>
          <w:bCs/>
          <w:color w:val="auto"/>
          <w:szCs w:val="21"/>
          <w:highlight w:val="none"/>
          <w:u w:val="single"/>
          <w:lang w:val="en-US" w:eastAsia="zh-CN"/>
        </w:rPr>
        <w:t>2023年9月、</w:t>
      </w:r>
      <w:r>
        <w:rPr>
          <w:rFonts w:hint="eastAsia" w:ascii="宋体" w:hAnsi="宋体" w:eastAsia="宋体" w:cs="宋体"/>
          <w:b/>
          <w:bCs/>
          <w:color w:val="auto"/>
          <w:szCs w:val="21"/>
          <w:highlight w:val="none"/>
          <w:u w:val="single"/>
        </w:rPr>
        <w:t>2023年10月、2023年11月、2023年12月</w:t>
      </w:r>
      <w:r>
        <w:rPr>
          <w:rFonts w:hint="eastAsia" w:ascii="宋体" w:hAnsi="宋体" w:eastAsia="宋体" w:cs="宋体"/>
          <w:b/>
          <w:bCs/>
          <w:color w:val="auto"/>
          <w:szCs w:val="21"/>
          <w:highlight w:val="none"/>
          <w:u w:val="single"/>
          <w:lang w:eastAsia="zh-CN"/>
        </w:rPr>
        <w:t>、</w:t>
      </w:r>
      <w:r>
        <w:rPr>
          <w:rFonts w:hint="eastAsia" w:ascii="宋体" w:hAnsi="宋体" w:eastAsia="宋体" w:cs="宋体"/>
          <w:b/>
          <w:bCs/>
          <w:color w:val="auto"/>
          <w:szCs w:val="21"/>
          <w:highlight w:val="none"/>
          <w:u w:val="single"/>
          <w:lang w:val="en-US" w:eastAsia="zh-CN"/>
        </w:rPr>
        <w:t>2024年1月、2024年2月</w:t>
      </w:r>
      <w:r>
        <w:rPr>
          <w:rFonts w:hint="eastAsia" w:ascii="宋体" w:hAnsi="宋体" w:eastAsia="宋体" w:cs="宋体"/>
          <w:b/>
          <w:bCs/>
          <w:color w:val="auto"/>
          <w:szCs w:val="21"/>
          <w:highlight w:val="none"/>
          <w:u w:val="single"/>
        </w:rPr>
        <w:t>）投标人为其缴纳的社保证明复印件，身份证、劳动合同、资格证书[学历证书/职称证/</w:t>
      </w:r>
      <w:r>
        <w:rPr>
          <w:rFonts w:hint="eastAsia" w:ascii="宋体" w:hAnsi="宋体" w:eastAsia="宋体" w:cs="宋体"/>
          <w:b/>
          <w:bCs/>
          <w:color w:val="auto"/>
          <w:szCs w:val="21"/>
          <w:highlight w:val="none"/>
          <w:u w:val="single"/>
          <w:lang w:val="en-US" w:eastAsia="zh-CN"/>
        </w:rPr>
        <w:t>注册资格</w:t>
      </w:r>
      <w:r>
        <w:rPr>
          <w:rFonts w:hint="eastAsia" w:ascii="宋体" w:hAnsi="宋体" w:eastAsia="宋体" w:cs="宋体"/>
          <w:b/>
          <w:bCs/>
          <w:color w:val="auto"/>
          <w:szCs w:val="21"/>
          <w:highlight w:val="none"/>
          <w:u w:val="single"/>
        </w:rPr>
        <w:t>证书]、社保证明的人员名称需一致时才统计得分，不提供或人员名称不一致不得分</w:t>
      </w:r>
      <w:r>
        <w:rPr>
          <w:rFonts w:hint="eastAsia" w:ascii="宋体" w:hAnsi="宋体" w:eastAsia="宋体" w:cs="宋体"/>
          <w:color w:val="auto"/>
          <w:szCs w:val="21"/>
          <w:highlight w:val="none"/>
        </w:rPr>
        <w:t>。</w:t>
      </w:r>
    </w:p>
    <w:p>
      <w:pPr>
        <w:spacing w:line="360" w:lineRule="auto"/>
        <w:ind w:left="815" w:leftChars="1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（3）</w:t>
      </w:r>
      <w:r>
        <w:rPr>
          <w:rFonts w:hint="eastAsia" w:ascii="宋体" w:hAnsi="宋体" w:eastAsia="宋体" w:cs="宋体"/>
          <w:b/>
          <w:bCs/>
          <w:color w:val="auto"/>
          <w:szCs w:val="21"/>
          <w:highlight w:val="none"/>
          <w:u w:val="single"/>
          <w:lang w:val="zh-CN"/>
        </w:rPr>
        <w:t>项目负责人业绩和企业业绩可重复计分。项目负责人业绩证明材料需提供合同复印件。合同中应体现项目相关评审信息和项目负责人（合同签订日期、服务内容、污泥处理规模/污泥减量设备操作技术人员数量、合同期限），否则，需同时提供服务购买方出具的书面补充情况说明文件复印件（需加盖服务购买方公章，即复印件能显示服务购买方公章），否则不得分</w:t>
      </w:r>
      <w:r>
        <w:rPr>
          <w:rFonts w:hint="eastAsia" w:ascii="宋体" w:hAnsi="宋体" w:eastAsia="宋体" w:cs="宋体"/>
          <w:color w:val="auto"/>
          <w:szCs w:val="21"/>
          <w:highlight w:val="none"/>
          <w:lang w:val="zh-CN"/>
        </w:rPr>
        <w:t>。</w:t>
      </w:r>
    </w:p>
    <w:p>
      <w:pPr>
        <w:spacing w:line="360" w:lineRule="auto"/>
        <w:ind w:left="815" w:leftChars="1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
          <w:bCs w:val="0"/>
          <w:color w:val="auto"/>
          <w:szCs w:val="21"/>
          <w:highlight w:val="none"/>
          <w:u w:val="single"/>
        </w:rPr>
        <w:t>污泥脱水减量化处理服务</w:t>
      </w:r>
      <w:r>
        <w:rPr>
          <w:rFonts w:hint="eastAsia" w:ascii="宋体" w:hAnsi="宋体" w:eastAsia="宋体" w:cs="宋体"/>
          <w:b/>
          <w:bCs w:val="0"/>
          <w:color w:val="auto"/>
          <w:highlight w:val="none"/>
          <w:u w:val="single"/>
        </w:rPr>
        <w:t>单项合同业绩的服务内容须</w:t>
      </w:r>
      <w:r>
        <w:rPr>
          <w:rFonts w:hint="eastAsia" w:ascii="宋体" w:hAnsi="宋体" w:eastAsia="宋体" w:cs="宋体"/>
          <w:b/>
          <w:bCs w:val="0"/>
          <w:color w:val="auto"/>
          <w:highlight w:val="none"/>
          <w:u w:val="single"/>
          <w:lang w:val="en-US" w:eastAsia="zh-CN"/>
        </w:rPr>
        <w:t>为</w:t>
      </w:r>
      <w:r>
        <w:rPr>
          <w:rFonts w:hint="eastAsia" w:ascii="宋体" w:hAnsi="宋体" w:eastAsia="宋体" w:cs="宋体"/>
          <w:b/>
          <w:bCs w:val="0"/>
          <w:color w:val="auto"/>
          <w:highlight w:val="none"/>
          <w:u w:val="single"/>
        </w:rPr>
        <w:t>污泥脱水减量化处理服务，如单项合同业绩的服务内容为污泥的全流程处理处置，必须</w:t>
      </w:r>
      <w:r>
        <w:rPr>
          <w:rFonts w:hint="eastAsia" w:ascii="宋体" w:hAnsi="宋体" w:eastAsia="宋体" w:cs="宋体"/>
          <w:b/>
          <w:bCs w:val="0"/>
          <w:color w:val="auto"/>
          <w:highlight w:val="none"/>
          <w:u w:val="single"/>
          <w:lang w:val="en-US" w:eastAsia="zh-CN"/>
        </w:rPr>
        <w:t>包含</w:t>
      </w:r>
      <w:r>
        <w:rPr>
          <w:rFonts w:hint="eastAsia" w:ascii="宋体" w:hAnsi="宋体" w:eastAsia="宋体" w:cs="宋体"/>
          <w:b/>
          <w:bCs w:val="0"/>
          <w:color w:val="auto"/>
          <w:highlight w:val="none"/>
          <w:u w:val="single"/>
        </w:rPr>
        <w:t>污泥</w:t>
      </w:r>
      <w:r>
        <w:rPr>
          <w:rFonts w:hint="eastAsia" w:ascii="宋体" w:hAnsi="宋体" w:eastAsia="宋体" w:cs="宋体"/>
          <w:b/>
          <w:bCs w:val="0"/>
          <w:color w:val="auto"/>
          <w:highlight w:val="none"/>
          <w:u w:val="single"/>
          <w:lang w:val="en-US" w:eastAsia="zh-CN"/>
        </w:rPr>
        <w:t>脱水</w:t>
      </w:r>
      <w:r>
        <w:rPr>
          <w:rFonts w:hint="eastAsia" w:ascii="宋体" w:hAnsi="宋体" w:eastAsia="宋体" w:cs="宋体"/>
          <w:b/>
          <w:bCs w:val="0"/>
          <w:color w:val="auto"/>
          <w:highlight w:val="none"/>
          <w:u w:val="single"/>
        </w:rPr>
        <w:t>减量化处理</w:t>
      </w:r>
      <w:r>
        <w:rPr>
          <w:rFonts w:hint="eastAsia" w:ascii="宋体" w:hAnsi="宋体" w:eastAsia="宋体" w:cs="宋体"/>
          <w:b/>
          <w:bCs w:val="0"/>
          <w:color w:val="auto"/>
          <w:highlight w:val="none"/>
          <w:u w:val="single"/>
          <w:lang w:val="en-US" w:eastAsia="zh-CN"/>
        </w:rPr>
        <w:t>的</w:t>
      </w:r>
      <w:r>
        <w:rPr>
          <w:rFonts w:hint="eastAsia" w:ascii="宋体" w:hAnsi="宋体" w:eastAsia="宋体" w:cs="宋体"/>
          <w:b/>
          <w:bCs w:val="0"/>
          <w:color w:val="auto"/>
          <w:highlight w:val="none"/>
          <w:u w:val="single"/>
        </w:rPr>
        <w:t>服务内容，否则不得分</w:t>
      </w:r>
      <w:r>
        <w:rPr>
          <w:rFonts w:hint="eastAsia" w:ascii="宋体" w:hAnsi="宋体" w:eastAsia="宋体" w:cs="宋体"/>
          <w:color w:val="auto"/>
          <w:highlight w:val="none"/>
        </w:rPr>
        <w:t>。</w:t>
      </w:r>
    </w:p>
    <w:p>
      <w:pPr>
        <w:spacing w:line="360" w:lineRule="auto"/>
        <w:ind w:left="815" w:leftChars="1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b/>
          <w:bCs/>
          <w:color w:val="auto"/>
          <w:szCs w:val="21"/>
          <w:highlight w:val="none"/>
          <w:u w:val="single"/>
        </w:rPr>
        <w:t>污泥脱水减量化处理服务单项合同业绩的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Cs w:val="21"/>
          <w:highlight w:val="none"/>
        </w:rPr>
        <w:t>。</w:t>
      </w:r>
    </w:p>
    <w:p>
      <w:pPr>
        <w:spacing w:line="360" w:lineRule="auto"/>
        <w:ind w:left="815" w:leftChars="1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b/>
          <w:bCs/>
          <w:color w:val="auto"/>
          <w:szCs w:val="21"/>
          <w:highlight w:val="none"/>
          <w:u w:val="single"/>
        </w:rPr>
        <w:t>若污泥脱水减量化处理服务业绩为无明确污泥处理规模，必须同时提供</w:t>
      </w:r>
      <w:r>
        <w:rPr>
          <w:rFonts w:hint="eastAsia" w:ascii="宋体" w:hAnsi="宋体" w:eastAsia="宋体" w:cs="宋体"/>
          <w:b/>
          <w:bCs/>
          <w:color w:val="auto"/>
          <w:szCs w:val="21"/>
          <w:highlight w:val="none"/>
          <w:u w:val="single"/>
          <w:lang w:val="zh-CN"/>
        </w:rPr>
        <w:t>合同期限内</w:t>
      </w:r>
      <w:r>
        <w:rPr>
          <w:rFonts w:hint="eastAsia" w:ascii="宋体" w:hAnsi="宋体" w:eastAsia="宋体" w:cs="宋体"/>
          <w:b/>
          <w:bCs/>
          <w:color w:val="auto"/>
          <w:szCs w:val="21"/>
          <w:highlight w:val="none"/>
          <w:u w:val="single"/>
          <w:lang w:val="en-US" w:eastAsia="zh-CN"/>
        </w:rPr>
        <w:t>单个月份</w:t>
      </w:r>
      <w:r>
        <w:rPr>
          <w:rFonts w:hint="eastAsia" w:ascii="宋体" w:hAnsi="宋体" w:eastAsia="宋体" w:cs="宋体"/>
          <w:b/>
          <w:bCs/>
          <w:color w:val="auto"/>
          <w:szCs w:val="21"/>
          <w:highlight w:val="none"/>
          <w:u w:val="single"/>
          <w:lang w:val="zh-CN"/>
        </w:rPr>
        <w:t>已处理的生活污水处理厂污泥处理量统计表和污泥转运联单复印件（无转运联单的，提供服务发票复印件及折算处理量数据或污泥产生单位盖章的证明文件替代）以证明污泥处理规模，日平均生活污水处理厂污泥处理量按合同期限内</w:t>
      </w:r>
      <w:r>
        <w:rPr>
          <w:rFonts w:hint="eastAsia" w:ascii="宋体" w:hAnsi="宋体" w:eastAsia="宋体" w:cs="宋体"/>
          <w:b/>
          <w:bCs/>
          <w:color w:val="auto"/>
          <w:szCs w:val="21"/>
          <w:highlight w:val="none"/>
          <w:u w:val="single"/>
          <w:lang w:val="en-US" w:eastAsia="zh-CN"/>
        </w:rPr>
        <w:t>单个月份</w:t>
      </w:r>
      <w:r>
        <w:rPr>
          <w:rFonts w:hint="eastAsia" w:ascii="宋体" w:hAnsi="宋体" w:eastAsia="宋体" w:cs="宋体"/>
          <w:b/>
          <w:bCs/>
          <w:color w:val="auto"/>
          <w:szCs w:val="21"/>
          <w:highlight w:val="none"/>
          <w:u w:val="single"/>
          <w:lang w:val="zh-CN"/>
        </w:rPr>
        <w:t>已处理的生活污水处理厂污泥处理量除以</w:t>
      </w:r>
      <w:r>
        <w:rPr>
          <w:rFonts w:hint="eastAsia" w:ascii="宋体" w:hAnsi="宋体" w:eastAsia="宋体" w:cs="宋体"/>
          <w:b/>
          <w:bCs/>
          <w:color w:val="auto"/>
          <w:szCs w:val="21"/>
          <w:highlight w:val="none"/>
          <w:u w:val="single"/>
          <w:lang w:val="en-US" w:eastAsia="zh-CN"/>
        </w:rPr>
        <w:t>单个月份自然天数</w:t>
      </w:r>
      <w:r>
        <w:rPr>
          <w:rFonts w:hint="eastAsia" w:ascii="宋体" w:hAnsi="宋体" w:eastAsia="宋体" w:cs="宋体"/>
          <w:b/>
          <w:bCs/>
          <w:color w:val="auto"/>
          <w:szCs w:val="21"/>
          <w:highlight w:val="none"/>
          <w:u w:val="single"/>
          <w:lang w:val="zh-CN"/>
        </w:rPr>
        <w:t>进行计算，并以此作为污泥处理规模进行评审</w:t>
      </w:r>
      <w:r>
        <w:rPr>
          <w:rFonts w:hint="eastAsia" w:ascii="宋体" w:hAnsi="宋体" w:eastAsia="宋体" w:cs="宋体"/>
          <w:color w:val="auto"/>
          <w:szCs w:val="21"/>
          <w:highlight w:val="none"/>
        </w:rPr>
        <w:t>。</w:t>
      </w:r>
    </w:p>
    <w:p>
      <w:pPr>
        <w:spacing w:line="360" w:lineRule="auto"/>
        <w:ind w:left="815" w:leftChars="1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b/>
          <w:bCs/>
          <w:color w:val="auto"/>
          <w:szCs w:val="21"/>
          <w:highlight w:val="none"/>
          <w:u w:val="single"/>
          <w:lang w:val="zh-CN"/>
        </w:rPr>
        <w:t>若污泥脱水减量化处理服务单项合同业绩中包含多个污泥脱水减量化处理服务项目，评分时污泥处理规模/污泥减量设备操作技术人员数量按单项合同中的各污泥脱水处理服务项目</w:t>
      </w:r>
      <w:r>
        <w:rPr>
          <w:rFonts w:hint="eastAsia" w:ascii="宋体" w:hAnsi="宋体" w:eastAsia="宋体" w:cs="宋体"/>
          <w:b/>
          <w:bCs/>
          <w:color w:val="auto"/>
          <w:szCs w:val="21"/>
          <w:highlight w:val="none"/>
          <w:u w:val="single"/>
          <w:lang w:val="zh-CN" w:eastAsia="zh-CN"/>
        </w:rPr>
        <w:t>的污泥</w:t>
      </w:r>
      <w:r>
        <w:rPr>
          <w:rFonts w:hint="eastAsia" w:ascii="宋体" w:hAnsi="宋体" w:eastAsia="宋体" w:cs="宋体"/>
          <w:b/>
          <w:bCs/>
          <w:color w:val="auto"/>
          <w:szCs w:val="21"/>
          <w:highlight w:val="none"/>
          <w:u w:val="single"/>
          <w:lang w:val="zh-CN"/>
        </w:rPr>
        <w:t>处理规模/污泥减量设备操作技术人员数量的累加值计算得分</w:t>
      </w:r>
      <w:r>
        <w:rPr>
          <w:rFonts w:hint="eastAsia" w:ascii="宋体" w:hAnsi="宋体" w:eastAsia="宋体" w:cs="宋体"/>
          <w:color w:val="auto"/>
          <w:szCs w:val="21"/>
          <w:highlight w:val="none"/>
        </w:rPr>
        <w:t>。</w:t>
      </w:r>
    </w:p>
    <w:p>
      <w:pPr>
        <w:spacing w:line="360" w:lineRule="auto"/>
        <w:ind w:left="815" w:leftChars="118" w:hanging="567" w:hangingChars="270"/>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b/>
          <w:bCs/>
          <w:color w:val="auto"/>
          <w:szCs w:val="21"/>
          <w:highlight w:val="none"/>
          <w:u w:val="single"/>
        </w:rPr>
        <w:t>污泥脱水减量配合服务单项合同业绩的服务内容若为以劳务派遣或劳务外包的方式提供污泥脱水减量化服务人员的，</w:t>
      </w:r>
      <w:r>
        <w:rPr>
          <w:rFonts w:hint="eastAsia" w:ascii="宋体" w:hAnsi="宋体" w:eastAsia="宋体" w:cs="宋体"/>
          <w:b/>
          <w:bCs/>
          <w:color w:val="auto"/>
          <w:szCs w:val="21"/>
          <w:highlight w:val="none"/>
          <w:u w:val="single"/>
          <w:lang w:val="en-US" w:eastAsia="zh-CN"/>
        </w:rPr>
        <w:t>服务内容</w:t>
      </w:r>
      <w:r>
        <w:rPr>
          <w:rFonts w:hint="eastAsia" w:ascii="宋体" w:hAnsi="宋体" w:eastAsia="宋体" w:cs="宋体"/>
          <w:b/>
          <w:bCs/>
          <w:color w:val="auto"/>
          <w:szCs w:val="21"/>
          <w:highlight w:val="none"/>
          <w:u w:val="single"/>
        </w:rPr>
        <w:t>必须</w:t>
      </w:r>
      <w:r>
        <w:rPr>
          <w:rFonts w:hint="eastAsia" w:ascii="宋体" w:hAnsi="宋体" w:eastAsia="宋体" w:cs="宋体"/>
          <w:b/>
          <w:bCs/>
          <w:color w:val="auto"/>
          <w:szCs w:val="21"/>
          <w:highlight w:val="none"/>
          <w:u w:val="single"/>
          <w:lang w:val="en-US" w:eastAsia="zh-CN"/>
        </w:rPr>
        <w:t>包含提供从事污泥脱水压滤设备的操作技术人员</w:t>
      </w:r>
      <w:r>
        <w:rPr>
          <w:rFonts w:hint="eastAsia" w:ascii="宋体" w:hAnsi="宋体" w:eastAsia="宋体" w:cs="宋体"/>
          <w:b/>
          <w:bCs/>
          <w:color w:val="auto"/>
          <w:szCs w:val="21"/>
          <w:highlight w:val="none"/>
          <w:u w:val="single"/>
        </w:rPr>
        <w:t>，否则不得分</w:t>
      </w:r>
      <w:r>
        <w:rPr>
          <w:rFonts w:hint="eastAsia" w:ascii="宋体" w:hAnsi="宋体" w:eastAsia="宋体" w:cs="宋体"/>
          <w:color w:val="auto"/>
          <w:szCs w:val="21"/>
          <w:highlight w:val="none"/>
        </w:rPr>
        <w:t>。</w:t>
      </w:r>
    </w:p>
    <w:p>
      <w:pPr>
        <w:spacing w:line="360" w:lineRule="auto"/>
        <w:ind w:left="815" w:leftChars="1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b/>
          <w:bCs/>
          <w:color w:val="auto"/>
          <w:szCs w:val="21"/>
          <w:highlight w:val="none"/>
          <w:u w:val="single"/>
        </w:rPr>
        <w:t>单项合同业绩的合同服务期限</w:t>
      </w:r>
      <w:r>
        <w:rPr>
          <w:rFonts w:hint="eastAsia" w:ascii="宋体" w:hAnsi="宋体" w:eastAsia="宋体" w:cs="宋体"/>
          <w:b/>
          <w:bCs/>
          <w:color w:val="auto"/>
          <w:szCs w:val="21"/>
          <w:highlight w:val="none"/>
          <w:u w:val="single"/>
          <w:lang w:val="zh-CN"/>
        </w:rPr>
        <w:t>要求大于或等于</w:t>
      </w:r>
      <w:r>
        <w:rPr>
          <w:rFonts w:hint="eastAsia" w:ascii="宋体" w:hAnsi="宋体" w:eastAsia="宋体" w:cs="宋体"/>
          <w:b/>
          <w:bCs/>
          <w:color w:val="auto"/>
          <w:szCs w:val="21"/>
          <w:highlight w:val="none"/>
          <w:u w:val="single"/>
          <w:lang w:val="en-US" w:eastAsia="zh-CN"/>
        </w:rPr>
        <w:t>1年</w:t>
      </w:r>
      <w:r>
        <w:rPr>
          <w:rFonts w:hint="eastAsia" w:ascii="宋体" w:hAnsi="宋体" w:eastAsia="宋体" w:cs="宋体"/>
          <w:b/>
          <w:bCs/>
          <w:color w:val="auto"/>
          <w:szCs w:val="21"/>
          <w:highlight w:val="none"/>
          <w:u w:val="single"/>
          <w:lang w:val="zh-CN"/>
        </w:rPr>
        <w:t>，小于</w:t>
      </w:r>
      <w:r>
        <w:rPr>
          <w:rFonts w:hint="eastAsia" w:ascii="宋体" w:hAnsi="宋体" w:eastAsia="宋体" w:cs="宋体"/>
          <w:b/>
          <w:bCs/>
          <w:color w:val="auto"/>
          <w:szCs w:val="21"/>
          <w:highlight w:val="none"/>
          <w:u w:val="single"/>
          <w:lang w:val="en-US" w:eastAsia="zh-CN"/>
        </w:rPr>
        <w:t>1年</w:t>
      </w:r>
      <w:r>
        <w:rPr>
          <w:rFonts w:hint="eastAsia" w:ascii="宋体" w:hAnsi="宋体" w:eastAsia="宋体" w:cs="宋体"/>
          <w:b/>
          <w:bCs/>
          <w:color w:val="auto"/>
          <w:szCs w:val="21"/>
          <w:highlight w:val="none"/>
          <w:u w:val="single"/>
          <w:lang w:val="zh-CN"/>
        </w:rPr>
        <w:t>的业绩合同在评标时不予考虑</w:t>
      </w:r>
      <w:r>
        <w:rPr>
          <w:rFonts w:hint="eastAsia" w:ascii="宋体" w:hAnsi="宋体" w:eastAsia="宋体" w:cs="宋体"/>
          <w:color w:val="auto"/>
          <w:szCs w:val="21"/>
          <w:highlight w:val="none"/>
          <w:lang w:val="zh-CN"/>
        </w:rPr>
        <w:t>。</w:t>
      </w:r>
    </w:p>
    <w:p>
      <w:pPr>
        <w:outlineLvl w:val="9"/>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pPr>
        <w:outlineLvl w:val="9"/>
        <w:rPr>
          <w:rFonts w:ascii="宋体" w:hAnsi="宋体" w:eastAsia="宋体" w:cs="宋体"/>
          <w:b/>
          <w:bCs/>
          <w:color w:val="auto"/>
          <w:sz w:val="30"/>
          <w:szCs w:val="30"/>
          <w:highlight w:val="none"/>
          <w:lang w:val="zh-CN"/>
        </w:rPr>
      </w:pPr>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sz w:val="32"/>
          <w:szCs w:val="32"/>
          <w:highlight w:val="none"/>
        </w:rPr>
        <w:t>应急预案和保障措施</w:t>
      </w:r>
      <w:r>
        <w:rPr>
          <w:rFonts w:hint="eastAsia" w:ascii="宋体" w:hAnsi="宋体" w:eastAsia="宋体" w:cs="宋体"/>
          <w:b/>
          <w:bCs/>
          <w:color w:val="auto"/>
          <w:sz w:val="30"/>
          <w:szCs w:val="30"/>
          <w:highlight w:val="none"/>
          <w:lang w:val="zh-CN"/>
        </w:rPr>
        <w:t>(</w:t>
      </w:r>
      <w:r>
        <w:rPr>
          <w:rFonts w:hint="eastAsia" w:ascii="宋体" w:hAnsi="宋体" w:eastAsia="宋体" w:cs="宋体"/>
          <w:b/>
          <w:bCs/>
          <w:color w:val="auto"/>
          <w:sz w:val="30"/>
          <w:szCs w:val="30"/>
          <w:highlight w:val="none"/>
          <w:u w:val="single"/>
          <w:lang w:val="zh-CN"/>
        </w:rPr>
        <w:t xml:space="preserve">   </w:t>
      </w:r>
      <w:r>
        <w:rPr>
          <w:rFonts w:hint="eastAsia" w:ascii="宋体" w:hAnsi="宋体" w:eastAsia="宋体" w:cs="宋体"/>
          <w:b/>
          <w:bCs/>
          <w:color w:val="auto"/>
          <w:sz w:val="30"/>
          <w:szCs w:val="30"/>
          <w:highlight w:val="none"/>
          <w:lang w:val="zh-CN"/>
        </w:rPr>
        <w:t>包组)</w:t>
      </w:r>
    </w:p>
    <w:p>
      <w:pPr>
        <w:pStyle w:val="2"/>
        <w:spacing w:before="240" w:beforeLines="100" w:line="360" w:lineRule="auto"/>
        <w:ind w:firstLine="420" w:firstLineChars="200"/>
        <w:jc w:val="left"/>
        <w:outlineLvl w:val="9"/>
        <w:rPr>
          <w:rFonts w:ascii="宋体" w:hAnsi="宋体" w:eastAsia="宋体" w:cs="宋体"/>
          <w:color w:val="auto"/>
          <w:szCs w:val="21"/>
          <w:highlight w:val="none"/>
          <w:lang w:val="zh-CN"/>
        </w:rPr>
        <w:sectPr>
          <w:pgSz w:w="11907" w:h="16839"/>
          <w:pgMar w:top="1417" w:right="1276" w:bottom="1417" w:left="1417" w:header="720" w:footer="1003" w:gutter="0"/>
          <w:cols w:space="720" w:num="1"/>
          <w:titlePg/>
          <w:docGrid w:linePitch="326" w:charSpace="0"/>
        </w:sectPr>
      </w:pPr>
      <w:r>
        <w:rPr>
          <w:rFonts w:hint="eastAsia" w:ascii="宋体" w:hAnsi="宋体" w:eastAsia="宋体" w:cs="宋体"/>
          <w:b w:val="0"/>
          <w:color w:val="auto"/>
          <w:szCs w:val="21"/>
          <w:highlight w:val="none"/>
        </w:rPr>
        <w:t>说明：投标人自行编制，格式不限。内容包括但针对劳务纠纷应急预案、工伤事故应急预案（包括但不限于对操作技术人员发生工伤处理的及时性，后续跟进保障措施等）等的应急方案和保障措施。</w:t>
      </w:r>
    </w:p>
    <w:p>
      <w:pPr>
        <w:outlineLvl w:val="9"/>
        <w:rPr>
          <w:rFonts w:ascii="宋体" w:hAnsi="宋体" w:eastAsia="宋体" w:cs="宋体"/>
          <w:b/>
          <w:color w:val="auto"/>
          <w:kern w:val="0"/>
          <w:sz w:val="30"/>
          <w:szCs w:val="30"/>
          <w:highlight w:val="none"/>
        </w:rPr>
      </w:pPr>
    </w:p>
    <w:p>
      <w:pPr>
        <w:autoSpaceDE w:val="0"/>
        <w:autoSpaceDN w:val="0"/>
        <w:adjustRightInd w:val="0"/>
        <w:spacing w:line="360" w:lineRule="auto"/>
        <w:jc w:val="left"/>
        <w:outlineLvl w:val="9"/>
        <w:rPr>
          <w:rFonts w:ascii="宋体" w:hAnsi="宋体" w:eastAsia="宋体" w:cs="宋体"/>
          <w:b/>
          <w:color w:val="auto"/>
          <w:kern w:val="0"/>
          <w:sz w:val="30"/>
          <w:szCs w:val="30"/>
          <w:highlight w:val="none"/>
        </w:rPr>
      </w:pPr>
      <w:bookmarkStart w:id="702" w:name="_Toc30545"/>
      <w:bookmarkStart w:id="703" w:name="_Toc18180"/>
      <w:bookmarkStart w:id="704" w:name="_Toc375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3</w:t>
      </w:r>
      <w:r>
        <w:rPr>
          <w:rFonts w:hint="eastAsia" w:ascii="宋体" w:hAnsi="宋体" w:eastAsia="宋体" w:cs="宋体"/>
          <w:b/>
          <w:color w:val="auto"/>
          <w:kern w:val="0"/>
          <w:sz w:val="30"/>
          <w:szCs w:val="30"/>
          <w:highlight w:val="none"/>
        </w:rPr>
        <w:t>.5 投标人认为有必要提供的其它材料（不做强制要求）</w:t>
      </w:r>
      <w:bookmarkEnd w:id="694"/>
      <w:bookmarkEnd w:id="695"/>
      <w:bookmarkEnd w:id="696"/>
      <w:bookmarkEnd w:id="697"/>
      <w:bookmarkEnd w:id="698"/>
      <w:bookmarkEnd w:id="702"/>
      <w:bookmarkEnd w:id="703"/>
      <w:bookmarkEnd w:id="704"/>
      <w:r>
        <w:rPr>
          <w:rFonts w:hint="eastAsia" w:ascii="宋体" w:hAnsi="宋体" w:eastAsia="宋体" w:cs="宋体"/>
          <w:b/>
          <w:bCs/>
          <w:color w:val="auto"/>
          <w:sz w:val="30"/>
          <w:szCs w:val="30"/>
          <w:highlight w:val="none"/>
          <w:lang w:val="zh-CN"/>
        </w:rPr>
        <w:t>(</w:t>
      </w:r>
      <w:r>
        <w:rPr>
          <w:rFonts w:hint="eastAsia" w:ascii="宋体" w:hAnsi="宋体" w:eastAsia="宋体" w:cs="宋体"/>
          <w:b/>
          <w:bCs/>
          <w:color w:val="auto"/>
          <w:sz w:val="30"/>
          <w:szCs w:val="30"/>
          <w:highlight w:val="none"/>
          <w:u w:val="single"/>
          <w:lang w:val="zh-CN"/>
        </w:rPr>
        <w:t xml:space="preserve">   </w:t>
      </w:r>
      <w:r>
        <w:rPr>
          <w:rFonts w:hint="eastAsia" w:ascii="宋体" w:hAnsi="宋体" w:eastAsia="宋体" w:cs="宋体"/>
          <w:b/>
          <w:bCs/>
          <w:color w:val="auto"/>
          <w:sz w:val="30"/>
          <w:szCs w:val="30"/>
          <w:highlight w:val="none"/>
          <w:lang w:val="zh-CN"/>
        </w:rPr>
        <w:t>包组)</w:t>
      </w: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autoSpaceDE w:val="0"/>
        <w:autoSpaceDN w:val="0"/>
        <w:adjustRightInd w:val="0"/>
        <w:jc w:val="left"/>
        <w:outlineLvl w:val="9"/>
        <w:rPr>
          <w:rFonts w:ascii="宋体" w:hAnsi="宋体" w:eastAsia="宋体" w:cs="宋体"/>
          <w:color w:val="auto"/>
          <w:kern w:val="0"/>
          <w:sz w:val="24"/>
          <w:szCs w:val="24"/>
          <w:highlight w:val="none"/>
        </w:rPr>
      </w:pPr>
    </w:p>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autoSpaceDE w:val="0"/>
        <w:autoSpaceDN w:val="0"/>
        <w:adjustRightInd w:val="0"/>
        <w:jc w:val="left"/>
        <w:rPr>
          <w:rFonts w:ascii="宋体" w:hAnsi="宋体" w:eastAsia="宋体" w:cs="宋体"/>
          <w:color w:val="auto"/>
          <w:kern w:val="0"/>
          <w:sz w:val="24"/>
          <w:szCs w:val="24"/>
          <w:highlight w:val="none"/>
        </w:rPr>
      </w:pPr>
    </w:p>
    <w:p>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705" w:name="_Toc16400"/>
      <w:bookmarkStart w:id="706" w:name="_Toc21059"/>
      <w:bookmarkStart w:id="707" w:name="_Toc142508390"/>
      <w:bookmarkStart w:id="708" w:name="_Toc30548"/>
      <w:bookmarkStart w:id="709" w:name="_Toc14977"/>
      <w:bookmarkStart w:id="710" w:name="_Toc521918141"/>
      <w:bookmarkStart w:id="711" w:name="_Toc22601_WPSOffice_Level1"/>
      <w:bookmarkStart w:id="712" w:name="_Toc522047402"/>
      <w:r>
        <w:rPr>
          <w:rFonts w:hint="eastAsia" w:ascii="宋体" w:hAnsi="宋体" w:eastAsia="宋体" w:cs="宋体"/>
          <w:b/>
          <w:bCs/>
          <w:color w:val="auto"/>
          <w:kern w:val="44"/>
          <w:sz w:val="32"/>
          <w:szCs w:val="32"/>
          <w:highlight w:val="none"/>
          <w:lang w:val="zh-CN"/>
        </w:rPr>
        <w:t>附件一：评标工作大纲</w:t>
      </w:r>
      <w:bookmarkEnd w:id="705"/>
      <w:bookmarkEnd w:id="706"/>
      <w:bookmarkEnd w:id="707"/>
      <w:bookmarkEnd w:id="708"/>
      <w:bookmarkEnd w:id="709"/>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400" w:lineRule="atLeast"/>
        <w:jc w:val="center"/>
        <w:rPr>
          <w:rFonts w:ascii="宋体" w:hAnsi="宋体" w:eastAsia="宋体" w:cs="宋体"/>
          <w:b/>
          <w:bCs/>
          <w:color w:val="auto"/>
          <w:szCs w:val="21"/>
          <w:highlight w:val="none"/>
        </w:rPr>
      </w:pPr>
    </w:p>
    <w:p>
      <w:pPr>
        <w:autoSpaceDE w:val="0"/>
        <w:autoSpaceDN w:val="0"/>
        <w:adjustRightInd w:val="0"/>
        <w:spacing w:line="360" w:lineRule="auto"/>
        <w:jc w:val="center"/>
        <w:outlineLvl w:val="9"/>
        <w:rPr>
          <w:rFonts w:ascii="宋体" w:hAnsi="宋体" w:eastAsia="宋体" w:cs="宋体"/>
          <w:b/>
          <w:bCs/>
          <w:color w:val="auto"/>
          <w:sz w:val="36"/>
          <w:szCs w:val="44"/>
          <w:highlight w:val="none"/>
        </w:rPr>
      </w:pPr>
      <w:r>
        <w:rPr>
          <w:rFonts w:hint="eastAsia" w:ascii="宋体" w:hAnsi="宋体" w:eastAsia="宋体" w:cs="宋体"/>
          <w:b/>
          <w:bCs/>
          <w:color w:val="auto"/>
          <w:sz w:val="44"/>
          <w:szCs w:val="44"/>
          <w:highlight w:val="none"/>
        </w:rPr>
        <w:t>东莞市众源环境投资有限公司污泥脱水减量配合服务采购</w:t>
      </w:r>
      <w:r>
        <w:rPr>
          <w:rFonts w:hint="eastAsia" w:ascii="宋体" w:hAnsi="宋体" w:eastAsia="宋体" w:cs="宋体"/>
          <w:b/>
          <w:bCs/>
          <w:color w:val="auto"/>
          <w:sz w:val="40"/>
          <w:szCs w:val="36"/>
          <w:highlight w:val="none"/>
        </w:rPr>
        <w:t>项目</w:t>
      </w:r>
    </w:p>
    <w:p>
      <w:pPr>
        <w:autoSpaceDE w:val="0"/>
        <w:autoSpaceDN w:val="0"/>
        <w:adjustRightInd w:val="0"/>
        <w:spacing w:line="360" w:lineRule="auto"/>
        <w:jc w:val="center"/>
        <w:outlineLvl w:val="9"/>
        <w:rPr>
          <w:rFonts w:ascii="宋体" w:hAnsi="宋体" w:eastAsia="宋体" w:cs="宋体"/>
          <w:b/>
          <w:bCs/>
          <w:color w:val="auto"/>
          <w:sz w:val="36"/>
          <w:szCs w:val="36"/>
          <w:highlight w:val="none"/>
        </w:rPr>
      </w:pPr>
      <w:bookmarkStart w:id="713" w:name="_Toc14752_WPSOffice_Level1"/>
      <w:r>
        <w:rPr>
          <w:rFonts w:hint="eastAsia" w:ascii="宋体" w:hAnsi="宋体" w:eastAsia="宋体" w:cs="宋体"/>
          <w:b/>
          <w:bCs/>
          <w:color w:val="auto"/>
          <w:sz w:val="36"/>
          <w:szCs w:val="36"/>
          <w:highlight w:val="none"/>
          <w:lang w:val="zh-CN"/>
        </w:rPr>
        <w:t>（招标编号：YDZB23DGQY0240）</w:t>
      </w:r>
      <w:bookmarkEnd w:id="713"/>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72"/>
          <w:szCs w:val="72"/>
          <w:highlight w:val="none"/>
          <w:lang w:val="zh-CN"/>
        </w:rPr>
      </w:pPr>
      <w:bookmarkStart w:id="714" w:name="_Toc18947_WPSOffice_Level2"/>
      <w:r>
        <w:rPr>
          <w:rFonts w:hint="eastAsia" w:ascii="宋体" w:hAnsi="宋体" w:eastAsia="宋体" w:cs="宋体"/>
          <w:b/>
          <w:bCs/>
          <w:color w:val="auto"/>
          <w:sz w:val="72"/>
          <w:szCs w:val="72"/>
          <w:highlight w:val="none"/>
          <w:lang w:val="zh-CN"/>
        </w:rPr>
        <w:t>评标工作大纲</w:t>
      </w:r>
      <w:bookmarkEnd w:id="714"/>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广东有德招标采购</w:t>
      </w:r>
      <w:r>
        <w:rPr>
          <w:rFonts w:hint="eastAsia" w:ascii="宋体" w:hAnsi="宋体" w:eastAsia="宋体" w:cs="宋体"/>
          <w:b/>
          <w:bCs/>
          <w:color w:val="auto"/>
          <w:sz w:val="36"/>
          <w:szCs w:val="36"/>
          <w:highlight w:val="none"/>
          <w:lang w:val="zh-CN"/>
        </w:rPr>
        <w:t>有限公司</w:t>
      </w: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p>
    <w:p>
      <w:pPr>
        <w:autoSpaceDE w:val="0"/>
        <w:autoSpaceDN w:val="0"/>
        <w:adjustRightInd w:val="0"/>
        <w:spacing w:line="400" w:lineRule="atLeast"/>
        <w:jc w:val="center"/>
        <w:outlineLvl w:val="9"/>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715" w:name="_Toc32395_WPSOffice_Level1"/>
      <w:r>
        <w:rPr>
          <w:rFonts w:hint="eastAsia" w:ascii="宋体" w:hAnsi="宋体" w:eastAsia="宋体" w:cs="宋体"/>
          <w:b/>
          <w:bCs/>
          <w:color w:val="auto"/>
          <w:sz w:val="36"/>
          <w:szCs w:val="36"/>
          <w:highlight w:val="none"/>
          <w:lang w:val="zh-CN"/>
        </w:rPr>
        <w:t>目录</w:t>
      </w:r>
      <w:bookmarkEnd w:id="715"/>
    </w:p>
    <w:p>
      <w:pPr>
        <w:autoSpaceDE w:val="0"/>
        <w:autoSpaceDN w:val="0"/>
        <w:adjustRightInd w:val="0"/>
        <w:spacing w:line="400" w:lineRule="atLeast"/>
        <w:jc w:val="center"/>
        <w:outlineLvl w:val="9"/>
        <w:rPr>
          <w:rFonts w:ascii="宋体" w:hAnsi="宋体" w:eastAsia="宋体" w:cs="宋体"/>
          <w:color w:val="auto"/>
          <w:sz w:val="44"/>
          <w:szCs w:val="44"/>
          <w:highlight w:val="none"/>
        </w:rPr>
      </w:pPr>
    </w:p>
    <w:p>
      <w:pPr>
        <w:autoSpaceDE w:val="0"/>
        <w:autoSpaceDN w:val="0"/>
        <w:adjustRightInd w:val="0"/>
        <w:spacing w:line="480" w:lineRule="auto"/>
        <w:ind w:left="567" w:hanging="567"/>
        <w:outlineLvl w:val="9"/>
        <w:rPr>
          <w:rFonts w:ascii="宋体" w:hAnsi="宋体" w:eastAsia="宋体" w:cs="宋体"/>
          <w:color w:val="auto"/>
          <w:szCs w:val="30"/>
          <w:highlight w:val="none"/>
        </w:rPr>
      </w:pPr>
      <w:bookmarkStart w:id="716"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716"/>
    </w:p>
    <w:p>
      <w:pPr>
        <w:autoSpaceDE w:val="0"/>
        <w:autoSpaceDN w:val="0"/>
        <w:adjustRightInd w:val="0"/>
        <w:spacing w:line="480" w:lineRule="auto"/>
        <w:ind w:left="567" w:hanging="567"/>
        <w:outlineLvl w:val="9"/>
        <w:rPr>
          <w:rFonts w:ascii="宋体" w:hAnsi="宋体" w:eastAsia="宋体" w:cs="宋体"/>
          <w:color w:val="auto"/>
          <w:szCs w:val="30"/>
          <w:highlight w:val="none"/>
        </w:rPr>
      </w:pPr>
      <w:bookmarkStart w:id="717"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717"/>
    </w:p>
    <w:p>
      <w:pPr>
        <w:autoSpaceDE w:val="0"/>
        <w:autoSpaceDN w:val="0"/>
        <w:adjustRightInd w:val="0"/>
        <w:spacing w:line="480" w:lineRule="auto"/>
        <w:ind w:left="567" w:hanging="567"/>
        <w:outlineLvl w:val="9"/>
        <w:rPr>
          <w:rFonts w:ascii="宋体" w:hAnsi="宋体" w:eastAsia="宋体" w:cs="宋体"/>
          <w:color w:val="auto"/>
          <w:szCs w:val="30"/>
          <w:highlight w:val="none"/>
        </w:rPr>
      </w:pPr>
      <w:bookmarkStart w:id="718"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718"/>
    </w:p>
    <w:p>
      <w:pPr>
        <w:autoSpaceDE w:val="0"/>
        <w:autoSpaceDN w:val="0"/>
        <w:adjustRightInd w:val="0"/>
        <w:spacing w:line="480" w:lineRule="auto"/>
        <w:ind w:left="567" w:hanging="567"/>
        <w:outlineLvl w:val="9"/>
        <w:rPr>
          <w:rFonts w:ascii="宋体" w:hAnsi="宋体" w:eastAsia="宋体" w:cs="宋体"/>
          <w:color w:val="auto"/>
          <w:szCs w:val="30"/>
          <w:highlight w:val="none"/>
        </w:rPr>
      </w:pPr>
      <w:bookmarkStart w:id="719" w:name="_Toc1206_WPSOffice_Level1"/>
      <w:r>
        <w:rPr>
          <w:rFonts w:hint="eastAsia" w:ascii="宋体" w:hAnsi="宋体" w:eastAsia="宋体" w:cs="宋体"/>
          <w:color w:val="auto"/>
          <w:szCs w:val="30"/>
          <w:highlight w:val="none"/>
        </w:rPr>
        <w:t>四、 比较和评价</w:t>
      </w:r>
      <w:bookmarkEnd w:id="719"/>
    </w:p>
    <w:p>
      <w:pPr>
        <w:autoSpaceDE w:val="0"/>
        <w:autoSpaceDN w:val="0"/>
        <w:adjustRightInd w:val="0"/>
        <w:spacing w:line="480" w:lineRule="auto"/>
        <w:ind w:left="567" w:hanging="567"/>
        <w:outlineLvl w:val="9"/>
        <w:rPr>
          <w:rFonts w:ascii="宋体" w:hAnsi="宋体" w:eastAsia="宋体" w:cs="宋体"/>
          <w:color w:val="auto"/>
          <w:szCs w:val="30"/>
          <w:highlight w:val="none"/>
        </w:rPr>
      </w:pPr>
      <w:bookmarkStart w:id="720"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720"/>
    </w:p>
    <w:p>
      <w:pPr>
        <w:autoSpaceDE w:val="0"/>
        <w:autoSpaceDN w:val="0"/>
        <w:adjustRightInd w:val="0"/>
        <w:spacing w:line="480" w:lineRule="auto"/>
        <w:ind w:left="567" w:hanging="567"/>
        <w:outlineLvl w:val="9"/>
        <w:rPr>
          <w:rFonts w:ascii="宋体" w:hAnsi="宋体" w:eastAsia="宋体" w:cs="宋体"/>
          <w:color w:val="auto"/>
          <w:szCs w:val="30"/>
          <w:highlight w:val="none"/>
        </w:rPr>
      </w:pPr>
      <w:bookmarkStart w:id="721"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721"/>
    </w:p>
    <w:p>
      <w:pPr>
        <w:autoSpaceDE w:val="0"/>
        <w:autoSpaceDN w:val="0"/>
        <w:adjustRightInd w:val="0"/>
        <w:spacing w:line="480" w:lineRule="auto"/>
        <w:ind w:left="567" w:hanging="567"/>
        <w:outlineLvl w:val="9"/>
        <w:rPr>
          <w:rFonts w:ascii="宋体" w:hAnsi="宋体" w:eastAsia="宋体" w:cs="宋体"/>
          <w:color w:val="auto"/>
          <w:szCs w:val="30"/>
          <w:highlight w:val="none"/>
        </w:rPr>
      </w:pPr>
      <w:bookmarkStart w:id="722"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722"/>
    </w:p>
    <w:p>
      <w:pPr>
        <w:tabs>
          <w:tab w:val="right" w:pos="7320"/>
        </w:tabs>
        <w:autoSpaceDE w:val="0"/>
        <w:autoSpaceDN w:val="0"/>
        <w:adjustRightInd w:val="0"/>
        <w:spacing w:line="360" w:lineRule="auto"/>
        <w:ind w:left="720" w:hanging="720"/>
        <w:outlineLvl w:val="9"/>
        <w:rPr>
          <w:rFonts w:ascii="宋体" w:hAnsi="宋体" w:eastAsia="宋体" w:cs="宋体"/>
          <w:color w:val="auto"/>
          <w:szCs w:val="30"/>
          <w:highlight w:val="none"/>
        </w:rPr>
      </w:pPr>
    </w:p>
    <w:p>
      <w:pPr>
        <w:tabs>
          <w:tab w:val="right" w:pos="7320"/>
        </w:tabs>
        <w:autoSpaceDE w:val="0"/>
        <w:autoSpaceDN w:val="0"/>
        <w:adjustRightInd w:val="0"/>
        <w:spacing w:line="360" w:lineRule="auto"/>
        <w:ind w:left="720" w:hanging="720"/>
        <w:outlineLvl w:val="9"/>
        <w:rPr>
          <w:rFonts w:ascii="宋体" w:hAnsi="宋体" w:eastAsia="宋体" w:cs="宋体"/>
          <w:color w:val="auto"/>
          <w:szCs w:val="30"/>
          <w:highlight w:val="none"/>
        </w:rPr>
      </w:pPr>
    </w:p>
    <w:p>
      <w:pPr>
        <w:tabs>
          <w:tab w:val="left" w:pos="1080"/>
          <w:tab w:val="right" w:pos="7320"/>
        </w:tabs>
        <w:autoSpaceDE w:val="0"/>
        <w:autoSpaceDN w:val="0"/>
        <w:adjustRightInd w:val="0"/>
        <w:spacing w:line="400" w:lineRule="atLeast"/>
        <w:ind w:left="720" w:hanging="720"/>
        <w:outlineLvl w:val="9"/>
        <w:rPr>
          <w:rFonts w:ascii="宋体" w:hAnsi="宋体" w:eastAsia="宋体" w:cs="宋体"/>
          <w:color w:val="auto"/>
          <w:szCs w:val="30"/>
          <w:highlight w:val="none"/>
        </w:rPr>
      </w:pPr>
    </w:p>
    <w:p>
      <w:pPr>
        <w:tabs>
          <w:tab w:val="left" w:pos="1140"/>
        </w:tabs>
        <w:autoSpaceDE w:val="0"/>
        <w:autoSpaceDN w:val="0"/>
        <w:adjustRightInd w:val="0"/>
        <w:spacing w:line="360" w:lineRule="auto"/>
        <w:jc w:val="center"/>
        <w:outlineLvl w:val="9"/>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723"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723"/>
    </w:p>
    <w:p>
      <w:pPr>
        <w:tabs>
          <w:tab w:val="left" w:pos="567"/>
          <w:tab w:val="left" w:pos="600"/>
        </w:tabs>
        <w:autoSpaceDE w:val="0"/>
        <w:autoSpaceDN w:val="0"/>
        <w:adjustRightInd w:val="0"/>
        <w:spacing w:line="360" w:lineRule="auto"/>
        <w:ind w:left="600" w:hanging="600"/>
        <w:outlineLvl w:val="9"/>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pPr>
        <w:autoSpaceDE w:val="0"/>
        <w:autoSpaceDN w:val="0"/>
        <w:adjustRightInd w:val="0"/>
        <w:spacing w:line="360" w:lineRule="auto"/>
        <w:ind w:left="567" w:hanging="567"/>
        <w:outlineLvl w:val="9"/>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highlight w:val="none"/>
          <w:lang w:val="zh-CN"/>
        </w:rPr>
        <w:t>东莞市众源环境投资有限公司</w:t>
      </w:r>
      <w:r>
        <w:rPr>
          <w:rFonts w:hint="eastAsia" w:ascii="宋体" w:hAnsi="宋体" w:eastAsia="宋体" w:cs="宋体"/>
          <w:color w:val="auto"/>
          <w:highlight w:val="none"/>
        </w:rPr>
        <w:t>污泥脱水减量配合服务</w:t>
      </w:r>
      <w:r>
        <w:rPr>
          <w:rFonts w:hint="eastAsia" w:ascii="宋体" w:hAnsi="宋体" w:eastAsia="宋体" w:cs="宋体"/>
          <w:color w:val="auto"/>
          <w:highlight w:val="none"/>
          <w:lang w:val="zh-CN"/>
        </w:rPr>
        <w:t>采购项目(招标编号：</w:t>
      </w:r>
      <w:r>
        <w:rPr>
          <w:rFonts w:hint="eastAsia" w:ascii="宋体" w:hAnsi="宋体" w:eastAsia="宋体" w:cs="宋体"/>
          <w:color w:val="auto"/>
          <w:highlight w:val="none"/>
        </w:rPr>
        <w:t>YDZB23DGQY0240</w:t>
      </w:r>
      <w:r>
        <w:rPr>
          <w:rFonts w:hint="eastAsia" w:ascii="宋体" w:hAnsi="宋体" w:eastAsia="宋体" w:cs="宋体"/>
          <w:color w:val="auto"/>
          <w:highlight w:val="none"/>
          <w:lang w:val="zh-CN"/>
        </w:rPr>
        <w:t>)</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pPr>
        <w:autoSpaceDE w:val="0"/>
        <w:autoSpaceDN w:val="0"/>
        <w:adjustRightInd w:val="0"/>
        <w:spacing w:line="360" w:lineRule="auto"/>
        <w:ind w:left="567" w:hanging="5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pPr>
        <w:autoSpaceDE w:val="0"/>
        <w:autoSpaceDN w:val="0"/>
        <w:adjustRightInd w:val="0"/>
        <w:spacing w:line="360" w:lineRule="auto"/>
        <w:ind w:left="567" w:hanging="5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highlight w:val="none"/>
          <w:lang w:val="zh-CN"/>
        </w:rPr>
        <w:t>广东有德招标采购有限公司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pPr>
        <w:autoSpaceDE w:val="0"/>
        <w:autoSpaceDN w:val="0"/>
        <w:adjustRightInd w:val="0"/>
        <w:spacing w:line="360" w:lineRule="auto"/>
        <w:ind w:left="567" w:hanging="5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pPr>
        <w:numPr>
          <w:ilvl w:val="1"/>
          <w:numId w:val="5"/>
        </w:numPr>
        <w:autoSpaceDE w:val="0"/>
        <w:autoSpaceDN w:val="0"/>
        <w:adjustRightInd w:val="0"/>
        <w:spacing w:line="360" w:lineRule="auto"/>
        <w:ind w:left="565" w:hanging="564" w:hangingChars="269"/>
        <w:jc w:val="left"/>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outlineLvl w:val="9"/>
        <w:rPr>
          <w:rFonts w:ascii="宋体" w:hAnsi="宋体" w:eastAsia="宋体" w:cs="宋体"/>
          <w:color w:val="auto"/>
          <w:sz w:val="24"/>
          <w:szCs w:val="24"/>
          <w:highlight w:val="none"/>
          <w:lang w:val="zh-CN"/>
        </w:rPr>
      </w:pPr>
    </w:p>
    <w:p>
      <w:pPr>
        <w:tabs>
          <w:tab w:val="left" w:pos="360"/>
          <w:tab w:val="left" w:pos="600"/>
        </w:tabs>
        <w:autoSpaceDE w:val="0"/>
        <w:autoSpaceDN w:val="0"/>
        <w:adjustRightInd w:val="0"/>
        <w:spacing w:line="360" w:lineRule="auto"/>
        <w:ind w:left="600" w:hanging="600"/>
        <w:outlineLvl w:val="9"/>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pPr>
        <w:tabs>
          <w:tab w:val="left" w:pos="567"/>
          <w:tab w:val="left" w:pos="1145"/>
        </w:tabs>
        <w:autoSpaceDE w:val="0"/>
        <w:autoSpaceDN w:val="0"/>
        <w:adjustRightInd w:val="0"/>
        <w:spacing w:line="360" w:lineRule="auto"/>
        <w:ind w:left="600" w:hanging="6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由招标人和技术、经济等方面的专家组成，成员为7人以上（含7人）单数，其中技术、经济等方面的专家不少于成员总数的三分之二。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pPr>
        <w:tabs>
          <w:tab w:val="left" w:pos="567"/>
          <w:tab w:val="left" w:pos="1145"/>
        </w:tabs>
        <w:autoSpaceDE w:val="0"/>
        <w:autoSpaceDN w:val="0"/>
        <w:adjustRightInd w:val="0"/>
        <w:spacing w:line="360" w:lineRule="auto"/>
        <w:ind w:left="600" w:hanging="6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pPr>
        <w:autoSpaceDE w:val="0"/>
        <w:autoSpaceDN w:val="0"/>
        <w:adjustRightInd w:val="0"/>
        <w:spacing w:line="360" w:lineRule="auto"/>
        <w:ind w:left="600" w:hanging="6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pPr>
        <w:autoSpaceDE w:val="0"/>
        <w:autoSpaceDN w:val="0"/>
        <w:adjustRightInd w:val="0"/>
        <w:spacing w:line="360" w:lineRule="auto"/>
        <w:ind w:left="600" w:hanging="6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outlineLvl w:val="9"/>
        <w:rPr>
          <w:rFonts w:ascii="宋体" w:hAnsi="宋体" w:eastAsia="宋体" w:cs="宋体"/>
          <w:color w:val="auto"/>
          <w:sz w:val="24"/>
          <w:szCs w:val="24"/>
          <w:highlight w:val="none"/>
          <w:lang w:val="zh-CN"/>
        </w:rPr>
      </w:pPr>
    </w:p>
    <w:p>
      <w:pPr>
        <w:autoSpaceDE w:val="0"/>
        <w:autoSpaceDN w:val="0"/>
        <w:adjustRightInd w:val="0"/>
        <w:spacing w:line="360" w:lineRule="auto"/>
        <w:outlineLvl w:val="9"/>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pPr>
        <w:autoSpaceDE w:val="0"/>
        <w:autoSpaceDN w:val="0"/>
        <w:adjustRightInd w:val="0"/>
        <w:spacing w:line="360" w:lineRule="auto"/>
        <w:jc w:val="left"/>
        <w:outlineLvl w:val="9"/>
        <w:rPr>
          <w:rFonts w:ascii="宋体" w:hAnsi="宋体" w:eastAsia="宋体" w:cs="宋体"/>
          <w:color w:val="auto"/>
          <w:kern w:val="0"/>
          <w:sz w:val="24"/>
          <w:szCs w:val="24"/>
          <w:highlight w:val="none"/>
          <w:lang w:val="zh-CN"/>
        </w:rPr>
      </w:pPr>
    </w:p>
    <w:p>
      <w:pPr>
        <w:tabs>
          <w:tab w:val="left" w:pos="720"/>
        </w:tabs>
        <w:autoSpaceDE w:val="0"/>
        <w:autoSpaceDN w:val="0"/>
        <w:adjustRightInd w:val="0"/>
        <w:spacing w:line="360" w:lineRule="auto"/>
        <w:outlineLvl w:val="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pPr>
        <w:tabs>
          <w:tab w:val="left" w:pos="720"/>
        </w:tabs>
        <w:autoSpaceDE w:val="0"/>
        <w:autoSpaceDN w:val="0"/>
        <w:adjustRightInd w:val="0"/>
        <w:spacing w:line="360" w:lineRule="auto"/>
        <w:outlineLvl w:val="9"/>
        <w:rPr>
          <w:rFonts w:ascii="宋体" w:hAnsi="宋体" w:eastAsia="宋体" w:cs="宋体"/>
          <w:color w:val="auto"/>
          <w:sz w:val="24"/>
          <w:szCs w:val="24"/>
          <w:highlight w:val="none"/>
          <w:lang w:val="zh-CN"/>
        </w:rPr>
      </w:pPr>
    </w:p>
    <w:p>
      <w:pPr>
        <w:tabs>
          <w:tab w:val="left" w:pos="1547"/>
        </w:tabs>
        <w:autoSpaceDE w:val="0"/>
        <w:autoSpaceDN w:val="0"/>
        <w:adjustRightInd w:val="0"/>
        <w:spacing w:line="360" w:lineRule="auto"/>
        <w:outlineLvl w:val="9"/>
        <w:rPr>
          <w:rFonts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r>
        <w:rPr>
          <w:rFonts w:hint="eastAsia" w:ascii="宋体" w:hAnsi="宋体" w:eastAsia="宋体" w:cs="宋体"/>
          <w:b/>
          <w:bCs/>
          <w:color w:val="auto"/>
          <w:szCs w:val="21"/>
          <w:highlight w:val="none"/>
        </w:rPr>
        <w:t>评标委员会将按</w:t>
      </w:r>
      <w:r>
        <w:rPr>
          <w:rFonts w:hint="eastAsia" w:ascii="宋体" w:hAnsi="宋体" w:eastAsia="宋体" w:cs="宋体"/>
          <w:b/>
          <w:bCs/>
          <w:color w:val="auto"/>
          <w:szCs w:val="21"/>
          <w:highlight w:val="none"/>
          <w:lang w:eastAsia="zh-CN"/>
        </w:rPr>
        <w:t>包组</w:t>
      </w:r>
      <w:r>
        <w:rPr>
          <w:rFonts w:hint="eastAsia" w:ascii="宋体" w:hAnsi="宋体" w:eastAsia="宋体" w:cs="宋体"/>
          <w:b/>
          <w:bCs/>
          <w:color w:val="auto"/>
          <w:szCs w:val="21"/>
          <w:highlight w:val="none"/>
        </w:rPr>
        <w:t>的顺序，以</w:t>
      </w:r>
      <w:r>
        <w:rPr>
          <w:rFonts w:hint="eastAsia" w:ascii="宋体" w:hAnsi="宋体" w:eastAsia="宋体" w:cs="宋体"/>
          <w:b/>
          <w:bCs/>
          <w:color w:val="auto"/>
          <w:szCs w:val="21"/>
          <w:highlight w:val="none"/>
          <w:lang w:eastAsia="zh-CN"/>
        </w:rPr>
        <w:t>包组</w:t>
      </w:r>
      <w:r>
        <w:rPr>
          <w:rFonts w:hint="eastAsia" w:ascii="宋体" w:hAnsi="宋体" w:eastAsia="宋体" w:cs="宋体"/>
          <w:b/>
          <w:bCs/>
          <w:color w:val="auto"/>
          <w:szCs w:val="21"/>
          <w:highlight w:val="none"/>
        </w:rPr>
        <w:t>为单位分别进行评审</w:t>
      </w:r>
      <w:r>
        <w:rPr>
          <w:rFonts w:hint="eastAsia" w:ascii="宋体" w:hAnsi="宋体" w:eastAsia="宋体" w:cs="宋体"/>
          <w:b/>
          <w:bCs/>
          <w:color w:val="auto"/>
          <w:szCs w:val="21"/>
          <w:highlight w:val="none"/>
          <w:lang w:val="zh-CN"/>
        </w:rPr>
        <w:t>）</w:t>
      </w:r>
    </w:p>
    <w:p>
      <w:pPr>
        <w:autoSpaceDE w:val="0"/>
        <w:autoSpaceDN w:val="0"/>
        <w:adjustRightInd w:val="0"/>
        <w:spacing w:line="360" w:lineRule="auto"/>
        <w:ind w:left="567" w:hanging="567"/>
        <w:outlineLvl w:val="9"/>
        <w:rPr>
          <w:rFonts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pPr>
        <w:autoSpaceDE w:val="0"/>
        <w:autoSpaceDN w:val="0"/>
        <w:adjustRightInd w:val="0"/>
        <w:spacing w:line="360" w:lineRule="auto"/>
        <w:ind w:left="567" w:hanging="5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pPr>
        <w:autoSpaceDE w:val="0"/>
        <w:autoSpaceDN w:val="0"/>
        <w:adjustRightInd w:val="0"/>
        <w:spacing w:line="360" w:lineRule="auto"/>
        <w:ind w:left="567" w:hanging="5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pPr>
        <w:autoSpaceDE w:val="0"/>
        <w:autoSpaceDN w:val="0"/>
        <w:adjustRightInd w:val="0"/>
        <w:spacing w:line="360" w:lineRule="auto"/>
        <w:ind w:left="567" w:hanging="567"/>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pPr>
        <w:autoSpaceDE w:val="0"/>
        <w:autoSpaceDN w:val="0"/>
        <w:adjustRightInd w:val="0"/>
        <w:spacing w:line="360" w:lineRule="auto"/>
        <w:ind w:left="567" w:hanging="567"/>
        <w:outlineLvl w:val="9"/>
        <w:rPr>
          <w:rFonts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b/>
          <w:bCs/>
          <w:color w:val="auto"/>
          <w:kern w:val="0"/>
          <w:szCs w:val="21"/>
          <w:highlight w:val="none"/>
          <w:u w:val="single"/>
        </w:rPr>
        <w:t>评标委员会将向招标人推荐评标最后综合得分最高的前二名投标人为该</w:t>
      </w:r>
      <w:r>
        <w:rPr>
          <w:rFonts w:hint="eastAsia" w:ascii="宋体" w:hAnsi="宋体" w:eastAsia="宋体" w:cs="宋体"/>
          <w:b/>
          <w:bCs/>
          <w:color w:val="auto"/>
          <w:kern w:val="0"/>
          <w:szCs w:val="21"/>
          <w:highlight w:val="none"/>
          <w:u w:val="single"/>
          <w:lang w:eastAsia="zh-CN"/>
        </w:rPr>
        <w:t>包组</w:t>
      </w:r>
      <w:r>
        <w:rPr>
          <w:rFonts w:hint="eastAsia" w:ascii="宋体" w:hAnsi="宋体" w:eastAsia="宋体" w:cs="宋体"/>
          <w:b/>
          <w:bCs/>
          <w:color w:val="auto"/>
          <w:kern w:val="0"/>
          <w:szCs w:val="21"/>
          <w:highlight w:val="none"/>
          <w:u w:val="single"/>
        </w:rPr>
        <w:t>的中标候选人，并标明排列顺序</w:t>
      </w:r>
      <w:r>
        <w:rPr>
          <w:rFonts w:hint="eastAsia" w:ascii="宋体" w:hAnsi="宋体" w:eastAsia="宋体" w:cs="宋体"/>
          <w:b/>
          <w:bCs/>
          <w:color w:val="auto"/>
          <w:kern w:val="0"/>
          <w:szCs w:val="21"/>
          <w:highlight w:val="none"/>
        </w:rPr>
        <w:t>。</w:t>
      </w:r>
    </w:p>
    <w:p>
      <w:pPr>
        <w:autoSpaceDE w:val="0"/>
        <w:autoSpaceDN w:val="0"/>
        <w:adjustRightInd w:val="0"/>
        <w:spacing w:line="360" w:lineRule="auto"/>
        <w:ind w:left="525" w:hanging="525" w:hangingChars="250"/>
        <w:jc w:val="left"/>
        <w:outlineLvl w:val="9"/>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pPr>
        <w:autoSpaceDE w:val="0"/>
        <w:autoSpaceDN w:val="0"/>
        <w:adjustRightInd w:val="0"/>
        <w:spacing w:line="360" w:lineRule="auto"/>
        <w:ind w:left="525" w:hanging="525" w:hangingChars="250"/>
        <w:jc w:val="left"/>
        <w:outlineLvl w:val="9"/>
        <w:rPr>
          <w:rFonts w:ascii="宋体" w:hAnsi="宋体" w:eastAsia="宋体" w:cs="宋体"/>
          <w:color w:val="auto"/>
          <w:szCs w:val="24"/>
          <w:highlight w:val="none"/>
          <w:lang w:val="zh-CN"/>
        </w:rPr>
      </w:pPr>
    </w:p>
    <w:p>
      <w:pPr>
        <w:tabs>
          <w:tab w:val="left" w:pos="1140"/>
        </w:tabs>
        <w:autoSpaceDE w:val="0"/>
        <w:autoSpaceDN w:val="0"/>
        <w:adjustRightInd w:val="0"/>
        <w:spacing w:line="360" w:lineRule="auto"/>
        <w:jc w:val="center"/>
        <w:outlineLvl w:val="9"/>
        <w:rPr>
          <w:rFonts w:ascii="宋体" w:hAnsi="宋体" w:eastAsia="宋体" w:cs="宋体"/>
          <w:b/>
          <w:bCs/>
          <w:color w:val="auto"/>
          <w:sz w:val="28"/>
          <w:szCs w:val="28"/>
          <w:highlight w:val="none"/>
        </w:rPr>
      </w:pPr>
      <w:bookmarkStart w:id="724" w:name="_Toc19435_WPSOffice_Level1"/>
      <w:r>
        <w:rPr>
          <w:rFonts w:hint="eastAsia" w:ascii="宋体" w:hAnsi="宋体" w:eastAsia="宋体" w:cs="宋体"/>
          <w:b/>
          <w:bCs/>
          <w:color w:val="auto"/>
          <w:sz w:val="28"/>
          <w:szCs w:val="28"/>
          <w:highlight w:val="none"/>
          <w:lang w:val="zh-CN"/>
        </w:rPr>
        <w:t>二、投标文件的初审</w:t>
      </w:r>
      <w:bookmarkEnd w:id="724"/>
    </w:p>
    <w:p>
      <w:pPr>
        <w:autoSpaceDE w:val="0"/>
        <w:autoSpaceDN w:val="0"/>
        <w:adjustRightInd w:val="0"/>
        <w:spacing w:line="360" w:lineRule="auto"/>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pPr>
        <w:autoSpaceDE w:val="0"/>
        <w:autoSpaceDN w:val="0"/>
        <w:adjustRightInd w:val="0"/>
        <w:spacing w:line="360" w:lineRule="auto"/>
        <w:ind w:left="529"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u w:val="singl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u w:val="single"/>
        </w:rPr>
        <w:t>从</w:t>
      </w:r>
      <w:r>
        <w:rPr>
          <w:rFonts w:hint="eastAsia" w:ascii="宋体" w:hAnsi="宋体" w:eastAsia="宋体" w:cs="宋体"/>
          <w:b/>
          <w:color w:val="auto"/>
          <w:szCs w:val="24"/>
          <w:highlight w:val="none"/>
          <w:u w:val="single"/>
          <w:lang w:val="zh-CN"/>
        </w:rPr>
        <w:t>多数的原则，获多数表决通过的投标人才有资格进入下一阶段的评审,否则将被认定为无效投标文件</w:t>
      </w:r>
      <w:r>
        <w:rPr>
          <w:rFonts w:hint="eastAsia" w:ascii="宋体" w:hAnsi="宋体" w:eastAsia="宋体" w:cs="宋体"/>
          <w:b/>
          <w:color w:val="auto"/>
          <w:szCs w:val="24"/>
          <w:highlight w:val="none"/>
          <w:lang w:val="zh-CN"/>
        </w:rPr>
        <w:t>。</w:t>
      </w:r>
    </w:p>
    <w:p>
      <w:pPr>
        <w:autoSpaceDE w:val="0"/>
        <w:autoSpaceDN w:val="0"/>
        <w:adjustRightInd w:val="0"/>
        <w:spacing w:line="360" w:lineRule="auto"/>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pPr>
        <w:autoSpaceDE w:val="0"/>
        <w:autoSpaceDN w:val="0"/>
        <w:adjustRightInd w:val="0"/>
        <w:spacing w:line="360" w:lineRule="auto"/>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u w:val="single"/>
        </w:rPr>
        <w:t>投标人未按招标文件要求交纳投标保证金的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u w:val="single"/>
        </w:rPr>
        <w:t>投标文件中的投标报价高于对应</w:t>
      </w:r>
      <w:r>
        <w:rPr>
          <w:rFonts w:hint="eastAsia" w:ascii="宋体" w:hAnsi="宋体" w:eastAsia="宋体" w:cs="宋体"/>
          <w:b/>
          <w:color w:val="auto"/>
          <w:kern w:val="0"/>
          <w:szCs w:val="21"/>
          <w:highlight w:val="none"/>
          <w:u w:val="single"/>
          <w:lang w:eastAsia="zh-CN"/>
        </w:rPr>
        <w:t>包组</w:t>
      </w:r>
      <w:r>
        <w:rPr>
          <w:rFonts w:hint="eastAsia" w:ascii="宋体" w:hAnsi="宋体" w:eastAsia="宋体" w:cs="宋体"/>
          <w:b/>
          <w:color w:val="auto"/>
          <w:kern w:val="0"/>
          <w:szCs w:val="21"/>
          <w:highlight w:val="none"/>
          <w:u w:val="single"/>
        </w:rPr>
        <w:t>最高投标限价的</w:t>
      </w:r>
      <w:r>
        <w:rPr>
          <w:rFonts w:hint="eastAsia" w:ascii="宋体" w:hAnsi="宋体" w:eastAsia="宋体" w:cs="宋体"/>
          <w:b/>
          <w:bCs/>
          <w:color w:val="auto"/>
          <w:kern w:val="0"/>
          <w:szCs w:val="21"/>
          <w:highlight w:val="none"/>
        </w:rPr>
        <w:t>；</w:t>
      </w:r>
    </w:p>
    <w:p>
      <w:pPr>
        <w:tabs>
          <w:tab w:val="left" w:pos="567"/>
        </w:tabs>
        <w:spacing w:line="360" w:lineRule="auto"/>
        <w:ind w:left="632" w:hanging="632" w:hangingChars="300"/>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7.3  </w:t>
      </w:r>
      <w:r>
        <w:rPr>
          <w:rFonts w:hint="eastAsia" w:ascii="宋体" w:hAnsi="宋体" w:eastAsia="宋体" w:cs="宋体"/>
          <w:b/>
          <w:color w:val="auto"/>
          <w:kern w:val="0"/>
          <w:szCs w:val="21"/>
          <w:highlight w:val="none"/>
          <w:u w:val="single"/>
        </w:rPr>
        <w:t>投标人以低于企业成本价报价，且投标人不能合理说明或不能提供相关证明材料</w:t>
      </w:r>
      <w:r>
        <w:rPr>
          <w:rFonts w:hint="eastAsia" w:ascii="宋体" w:hAnsi="宋体" w:eastAsia="宋体" w:cs="宋体"/>
          <w:b/>
          <w:color w:val="auto"/>
          <w:kern w:val="0"/>
          <w:szCs w:val="21"/>
          <w:highlight w:val="none"/>
        </w:rPr>
        <w:t>；</w:t>
      </w:r>
    </w:p>
    <w:p>
      <w:pPr>
        <w:tabs>
          <w:tab w:val="left" w:pos="567"/>
        </w:tabs>
        <w:spacing w:line="360" w:lineRule="auto"/>
        <w:ind w:left="632" w:hanging="632" w:hangingChars="300"/>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7.4  </w:t>
      </w:r>
      <w:r>
        <w:rPr>
          <w:rFonts w:hint="eastAsia" w:ascii="宋体" w:hAnsi="宋体" w:eastAsia="宋体" w:cs="宋体"/>
          <w:b/>
          <w:color w:val="auto"/>
          <w:kern w:val="0"/>
          <w:szCs w:val="21"/>
          <w:highlight w:val="none"/>
          <w:u w:val="single"/>
          <w:lang w:val="en-US" w:eastAsia="zh-CN"/>
        </w:rPr>
        <w:t>同一包组内，</w:t>
      </w:r>
      <w:r>
        <w:rPr>
          <w:rFonts w:hint="eastAsia" w:ascii="宋体" w:hAnsi="宋体" w:eastAsia="宋体" w:cs="宋体"/>
          <w:b/>
          <w:color w:val="auto"/>
          <w:kern w:val="0"/>
          <w:szCs w:val="21"/>
          <w:highlight w:val="none"/>
          <w:u w:val="single"/>
        </w:rPr>
        <w:t>投标人递交两份或多份内容不同的投标文件，或在一份投标文件中报有两个或多个报价，且未书面声明哪一个有效</w:t>
      </w:r>
      <w:r>
        <w:rPr>
          <w:rFonts w:hint="eastAsia" w:ascii="宋体" w:hAnsi="宋体" w:eastAsia="宋体" w:cs="宋体"/>
          <w:b/>
          <w:color w:val="auto"/>
          <w:kern w:val="0"/>
          <w:szCs w:val="21"/>
          <w:highlight w:val="none"/>
        </w:rPr>
        <w:t>；</w:t>
      </w:r>
    </w:p>
    <w:p>
      <w:pPr>
        <w:tabs>
          <w:tab w:val="left" w:pos="567"/>
        </w:tabs>
        <w:spacing w:line="360" w:lineRule="auto"/>
        <w:ind w:left="632" w:hanging="632" w:hangingChars="300"/>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u w:val="single"/>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r>
        <w:rPr>
          <w:rFonts w:hint="eastAsia" w:ascii="宋体" w:hAnsi="宋体" w:eastAsia="宋体" w:cs="宋体"/>
          <w:b/>
          <w:color w:val="auto"/>
          <w:kern w:val="0"/>
          <w:szCs w:val="21"/>
          <w:highlight w:val="none"/>
        </w:rPr>
        <w:t>；</w:t>
      </w:r>
    </w:p>
    <w:p>
      <w:pPr>
        <w:spacing w:line="360" w:lineRule="auto"/>
        <w:ind w:left="527" w:hanging="527" w:hangingChars="250"/>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w:t>
      </w:r>
      <w:r>
        <w:rPr>
          <w:rFonts w:hint="eastAsia" w:ascii="宋体" w:hAnsi="宋体" w:eastAsia="宋体" w:cs="宋体"/>
          <w:b/>
          <w:bCs/>
          <w:color w:val="auto"/>
          <w:kern w:val="0"/>
          <w:szCs w:val="21"/>
          <w:highlight w:val="none"/>
          <w:u w:val="single"/>
        </w:rPr>
        <w:t>投标文件未按照招标文件规定要求密封；投标文件无法定代表人或其授权代表签字（或盖私章），或签字人无法定代表人有效授权的；签字盖章不符合招标文件要求的</w:t>
      </w:r>
      <w:r>
        <w:rPr>
          <w:rFonts w:hint="eastAsia" w:ascii="宋体" w:hAnsi="宋体" w:eastAsia="宋体" w:cs="宋体"/>
          <w:b/>
          <w:bCs/>
          <w:color w:val="auto"/>
          <w:kern w:val="0"/>
          <w:szCs w:val="21"/>
          <w:highlight w:val="none"/>
        </w:rPr>
        <w:t xml:space="preserve">； </w:t>
      </w:r>
    </w:p>
    <w:p>
      <w:pPr>
        <w:spacing w:line="360" w:lineRule="auto"/>
        <w:ind w:left="527" w:hanging="527" w:hangingChars="250"/>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7.7  </w:t>
      </w:r>
      <w:r>
        <w:rPr>
          <w:rFonts w:hint="eastAsia" w:ascii="宋体" w:hAnsi="宋体" w:eastAsia="宋体" w:cs="宋体"/>
          <w:b/>
          <w:bCs/>
          <w:color w:val="auto"/>
          <w:kern w:val="0"/>
          <w:szCs w:val="21"/>
          <w:highlight w:val="none"/>
          <w:u w:val="single"/>
        </w:rPr>
        <w:t>投标有效期限不符合要求</w:t>
      </w:r>
      <w:r>
        <w:rPr>
          <w:rFonts w:hint="eastAsia" w:ascii="宋体" w:hAnsi="宋体" w:eastAsia="宋体" w:cs="宋体"/>
          <w:b/>
          <w:bCs/>
          <w:color w:val="auto"/>
          <w:kern w:val="0"/>
          <w:szCs w:val="21"/>
          <w:highlight w:val="none"/>
        </w:rPr>
        <w:t>；</w:t>
      </w:r>
    </w:p>
    <w:p>
      <w:pPr>
        <w:spacing w:line="360" w:lineRule="auto"/>
        <w:ind w:left="527" w:hanging="527" w:hangingChars="250"/>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7.8  </w:t>
      </w:r>
      <w:r>
        <w:rPr>
          <w:rFonts w:hint="eastAsia" w:ascii="宋体" w:hAnsi="宋体" w:eastAsia="宋体" w:cs="宋体"/>
          <w:b/>
          <w:bCs/>
          <w:color w:val="auto"/>
          <w:kern w:val="0"/>
          <w:szCs w:val="21"/>
          <w:highlight w:val="none"/>
          <w:u w:val="single"/>
        </w:rPr>
        <w:t>投标文件未对招标范围内的全部内容进行投标报价</w:t>
      </w:r>
      <w:r>
        <w:rPr>
          <w:rFonts w:hint="eastAsia" w:ascii="宋体" w:hAnsi="宋体" w:eastAsia="宋体" w:cs="宋体"/>
          <w:b/>
          <w:color w:val="auto"/>
          <w:kern w:val="0"/>
          <w:szCs w:val="21"/>
          <w:highlight w:val="none"/>
          <w:u w:val="single"/>
        </w:rPr>
        <w:t>或投标方案不是唯一</w:t>
      </w:r>
      <w:r>
        <w:rPr>
          <w:rFonts w:hint="eastAsia" w:ascii="宋体" w:hAnsi="宋体" w:eastAsia="宋体" w:cs="宋体"/>
          <w:b/>
          <w:bCs/>
          <w:color w:val="auto"/>
          <w:kern w:val="0"/>
          <w:szCs w:val="21"/>
          <w:highlight w:val="none"/>
        </w:rPr>
        <w:t>；</w:t>
      </w:r>
    </w:p>
    <w:p>
      <w:pPr>
        <w:spacing w:line="360" w:lineRule="auto"/>
        <w:ind w:left="413" w:hanging="413" w:hangingChars="196"/>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7.9  </w:t>
      </w:r>
      <w:r>
        <w:rPr>
          <w:rFonts w:hint="eastAsia" w:ascii="宋体" w:hAnsi="宋体" w:eastAsia="宋体" w:cs="宋体"/>
          <w:b/>
          <w:color w:val="auto"/>
          <w:kern w:val="0"/>
          <w:szCs w:val="21"/>
          <w:highlight w:val="none"/>
          <w:u w:val="single"/>
        </w:rPr>
        <w:t>未提供或虚假填写《合同条款偏离表》，或对《合同条款偏离表》有负偏离的</w:t>
      </w:r>
      <w:r>
        <w:rPr>
          <w:rFonts w:hint="eastAsia" w:ascii="宋体" w:hAnsi="宋体" w:eastAsia="宋体" w:cs="宋体"/>
          <w:b/>
          <w:color w:val="auto"/>
          <w:kern w:val="0"/>
          <w:szCs w:val="21"/>
          <w:highlight w:val="none"/>
        </w:rPr>
        <w:t>；</w:t>
      </w:r>
    </w:p>
    <w:p>
      <w:pPr>
        <w:spacing w:line="360" w:lineRule="auto"/>
        <w:ind w:left="413" w:hanging="413" w:hangingChars="196"/>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7.10  </w:t>
      </w:r>
      <w:r>
        <w:rPr>
          <w:rFonts w:hint="eastAsia" w:ascii="宋体" w:hAnsi="宋体" w:eastAsia="宋体" w:cs="宋体"/>
          <w:b/>
          <w:color w:val="auto"/>
          <w:kern w:val="0"/>
          <w:szCs w:val="21"/>
          <w:highlight w:val="none"/>
          <w:u w:val="single"/>
        </w:rPr>
        <w:t>未填写或虚假填写《用户需求偏离表》的</w:t>
      </w:r>
      <w:r>
        <w:rPr>
          <w:rFonts w:hint="eastAsia" w:ascii="宋体" w:hAnsi="宋体" w:eastAsia="宋体" w:cs="宋体"/>
          <w:b/>
          <w:color w:val="auto"/>
          <w:kern w:val="0"/>
          <w:szCs w:val="21"/>
          <w:highlight w:val="none"/>
        </w:rPr>
        <w:t>；</w:t>
      </w:r>
    </w:p>
    <w:p>
      <w:pPr>
        <w:spacing w:line="360" w:lineRule="auto"/>
        <w:ind w:left="413" w:hanging="413" w:hangingChars="196"/>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u w:val="single"/>
        </w:rPr>
        <w:t>未响应招标文件提出的实质性要求和条件（标注★的条款）</w:t>
      </w:r>
      <w:r>
        <w:rPr>
          <w:rFonts w:hint="eastAsia" w:ascii="宋体" w:hAnsi="宋体" w:eastAsia="宋体" w:cs="宋体"/>
          <w:b/>
          <w:color w:val="auto"/>
          <w:kern w:val="0"/>
          <w:szCs w:val="21"/>
          <w:highlight w:val="none"/>
        </w:rPr>
        <w:t>。</w:t>
      </w:r>
    </w:p>
    <w:p>
      <w:pPr>
        <w:autoSpaceDE w:val="0"/>
        <w:autoSpaceDN w:val="0"/>
        <w:adjustRightInd w:val="0"/>
        <w:spacing w:line="360" w:lineRule="auto"/>
        <w:ind w:left="315" w:hanging="315" w:hangingChars="150"/>
        <w:outlineLvl w:val="9"/>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outlineLvl w:val="9"/>
        <w:rPr>
          <w:rFonts w:ascii="宋体" w:hAnsi="宋体" w:eastAsia="宋体" w:cs="宋体"/>
          <w:b/>
          <w:color w:val="auto"/>
          <w:kern w:val="0"/>
          <w:szCs w:val="21"/>
          <w:highlight w:val="none"/>
        </w:rPr>
      </w:pPr>
    </w:p>
    <w:p>
      <w:pPr>
        <w:tabs>
          <w:tab w:val="left" w:pos="1140"/>
        </w:tabs>
        <w:autoSpaceDE w:val="0"/>
        <w:autoSpaceDN w:val="0"/>
        <w:adjustRightInd w:val="0"/>
        <w:spacing w:line="360" w:lineRule="auto"/>
        <w:ind w:firstLine="3528" w:firstLineChars="1255"/>
        <w:jc w:val="left"/>
        <w:outlineLvl w:val="9"/>
        <w:rPr>
          <w:rFonts w:ascii="宋体" w:hAnsi="宋体" w:eastAsia="宋体" w:cs="宋体"/>
          <w:b/>
          <w:bCs/>
          <w:color w:val="auto"/>
          <w:sz w:val="28"/>
          <w:szCs w:val="28"/>
          <w:highlight w:val="none"/>
        </w:rPr>
      </w:pPr>
      <w:bookmarkStart w:id="725" w:name="_Toc4109_WPSOffice_Level1"/>
      <w:r>
        <w:rPr>
          <w:rFonts w:hint="eastAsia" w:ascii="宋体" w:hAnsi="宋体" w:eastAsia="宋体" w:cs="宋体"/>
          <w:b/>
          <w:bCs/>
          <w:color w:val="auto"/>
          <w:sz w:val="28"/>
          <w:szCs w:val="28"/>
          <w:highlight w:val="none"/>
          <w:lang w:val="zh-CN"/>
        </w:rPr>
        <w:t>三、澄清有关问题</w:t>
      </w:r>
      <w:bookmarkEnd w:id="725"/>
    </w:p>
    <w:p>
      <w:pPr>
        <w:autoSpaceDE w:val="0"/>
        <w:autoSpaceDN w:val="0"/>
        <w:adjustRightInd w:val="0"/>
        <w:spacing w:line="360" w:lineRule="auto"/>
        <w:ind w:left="315" w:hanging="315" w:hangingChars="150"/>
        <w:outlineLvl w:val="9"/>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pPr>
        <w:autoSpaceDE w:val="0"/>
        <w:autoSpaceDN w:val="0"/>
        <w:adjustRightInd w:val="0"/>
        <w:spacing w:line="360" w:lineRule="auto"/>
        <w:ind w:left="529"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pPr>
        <w:spacing w:line="360" w:lineRule="auto"/>
        <w:ind w:left="567" w:hanging="567" w:hangingChars="27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pPr>
        <w:spacing w:line="360" w:lineRule="auto"/>
        <w:ind w:firstLine="420" w:firstLineChars="200"/>
        <w:jc w:val="left"/>
        <w:outlineLvl w:val="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pPr>
        <w:spacing w:line="360" w:lineRule="auto"/>
        <w:ind w:left="420" w:leftChars="200"/>
        <w:jc w:val="left"/>
        <w:outlineLvl w:val="9"/>
        <w:rPr>
          <w:rFonts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B</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pPr>
        <w:spacing w:line="360" w:lineRule="auto"/>
        <w:ind w:left="567" w:hanging="567" w:hangingChars="270"/>
        <w:outlineLvl w:val="9"/>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spacing w:line="360" w:lineRule="auto"/>
        <w:ind w:left="567" w:hanging="567" w:hangingChars="270"/>
        <w:outlineLvl w:val="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u w:val="single"/>
          <w:lang w:val="zh-CN"/>
        </w:rPr>
        <w:t>若投标人不能合理说明或不能提供相关证明材料的，评标委员会将认定其投标报价低于成本，同时否决其投标</w:t>
      </w:r>
      <w:r>
        <w:rPr>
          <w:rFonts w:hint="eastAsia" w:ascii="宋体" w:hAnsi="宋体" w:eastAsia="宋体" w:cs="宋体"/>
          <w:b/>
          <w:color w:val="auto"/>
          <w:szCs w:val="21"/>
          <w:highlight w:val="none"/>
          <w:lang w:val="zh-CN"/>
        </w:rPr>
        <w:t>。</w:t>
      </w:r>
    </w:p>
    <w:p>
      <w:pPr>
        <w:autoSpaceDE w:val="0"/>
        <w:autoSpaceDN w:val="0"/>
        <w:adjustRightInd w:val="0"/>
        <w:spacing w:line="360" w:lineRule="auto"/>
        <w:jc w:val="center"/>
        <w:outlineLvl w:val="9"/>
        <w:rPr>
          <w:rFonts w:ascii="宋体" w:hAnsi="宋体" w:eastAsia="宋体" w:cs="宋体"/>
          <w:b/>
          <w:bCs/>
          <w:color w:val="auto"/>
          <w:sz w:val="28"/>
          <w:szCs w:val="28"/>
          <w:highlight w:val="none"/>
          <w:lang w:val="zh-CN"/>
        </w:rPr>
      </w:pPr>
      <w:bookmarkStart w:id="726" w:name="_Toc8518_WPSOffice_Level1"/>
    </w:p>
    <w:p>
      <w:pPr>
        <w:autoSpaceDE w:val="0"/>
        <w:autoSpaceDN w:val="0"/>
        <w:adjustRightInd w:val="0"/>
        <w:spacing w:line="360" w:lineRule="auto"/>
        <w:jc w:val="center"/>
        <w:outlineLvl w:val="9"/>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726"/>
    </w:p>
    <w:p>
      <w:pPr>
        <w:autoSpaceDE w:val="0"/>
        <w:autoSpaceDN w:val="0"/>
        <w:adjustRightInd w:val="0"/>
        <w:spacing w:line="360" w:lineRule="auto"/>
        <w:ind w:left="422" w:leftChars="1" w:hanging="420" w:hangingChars="200"/>
        <w:outlineLvl w:val="9"/>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outlineLvl w:val="9"/>
        <w:rPr>
          <w:rFonts w:ascii="宋体" w:hAnsi="宋体" w:eastAsia="宋体" w:cs="宋体"/>
          <w:color w:val="auto"/>
          <w:szCs w:val="24"/>
          <w:highlight w:val="none"/>
          <w:lang w:val="zh-CN"/>
        </w:rPr>
      </w:pPr>
    </w:p>
    <w:p>
      <w:pPr>
        <w:tabs>
          <w:tab w:val="left" w:pos="1701"/>
        </w:tabs>
        <w:autoSpaceDE w:val="0"/>
        <w:autoSpaceDN w:val="0"/>
        <w:adjustRightInd w:val="0"/>
        <w:spacing w:line="360" w:lineRule="auto"/>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pPr>
        <w:autoSpaceDE w:val="0"/>
        <w:autoSpaceDN w:val="0"/>
        <w:adjustRightInd w:val="0"/>
        <w:spacing w:line="360" w:lineRule="auto"/>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pPr>
        <w:autoSpaceDE w:val="0"/>
        <w:autoSpaceDN w:val="0"/>
        <w:adjustRightInd w:val="0"/>
        <w:spacing w:line="360" w:lineRule="auto"/>
        <w:ind w:left="565" w:leftChars="-1" w:hanging="567" w:hangingChars="27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outlineLvl w:val="9"/>
        <w:rPr>
          <w:rFonts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outlineLvl w:val="9"/>
        <w:rPr>
          <w:rFonts w:ascii="宋体" w:hAnsi="宋体" w:eastAsia="宋体" w:cs="宋体"/>
          <w:color w:val="auto"/>
          <w:szCs w:val="21"/>
          <w:highlight w:val="none"/>
        </w:rPr>
      </w:pPr>
      <w:r>
        <w:rPr>
          <w:rFonts w:hint="eastAsia" w:ascii="宋体" w:hAnsi="宋体" w:eastAsia="宋体" w:cs="宋体"/>
          <w:color w:val="auto"/>
          <w:kern w:val="0"/>
          <w:szCs w:val="21"/>
          <w:highlight w:val="none"/>
        </w:rPr>
        <w:t>（2）然后评标委员会对技术标进行评审，按评标标准打分后，</w:t>
      </w:r>
      <w:r>
        <w:rPr>
          <w:rFonts w:hint="eastAsia" w:ascii="宋体" w:hAnsi="宋体" w:eastAsia="宋体" w:cs="宋体"/>
          <w:color w:val="auto"/>
          <w:szCs w:val="21"/>
          <w:highlight w:val="none"/>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pPr>
        <w:autoSpaceDE w:val="0"/>
        <w:autoSpaceDN w:val="0"/>
        <w:adjustRightInd w:val="0"/>
        <w:spacing w:line="360" w:lineRule="auto"/>
        <w:ind w:left="565" w:leftChars="-1" w:hanging="567" w:hangingChars="270"/>
        <w:outlineLvl w:val="9"/>
        <w:rPr>
          <w:rFonts w:ascii="宋体" w:hAnsi="宋体" w:eastAsia="宋体" w:cs="宋体"/>
          <w:color w:val="auto"/>
          <w:szCs w:val="24"/>
          <w:highlight w:val="none"/>
          <w:lang w:val="zh-CN"/>
        </w:rPr>
      </w:pPr>
      <w:r>
        <w:rPr>
          <w:rFonts w:hint="eastAsia" w:ascii="宋体" w:hAnsi="宋体" w:eastAsia="宋体" w:cs="宋体"/>
          <w:color w:val="auto"/>
          <w:kern w:val="0"/>
          <w:szCs w:val="21"/>
          <w:highlight w:val="none"/>
        </w:rPr>
        <w:t>（3）最后评标委员会对报价进行评审，按评标标准计算得出该投标人的报价评分。</w:t>
      </w:r>
    </w:p>
    <w:p>
      <w:pPr>
        <w:tabs>
          <w:tab w:val="left" w:pos="600"/>
        </w:tabs>
        <w:autoSpaceDE w:val="0"/>
        <w:autoSpaceDN w:val="0"/>
        <w:adjustRightInd w:val="0"/>
        <w:spacing w:line="360" w:lineRule="auto"/>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pPr>
        <w:autoSpaceDE w:val="0"/>
        <w:autoSpaceDN w:val="0"/>
        <w:adjustRightInd w:val="0"/>
        <w:spacing w:line="360" w:lineRule="auto"/>
        <w:ind w:left="565" w:leftChars="-1" w:hanging="567" w:hangingChars="27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pPr>
        <w:tabs>
          <w:tab w:val="left" w:pos="600"/>
        </w:tabs>
        <w:autoSpaceDE w:val="0"/>
        <w:autoSpaceDN w:val="0"/>
        <w:adjustRightInd w:val="0"/>
        <w:spacing w:line="360" w:lineRule="auto"/>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pPr>
        <w:tabs>
          <w:tab w:val="left" w:pos="1134"/>
        </w:tabs>
        <w:autoSpaceDE w:val="0"/>
        <w:autoSpaceDN w:val="0"/>
        <w:adjustRightInd w:val="0"/>
        <w:spacing w:line="360" w:lineRule="auto"/>
        <w:ind w:left="565" w:leftChars="-1" w:hanging="567" w:hangingChars="27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pPr>
        <w:autoSpaceDE w:val="0"/>
        <w:autoSpaceDN w:val="0"/>
        <w:adjustRightInd w:val="0"/>
        <w:spacing w:line="360" w:lineRule="auto"/>
        <w:outlineLvl w:val="9"/>
        <w:rPr>
          <w:rFonts w:ascii="宋体" w:hAnsi="宋体" w:eastAsia="宋体" w:cs="宋体"/>
          <w:color w:val="auto"/>
          <w:szCs w:val="24"/>
          <w:highlight w:val="none"/>
          <w:lang w:val="zh-CN"/>
        </w:rPr>
      </w:pPr>
    </w:p>
    <w:p>
      <w:pPr>
        <w:tabs>
          <w:tab w:val="left" w:pos="1701"/>
        </w:tabs>
        <w:autoSpaceDE w:val="0"/>
        <w:autoSpaceDN w:val="0"/>
        <w:adjustRightInd w:val="0"/>
        <w:spacing w:line="360" w:lineRule="auto"/>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8"/>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0</w:t>
            </w:r>
            <w:r>
              <w:rPr>
                <w:rFonts w:hint="eastAsia" w:ascii="宋体" w:hAnsi="宋体" w:eastAsia="宋体" w:cs="宋体"/>
                <w:bCs/>
                <w:color w:val="auto"/>
                <w:kern w:val="0"/>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rPr>
              <w:t>0</w:t>
            </w:r>
            <w:r>
              <w:rPr>
                <w:rFonts w:hint="eastAsia" w:ascii="宋体" w:hAnsi="宋体" w:eastAsia="宋体" w:cs="宋体"/>
                <w:bCs/>
                <w:color w:val="auto"/>
                <w:kern w:val="0"/>
                <w:sz w:val="21"/>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outlineLvl w:val="9"/>
              <w:rPr>
                <w:rFonts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lang w:val="zh-CN"/>
              </w:rPr>
              <w:t>0分</w:t>
            </w:r>
          </w:p>
        </w:tc>
      </w:tr>
    </w:tbl>
    <w:p>
      <w:pPr>
        <w:tabs>
          <w:tab w:val="left" w:pos="585"/>
        </w:tabs>
        <w:autoSpaceDE w:val="0"/>
        <w:autoSpaceDN w:val="0"/>
        <w:adjustRightInd w:val="0"/>
        <w:spacing w:line="360" w:lineRule="auto"/>
        <w:outlineLvl w:val="9"/>
        <w:rPr>
          <w:rFonts w:ascii="宋体" w:hAnsi="宋体" w:eastAsia="宋体" w:cs="宋体"/>
          <w:b/>
          <w:color w:val="auto"/>
          <w:szCs w:val="21"/>
          <w:highlight w:val="none"/>
        </w:rPr>
      </w:pPr>
      <w:bookmarkStart w:id="727" w:name="_Toc18349_WPSOffice_Level2"/>
    </w:p>
    <w:p>
      <w:pPr>
        <w:tabs>
          <w:tab w:val="left" w:pos="585"/>
        </w:tabs>
        <w:autoSpaceDE w:val="0"/>
        <w:autoSpaceDN w:val="0"/>
        <w:adjustRightInd w:val="0"/>
        <w:spacing w:line="360" w:lineRule="auto"/>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0</w:t>
      </w:r>
      <w:r>
        <w:rPr>
          <w:rFonts w:hint="eastAsia" w:ascii="宋体" w:hAnsi="宋体" w:eastAsia="宋体" w:cs="宋体"/>
          <w:b/>
          <w:color w:val="auto"/>
          <w:szCs w:val="21"/>
          <w:highlight w:val="none"/>
          <w:lang w:val="zh-CN"/>
        </w:rPr>
        <w:t>分</w:t>
      </w:r>
      <w:bookmarkEnd w:id="727"/>
    </w:p>
    <w:tbl>
      <w:tblPr>
        <w:tblStyle w:val="38"/>
        <w:tblW w:w="48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218"/>
        <w:gridCol w:w="716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pPr>
              <w:spacing w:line="360" w:lineRule="auto"/>
              <w:jc w:val="center"/>
              <w:outlineLvl w:val="9"/>
              <w:rPr>
                <w:rFonts w:ascii="宋体" w:hAnsi="宋体" w:eastAsia="宋体" w:cs="宋体"/>
                <w:b/>
                <w:bCs/>
                <w:color w:val="auto"/>
                <w:szCs w:val="21"/>
                <w:highlight w:val="none"/>
              </w:rPr>
            </w:pPr>
            <w:bookmarkStart w:id="728" w:name="_Toc11639_WPSOffice_Level2"/>
            <w:r>
              <w:rPr>
                <w:rFonts w:hint="eastAsia" w:ascii="宋体" w:hAnsi="宋体" w:eastAsia="宋体" w:cs="宋体"/>
                <w:b/>
                <w:bCs/>
                <w:color w:val="auto"/>
                <w:szCs w:val="21"/>
                <w:highlight w:val="none"/>
              </w:rPr>
              <w:t>序号</w:t>
            </w:r>
          </w:p>
        </w:tc>
        <w:tc>
          <w:tcPr>
            <w:tcW w:w="605" w:type="pct"/>
            <w:vAlign w:val="center"/>
          </w:tcPr>
          <w:p>
            <w:pPr>
              <w:spacing w:line="360" w:lineRule="auto"/>
              <w:jc w:val="center"/>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评审内容</w:t>
            </w:r>
          </w:p>
        </w:tc>
        <w:tc>
          <w:tcPr>
            <w:tcW w:w="3558" w:type="pct"/>
            <w:vAlign w:val="center"/>
          </w:tcPr>
          <w:p>
            <w:pPr>
              <w:spacing w:line="360" w:lineRule="auto"/>
              <w:jc w:val="center"/>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评审细则</w:t>
            </w:r>
          </w:p>
        </w:tc>
        <w:tc>
          <w:tcPr>
            <w:tcW w:w="485" w:type="pct"/>
            <w:vAlign w:val="center"/>
          </w:tcPr>
          <w:p>
            <w:pPr>
              <w:spacing w:line="360" w:lineRule="auto"/>
              <w:jc w:val="center"/>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05" w:type="pct"/>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财务状况</w:t>
            </w:r>
          </w:p>
        </w:tc>
        <w:tc>
          <w:tcPr>
            <w:tcW w:w="3558" w:type="pct"/>
            <w:vAlign w:val="center"/>
          </w:tcPr>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投标人2020年-2022年三个年度，每具有1个年度盈利的得1分，满分3分。</w:t>
            </w:r>
          </w:p>
          <w:p>
            <w:pPr>
              <w:spacing w:line="360" w:lineRule="auto"/>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p>
            <w:pPr>
              <w:spacing w:line="360" w:lineRule="auto"/>
              <w:outlineLvl w:val="9"/>
              <w:rPr>
                <w:rFonts w:ascii="宋体" w:hAnsi="宋体" w:eastAsia="宋体" w:cs="宋体"/>
                <w:b/>
                <w:color w:val="auto"/>
                <w:szCs w:val="21"/>
                <w:highlight w:val="none"/>
              </w:rPr>
            </w:pPr>
            <w:r>
              <w:rPr>
                <w:rFonts w:hint="eastAsia" w:ascii="宋体" w:hAnsi="宋体" w:eastAsia="宋体" w:cs="宋体"/>
                <w:bCs/>
                <w:color w:val="auto"/>
                <w:szCs w:val="21"/>
                <w:highlight w:val="none"/>
                <w:lang w:val="zh-CN"/>
              </w:rPr>
              <w:t>盈</w:t>
            </w:r>
            <w:r>
              <w:rPr>
                <w:rFonts w:hint="eastAsia" w:ascii="宋体" w:hAnsi="宋体" w:eastAsia="宋体" w:cs="宋体"/>
                <w:bCs/>
                <w:color w:val="auto"/>
                <w:szCs w:val="21"/>
                <w:highlight w:val="none"/>
                <w:lang w:val="en-US" w:eastAsia="zh-CN"/>
              </w:rPr>
              <w:t>利指净利润为正数（非零、非负数），</w:t>
            </w:r>
            <w:r>
              <w:rPr>
                <w:rFonts w:hint="eastAsia" w:ascii="宋体" w:hAnsi="宋体" w:eastAsia="宋体" w:cs="宋体"/>
                <w:bCs/>
                <w:color w:val="auto"/>
                <w:szCs w:val="21"/>
                <w:highlight w:val="none"/>
                <w:lang w:val="zh-CN"/>
              </w:rPr>
              <w:t>投标人应提供2020年、2021年、2022年三个年度的财务报表，净利润以经审计的财务报表为准，</w:t>
            </w:r>
            <w:r>
              <w:rPr>
                <w:rFonts w:hint="eastAsia" w:ascii="宋体" w:hAnsi="宋体" w:eastAsia="宋体" w:cs="宋体"/>
                <w:bCs/>
                <w:color w:val="auto"/>
                <w:szCs w:val="21"/>
                <w:highlight w:val="none"/>
                <w:lang w:val="en-US" w:eastAsia="zh-CN"/>
              </w:rPr>
              <w:t>应</w:t>
            </w:r>
            <w:r>
              <w:rPr>
                <w:rFonts w:hint="eastAsia" w:ascii="宋体" w:hAnsi="宋体" w:eastAsia="宋体" w:cs="宋体"/>
                <w:bCs/>
                <w:color w:val="auto"/>
                <w:szCs w:val="21"/>
                <w:highlight w:val="none"/>
                <w:lang w:val="zh-CN"/>
              </w:rPr>
              <w:t>提供经独立会计师事务所审计过的有效的财务报表</w:t>
            </w:r>
            <w:r>
              <w:rPr>
                <w:rFonts w:hint="eastAsia" w:ascii="宋体" w:hAnsi="宋体" w:eastAsia="宋体" w:cs="宋体"/>
                <w:bCs/>
                <w:color w:val="auto"/>
                <w:szCs w:val="21"/>
                <w:highlight w:val="none"/>
                <w:lang w:val="en-US" w:eastAsia="zh-CN"/>
              </w:rPr>
              <w:t>复印</w:t>
            </w:r>
            <w:r>
              <w:rPr>
                <w:rFonts w:hint="eastAsia" w:ascii="宋体" w:hAnsi="宋体" w:eastAsia="宋体" w:cs="宋体"/>
                <w:bCs/>
                <w:color w:val="auto"/>
                <w:szCs w:val="21"/>
                <w:highlight w:val="none"/>
                <w:lang w:val="zh-CN"/>
              </w:rPr>
              <w:t>件，未提供前述财务</w:t>
            </w:r>
            <w:r>
              <w:rPr>
                <w:rFonts w:hint="eastAsia" w:ascii="宋体" w:hAnsi="宋体" w:eastAsia="宋体" w:cs="宋体"/>
                <w:bCs/>
                <w:color w:val="auto"/>
                <w:szCs w:val="21"/>
                <w:highlight w:val="none"/>
                <w:lang w:val="en-US" w:eastAsia="zh-CN"/>
              </w:rPr>
              <w:t>报表</w:t>
            </w:r>
            <w:r>
              <w:rPr>
                <w:rFonts w:hint="eastAsia" w:ascii="宋体" w:hAnsi="宋体" w:eastAsia="宋体" w:cs="宋体"/>
                <w:bCs/>
                <w:color w:val="auto"/>
                <w:szCs w:val="21"/>
                <w:highlight w:val="none"/>
                <w:lang w:val="zh-CN"/>
              </w:rPr>
              <w:t>或财务</w:t>
            </w:r>
            <w:r>
              <w:rPr>
                <w:rFonts w:hint="eastAsia" w:ascii="宋体" w:hAnsi="宋体" w:eastAsia="宋体" w:cs="宋体"/>
                <w:bCs/>
                <w:color w:val="auto"/>
                <w:szCs w:val="21"/>
                <w:highlight w:val="none"/>
                <w:lang w:val="en-US" w:eastAsia="zh-CN"/>
              </w:rPr>
              <w:t>报表</w:t>
            </w:r>
            <w:r>
              <w:rPr>
                <w:rFonts w:hint="eastAsia" w:ascii="宋体" w:hAnsi="宋体" w:eastAsia="宋体" w:cs="宋体"/>
                <w:bCs/>
                <w:color w:val="auto"/>
                <w:szCs w:val="21"/>
                <w:highlight w:val="none"/>
                <w:lang w:val="zh-CN"/>
              </w:rPr>
              <w:t>未能反映净利润的，不得分。</w:t>
            </w:r>
          </w:p>
        </w:tc>
        <w:tc>
          <w:tcPr>
            <w:tcW w:w="485" w:type="pct"/>
            <w:vAlign w:val="center"/>
          </w:tcPr>
          <w:p>
            <w:pPr>
              <w:spacing w:line="360" w:lineRule="auto"/>
              <w:jc w:val="center"/>
              <w:outlineLvl w:val="9"/>
              <w:rPr>
                <w:rFonts w:ascii="宋体" w:hAnsi="宋体" w:eastAsia="宋体" w:cs="宋体"/>
                <w:b/>
                <w:color w:val="auto"/>
                <w:szCs w:val="21"/>
                <w:highlight w:val="none"/>
              </w:rPr>
            </w:pPr>
            <w:r>
              <w:rPr>
                <w:rFonts w:hint="eastAsia" w:ascii="宋体" w:hAnsi="宋体" w:eastAsia="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05" w:type="pct"/>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标准化系</w:t>
            </w:r>
          </w:p>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统认证</w:t>
            </w:r>
          </w:p>
        </w:tc>
        <w:tc>
          <w:tcPr>
            <w:tcW w:w="3558" w:type="pct"/>
            <w:vAlign w:val="center"/>
          </w:tcPr>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（1）投标人具有有效期内的ISO9001质量管理体系认证证书得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（2）投标人具有有效期内的ISO14001环境管理体系认证证书得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（3）投标人具有有效期内的OHSAS18001（或GB/T45001-2020，或ISO45001）职业健康安全管理体系认证证书得</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分。</w:t>
            </w:r>
          </w:p>
          <w:p>
            <w:pPr>
              <w:spacing w:line="360" w:lineRule="auto"/>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备注：</w:t>
            </w:r>
          </w:p>
          <w:p>
            <w:pPr>
              <w:spacing w:line="360" w:lineRule="auto"/>
              <w:outlineLvl w:val="9"/>
              <w:rPr>
                <w:rFonts w:ascii="宋体" w:hAnsi="宋体" w:eastAsia="宋体" w:cs="宋体"/>
                <w:b/>
                <w:color w:val="auto"/>
                <w:szCs w:val="21"/>
                <w:highlight w:val="none"/>
                <w:lang w:val="zh-CN"/>
              </w:rPr>
            </w:pPr>
            <w:r>
              <w:rPr>
                <w:rFonts w:hint="eastAsia" w:ascii="宋体" w:hAnsi="宋体" w:eastAsia="宋体" w:cs="宋体"/>
                <w:bCs/>
                <w:color w:val="auto"/>
                <w:szCs w:val="21"/>
                <w:highlight w:val="none"/>
                <w:lang w:val="zh-CN"/>
              </w:rPr>
              <w:t>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85" w:type="pct"/>
            <w:vAlign w:val="center"/>
          </w:tcPr>
          <w:p>
            <w:pPr>
              <w:spacing w:line="360" w:lineRule="auto"/>
              <w:jc w:val="center"/>
              <w:outlineLvl w:val="9"/>
              <w:rPr>
                <w:rFonts w:ascii="宋体" w:hAnsi="宋体" w:eastAsia="宋体" w:cs="宋体"/>
                <w:b/>
                <w:color w:val="auto"/>
                <w:szCs w:val="21"/>
                <w:highlight w:val="none"/>
              </w:rPr>
            </w:pPr>
            <w:r>
              <w:rPr>
                <w:rFonts w:hint="eastAsia" w:ascii="宋体" w:hAnsi="宋体" w:eastAsia="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0" w:type="pct"/>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05" w:type="pct"/>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业绩</w:t>
            </w:r>
          </w:p>
        </w:tc>
        <w:tc>
          <w:tcPr>
            <w:tcW w:w="3558" w:type="pct"/>
            <w:vAlign w:val="center"/>
          </w:tcPr>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对投标人202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年1月1日至今（签订合同的时间为202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年1月1日或以后）承接的污泥脱水减量化处理服务或污泥脱水减量配合服务业绩进行评审，满分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4分。</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（1）每提供一个【单项合同污泥处理规模（按含水率80%的湿泥计）≥200吨/天】或【单项合同提供的污泥减量设备操作技术人员数量≥</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人】的前述业绩的，得4分；</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（2）每提供一个【100吨/天≤单项合同污泥处理规模（按含水率80%的湿泥计）＜200吨/天】或【12人≤单项合同提供的污泥减量设备操作技术人员数量＜</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人】的前述业绩的，得2分；</w:t>
            </w:r>
          </w:p>
          <w:p>
            <w:pPr>
              <w:spacing w:line="360" w:lineRule="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（3）每提供一个【50吨/天≤单项合同污泥处理规模（按含水率80%的湿泥计）＜100吨/天】或【</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人≤单项合同提供的污泥减量设备操作技术人员数量＜12人】的前述业绩的，得1分</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本小项最高得12分</w:t>
            </w:r>
            <w:r>
              <w:rPr>
                <w:rFonts w:hint="eastAsia" w:ascii="宋体" w:hAnsi="宋体" w:eastAsia="宋体" w:cs="宋体"/>
                <w:color w:val="auto"/>
                <w:szCs w:val="21"/>
                <w:highlight w:val="none"/>
                <w:lang w:eastAsia="zh-CN"/>
              </w:rPr>
              <w:t>。</w:t>
            </w:r>
          </w:p>
          <w:p>
            <w:pPr>
              <w:spacing w:line="360" w:lineRule="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）业绩必须附合同复印件（</w:t>
            </w:r>
            <w:r>
              <w:rPr>
                <w:rFonts w:hint="eastAsia" w:ascii="宋体" w:hAnsi="宋体" w:eastAsia="宋体" w:cs="宋体"/>
                <w:color w:val="auto"/>
                <w:szCs w:val="21"/>
                <w:highlight w:val="none"/>
              </w:rPr>
              <w:t>合同服务提供方为投标人</w:t>
            </w:r>
            <w:r>
              <w:rPr>
                <w:rFonts w:hint="eastAsia" w:ascii="宋体" w:hAnsi="宋体" w:eastAsia="宋体" w:cs="宋体"/>
                <w:color w:val="auto"/>
                <w:szCs w:val="21"/>
                <w:highlight w:val="none"/>
                <w:lang w:val="zh-CN"/>
              </w:rPr>
              <w:t>）。合同必须能反映评分条件（</w:t>
            </w:r>
            <w:r>
              <w:rPr>
                <w:rFonts w:hint="eastAsia" w:ascii="宋体" w:hAnsi="宋体" w:eastAsia="宋体" w:cs="宋体"/>
                <w:color w:val="auto"/>
                <w:szCs w:val="21"/>
                <w:highlight w:val="none"/>
              </w:rPr>
              <w:t>合同签订日期、服务内容、污泥处理规模/污泥减量设备操作技术人员数量、合同期限</w:t>
            </w:r>
            <w:r>
              <w:rPr>
                <w:rFonts w:hint="eastAsia" w:ascii="宋体" w:hAnsi="宋体" w:eastAsia="宋体" w:cs="宋体"/>
                <w:color w:val="auto"/>
                <w:szCs w:val="21"/>
                <w:highlight w:val="none"/>
                <w:lang w:val="zh-CN"/>
              </w:rPr>
              <w:t>），否则，需同时提供服务购买方出具的书面补充情况说明文件复印件（</w:t>
            </w:r>
            <w:r>
              <w:rPr>
                <w:rFonts w:hint="eastAsia" w:ascii="宋体" w:hAnsi="宋体" w:eastAsia="宋体" w:cs="宋体"/>
                <w:color w:val="auto"/>
                <w:szCs w:val="21"/>
                <w:highlight w:val="none"/>
              </w:rPr>
              <w:t>需加盖服务购买方公章，即复印件能显示服务购买方公章</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否则不得分</w:t>
            </w:r>
            <w:r>
              <w:rPr>
                <w:rFonts w:hint="eastAsia" w:ascii="宋体" w:hAnsi="宋体" w:eastAsia="宋体" w:cs="宋体"/>
                <w:color w:val="auto"/>
                <w:szCs w:val="21"/>
                <w:highlight w:val="none"/>
                <w:lang w:val="zh-CN"/>
              </w:rPr>
              <w:t>。</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）污泥脱水减量化处理服务单项合同业绩的服务内容须包含污泥脱水减量化处理服务，如单项合同业绩的服务内容为污泥的全流程处理处置，必须</w:t>
            </w:r>
            <w:r>
              <w:rPr>
                <w:rFonts w:hint="eastAsia" w:ascii="宋体" w:hAnsi="宋体" w:eastAsia="宋体" w:cs="宋体"/>
                <w:color w:val="auto"/>
                <w:szCs w:val="21"/>
                <w:highlight w:val="none"/>
                <w:lang w:val="zh-CN" w:eastAsia="zh-CN"/>
              </w:rPr>
              <w:t>包含</w:t>
            </w:r>
            <w:r>
              <w:rPr>
                <w:rFonts w:hint="eastAsia" w:ascii="宋体" w:hAnsi="宋体" w:eastAsia="宋体" w:cs="宋体"/>
                <w:color w:val="auto"/>
                <w:szCs w:val="21"/>
                <w:highlight w:val="none"/>
                <w:lang w:val="zh-CN"/>
              </w:rPr>
              <w:t>污泥</w:t>
            </w:r>
            <w:r>
              <w:rPr>
                <w:rFonts w:hint="eastAsia" w:ascii="宋体" w:hAnsi="宋体" w:eastAsia="宋体" w:cs="宋体"/>
                <w:color w:val="auto"/>
                <w:szCs w:val="21"/>
                <w:highlight w:val="none"/>
                <w:lang w:val="zh-CN" w:eastAsia="zh-CN"/>
              </w:rPr>
              <w:t>脱水</w:t>
            </w:r>
            <w:r>
              <w:rPr>
                <w:rFonts w:hint="eastAsia" w:ascii="宋体" w:hAnsi="宋体" w:eastAsia="宋体" w:cs="宋体"/>
                <w:color w:val="auto"/>
                <w:szCs w:val="21"/>
                <w:highlight w:val="none"/>
                <w:lang w:val="zh-CN"/>
              </w:rPr>
              <w:t>减量化处理</w:t>
            </w:r>
            <w:r>
              <w:rPr>
                <w:rFonts w:hint="eastAsia" w:ascii="宋体" w:hAnsi="宋体" w:eastAsia="宋体" w:cs="宋体"/>
                <w:color w:val="auto"/>
                <w:szCs w:val="21"/>
                <w:highlight w:val="none"/>
                <w:lang w:val="zh-CN" w:eastAsia="zh-CN"/>
              </w:rPr>
              <w:t>的</w:t>
            </w:r>
            <w:r>
              <w:rPr>
                <w:rFonts w:hint="eastAsia" w:ascii="宋体" w:hAnsi="宋体" w:eastAsia="宋体" w:cs="宋体"/>
                <w:color w:val="auto"/>
                <w:szCs w:val="21"/>
                <w:highlight w:val="none"/>
                <w:lang w:val="zh-CN"/>
              </w:rPr>
              <w:t>服务内容，否则不得分</w:t>
            </w:r>
            <w:r>
              <w:rPr>
                <w:rFonts w:hint="eastAsia" w:ascii="宋体" w:hAnsi="宋体" w:eastAsia="宋体" w:cs="宋体"/>
                <w:color w:val="auto"/>
                <w:szCs w:val="21"/>
                <w:highlight w:val="none"/>
              </w:rPr>
              <w:t>。</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rPr>
              <w:t>（3）污泥脱水减量化处理服务单项合同业绩的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Cs w:val="21"/>
                <w:highlight w:val="none"/>
                <w:lang w:val="zh-CN"/>
              </w:rPr>
              <w:t>。</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zh-CN"/>
              </w:rPr>
              <w:t>）若</w:t>
            </w:r>
            <w:r>
              <w:rPr>
                <w:rFonts w:hint="eastAsia" w:ascii="宋体" w:hAnsi="宋体" w:eastAsia="宋体" w:cs="宋体"/>
                <w:color w:val="auto"/>
                <w:szCs w:val="21"/>
                <w:highlight w:val="none"/>
              </w:rPr>
              <w:t>污泥脱水减量化处理服务单项合同业绩</w:t>
            </w:r>
            <w:r>
              <w:rPr>
                <w:rFonts w:hint="eastAsia" w:ascii="宋体" w:hAnsi="宋体" w:eastAsia="宋体" w:cs="宋体"/>
                <w:color w:val="auto"/>
                <w:szCs w:val="21"/>
                <w:highlight w:val="none"/>
                <w:lang w:val="zh-CN"/>
              </w:rPr>
              <w:t>为无明确</w:t>
            </w:r>
            <w:r>
              <w:rPr>
                <w:rFonts w:hint="eastAsia" w:ascii="宋体" w:hAnsi="宋体" w:eastAsia="宋体" w:cs="宋体"/>
                <w:color w:val="auto"/>
                <w:szCs w:val="21"/>
                <w:highlight w:val="none"/>
              </w:rPr>
              <w:t>污泥处理规模，</w:t>
            </w:r>
            <w:r>
              <w:rPr>
                <w:rFonts w:hint="eastAsia" w:ascii="宋体" w:hAnsi="宋体" w:eastAsia="宋体" w:cs="宋体"/>
                <w:color w:val="auto"/>
                <w:szCs w:val="21"/>
                <w:highlight w:val="none"/>
                <w:lang w:val="zh-CN"/>
              </w:rPr>
              <w:t>必须同时提供合同期限内</w:t>
            </w:r>
            <w:r>
              <w:rPr>
                <w:rFonts w:hint="eastAsia" w:ascii="宋体" w:hAnsi="宋体" w:eastAsia="宋体" w:cs="宋体"/>
                <w:color w:val="auto"/>
                <w:szCs w:val="21"/>
                <w:highlight w:val="none"/>
                <w:lang w:val="zh-CN" w:eastAsia="zh-CN"/>
              </w:rPr>
              <w:t>单个月份</w:t>
            </w:r>
            <w:r>
              <w:rPr>
                <w:rFonts w:hint="eastAsia" w:ascii="宋体" w:hAnsi="宋体" w:eastAsia="宋体" w:cs="宋体"/>
                <w:color w:val="auto"/>
                <w:szCs w:val="21"/>
                <w:highlight w:val="none"/>
                <w:lang w:val="zh-CN"/>
              </w:rPr>
              <w:t>已</w:t>
            </w:r>
            <w:r>
              <w:rPr>
                <w:rFonts w:hint="eastAsia" w:ascii="宋体" w:hAnsi="宋体" w:eastAsia="宋体" w:cs="宋体"/>
                <w:color w:val="auto"/>
                <w:szCs w:val="21"/>
                <w:highlight w:val="none"/>
                <w:lang w:val="zh-CN" w:eastAsia="zh-CN"/>
              </w:rPr>
              <w:t>处理</w:t>
            </w:r>
            <w:r>
              <w:rPr>
                <w:rFonts w:hint="eastAsia" w:ascii="宋体" w:hAnsi="宋体" w:eastAsia="宋体" w:cs="宋体"/>
                <w:color w:val="auto"/>
                <w:szCs w:val="21"/>
                <w:highlight w:val="none"/>
                <w:lang w:val="zh-CN"/>
              </w:rPr>
              <w:t>的</w:t>
            </w:r>
            <w:r>
              <w:rPr>
                <w:rFonts w:hint="eastAsia" w:ascii="宋体" w:hAnsi="宋体" w:eastAsia="宋体" w:cs="宋体"/>
                <w:color w:val="auto"/>
                <w:szCs w:val="21"/>
                <w:highlight w:val="none"/>
                <w:lang w:val="zh-CN" w:eastAsia="zh-CN"/>
              </w:rPr>
              <w:t>生活污水处理厂污泥处理量</w:t>
            </w:r>
            <w:r>
              <w:rPr>
                <w:rFonts w:hint="eastAsia" w:ascii="宋体" w:hAnsi="宋体" w:eastAsia="宋体" w:cs="宋体"/>
                <w:color w:val="auto"/>
                <w:szCs w:val="21"/>
                <w:highlight w:val="none"/>
                <w:lang w:val="zh-CN"/>
              </w:rPr>
              <w:t>统计表和</w:t>
            </w:r>
            <w:r>
              <w:rPr>
                <w:rFonts w:hint="eastAsia" w:ascii="宋体" w:hAnsi="宋体" w:eastAsia="宋体" w:cs="宋体"/>
                <w:color w:val="auto"/>
                <w:szCs w:val="21"/>
                <w:highlight w:val="none"/>
                <w:lang w:val="zh-CN" w:eastAsia="zh-CN"/>
              </w:rPr>
              <w:t>污泥转运联单</w:t>
            </w:r>
            <w:r>
              <w:rPr>
                <w:rFonts w:hint="eastAsia" w:ascii="宋体" w:hAnsi="宋体" w:eastAsia="宋体" w:cs="宋体"/>
                <w:color w:val="auto"/>
                <w:szCs w:val="21"/>
                <w:highlight w:val="none"/>
                <w:lang w:val="zh-CN"/>
              </w:rPr>
              <w:t>复印件（</w:t>
            </w:r>
            <w:r>
              <w:rPr>
                <w:rFonts w:hint="eastAsia" w:ascii="宋体" w:hAnsi="宋体" w:eastAsia="宋体" w:cs="宋体"/>
                <w:color w:val="auto"/>
                <w:szCs w:val="21"/>
                <w:highlight w:val="none"/>
                <w:lang w:val="zh-CN" w:eastAsia="zh-CN"/>
              </w:rPr>
              <w:t>无转运联单的，提供服务发票复印件及折算处理量数据或污泥产生单位盖章的证明文件替代</w:t>
            </w:r>
            <w:r>
              <w:rPr>
                <w:rFonts w:hint="eastAsia" w:ascii="宋体" w:hAnsi="宋体" w:eastAsia="宋体" w:cs="宋体"/>
                <w:color w:val="auto"/>
                <w:szCs w:val="21"/>
                <w:highlight w:val="none"/>
                <w:lang w:val="zh-CN"/>
              </w:rPr>
              <w:t>）以证明</w:t>
            </w:r>
            <w:r>
              <w:rPr>
                <w:rFonts w:hint="eastAsia" w:ascii="宋体" w:hAnsi="宋体" w:eastAsia="宋体" w:cs="宋体"/>
                <w:color w:val="auto"/>
                <w:szCs w:val="21"/>
                <w:highlight w:val="none"/>
                <w:lang w:val="zh-CN" w:eastAsia="zh-CN"/>
              </w:rPr>
              <w:t>污泥处理规模，日平均生活污水处理厂污泥处理量按合同期限内单个月份已处理的生活污水处理厂污泥处理量除以单个月份自然天数进行计算，并以此作为污泥处理规模进行评审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color w:val="auto"/>
                <w:szCs w:val="21"/>
                <w:highlight w:val="none"/>
                <w:lang w:val="zh-CN"/>
              </w:rPr>
              <w:t>。</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）若污泥脱水减量化处理服务单项合同业绩中包含多个污泥脱水减量化处理服务项目，评分时污泥处理规模/污泥减量设备操作技术人员数量按单项合同中的各污泥脱水处理服务项目</w:t>
            </w:r>
            <w:r>
              <w:rPr>
                <w:rFonts w:hint="eastAsia" w:ascii="宋体" w:hAnsi="宋体" w:eastAsia="宋体" w:cs="宋体"/>
                <w:color w:val="auto"/>
                <w:szCs w:val="21"/>
                <w:highlight w:val="none"/>
                <w:lang w:val="zh-CN" w:eastAsia="zh-CN"/>
              </w:rPr>
              <w:t>的污泥</w:t>
            </w:r>
            <w:r>
              <w:rPr>
                <w:rFonts w:hint="eastAsia" w:ascii="宋体" w:hAnsi="宋体" w:eastAsia="宋体" w:cs="宋体"/>
                <w:color w:val="auto"/>
                <w:szCs w:val="21"/>
                <w:highlight w:val="none"/>
                <w:lang w:val="zh-CN"/>
              </w:rPr>
              <w:t>处理规模/污泥减量设备操作技术人员数量的累加值计算得分。</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val="zh-CN"/>
              </w:rPr>
              <w:t>）污泥脱水减量配合服务单项合同业绩的服务内容若为以劳务派遣或劳务外包的方式提供污泥脱水减量化服务人员的，</w:t>
            </w:r>
            <w:r>
              <w:rPr>
                <w:rFonts w:hint="eastAsia" w:ascii="宋体" w:hAnsi="宋体" w:eastAsia="宋体" w:cs="宋体"/>
                <w:color w:val="auto"/>
                <w:szCs w:val="21"/>
                <w:highlight w:val="none"/>
                <w:lang w:val="zh-CN" w:eastAsia="zh-CN"/>
              </w:rPr>
              <w:t>服务内容</w:t>
            </w:r>
            <w:r>
              <w:rPr>
                <w:rFonts w:hint="eastAsia" w:ascii="宋体" w:hAnsi="宋体" w:eastAsia="宋体" w:cs="宋体"/>
                <w:color w:val="auto"/>
                <w:szCs w:val="21"/>
                <w:highlight w:val="none"/>
                <w:lang w:val="zh-CN"/>
              </w:rPr>
              <w:t>必须</w:t>
            </w:r>
            <w:r>
              <w:rPr>
                <w:rFonts w:hint="eastAsia" w:ascii="宋体" w:hAnsi="宋体" w:eastAsia="宋体" w:cs="宋体"/>
                <w:color w:val="auto"/>
                <w:szCs w:val="21"/>
                <w:highlight w:val="none"/>
                <w:lang w:val="zh-CN" w:eastAsia="zh-CN"/>
              </w:rPr>
              <w:t>包含提供从事污泥脱水压滤设备的操作技术人员</w:t>
            </w:r>
            <w:r>
              <w:rPr>
                <w:rFonts w:hint="eastAsia" w:ascii="宋体" w:hAnsi="宋体" w:eastAsia="宋体" w:cs="宋体"/>
                <w:color w:val="auto"/>
                <w:szCs w:val="21"/>
                <w:highlight w:val="none"/>
                <w:lang w:val="zh-CN"/>
              </w:rPr>
              <w:t>，否则不得分</w:t>
            </w:r>
            <w:r>
              <w:rPr>
                <w:rFonts w:hint="eastAsia" w:ascii="宋体" w:hAnsi="宋体" w:eastAsia="宋体" w:cs="宋体"/>
                <w:color w:val="auto"/>
                <w:szCs w:val="21"/>
                <w:highlight w:val="none"/>
              </w:rPr>
              <w:t>。</w:t>
            </w:r>
          </w:p>
          <w:p>
            <w:pPr>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（7）若单项合同业绩中既有</w:t>
            </w:r>
            <w:r>
              <w:rPr>
                <w:rFonts w:hint="eastAsia" w:ascii="宋体" w:hAnsi="宋体" w:eastAsia="宋体" w:cs="宋体"/>
                <w:color w:val="auto"/>
                <w:szCs w:val="21"/>
                <w:highlight w:val="none"/>
                <w:lang w:val="zh-CN"/>
              </w:rPr>
              <w:t>污泥处理规模</w:t>
            </w:r>
            <w:r>
              <w:rPr>
                <w:rFonts w:hint="eastAsia" w:ascii="宋体" w:hAnsi="宋体" w:eastAsia="宋体" w:cs="宋体"/>
                <w:color w:val="auto"/>
                <w:szCs w:val="21"/>
                <w:highlight w:val="none"/>
                <w:lang w:val="en-US" w:eastAsia="zh-CN"/>
              </w:rPr>
              <w:t>又有</w:t>
            </w:r>
            <w:r>
              <w:rPr>
                <w:rFonts w:hint="eastAsia" w:ascii="宋体" w:hAnsi="宋体" w:eastAsia="宋体" w:cs="宋体"/>
                <w:color w:val="auto"/>
                <w:szCs w:val="21"/>
                <w:highlight w:val="none"/>
                <w:lang w:val="zh-CN"/>
              </w:rPr>
              <w:t>污泥减量设备操作技术人员数量</w:t>
            </w:r>
            <w:r>
              <w:rPr>
                <w:rFonts w:hint="eastAsia" w:ascii="宋体" w:hAnsi="宋体" w:eastAsia="宋体" w:cs="宋体"/>
                <w:color w:val="auto"/>
                <w:szCs w:val="21"/>
                <w:highlight w:val="none"/>
                <w:lang w:val="en-US" w:eastAsia="zh-CN"/>
              </w:rPr>
              <w:t>的，不重复得分，按较高得分标准计分。</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单项合同业绩的</w:t>
            </w:r>
            <w:r>
              <w:rPr>
                <w:rFonts w:hint="eastAsia" w:ascii="宋体" w:hAnsi="宋体" w:eastAsia="宋体" w:cs="宋体"/>
                <w:color w:val="auto"/>
                <w:szCs w:val="21"/>
                <w:highlight w:val="none"/>
                <w:lang w:val="zh-CN"/>
              </w:rPr>
              <w:t>合同服务期限</w:t>
            </w:r>
            <w:r>
              <w:rPr>
                <w:rFonts w:hint="eastAsia" w:ascii="宋体" w:hAnsi="宋体" w:eastAsia="宋体" w:cs="宋体"/>
                <w:color w:val="auto"/>
                <w:szCs w:val="21"/>
                <w:highlight w:val="none"/>
                <w:lang w:val="zh-CN" w:eastAsia="zh-CN"/>
              </w:rPr>
              <w:t>要求大于或等于1年，小于1年的业绩合同在评标时不予考虑</w:t>
            </w:r>
            <w:r>
              <w:rPr>
                <w:rFonts w:hint="eastAsia" w:ascii="宋体" w:hAnsi="宋体" w:eastAsia="宋体" w:cs="宋体"/>
                <w:color w:val="auto"/>
                <w:szCs w:val="21"/>
                <w:highlight w:val="none"/>
                <w:lang w:val="zh-CN"/>
              </w:rPr>
              <w:t>。</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未按上述要求</w:t>
            </w:r>
            <w:r>
              <w:rPr>
                <w:rFonts w:hint="eastAsia" w:ascii="宋体" w:hAnsi="宋体" w:eastAsia="宋体" w:cs="宋体"/>
                <w:color w:val="auto"/>
                <w:szCs w:val="21"/>
                <w:highlight w:val="none"/>
                <w:lang w:val="en-US" w:eastAsia="zh-CN"/>
              </w:rPr>
              <w:t>在此格式下</w:t>
            </w:r>
            <w:r>
              <w:rPr>
                <w:rFonts w:hint="eastAsia" w:ascii="宋体" w:hAnsi="宋体" w:eastAsia="宋体" w:cs="宋体"/>
                <w:color w:val="auto"/>
                <w:szCs w:val="21"/>
                <w:highlight w:val="none"/>
                <w:lang w:val="zh-CN"/>
              </w:rPr>
              <w:t>提供证明材料的业绩，或</w:t>
            </w:r>
            <w:r>
              <w:rPr>
                <w:rFonts w:hint="eastAsia" w:ascii="宋体" w:hAnsi="宋体" w:eastAsia="宋体" w:cs="宋体"/>
                <w:color w:val="auto"/>
                <w:szCs w:val="21"/>
                <w:highlight w:val="none"/>
                <w:lang w:val="en-US" w:eastAsia="zh-CN"/>
              </w:rPr>
              <w:t>在此格式下</w:t>
            </w:r>
            <w:r>
              <w:rPr>
                <w:rFonts w:hint="eastAsia" w:ascii="宋体" w:hAnsi="宋体" w:eastAsia="宋体" w:cs="宋体"/>
                <w:color w:val="auto"/>
                <w:szCs w:val="21"/>
                <w:highlight w:val="none"/>
                <w:lang w:val="zh-CN"/>
              </w:rPr>
              <w:t>所附材料无法证明填报项目属投标人完成的或不符合本项评分要求的业绩，在评标时将不予考虑。</w:t>
            </w:r>
          </w:p>
        </w:tc>
        <w:tc>
          <w:tcPr>
            <w:tcW w:w="485" w:type="pct"/>
            <w:vAlign w:val="center"/>
          </w:tcPr>
          <w:p>
            <w:pPr>
              <w:spacing w:line="360" w:lineRule="auto"/>
              <w:jc w:val="center"/>
              <w:outlineLvl w:val="9"/>
              <w:rPr>
                <w:rFonts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4分</w:t>
            </w:r>
          </w:p>
        </w:tc>
      </w:tr>
    </w:tbl>
    <w:p>
      <w:pPr>
        <w:autoSpaceDE w:val="0"/>
        <w:autoSpaceDN w:val="0"/>
        <w:adjustRightInd w:val="0"/>
        <w:ind w:right="-26" w:firstLine="480"/>
        <w:jc w:val="center"/>
        <w:outlineLvl w:val="9"/>
        <w:rPr>
          <w:rFonts w:ascii="宋体" w:hAnsi="宋体" w:eastAsia="宋体" w:cs="宋体"/>
          <w:b/>
          <w:bCs/>
          <w:color w:val="auto"/>
          <w:kern w:val="0"/>
          <w:sz w:val="24"/>
          <w:szCs w:val="24"/>
          <w:highlight w:val="none"/>
        </w:rPr>
      </w:pPr>
    </w:p>
    <w:p>
      <w:pPr>
        <w:tabs>
          <w:tab w:val="left" w:pos="585"/>
        </w:tabs>
        <w:autoSpaceDE w:val="0"/>
        <w:autoSpaceDN w:val="0"/>
        <w:adjustRightInd w:val="0"/>
        <w:spacing w:line="360" w:lineRule="auto"/>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0</w:t>
      </w:r>
      <w:r>
        <w:rPr>
          <w:rFonts w:hint="eastAsia" w:ascii="宋体" w:hAnsi="宋体" w:eastAsia="宋体" w:cs="宋体"/>
          <w:b/>
          <w:color w:val="auto"/>
          <w:szCs w:val="21"/>
          <w:highlight w:val="none"/>
          <w:lang w:val="zh-CN"/>
        </w:rPr>
        <w:t>分</w:t>
      </w:r>
      <w:bookmarkEnd w:id="728"/>
    </w:p>
    <w:tbl>
      <w:tblPr>
        <w:tblStyle w:val="38"/>
        <w:tblW w:w="10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335"/>
        <w:gridCol w:w="7125"/>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评审内容</w:t>
            </w:r>
          </w:p>
        </w:tc>
        <w:tc>
          <w:tcPr>
            <w:tcW w:w="71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评审细则</w:t>
            </w:r>
          </w:p>
        </w:tc>
        <w:tc>
          <w:tcPr>
            <w:tcW w:w="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b/>
                <w:color w:val="auto"/>
                <w:szCs w:val="21"/>
                <w:highlight w:val="none"/>
              </w:rPr>
            </w:pPr>
            <w:r>
              <w:rPr>
                <w:rFonts w:hint="eastAsia" w:ascii="宋体" w:hAnsi="宋体" w:eastAsia="宋体" w:cs="宋体"/>
                <w:color w:val="auto"/>
                <w:szCs w:val="21"/>
                <w:highlight w:val="none"/>
              </w:rPr>
              <w:t>1</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用户需求响应程度</w:t>
            </w:r>
          </w:p>
        </w:tc>
        <w:tc>
          <w:tcPr>
            <w:tcW w:w="7125" w:type="dxa"/>
            <w:tcBorders>
              <w:top w:val="single" w:color="auto" w:sz="4" w:space="0"/>
              <w:left w:val="single" w:color="auto" w:sz="4" w:space="0"/>
              <w:bottom w:val="single" w:color="auto" w:sz="4" w:space="0"/>
              <w:right w:val="single" w:color="auto" w:sz="4" w:space="0"/>
            </w:tcBorders>
            <w:vAlign w:val="center"/>
          </w:tcPr>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rPr>
              <w:t>对用户需求偏离表的偏离情况进行评审计分，完全满足用户需求书的要求得满分；每一处负偏离，扣2分；同时参照其投标文件中其部分的内容进行对比，每发现一处投标人填写为无偏离或正偏离，但评标委员会评审认定其为负偏离的，每处扣5分；本项最低分为0分。</w:t>
            </w:r>
          </w:p>
        </w:tc>
        <w:tc>
          <w:tcPr>
            <w:tcW w:w="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3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整体服务方案</w:t>
            </w:r>
          </w:p>
        </w:tc>
        <w:tc>
          <w:tcPr>
            <w:tcW w:w="7125" w:type="dxa"/>
            <w:tcBorders>
              <w:top w:val="single" w:color="auto" w:sz="4" w:space="0"/>
              <w:left w:val="single" w:color="auto" w:sz="4" w:space="0"/>
              <w:bottom w:val="single" w:color="auto" w:sz="4" w:space="0"/>
              <w:right w:val="single" w:color="auto" w:sz="4" w:space="0"/>
            </w:tcBorders>
          </w:tcPr>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rPr>
              <w:t>根据投标人针对本项目拟定的整体服务方案（包括针对本项目服务的组织实施方案、响应速度及保障措施、技术人员情况、人员污泥脱水设备操作经验、项目的管理方案、服务方案、人员培训方案）进行综合评价，按优[</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分]、良（</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分]、中（</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分]、差（</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-0分]进行评审。</w:t>
            </w:r>
          </w:p>
        </w:tc>
        <w:tc>
          <w:tcPr>
            <w:tcW w:w="9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tcBorders>
              <w:left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335" w:type="dxa"/>
            <w:tcBorders>
              <w:left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服务团队</w:t>
            </w:r>
            <w:r>
              <w:rPr>
                <w:rFonts w:hint="eastAsia" w:ascii="宋体" w:hAnsi="宋体" w:eastAsia="宋体" w:cs="宋体"/>
                <w:color w:val="auto"/>
                <w:szCs w:val="21"/>
                <w:highlight w:val="none"/>
              </w:rPr>
              <w:t>情况</w:t>
            </w:r>
          </w:p>
        </w:tc>
        <w:tc>
          <w:tcPr>
            <w:tcW w:w="7125" w:type="dxa"/>
            <w:tcBorders>
              <w:top w:val="single" w:color="auto" w:sz="4" w:space="0"/>
              <w:left w:val="single" w:color="auto" w:sz="4" w:space="0"/>
              <w:right w:val="single" w:color="auto" w:sz="4" w:space="0"/>
            </w:tcBorders>
          </w:tcPr>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拟投入本项目的项目负责人（仅一人）</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拟投入本项目的项目负责人自202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年1月1日起担任项目负责人负责过【50吨/天≤单项合同污泥处理规模（按含水率80%的湿泥计】或【</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人≤单项合同提供的污泥减量设备操作技术人员数量】的污泥脱水减量化处理服务项目业绩</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污泥脱水减量配合服务</w:t>
            </w:r>
            <w:r>
              <w:rPr>
                <w:rFonts w:hint="eastAsia" w:ascii="宋体" w:hAnsi="宋体" w:eastAsia="宋体" w:cs="宋体"/>
                <w:color w:val="auto"/>
                <w:szCs w:val="21"/>
                <w:highlight w:val="none"/>
                <w:lang w:val="en-US" w:eastAsia="zh-CN"/>
              </w:rPr>
              <w:t>项目</w:t>
            </w:r>
            <w:r>
              <w:rPr>
                <w:rFonts w:hint="eastAsia" w:ascii="宋体" w:hAnsi="宋体" w:eastAsia="宋体" w:cs="宋体"/>
                <w:color w:val="auto"/>
                <w:szCs w:val="21"/>
                <w:highlight w:val="none"/>
              </w:rPr>
              <w:t>业绩的，每提供一个得1分，本小项满分</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技术服务团队</w:t>
            </w:r>
            <w:r>
              <w:rPr>
                <w:rFonts w:hint="eastAsia" w:ascii="宋体" w:hAnsi="宋体" w:eastAsia="宋体" w:cs="宋体"/>
                <w:color w:val="auto"/>
                <w:szCs w:val="21"/>
                <w:highlight w:val="none"/>
              </w:rPr>
              <w:t>（不含</w:t>
            </w:r>
            <w:r>
              <w:rPr>
                <w:rFonts w:hint="eastAsia" w:ascii="宋体" w:hAnsi="宋体" w:eastAsia="宋体" w:cs="宋体"/>
                <w:color w:val="auto"/>
                <w:szCs w:val="21"/>
                <w:highlight w:val="none"/>
                <w:lang w:val="en-US" w:eastAsia="zh-CN"/>
              </w:rPr>
              <w:t>投入本</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的项目</w:t>
            </w:r>
            <w:r>
              <w:rPr>
                <w:rFonts w:hint="eastAsia" w:ascii="宋体" w:hAnsi="宋体" w:eastAsia="宋体" w:cs="宋体"/>
                <w:color w:val="auto"/>
                <w:szCs w:val="21"/>
                <w:highlight w:val="none"/>
              </w:rPr>
              <w:t>负责人）</w:t>
            </w:r>
          </w:p>
          <w:p>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服务团队其他技术管理</w:t>
            </w:r>
            <w:r>
              <w:rPr>
                <w:rFonts w:hint="eastAsia" w:ascii="宋体" w:hAnsi="宋体" w:eastAsia="宋体" w:cs="宋体"/>
                <w:color w:val="auto"/>
                <w:szCs w:val="21"/>
                <w:highlight w:val="none"/>
              </w:rPr>
              <w:t>人员持有</w:t>
            </w:r>
            <w:r>
              <w:rPr>
                <w:rFonts w:hint="eastAsia" w:ascii="宋体" w:hAnsi="宋体" w:eastAsia="宋体" w:cs="宋体"/>
                <w:color w:val="auto"/>
                <w:szCs w:val="21"/>
                <w:highlight w:val="none"/>
                <w:lang w:val="en-US" w:eastAsia="zh-CN"/>
              </w:rPr>
              <w:t>机械/电气/自动化/机电/环保/环境工程/给水排水/安全类</w:t>
            </w:r>
            <w:r>
              <w:rPr>
                <w:rFonts w:hint="eastAsia" w:ascii="宋体" w:hAnsi="宋体" w:eastAsia="宋体" w:cs="宋体"/>
                <w:color w:val="auto"/>
                <w:szCs w:val="21"/>
                <w:highlight w:val="none"/>
              </w:rPr>
              <w:t>中级</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或以上</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职称证书</w:t>
            </w:r>
            <w:r>
              <w:rPr>
                <w:rFonts w:hint="eastAsia" w:ascii="宋体" w:hAnsi="宋体" w:eastAsia="宋体" w:cs="宋体"/>
                <w:color w:val="auto"/>
                <w:szCs w:val="21"/>
                <w:highlight w:val="none"/>
                <w:lang w:val="en-US" w:eastAsia="zh-CN"/>
              </w:rPr>
              <w:t>或注册工程师证书</w:t>
            </w:r>
            <w:r>
              <w:rPr>
                <w:rFonts w:hint="eastAsia" w:ascii="宋体" w:hAnsi="宋体" w:eastAsia="宋体" w:cs="宋体"/>
                <w:color w:val="auto"/>
                <w:szCs w:val="21"/>
                <w:highlight w:val="none"/>
              </w:rPr>
              <w:t>，每人得1分，本小项满分</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w:t>
            </w:r>
          </w:p>
          <w:p>
            <w:pPr>
              <w:spacing w:line="360" w:lineRule="auto"/>
              <w:outlineLvl w:val="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备注：</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）需提供上述人员的身份证、劳动合同的复印件、资格证书[学历证书/职称证/</w:t>
            </w:r>
            <w:r>
              <w:rPr>
                <w:rFonts w:hint="eastAsia" w:ascii="宋体" w:hAnsi="宋体" w:eastAsia="宋体" w:cs="宋体"/>
                <w:color w:val="auto"/>
                <w:szCs w:val="21"/>
                <w:highlight w:val="none"/>
                <w:lang w:val="en-US" w:eastAsia="zh-CN"/>
              </w:rPr>
              <w:t>注册</w:t>
            </w:r>
            <w:r>
              <w:rPr>
                <w:rFonts w:hint="eastAsia" w:ascii="宋体" w:hAnsi="宋体" w:eastAsia="宋体" w:cs="宋体"/>
                <w:color w:val="auto"/>
                <w:szCs w:val="21"/>
                <w:highlight w:val="none"/>
                <w:lang w:val="zh-CN"/>
              </w:rPr>
              <w:t>资格</w:t>
            </w:r>
            <w:r>
              <w:rPr>
                <w:rFonts w:hint="eastAsia" w:ascii="宋体" w:hAnsi="宋体" w:eastAsia="宋体" w:cs="宋体"/>
                <w:color w:val="auto"/>
                <w:szCs w:val="21"/>
                <w:highlight w:val="none"/>
                <w:lang w:val="en-US" w:eastAsia="zh-CN"/>
              </w:rPr>
              <w:t>证书</w:t>
            </w:r>
            <w:r>
              <w:rPr>
                <w:rFonts w:hint="eastAsia" w:ascii="宋体" w:hAnsi="宋体" w:eastAsia="宋体" w:cs="宋体"/>
                <w:color w:val="auto"/>
                <w:szCs w:val="21"/>
                <w:highlight w:val="none"/>
                <w:lang w:val="zh-CN"/>
              </w:rPr>
              <w:t>]以及人力资源和社会保障部门（或税务部门）出具的近</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lang w:val="zh-CN"/>
              </w:rPr>
              <w:t>个月（</w:t>
            </w:r>
            <w:r>
              <w:rPr>
                <w:rFonts w:hint="eastAsia" w:ascii="宋体" w:hAnsi="宋体" w:eastAsia="宋体" w:cs="宋体"/>
                <w:color w:val="auto"/>
                <w:szCs w:val="21"/>
                <w:highlight w:val="none"/>
                <w:lang w:val="en-US" w:eastAsia="zh-CN"/>
              </w:rPr>
              <w:t>2023年9月、</w:t>
            </w:r>
            <w:r>
              <w:rPr>
                <w:rFonts w:hint="eastAsia" w:ascii="宋体" w:hAnsi="宋体" w:eastAsia="宋体" w:cs="宋体"/>
                <w:color w:val="auto"/>
                <w:szCs w:val="21"/>
                <w:highlight w:val="none"/>
                <w:lang w:val="zh-CN"/>
              </w:rPr>
              <w:t>2023年</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月、2023年</w:t>
            </w: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val="zh-CN"/>
              </w:rPr>
              <w:t>月、2023年</w:t>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zh-CN"/>
              </w:rPr>
              <w:t>月、</w:t>
            </w:r>
            <w:r>
              <w:rPr>
                <w:rFonts w:hint="eastAsia" w:ascii="宋体" w:hAnsi="宋体" w:eastAsia="宋体" w:cs="宋体"/>
                <w:color w:val="auto"/>
                <w:szCs w:val="21"/>
                <w:highlight w:val="none"/>
                <w:lang w:val="en-US" w:eastAsia="zh-CN"/>
              </w:rPr>
              <w:t>2024年1月、2024年2月</w:t>
            </w:r>
            <w:r>
              <w:rPr>
                <w:rFonts w:hint="eastAsia" w:ascii="宋体" w:hAnsi="宋体" w:eastAsia="宋体" w:cs="宋体"/>
                <w:color w:val="auto"/>
                <w:szCs w:val="21"/>
                <w:highlight w:val="none"/>
                <w:lang w:val="zh-CN"/>
              </w:rPr>
              <w:t>）投标人为其缴纳的社保证明复印件，身份证、劳动合同、资格证书[学历证书/职称证/</w:t>
            </w:r>
            <w:r>
              <w:rPr>
                <w:rFonts w:hint="eastAsia" w:ascii="宋体" w:hAnsi="宋体" w:eastAsia="宋体" w:cs="宋体"/>
                <w:color w:val="auto"/>
                <w:szCs w:val="21"/>
                <w:highlight w:val="none"/>
                <w:lang w:val="en-US" w:eastAsia="zh-CN"/>
              </w:rPr>
              <w:t>注册资格</w:t>
            </w:r>
            <w:r>
              <w:rPr>
                <w:rFonts w:hint="eastAsia" w:ascii="宋体" w:hAnsi="宋体" w:eastAsia="宋体" w:cs="宋体"/>
                <w:color w:val="auto"/>
                <w:szCs w:val="21"/>
                <w:highlight w:val="none"/>
                <w:lang w:val="zh-CN"/>
              </w:rPr>
              <w:t>证书]、社保证明的人员名称需一致时才统计得分，不提供或人员名称不一致不得分。</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）项目负责人业绩和企业业绩可重复计分。</w:t>
            </w:r>
            <w:r>
              <w:rPr>
                <w:rFonts w:hint="eastAsia" w:ascii="宋体" w:hAnsi="宋体" w:eastAsia="宋体" w:cs="宋体"/>
                <w:color w:val="auto"/>
                <w:szCs w:val="21"/>
                <w:highlight w:val="none"/>
              </w:rPr>
              <w:t>项目负责人</w:t>
            </w:r>
            <w:r>
              <w:rPr>
                <w:rFonts w:hint="eastAsia" w:ascii="宋体" w:hAnsi="宋体" w:eastAsia="宋体" w:cs="宋体"/>
                <w:color w:val="auto"/>
                <w:szCs w:val="21"/>
                <w:highlight w:val="none"/>
                <w:lang w:val="zh-CN"/>
              </w:rPr>
              <w:t>业绩</w:t>
            </w:r>
            <w:r>
              <w:rPr>
                <w:rFonts w:hint="eastAsia" w:ascii="宋体" w:hAnsi="宋体" w:eastAsia="宋体" w:cs="宋体"/>
                <w:color w:val="auto"/>
                <w:szCs w:val="21"/>
                <w:highlight w:val="none"/>
              </w:rPr>
              <w:t>证明材料需提供</w:t>
            </w:r>
            <w:r>
              <w:rPr>
                <w:rFonts w:hint="eastAsia" w:ascii="宋体" w:hAnsi="宋体" w:eastAsia="宋体" w:cs="宋体"/>
                <w:color w:val="auto"/>
                <w:szCs w:val="21"/>
                <w:highlight w:val="none"/>
                <w:lang w:val="zh-CN"/>
              </w:rPr>
              <w:t>合同复印件。合同</w:t>
            </w:r>
            <w:r>
              <w:rPr>
                <w:rFonts w:hint="eastAsia" w:ascii="宋体" w:hAnsi="宋体" w:eastAsia="宋体" w:cs="宋体"/>
                <w:color w:val="auto"/>
                <w:szCs w:val="21"/>
                <w:highlight w:val="none"/>
              </w:rPr>
              <w:t>中应体现项目相关评审信息和项目负责人</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合同签订日期、服务内容、污泥处理规模/污泥减量设备操作技术人员数量、合同期限</w:t>
            </w:r>
            <w:r>
              <w:rPr>
                <w:rFonts w:hint="eastAsia" w:ascii="宋体" w:hAnsi="宋体" w:eastAsia="宋体" w:cs="宋体"/>
                <w:color w:val="auto"/>
                <w:szCs w:val="21"/>
                <w:highlight w:val="none"/>
                <w:lang w:val="zh-CN"/>
              </w:rPr>
              <w:t>），否则，需同时提供服务购买方出具的书面补充情况说明文件复印件（</w:t>
            </w:r>
            <w:r>
              <w:rPr>
                <w:rFonts w:hint="eastAsia" w:ascii="宋体" w:hAnsi="宋体" w:eastAsia="宋体" w:cs="宋体"/>
                <w:color w:val="auto"/>
                <w:szCs w:val="21"/>
                <w:highlight w:val="none"/>
              </w:rPr>
              <w:t>需加盖服务购买方公章，即复印件能显示服务购买方公章</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否则不得分</w:t>
            </w:r>
            <w:r>
              <w:rPr>
                <w:rFonts w:hint="eastAsia" w:ascii="宋体" w:hAnsi="宋体" w:eastAsia="宋体" w:cs="宋体"/>
                <w:color w:val="auto"/>
                <w:szCs w:val="21"/>
                <w:highlight w:val="none"/>
                <w:lang w:val="zh-CN"/>
              </w:rPr>
              <w:t>。</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）污泥脱水减量化处理服务单项合同业绩的服务内容须包含污泥脱水减量化处理服务，如单项合同业绩的服务内容为污泥的全流程处理处置，必须</w:t>
            </w:r>
            <w:r>
              <w:rPr>
                <w:rFonts w:hint="eastAsia" w:ascii="宋体" w:hAnsi="宋体" w:eastAsia="宋体" w:cs="宋体"/>
                <w:color w:val="auto"/>
                <w:szCs w:val="21"/>
                <w:highlight w:val="none"/>
                <w:lang w:val="zh-CN" w:eastAsia="zh-CN"/>
              </w:rPr>
              <w:t>包含</w:t>
            </w:r>
            <w:r>
              <w:rPr>
                <w:rFonts w:hint="eastAsia" w:ascii="宋体" w:hAnsi="宋体" w:eastAsia="宋体" w:cs="宋体"/>
                <w:color w:val="auto"/>
                <w:szCs w:val="21"/>
                <w:highlight w:val="none"/>
                <w:lang w:val="zh-CN"/>
              </w:rPr>
              <w:t>污泥</w:t>
            </w:r>
            <w:r>
              <w:rPr>
                <w:rFonts w:hint="eastAsia" w:ascii="宋体" w:hAnsi="宋体" w:eastAsia="宋体" w:cs="宋体"/>
                <w:color w:val="auto"/>
                <w:szCs w:val="21"/>
                <w:highlight w:val="none"/>
                <w:lang w:val="zh-CN" w:eastAsia="zh-CN"/>
              </w:rPr>
              <w:t>脱水</w:t>
            </w:r>
            <w:r>
              <w:rPr>
                <w:rFonts w:hint="eastAsia" w:ascii="宋体" w:hAnsi="宋体" w:eastAsia="宋体" w:cs="宋体"/>
                <w:color w:val="auto"/>
                <w:szCs w:val="21"/>
                <w:highlight w:val="none"/>
                <w:lang w:val="zh-CN"/>
              </w:rPr>
              <w:t>减量化处理</w:t>
            </w:r>
            <w:r>
              <w:rPr>
                <w:rFonts w:hint="eastAsia" w:ascii="宋体" w:hAnsi="宋体" w:eastAsia="宋体" w:cs="宋体"/>
                <w:color w:val="auto"/>
                <w:szCs w:val="21"/>
                <w:highlight w:val="none"/>
                <w:lang w:val="zh-CN" w:eastAsia="zh-CN"/>
              </w:rPr>
              <w:t>的</w:t>
            </w:r>
            <w:r>
              <w:rPr>
                <w:rFonts w:hint="eastAsia" w:ascii="宋体" w:hAnsi="宋体" w:eastAsia="宋体" w:cs="宋体"/>
                <w:color w:val="auto"/>
                <w:szCs w:val="21"/>
                <w:highlight w:val="none"/>
                <w:lang w:val="zh-CN"/>
              </w:rPr>
              <w:t>服务内容，否则不得分。</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污泥脱水减量化处理服务单项合同业绩的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Cs w:val="21"/>
                <w:highlight w:val="none"/>
                <w:lang w:val="zh-CN"/>
              </w:rPr>
              <w:t>。</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）若</w:t>
            </w:r>
            <w:r>
              <w:rPr>
                <w:rFonts w:hint="eastAsia" w:ascii="宋体" w:hAnsi="宋体" w:eastAsia="宋体" w:cs="宋体"/>
                <w:color w:val="auto"/>
                <w:szCs w:val="21"/>
                <w:highlight w:val="none"/>
              </w:rPr>
              <w:t>污泥脱水减量化处理服务</w:t>
            </w:r>
            <w:r>
              <w:rPr>
                <w:rFonts w:hint="eastAsia" w:ascii="宋体" w:hAnsi="宋体" w:eastAsia="宋体" w:cs="宋体"/>
                <w:color w:val="auto"/>
                <w:szCs w:val="21"/>
                <w:highlight w:val="none"/>
                <w:lang w:val="zh-CN"/>
              </w:rPr>
              <w:t>业绩为无明确</w:t>
            </w:r>
            <w:r>
              <w:rPr>
                <w:rFonts w:hint="eastAsia" w:ascii="宋体" w:hAnsi="宋体" w:eastAsia="宋体" w:cs="宋体"/>
                <w:color w:val="auto"/>
                <w:szCs w:val="21"/>
                <w:highlight w:val="none"/>
              </w:rPr>
              <w:t>污泥处理规模</w:t>
            </w:r>
            <w:r>
              <w:rPr>
                <w:rFonts w:hint="eastAsia" w:ascii="宋体" w:hAnsi="宋体" w:eastAsia="宋体" w:cs="宋体"/>
                <w:color w:val="auto"/>
                <w:szCs w:val="21"/>
                <w:highlight w:val="none"/>
                <w:lang w:val="zh-CN"/>
              </w:rPr>
              <w:t>，必须同时提供合同期限内</w:t>
            </w:r>
            <w:r>
              <w:rPr>
                <w:rFonts w:hint="eastAsia" w:ascii="宋体" w:hAnsi="宋体" w:eastAsia="宋体" w:cs="宋体"/>
                <w:color w:val="auto"/>
                <w:szCs w:val="21"/>
                <w:highlight w:val="none"/>
                <w:lang w:val="zh-CN" w:eastAsia="zh-CN"/>
              </w:rPr>
              <w:t>单个月份</w:t>
            </w:r>
            <w:r>
              <w:rPr>
                <w:rFonts w:hint="eastAsia" w:ascii="宋体" w:hAnsi="宋体" w:eastAsia="宋体" w:cs="宋体"/>
                <w:color w:val="auto"/>
                <w:szCs w:val="21"/>
                <w:highlight w:val="none"/>
                <w:lang w:val="zh-CN"/>
              </w:rPr>
              <w:t>已</w:t>
            </w:r>
            <w:r>
              <w:rPr>
                <w:rFonts w:hint="eastAsia" w:ascii="宋体" w:hAnsi="宋体" w:eastAsia="宋体" w:cs="宋体"/>
                <w:color w:val="auto"/>
                <w:szCs w:val="21"/>
                <w:highlight w:val="none"/>
                <w:lang w:val="zh-CN" w:eastAsia="zh-CN"/>
              </w:rPr>
              <w:t>处理</w:t>
            </w:r>
            <w:r>
              <w:rPr>
                <w:rFonts w:hint="eastAsia" w:ascii="宋体" w:hAnsi="宋体" w:eastAsia="宋体" w:cs="宋体"/>
                <w:color w:val="auto"/>
                <w:szCs w:val="21"/>
                <w:highlight w:val="none"/>
                <w:lang w:val="zh-CN"/>
              </w:rPr>
              <w:t>的</w:t>
            </w:r>
            <w:r>
              <w:rPr>
                <w:rFonts w:hint="eastAsia" w:ascii="宋体" w:hAnsi="宋体" w:eastAsia="宋体" w:cs="宋体"/>
                <w:color w:val="auto"/>
                <w:szCs w:val="21"/>
                <w:highlight w:val="none"/>
                <w:lang w:val="zh-CN" w:eastAsia="zh-CN"/>
              </w:rPr>
              <w:t>生活污水处理厂污泥处理量</w:t>
            </w:r>
            <w:r>
              <w:rPr>
                <w:rFonts w:hint="eastAsia" w:ascii="宋体" w:hAnsi="宋体" w:eastAsia="宋体" w:cs="宋体"/>
                <w:color w:val="auto"/>
                <w:szCs w:val="21"/>
                <w:highlight w:val="none"/>
                <w:lang w:val="zh-CN"/>
              </w:rPr>
              <w:t>统计表和</w:t>
            </w:r>
            <w:r>
              <w:rPr>
                <w:rFonts w:hint="eastAsia" w:ascii="宋体" w:hAnsi="宋体" w:eastAsia="宋体" w:cs="宋体"/>
                <w:color w:val="auto"/>
                <w:szCs w:val="21"/>
                <w:highlight w:val="none"/>
                <w:lang w:val="zh-CN" w:eastAsia="zh-CN"/>
              </w:rPr>
              <w:t>污泥转运联单</w:t>
            </w:r>
            <w:r>
              <w:rPr>
                <w:rFonts w:hint="eastAsia" w:ascii="宋体" w:hAnsi="宋体" w:eastAsia="宋体" w:cs="宋体"/>
                <w:color w:val="auto"/>
                <w:szCs w:val="21"/>
                <w:highlight w:val="none"/>
                <w:lang w:val="zh-CN"/>
              </w:rPr>
              <w:t>复印件（</w:t>
            </w:r>
            <w:r>
              <w:rPr>
                <w:rFonts w:hint="eastAsia" w:ascii="宋体" w:hAnsi="宋体" w:eastAsia="宋体" w:cs="宋体"/>
                <w:color w:val="auto"/>
                <w:szCs w:val="21"/>
                <w:highlight w:val="none"/>
                <w:lang w:val="zh-CN" w:eastAsia="zh-CN"/>
              </w:rPr>
              <w:t>无转运联单的，提供服务发票复印件及折算处理量数据或污泥产生单位盖章的证明文件替代</w:t>
            </w:r>
            <w:r>
              <w:rPr>
                <w:rFonts w:hint="eastAsia" w:ascii="宋体" w:hAnsi="宋体" w:eastAsia="宋体" w:cs="宋体"/>
                <w:color w:val="auto"/>
                <w:szCs w:val="21"/>
                <w:highlight w:val="none"/>
                <w:lang w:val="zh-CN"/>
              </w:rPr>
              <w:t>）以证明</w:t>
            </w:r>
            <w:r>
              <w:rPr>
                <w:rFonts w:hint="eastAsia" w:ascii="宋体" w:hAnsi="宋体" w:eastAsia="宋体" w:cs="宋体"/>
                <w:color w:val="auto"/>
                <w:szCs w:val="21"/>
                <w:highlight w:val="none"/>
                <w:lang w:val="zh-CN" w:eastAsia="zh-CN"/>
              </w:rPr>
              <w:t>污泥处理规模，日平均生活污水处理厂污泥处理量按合同期限内单个月份已处理的生活污水处理厂污泥处理量除以单个月份自然天数进行计算，并以此作为污泥处理规模进行评审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color w:val="auto"/>
                <w:szCs w:val="21"/>
                <w:highlight w:val="none"/>
                <w:lang w:val="zh-CN"/>
              </w:rPr>
              <w:t>。</w:t>
            </w:r>
          </w:p>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）若污泥脱水减量化处理服务单项合同业绩中包含多个污泥脱水减量化处理服务项目，评分时污泥处理规模/污泥减量设备操作技术人员数量按单项合同中的各污泥脱水处理服务项目</w:t>
            </w:r>
            <w:r>
              <w:rPr>
                <w:rFonts w:hint="eastAsia" w:ascii="宋体" w:hAnsi="宋体" w:eastAsia="宋体" w:cs="宋体"/>
                <w:color w:val="auto"/>
                <w:szCs w:val="21"/>
                <w:highlight w:val="none"/>
                <w:lang w:val="zh-CN" w:eastAsia="zh-CN"/>
              </w:rPr>
              <w:t>的污泥</w:t>
            </w:r>
            <w:r>
              <w:rPr>
                <w:rFonts w:hint="eastAsia" w:ascii="宋体" w:hAnsi="宋体" w:eastAsia="宋体" w:cs="宋体"/>
                <w:color w:val="auto"/>
                <w:szCs w:val="21"/>
                <w:highlight w:val="none"/>
                <w:lang w:val="zh-CN"/>
              </w:rPr>
              <w:t>处理规模/污泥减量设备操作技术人员数量的累加值计算得分</w:t>
            </w:r>
            <w:r>
              <w:rPr>
                <w:rFonts w:hint="eastAsia" w:ascii="宋体" w:hAnsi="宋体" w:eastAsia="宋体" w:cs="宋体"/>
                <w:color w:val="auto"/>
                <w:szCs w:val="21"/>
                <w:highlight w:val="none"/>
              </w:rPr>
              <w:t>。</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）污泥脱水减量配合服务单项合同业绩的服务内容若为以劳务派遣或劳务外包的方式提供污泥脱水减量化服务人员的，</w:t>
            </w:r>
            <w:r>
              <w:rPr>
                <w:rFonts w:hint="eastAsia" w:ascii="宋体" w:hAnsi="宋体" w:eastAsia="宋体" w:cs="宋体"/>
                <w:color w:val="auto"/>
                <w:szCs w:val="21"/>
                <w:highlight w:val="none"/>
                <w:lang w:val="zh-CN" w:eastAsia="zh-CN"/>
              </w:rPr>
              <w:t>服务内容</w:t>
            </w:r>
            <w:r>
              <w:rPr>
                <w:rFonts w:hint="eastAsia" w:ascii="宋体" w:hAnsi="宋体" w:eastAsia="宋体" w:cs="宋体"/>
                <w:color w:val="auto"/>
                <w:szCs w:val="21"/>
                <w:highlight w:val="none"/>
                <w:lang w:val="zh-CN"/>
              </w:rPr>
              <w:t>必须</w:t>
            </w:r>
            <w:r>
              <w:rPr>
                <w:rFonts w:hint="eastAsia" w:ascii="宋体" w:hAnsi="宋体" w:eastAsia="宋体" w:cs="宋体"/>
                <w:color w:val="auto"/>
                <w:szCs w:val="21"/>
                <w:highlight w:val="none"/>
                <w:lang w:val="zh-CN" w:eastAsia="zh-CN"/>
              </w:rPr>
              <w:t>包含提供从事污泥脱水压滤设备的操作技术人员</w:t>
            </w:r>
            <w:r>
              <w:rPr>
                <w:rFonts w:hint="eastAsia" w:ascii="宋体" w:hAnsi="宋体" w:eastAsia="宋体" w:cs="宋体"/>
                <w:color w:val="auto"/>
                <w:szCs w:val="21"/>
                <w:highlight w:val="none"/>
                <w:lang w:val="zh-CN"/>
              </w:rPr>
              <w:t>，否则不得分</w:t>
            </w:r>
            <w:r>
              <w:rPr>
                <w:rFonts w:hint="eastAsia" w:ascii="宋体" w:hAnsi="宋体" w:eastAsia="宋体" w:cs="宋体"/>
                <w:color w:val="auto"/>
                <w:szCs w:val="21"/>
                <w:highlight w:val="none"/>
              </w:rPr>
              <w:t>。</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单项合同业绩的</w:t>
            </w:r>
            <w:r>
              <w:rPr>
                <w:rFonts w:hint="eastAsia" w:ascii="宋体" w:hAnsi="宋体" w:eastAsia="宋体" w:cs="宋体"/>
                <w:color w:val="auto"/>
                <w:szCs w:val="21"/>
                <w:highlight w:val="none"/>
                <w:lang w:val="zh-CN"/>
              </w:rPr>
              <w:t>合同服务期限</w:t>
            </w:r>
            <w:r>
              <w:rPr>
                <w:rFonts w:hint="eastAsia" w:ascii="宋体" w:hAnsi="宋体" w:eastAsia="宋体" w:cs="宋体"/>
                <w:color w:val="auto"/>
                <w:szCs w:val="21"/>
                <w:highlight w:val="none"/>
                <w:lang w:val="zh-CN" w:eastAsia="zh-CN"/>
              </w:rPr>
              <w:t>要求大于或等于1年，小于1年的业绩合同在评标时不予考虑</w:t>
            </w:r>
            <w:r>
              <w:rPr>
                <w:rFonts w:hint="eastAsia" w:ascii="宋体" w:hAnsi="宋体" w:eastAsia="宋体" w:cs="宋体"/>
                <w:color w:val="auto"/>
                <w:szCs w:val="21"/>
                <w:highlight w:val="none"/>
              </w:rPr>
              <w:t>。</w:t>
            </w:r>
          </w:p>
          <w:p>
            <w:pPr>
              <w:spacing w:line="360" w:lineRule="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未按上述要求提供证明材料的业绩，或所附材料无法证明填报项目属投标人完成的或不符合本项评分要求的业绩，在评标时将不予考虑。</w:t>
            </w:r>
          </w:p>
        </w:tc>
        <w:tc>
          <w:tcPr>
            <w:tcW w:w="926" w:type="dxa"/>
            <w:tcBorders>
              <w:top w:val="single" w:color="auto" w:sz="4" w:space="0"/>
              <w:left w:val="single" w:color="auto" w:sz="4" w:space="0"/>
              <w:right w:val="single" w:color="auto" w:sz="4" w:space="0"/>
            </w:tcBorders>
            <w:vAlign w:val="center"/>
          </w:tcPr>
          <w:p>
            <w:pPr>
              <w:spacing w:line="360" w:lineRule="auto"/>
              <w:jc w:val="center"/>
              <w:outlineLvl w:val="9"/>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0" w:type="dxa"/>
            <w:tcBorders>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335" w:type="dxa"/>
            <w:tcBorders>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应急预案和保障措施</w:t>
            </w:r>
          </w:p>
        </w:tc>
        <w:tc>
          <w:tcPr>
            <w:tcW w:w="7125" w:type="dxa"/>
            <w:tcBorders>
              <w:left w:val="single" w:color="auto" w:sz="4" w:space="0"/>
              <w:bottom w:val="single" w:color="auto" w:sz="4" w:space="0"/>
              <w:right w:val="single" w:color="auto" w:sz="4" w:space="0"/>
            </w:tcBorders>
          </w:tcPr>
          <w:p>
            <w:pPr>
              <w:spacing w:line="360" w:lineRule="auto"/>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rPr>
              <w:t>横向比较各投标人应急预案和保障措施，包括针对劳务纠纷应急预案、工伤事故应急预案（包括但不限于对操作技术人员发生工伤处理的及时性，后续跟进保障措施等）等的应急方案和保障措施切合实际的程度、详细具体的程度及可操作性情况，按优[</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分]、良（</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分]、中（</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-1分]、差（1-0分]进行评审。</w:t>
            </w:r>
          </w:p>
        </w:tc>
        <w:tc>
          <w:tcPr>
            <w:tcW w:w="926" w:type="dxa"/>
            <w:tcBorders>
              <w:left w:val="single" w:color="auto" w:sz="4" w:space="0"/>
              <w:bottom w:val="single" w:color="auto" w:sz="4" w:space="0"/>
              <w:right w:val="single" w:color="auto" w:sz="4" w:space="0"/>
            </w:tcBorders>
            <w:vAlign w:val="center"/>
          </w:tcPr>
          <w:p>
            <w:pPr>
              <w:spacing w:line="360" w:lineRule="auto"/>
              <w:jc w:val="center"/>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分</w:t>
            </w:r>
          </w:p>
        </w:tc>
      </w:tr>
    </w:tbl>
    <w:p>
      <w:pPr>
        <w:autoSpaceDE w:val="0"/>
        <w:autoSpaceDN w:val="0"/>
        <w:adjustRightInd w:val="0"/>
        <w:spacing w:line="360" w:lineRule="auto"/>
        <w:ind w:left="420" w:leftChars="200" w:firstLine="420" w:firstLine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pPr>
        <w:autoSpaceDE w:val="0"/>
        <w:autoSpaceDN w:val="0"/>
        <w:adjustRightInd w:val="0"/>
        <w:spacing w:line="360" w:lineRule="auto"/>
        <w:ind w:left="420" w:leftChars="200" w:firstLine="420" w:firstLine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pPr>
        <w:autoSpaceDE w:val="0"/>
        <w:autoSpaceDN w:val="0"/>
        <w:adjustRightInd w:val="0"/>
        <w:spacing w:line="360" w:lineRule="auto"/>
        <w:ind w:left="420" w:leftChars="200" w:firstLine="420" w:firstLine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pPr>
        <w:autoSpaceDE w:val="0"/>
        <w:autoSpaceDN w:val="0"/>
        <w:adjustRightInd w:val="0"/>
        <w:spacing w:line="360" w:lineRule="auto"/>
        <w:ind w:left="420" w:leftChars="200" w:firstLine="422" w:firstLineChars="200"/>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pPr>
        <w:autoSpaceDE w:val="0"/>
        <w:autoSpaceDN w:val="0"/>
        <w:adjustRightInd w:val="0"/>
        <w:spacing w:line="360" w:lineRule="auto"/>
        <w:ind w:left="420" w:leftChars="200" w:firstLine="422" w:firstLineChars="200"/>
        <w:outlineLvl w:val="9"/>
        <w:rPr>
          <w:rFonts w:ascii="宋体" w:hAnsi="宋体" w:eastAsia="宋体" w:cs="宋体"/>
          <w:color w:val="auto"/>
          <w:kern w:val="0"/>
          <w:szCs w:val="21"/>
          <w:highlight w:val="none"/>
        </w:rPr>
      </w:pPr>
      <w:r>
        <w:rPr>
          <w:rFonts w:hint="eastAsia" w:ascii="宋体" w:hAnsi="宋体" w:eastAsia="宋体" w:cs="宋体"/>
          <w:b/>
          <w:color w:val="auto"/>
          <w:szCs w:val="24"/>
          <w:highlight w:val="none"/>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rPr>
        <w:t>确定该项的评分。</w:t>
      </w:r>
    </w:p>
    <w:p>
      <w:pPr>
        <w:tabs>
          <w:tab w:val="left" w:pos="1701"/>
        </w:tabs>
        <w:autoSpaceDE w:val="0"/>
        <w:autoSpaceDN w:val="0"/>
        <w:adjustRightInd w:val="0"/>
        <w:spacing w:line="360" w:lineRule="auto"/>
        <w:outlineLvl w:val="9"/>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pPr>
        <w:spacing w:line="360" w:lineRule="auto"/>
        <w:ind w:left="480" w:firstLine="211" w:firstLineChars="100"/>
        <w:outlineLvl w:val="9"/>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pPr>
        <w:spacing w:line="360" w:lineRule="auto"/>
        <w:ind w:left="420" w:leftChars="200" w:firstLine="420" w:firstLineChars="200"/>
        <w:outlineLvl w:val="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pPr>
        <w:autoSpaceDE w:val="0"/>
        <w:autoSpaceDN w:val="0"/>
        <w:adjustRightInd w:val="0"/>
        <w:spacing w:line="360" w:lineRule="auto"/>
        <w:ind w:left="420" w:leftChars="200" w:firstLine="420" w:firstLineChars="200"/>
        <w:outlineLvl w:val="9"/>
        <w:rPr>
          <w:rFonts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outlineLvl w:val="9"/>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u w:val="singl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u w:val="single"/>
        </w:rPr>
        <w:t>从</w:t>
      </w:r>
      <w:r>
        <w:rPr>
          <w:rFonts w:hint="eastAsia" w:ascii="宋体" w:hAnsi="宋体" w:eastAsia="宋体" w:cs="宋体"/>
          <w:b/>
          <w:color w:val="auto"/>
          <w:kern w:val="0"/>
          <w:szCs w:val="21"/>
          <w:highlight w:val="none"/>
          <w:u w:val="single"/>
          <w:lang w:val="zh-CN"/>
        </w:rPr>
        <w:t>多数的原则，获多数表决通过的投标人才有资格进入下一阶段的评审,否则将按无效投标处理</w:t>
      </w:r>
      <w:r>
        <w:rPr>
          <w:rFonts w:hint="eastAsia" w:ascii="宋体" w:hAnsi="宋体" w:eastAsia="宋体" w:cs="宋体"/>
          <w:b/>
          <w:color w:val="auto"/>
          <w:kern w:val="0"/>
          <w:szCs w:val="21"/>
          <w:highlight w:val="none"/>
          <w:lang w:val="zh-CN"/>
        </w:rPr>
        <w:t>。</w:t>
      </w:r>
    </w:p>
    <w:p>
      <w:pPr>
        <w:spacing w:line="360" w:lineRule="auto"/>
        <w:ind w:left="420" w:leftChars="200" w:firstLine="420" w:firstLineChars="200"/>
        <w:outlineLvl w:val="9"/>
        <w:rPr>
          <w:rFonts w:ascii="宋体" w:hAnsi="宋体" w:eastAsia="宋体" w:cs="宋体"/>
          <w:color w:val="auto"/>
          <w:kern w:val="0"/>
          <w:szCs w:val="21"/>
          <w:highlight w:val="none"/>
          <w:lang w:val="zh-CN"/>
        </w:rPr>
      </w:pPr>
    </w:p>
    <w:p>
      <w:pPr>
        <w:spacing w:line="360" w:lineRule="auto"/>
        <w:ind w:left="480" w:firstLine="211" w:firstLineChars="100"/>
        <w:outlineLvl w:val="9"/>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0</w:t>
      </w:r>
      <w:r>
        <w:rPr>
          <w:rFonts w:hint="eastAsia" w:ascii="宋体" w:hAnsi="宋体" w:eastAsia="宋体" w:cs="宋体"/>
          <w:b/>
          <w:bCs/>
          <w:color w:val="auto"/>
          <w:kern w:val="0"/>
          <w:szCs w:val="21"/>
          <w:highlight w:val="none"/>
          <w:lang w:val="zh-CN"/>
        </w:rPr>
        <w:t>分</w:t>
      </w:r>
    </w:p>
    <w:p>
      <w:pPr>
        <w:autoSpaceDN w:val="0"/>
        <w:adjustRightInd w:val="0"/>
        <w:snapToGrid w:val="0"/>
        <w:spacing w:line="360" w:lineRule="auto"/>
        <w:ind w:left="420" w:leftChars="100" w:hanging="210" w:hangingChars="10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0分，其他投标人的价格得分统一按照下列公式计算：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0</w:t>
      </w:r>
    </w:p>
    <w:p>
      <w:pPr>
        <w:autoSpaceDN w:val="0"/>
        <w:adjustRightInd w:val="0"/>
        <w:snapToGrid w:val="0"/>
        <w:spacing w:line="360" w:lineRule="auto"/>
        <w:ind w:firstLine="210" w:firstLineChars="10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pPr>
        <w:tabs>
          <w:tab w:val="left" w:pos="585"/>
        </w:tabs>
        <w:autoSpaceDE w:val="0"/>
        <w:autoSpaceDN w:val="0"/>
        <w:adjustRightInd w:val="0"/>
        <w:spacing w:line="400" w:lineRule="exact"/>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pPr>
        <w:spacing w:line="400" w:lineRule="exact"/>
        <w:ind w:firstLine="848" w:firstLineChars="404"/>
        <w:outlineLvl w:val="9"/>
        <w:rPr>
          <w:rFonts w:ascii="宋体" w:hAnsi="宋体" w:eastAsia="宋体" w:cs="宋体"/>
          <w:color w:val="auto"/>
          <w:kern w:val="0"/>
          <w:szCs w:val="28"/>
          <w:highlight w:val="none"/>
          <w:lang w:val="zh-CN"/>
        </w:rPr>
      </w:pPr>
      <w:bookmarkStart w:id="729" w:name="_Toc31624_WPSOffice_Level2"/>
      <w:r>
        <w:rPr>
          <w:rFonts w:hint="eastAsia" w:ascii="宋体" w:hAnsi="宋体" w:eastAsia="宋体" w:cs="宋体"/>
          <w:color w:val="auto"/>
          <w:kern w:val="0"/>
          <w:szCs w:val="28"/>
          <w:highlight w:val="none"/>
          <w:lang w:val="zh-CN"/>
        </w:rPr>
        <w:t>评标总得分=F1＋F2＋……+Fn</w:t>
      </w:r>
      <w:bookmarkEnd w:id="729"/>
    </w:p>
    <w:p>
      <w:pPr>
        <w:widowControl/>
        <w:autoSpaceDE w:val="0"/>
        <w:autoSpaceDN w:val="0"/>
        <w:adjustRightInd w:val="0"/>
        <w:spacing w:line="400" w:lineRule="exact"/>
        <w:ind w:firstLine="840" w:firstLineChars="400"/>
        <w:jc w:val="left"/>
        <w:outlineLvl w:val="9"/>
        <w:rPr>
          <w:rFonts w:ascii="宋体" w:hAnsi="宋体" w:eastAsia="宋体" w:cs="宋体"/>
          <w:color w:val="auto"/>
          <w:kern w:val="0"/>
          <w:szCs w:val="21"/>
          <w:highlight w:val="none"/>
        </w:rPr>
      </w:pPr>
      <w:bookmarkStart w:id="730" w:name="_Toc13236_WPSOffice_Level2"/>
      <w:r>
        <w:rPr>
          <w:rFonts w:hint="eastAsia" w:ascii="宋体" w:hAnsi="宋体" w:eastAsia="宋体" w:cs="宋体"/>
          <w:color w:val="auto"/>
          <w:kern w:val="0"/>
          <w:szCs w:val="21"/>
          <w:highlight w:val="none"/>
        </w:rPr>
        <w:t>F1、F2、……Fn分别为各项评分因素的得分</w:t>
      </w:r>
      <w:bookmarkEnd w:id="730"/>
      <w:r>
        <w:rPr>
          <w:rFonts w:hint="eastAsia" w:ascii="宋体" w:hAnsi="宋体" w:eastAsia="宋体" w:cs="宋体"/>
          <w:color w:val="auto"/>
          <w:kern w:val="0"/>
          <w:szCs w:val="21"/>
          <w:highlight w:val="none"/>
        </w:rPr>
        <w:t>。</w:t>
      </w:r>
    </w:p>
    <w:p>
      <w:pPr>
        <w:autoSpaceDE w:val="0"/>
        <w:autoSpaceDN w:val="0"/>
        <w:adjustRightInd w:val="0"/>
        <w:spacing w:line="360" w:lineRule="auto"/>
        <w:ind w:left="564" w:leftChars="1" w:hanging="562" w:hangingChars="200"/>
        <w:outlineLvl w:val="9"/>
        <w:rPr>
          <w:rFonts w:ascii="宋体" w:hAnsi="宋体" w:eastAsia="宋体" w:cs="宋体"/>
          <w:b/>
          <w:bCs/>
          <w:color w:val="auto"/>
          <w:sz w:val="28"/>
          <w:szCs w:val="28"/>
          <w:highlight w:val="none"/>
        </w:rPr>
      </w:pPr>
    </w:p>
    <w:p>
      <w:pPr>
        <w:autoSpaceDE w:val="0"/>
        <w:autoSpaceDN w:val="0"/>
        <w:adjustRightInd w:val="0"/>
        <w:spacing w:line="360" w:lineRule="auto"/>
        <w:jc w:val="center"/>
        <w:outlineLvl w:val="9"/>
        <w:rPr>
          <w:rFonts w:ascii="宋体" w:hAnsi="宋体" w:eastAsia="宋体" w:cs="宋体"/>
          <w:b/>
          <w:bCs/>
          <w:color w:val="auto"/>
          <w:sz w:val="28"/>
          <w:szCs w:val="28"/>
          <w:highlight w:val="none"/>
        </w:rPr>
      </w:pPr>
      <w:bookmarkStart w:id="731" w:name="_Toc518_WPSOffice_Level1"/>
      <w:r>
        <w:rPr>
          <w:rFonts w:hint="eastAsia" w:ascii="宋体" w:hAnsi="宋体" w:eastAsia="宋体" w:cs="宋体"/>
          <w:b/>
          <w:bCs/>
          <w:color w:val="auto"/>
          <w:sz w:val="28"/>
          <w:szCs w:val="28"/>
          <w:highlight w:val="none"/>
          <w:lang w:val="zh-CN"/>
        </w:rPr>
        <w:t>五、推荐中标人</w:t>
      </w:r>
      <w:bookmarkEnd w:id="731"/>
    </w:p>
    <w:p>
      <w:pPr>
        <w:autoSpaceDE w:val="0"/>
        <w:autoSpaceDN w:val="0"/>
        <w:adjustRightInd w:val="0"/>
        <w:spacing w:line="360" w:lineRule="auto"/>
        <w:ind w:left="420" w:hanging="420" w:hangingChars="2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pPr>
        <w:spacing w:line="360" w:lineRule="auto"/>
        <w:ind w:left="420" w:leftChars="200" w:firstLine="420" w:firstLineChars="200"/>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本项目依次从A</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到B</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的顺序进行评审，若投标人已在A</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的评审中被推荐为第一中标候选人，则在B</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的评审时，该投标人不可被推荐为B</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的中标候选人，若该投标人在B</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中的综合评分最高，则B</w:t>
      </w:r>
      <w:r>
        <w:rPr>
          <w:rFonts w:hint="eastAsia" w:ascii="宋体" w:hAnsi="宋体" w:eastAsia="宋体" w:cs="宋体"/>
          <w:color w:val="auto"/>
          <w:kern w:val="0"/>
          <w:szCs w:val="21"/>
          <w:highlight w:val="none"/>
          <w:lang w:eastAsia="zh-CN"/>
        </w:rPr>
        <w:t>包组</w:t>
      </w:r>
      <w:r>
        <w:rPr>
          <w:rFonts w:hint="eastAsia" w:ascii="宋体" w:hAnsi="宋体" w:eastAsia="宋体" w:cs="宋体"/>
          <w:color w:val="auto"/>
          <w:kern w:val="0"/>
          <w:szCs w:val="21"/>
          <w:highlight w:val="none"/>
        </w:rPr>
        <w:t>的第一中标候选人由得分第二高的投标人替代，以此类推。</w:t>
      </w:r>
    </w:p>
    <w:p>
      <w:pPr>
        <w:autoSpaceDE w:val="0"/>
        <w:autoSpaceDN w:val="0"/>
        <w:adjustRightInd w:val="0"/>
        <w:spacing w:line="360" w:lineRule="auto"/>
        <w:ind w:left="420" w:leftChars="200" w:firstLine="420" w:firstLineChars="200"/>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outlineLvl w:val="9"/>
        <w:rPr>
          <w:rFonts w:ascii="宋体" w:hAnsi="宋体" w:eastAsia="宋体" w:cs="宋体"/>
          <w:color w:val="auto"/>
          <w:kern w:val="0"/>
          <w:szCs w:val="21"/>
          <w:highlight w:val="none"/>
        </w:rPr>
      </w:pPr>
    </w:p>
    <w:p>
      <w:pPr>
        <w:autoSpaceDE w:val="0"/>
        <w:autoSpaceDN w:val="0"/>
        <w:adjustRightInd w:val="0"/>
        <w:spacing w:line="360" w:lineRule="auto"/>
        <w:ind w:left="185" w:leftChars="88" w:firstLine="3443" w:firstLineChars="1225"/>
        <w:outlineLvl w:val="9"/>
        <w:rPr>
          <w:rFonts w:ascii="宋体" w:hAnsi="宋体" w:eastAsia="宋体" w:cs="宋体"/>
          <w:b/>
          <w:bCs/>
          <w:color w:val="auto"/>
          <w:sz w:val="28"/>
          <w:szCs w:val="28"/>
          <w:highlight w:val="none"/>
          <w:lang w:val="zh-CN"/>
        </w:rPr>
      </w:pPr>
      <w:bookmarkStart w:id="732" w:name="_Toc22724_WPSOffice_Level1"/>
      <w:r>
        <w:rPr>
          <w:rFonts w:hint="eastAsia" w:ascii="宋体" w:hAnsi="宋体" w:eastAsia="宋体" w:cs="宋体"/>
          <w:b/>
          <w:bCs/>
          <w:color w:val="auto"/>
          <w:sz w:val="28"/>
          <w:szCs w:val="28"/>
          <w:highlight w:val="none"/>
          <w:lang w:val="zh-CN"/>
        </w:rPr>
        <w:t>六、编写评标报告</w:t>
      </w:r>
      <w:bookmarkEnd w:id="732"/>
    </w:p>
    <w:p>
      <w:pPr>
        <w:autoSpaceDE w:val="0"/>
        <w:autoSpaceDN w:val="0"/>
        <w:adjustRightInd w:val="0"/>
        <w:spacing w:line="360" w:lineRule="auto"/>
        <w:ind w:left="420" w:hanging="420" w:hangingChars="200"/>
        <w:jc w:val="left"/>
        <w:outlineLvl w:val="9"/>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pPr>
        <w:autoSpaceDE w:val="0"/>
        <w:autoSpaceDN w:val="0"/>
        <w:adjustRightInd w:val="0"/>
        <w:spacing w:line="360" w:lineRule="auto"/>
        <w:jc w:val="left"/>
        <w:outlineLvl w:val="9"/>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pPr>
        <w:autoSpaceDE w:val="0"/>
        <w:autoSpaceDN w:val="0"/>
        <w:adjustRightInd w:val="0"/>
        <w:spacing w:line="360" w:lineRule="auto"/>
        <w:jc w:val="left"/>
        <w:outlineLvl w:val="9"/>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pPr>
        <w:autoSpaceDE w:val="0"/>
        <w:autoSpaceDN w:val="0"/>
        <w:adjustRightInd w:val="0"/>
        <w:spacing w:line="360" w:lineRule="auto"/>
        <w:jc w:val="center"/>
        <w:outlineLvl w:val="9"/>
        <w:rPr>
          <w:rFonts w:ascii="宋体" w:hAnsi="宋体" w:eastAsia="宋体" w:cs="宋体"/>
          <w:b/>
          <w:bCs/>
          <w:color w:val="auto"/>
          <w:sz w:val="28"/>
          <w:szCs w:val="28"/>
          <w:highlight w:val="none"/>
          <w:lang w:val="zh-CN"/>
        </w:rPr>
      </w:pPr>
    </w:p>
    <w:p>
      <w:pPr>
        <w:autoSpaceDE w:val="0"/>
        <w:autoSpaceDN w:val="0"/>
        <w:adjustRightInd w:val="0"/>
        <w:spacing w:line="360" w:lineRule="auto"/>
        <w:jc w:val="center"/>
        <w:outlineLvl w:val="9"/>
        <w:rPr>
          <w:rFonts w:ascii="宋体" w:hAnsi="宋体" w:eastAsia="宋体" w:cs="宋体"/>
          <w:b/>
          <w:bCs/>
          <w:color w:val="auto"/>
          <w:sz w:val="30"/>
          <w:szCs w:val="30"/>
          <w:highlight w:val="none"/>
          <w:lang w:val="zh-CN"/>
        </w:rPr>
      </w:pPr>
      <w:bookmarkStart w:id="733" w:name="_Toc23773_WPSOffice_Level1"/>
      <w:r>
        <w:rPr>
          <w:rFonts w:hint="eastAsia" w:ascii="宋体" w:hAnsi="宋体" w:eastAsia="宋体" w:cs="宋体"/>
          <w:b/>
          <w:bCs/>
          <w:color w:val="auto"/>
          <w:sz w:val="28"/>
          <w:szCs w:val="28"/>
          <w:highlight w:val="none"/>
          <w:lang w:val="zh-CN"/>
        </w:rPr>
        <w:t>七、注意事项</w:t>
      </w:r>
      <w:bookmarkEnd w:id="733"/>
    </w:p>
    <w:p>
      <w:pPr>
        <w:autoSpaceDE w:val="0"/>
        <w:autoSpaceDN w:val="0"/>
        <w:adjustRightInd w:val="0"/>
        <w:spacing w:line="360" w:lineRule="auto"/>
        <w:ind w:left="420" w:hanging="420" w:hangingChars="200"/>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pPr>
        <w:autoSpaceDE w:val="0"/>
        <w:autoSpaceDN w:val="0"/>
        <w:adjustRightInd w:val="0"/>
        <w:spacing w:line="360" w:lineRule="auto"/>
        <w:ind w:left="436" w:leftChars="-59" w:hanging="560" w:hangingChars="2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autoSpaceDE w:val="0"/>
        <w:autoSpaceDN w:val="0"/>
        <w:adjustRightInd w:val="0"/>
        <w:spacing w:line="360" w:lineRule="auto"/>
        <w:ind w:left="436" w:leftChars="-59" w:hanging="560" w:hangingChars="267"/>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p>
    <w:bookmarkEnd w:id="699"/>
    <w:bookmarkEnd w:id="710"/>
    <w:bookmarkEnd w:id="711"/>
    <w:bookmarkEnd w:id="712"/>
    <w:p>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B810"/>
    <w:multiLevelType w:val="singleLevel"/>
    <w:tmpl w:val="EEFEB810"/>
    <w:lvl w:ilvl="0" w:tentative="0">
      <w:start w:val="1"/>
      <w:numFmt w:val="decimal"/>
      <w:suff w:val="nothing"/>
      <w:lvlText w:val="（%1）"/>
      <w:lvlJc w:val="left"/>
    </w:lvl>
  </w:abstractNum>
  <w:abstractNum w:abstractNumId="1">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9288AD"/>
    <w:multiLevelType w:val="singleLevel"/>
    <w:tmpl w:val="669288AD"/>
    <w:lvl w:ilvl="0" w:tentative="0">
      <w:start w:val="2"/>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3MDlmZjc5NjhlNzcxODhhNDYyMDVhNmE1MTU0NzgifQ=="/>
    <w:docVar w:name="KSO_WPS_MARK_KEY" w:val="bde0006f-4c80-4252-a758-721027b49af3"/>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2EAC"/>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C497A"/>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06F6"/>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090"/>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3BBE"/>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A6459"/>
    <w:rsid w:val="009B55D4"/>
    <w:rsid w:val="009B787A"/>
    <w:rsid w:val="009B7A49"/>
    <w:rsid w:val="009B7AD9"/>
    <w:rsid w:val="009C387D"/>
    <w:rsid w:val="009C571F"/>
    <w:rsid w:val="009D0461"/>
    <w:rsid w:val="009D4188"/>
    <w:rsid w:val="009D4EFC"/>
    <w:rsid w:val="009D551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27B"/>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18E1"/>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20C3A18"/>
    <w:rsid w:val="02152118"/>
    <w:rsid w:val="033D34A2"/>
    <w:rsid w:val="036C4134"/>
    <w:rsid w:val="058F7720"/>
    <w:rsid w:val="05A67824"/>
    <w:rsid w:val="065832E7"/>
    <w:rsid w:val="06A75D00"/>
    <w:rsid w:val="077B7C99"/>
    <w:rsid w:val="07B315DF"/>
    <w:rsid w:val="0807632F"/>
    <w:rsid w:val="088E0975"/>
    <w:rsid w:val="09444B24"/>
    <w:rsid w:val="0A357B3E"/>
    <w:rsid w:val="0AAA23FB"/>
    <w:rsid w:val="0B1C39CD"/>
    <w:rsid w:val="0BB93795"/>
    <w:rsid w:val="0C2061D7"/>
    <w:rsid w:val="0CD467D7"/>
    <w:rsid w:val="0CF3438C"/>
    <w:rsid w:val="0D8F0A9E"/>
    <w:rsid w:val="0E4B0190"/>
    <w:rsid w:val="0E5B7FB2"/>
    <w:rsid w:val="0E745916"/>
    <w:rsid w:val="0ED23591"/>
    <w:rsid w:val="0F241091"/>
    <w:rsid w:val="10306ECF"/>
    <w:rsid w:val="10BC03C7"/>
    <w:rsid w:val="1225508E"/>
    <w:rsid w:val="12351543"/>
    <w:rsid w:val="12AA6145"/>
    <w:rsid w:val="12B702A8"/>
    <w:rsid w:val="12D80AC7"/>
    <w:rsid w:val="12E000DA"/>
    <w:rsid w:val="130C2049"/>
    <w:rsid w:val="130F4A87"/>
    <w:rsid w:val="14237C67"/>
    <w:rsid w:val="15A13C38"/>
    <w:rsid w:val="15AA1D01"/>
    <w:rsid w:val="15CF2CE6"/>
    <w:rsid w:val="16B60189"/>
    <w:rsid w:val="16BD4519"/>
    <w:rsid w:val="171C7676"/>
    <w:rsid w:val="182A2AA1"/>
    <w:rsid w:val="18713EA8"/>
    <w:rsid w:val="187526FE"/>
    <w:rsid w:val="18A961DF"/>
    <w:rsid w:val="192844DB"/>
    <w:rsid w:val="1A064E87"/>
    <w:rsid w:val="1A2E0437"/>
    <w:rsid w:val="1A340B0C"/>
    <w:rsid w:val="1A5E1FF9"/>
    <w:rsid w:val="1B0940FF"/>
    <w:rsid w:val="1BF14E41"/>
    <w:rsid w:val="1C93342E"/>
    <w:rsid w:val="1CAD1CD2"/>
    <w:rsid w:val="1D11307B"/>
    <w:rsid w:val="1D596764"/>
    <w:rsid w:val="1D75123E"/>
    <w:rsid w:val="1DA421C0"/>
    <w:rsid w:val="1DFC18B3"/>
    <w:rsid w:val="1EAD3534"/>
    <w:rsid w:val="1EB4196B"/>
    <w:rsid w:val="1F6253C8"/>
    <w:rsid w:val="1F967B6E"/>
    <w:rsid w:val="1F9E6530"/>
    <w:rsid w:val="207A1985"/>
    <w:rsid w:val="215E3CEA"/>
    <w:rsid w:val="223F767A"/>
    <w:rsid w:val="2253637F"/>
    <w:rsid w:val="226320C0"/>
    <w:rsid w:val="22C62CF4"/>
    <w:rsid w:val="23085236"/>
    <w:rsid w:val="23233E0B"/>
    <w:rsid w:val="23A06120"/>
    <w:rsid w:val="24035FEA"/>
    <w:rsid w:val="247E276B"/>
    <w:rsid w:val="24CB42A9"/>
    <w:rsid w:val="25152F9B"/>
    <w:rsid w:val="2558427C"/>
    <w:rsid w:val="2615168E"/>
    <w:rsid w:val="26307409"/>
    <w:rsid w:val="26886B70"/>
    <w:rsid w:val="270940BB"/>
    <w:rsid w:val="27214E58"/>
    <w:rsid w:val="28651075"/>
    <w:rsid w:val="286E02B3"/>
    <w:rsid w:val="28AC24C6"/>
    <w:rsid w:val="28CD7B64"/>
    <w:rsid w:val="28DA73F5"/>
    <w:rsid w:val="29592C18"/>
    <w:rsid w:val="297700F0"/>
    <w:rsid w:val="29AE6B2F"/>
    <w:rsid w:val="29D7238A"/>
    <w:rsid w:val="2A9E4307"/>
    <w:rsid w:val="2AF472B7"/>
    <w:rsid w:val="2B315212"/>
    <w:rsid w:val="2CE16CCA"/>
    <w:rsid w:val="2CFC2BFE"/>
    <w:rsid w:val="2DBF5026"/>
    <w:rsid w:val="2ED67817"/>
    <w:rsid w:val="301F42F9"/>
    <w:rsid w:val="3052293E"/>
    <w:rsid w:val="314D028A"/>
    <w:rsid w:val="32EA760B"/>
    <w:rsid w:val="33E36194"/>
    <w:rsid w:val="34014CC9"/>
    <w:rsid w:val="35045EC0"/>
    <w:rsid w:val="355530AA"/>
    <w:rsid w:val="36290C82"/>
    <w:rsid w:val="364631D7"/>
    <w:rsid w:val="368928C2"/>
    <w:rsid w:val="37850378"/>
    <w:rsid w:val="37DA30C1"/>
    <w:rsid w:val="37E853C9"/>
    <w:rsid w:val="38D1139F"/>
    <w:rsid w:val="38F00B77"/>
    <w:rsid w:val="3916395F"/>
    <w:rsid w:val="3A0F7851"/>
    <w:rsid w:val="3A3C43D8"/>
    <w:rsid w:val="3A761B2D"/>
    <w:rsid w:val="3B1F29B6"/>
    <w:rsid w:val="3B6C005D"/>
    <w:rsid w:val="3B997AE8"/>
    <w:rsid w:val="3C3869B8"/>
    <w:rsid w:val="3C3F4E7C"/>
    <w:rsid w:val="3C5721DA"/>
    <w:rsid w:val="3DA51BE7"/>
    <w:rsid w:val="3DB02A66"/>
    <w:rsid w:val="3E035163"/>
    <w:rsid w:val="3E5B7E36"/>
    <w:rsid w:val="3E963590"/>
    <w:rsid w:val="3EE74378"/>
    <w:rsid w:val="3F5B255F"/>
    <w:rsid w:val="3F99017E"/>
    <w:rsid w:val="40780522"/>
    <w:rsid w:val="40A755BC"/>
    <w:rsid w:val="40DC5A18"/>
    <w:rsid w:val="411E5D03"/>
    <w:rsid w:val="42115BEF"/>
    <w:rsid w:val="430A0889"/>
    <w:rsid w:val="430A3637"/>
    <w:rsid w:val="43B50E83"/>
    <w:rsid w:val="44227F1C"/>
    <w:rsid w:val="442556F7"/>
    <w:rsid w:val="443D457C"/>
    <w:rsid w:val="44D20CE5"/>
    <w:rsid w:val="452D092B"/>
    <w:rsid w:val="4627448B"/>
    <w:rsid w:val="477F0EFA"/>
    <w:rsid w:val="48403686"/>
    <w:rsid w:val="48E07060"/>
    <w:rsid w:val="4962771D"/>
    <w:rsid w:val="49647CD4"/>
    <w:rsid w:val="49856524"/>
    <w:rsid w:val="49A11F60"/>
    <w:rsid w:val="49FC225B"/>
    <w:rsid w:val="4AB63EA1"/>
    <w:rsid w:val="4B10025B"/>
    <w:rsid w:val="4B5C6279"/>
    <w:rsid w:val="4BC8467F"/>
    <w:rsid w:val="4C123AC0"/>
    <w:rsid w:val="4C594FBF"/>
    <w:rsid w:val="4C934460"/>
    <w:rsid w:val="4CFE53E3"/>
    <w:rsid w:val="4D60779A"/>
    <w:rsid w:val="4D6E513D"/>
    <w:rsid w:val="4DBC59A0"/>
    <w:rsid w:val="4F0A4599"/>
    <w:rsid w:val="4FE63648"/>
    <w:rsid w:val="50C63796"/>
    <w:rsid w:val="517033E1"/>
    <w:rsid w:val="51BA6CFE"/>
    <w:rsid w:val="52C34F1A"/>
    <w:rsid w:val="52DC5818"/>
    <w:rsid w:val="52F91536"/>
    <w:rsid w:val="542D2863"/>
    <w:rsid w:val="54B631E7"/>
    <w:rsid w:val="54F06565"/>
    <w:rsid w:val="551D6334"/>
    <w:rsid w:val="55610963"/>
    <w:rsid w:val="56854D8F"/>
    <w:rsid w:val="56B37004"/>
    <w:rsid w:val="57A23F42"/>
    <w:rsid w:val="57AE65D4"/>
    <w:rsid w:val="59633BAD"/>
    <w:rsid w:val="59FB128F"/>
    <w:rsid w:val="5A227646"/>
    <w:rsid w:val="5AC60A90"/>
    <w:rsid w:val="5B77791D"/>
    <w:rsid w:val="5BE12FA3"/>
    <w:rsid w:val="5C4D6613"/>
    <w:rsid w:val="5C6F7AEE"/>
    <w:rsid w:val="5CC13305"/>
    <w:rsid w:val="5D770E20"/>
    <w:rsid w:val="5D866B8D"/>
    <w:rsid w:val="5D8866EC"/>
    <w:rsid w:val="5E035598"/>
    <w:rsid w:val="5E15335E"/>
    <w:rsid w:val="5E80507D"/>
    <w:rsid w:val="5EBF421E"/>
    <w:rsid w:val="60E12734"/>
    <w:rsid w:val="61407419"/>
    <w:rsid w:val="616D3DDE"/>
    <w:rsid w:val="62367D31"/>
    <w:rsid w:val="62AC327C"/>
    <w:rsid w:val="62B13874"/>
    <w:rsid w:val="63297364"/>
    <w:rsid w:val="63672753"/>
    <w:rsid w:val="6394627D"/>
    <w:rsid w:val="63CB0C40"/>
    <w:rsid w:val="64C17A11"/>
    <w:rsid w:val="65267C6F"/>
    <w:rsid w:val="659C11B3"/>
    <w:rsid w:val="65E62E7A"/>
    <w:rsid w:val="662C4D2F"/>
    <w:rsid w:val="66453616"/>
    <w:rsid w:val="667F1176"/>
    <w:rsid w:val="66A066C3"/>
    <w:rsid w:val="66A243BB"/>
    <w:rsid w:val="66EB31E7"/>
    <w:rsid w:val="66EC7F6C"/>
    <w:rsid w:val="674C3ED2"/>
    <w:rsid w:val="67BB5990"/>
    <w:rsid w:val="67C13389"/>
    <w:rsid w:val="67D945F1"/>
    <w:rsid w:val="68AC2E48"/>
    <w:rsid w:val="68CA6861"/>
    <w:rsid w:val="693D57B5"/>
    <w:rsid w:val="695622C3"/>
    <w:rsid w:val="69A360F4"/>
    <w:rsid w:val="69C30412"/>
    <w:rsid w:val="69F452BC"/>
    <w:rsid w:val="6AAD178D"/>
    <w:rsid w:val="6AB73874"/>
    <w:rsid w:val="6BB20736"/>
    <w:rsid w:val="6BD25147"/>
    <w:rsid w:val="6BE866B8"/>
    <w:rsid w:val="6C986D19"/>
    <w:rsid w:val="6CC649E7"/>
    <w:rsid w:val="6DDA5CDD"/>
    <w:rsid w:val="6DF037C9"/>
    <w:rsid w:val="6E577DE3"/>
    <w:rsid w:val="6F0312AE"/>
    <w:rsid w:val="6F5F71DE"/>
    <w:rsid w:val="70593B23"/>
    <w:rsid w:val="70674025"/>
    <w:rsid w:val="70D5679F"/>
    <w:rsid w:val="71444336"/>
    <w:rsid w:val="718224E5"/>
    <w:rsid w:val="71E562FC"/>
    <w:rsid w:val="720E78A3"/>
    <w:rsid w:val="73EB3D1F"/>
    <w:rsid w:val="747F6561"/>
    <w:rsid w:val="74A67005"/>
    <w:rsid w:val="751D3132"/>
    <w:rsid w:val="75745D3F"/>
    <w:rsid w:val="76C62D39"/>
    <w:rsid w:val="76EF533B"/>
    <w:rsid w:val="771A6A3C"/>
    <w:rsid w:val="77281627"/>
    <w:rsid w:val="77FD5598"/>
    <w:rsid w:val="790D22C6"/>
    <w:rsid w:val="7A037DB2"/>
    <w:rsid w:val="7A98624C"/>
    <w:rsid w:val="7AA91E00"/>
    <w:rsid w:val="7B530753"/>
    <w:rsid w:val="7BA75B09"/>
    <w:rsid w:val="7D630A43"/>
    <w:rsid w:val="7D6457E7"/>
    <w:rsid w:val="7DCA6D44"/>
    <w:rsid w:val="7E8B4E88"/>
    <w:rsid w:val="7F24526C"/>
    <w:rsid w:val="7F9135F0"/>
    <w:rsid w:val="7FAD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0"/>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8"/>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4"/>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0"/>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2"/>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2"/>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3"/>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4"/>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5"/>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宋体 行距: 1.5 倍行距"/>
    <w:basedOn w:val="1"/>
    <w:autoRedefine/>
    <w:qFormat/>
    <w:uiPriority w:val="0"/>
    <w:pPr>
      <w:jc w:val="center"/>
    </w:pPr>
    <w:rPr>
      <w:rFonts w:ascii="Times New Roman"/>
      <w:b/>
    </w:rPr>
  </w:style>
  <w:style w:type="paragraph" w:customStyle="1" w:styleId="9">
    <w:name w:val="模板正文"/>
    <w:basedOn w:val="1"/>
    <w:link w:val="94"/>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3"/>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6"/>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3"/>
    <w:autoRedefine/>
    <w:unhideWhenUsed/>
    <w:qFormat/>
    <w:uiPriority w:val="99"/>
    <w:pPr>
      <w:jc w:val="left"/>
    </w:pPr>
  </w:style>
  <w:style w:type="paragraph" w:styleId="18">
    <w:name w:val="Body Text 3"/>
    <w:basedOn w:val="1"/>
    <w:link w:val="156"/>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18"/>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First Indent"/>
    <w:basedOn w:val="19"/>
    <w:link w:val="201"/>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1">
    <w:name w:val="Body Text Indent"/>
    <w:basedOn w:val="1"/>
    <w:next w:val="19"/>
    <w:link w:val="92"/>
    <w:autoRedefine/>
    <w:qFormat/>
    <w:uiPriority w:val="0"/>
    <w:pPr>
      <w:ind w:left="567" w:leftChars="270"/>
    </w:pPr>
    <w:rPr>
      <w:rFonts w:ascii="Times New Roman" w:hAnsi="Times New Roman" w:eastAsia="宋体" w:cs="Times New Roman"/>
      <w:szCs w:val="20"/>
    </w:rPr>
  </w:style>
  <w:style w:type="paragraph" w:styleId="22">
    <w:name w:val="toc 3"/>
    <w:basedOn w:val="1"/>
    <w:next w:val="1"/>
    <w:autoRedefine/>
    <w:unhideWhenUsed/>
    <w:qFormat/>
    <w:uiPriority w:val="39"/>
    <w:pPr>
      <w:tabs>
        <w:tab w:val="right" w:leader="dot" w:pos="10144"/>
      </w:tabs>
      <w:ind w:left="840" w:leftChars="400"/>
    </w:pPr>
  </w:style>
  <w:style w:type="paragraph" w:styleId="23">
    <w:name w:val="Plain Text"/>
    <w:basedOn w:val="1"/>
    <w:link w:val="100"/>
    <w:autoRedefine/>
    <w:qFormat/>
    <w:uiPriority w:val="0"/>
    <w:rPr>
      <w:rFonts w:ascii="宋体" w:hAnsi="Courier New" w:eastAsia="宋体"/>
    </w:rPr>
  </w:style>
  <w:style w:type="paragraph" w:styleId="24">
    <w:name w:val="Date"/>
    <w:basedOn w:val="1"/>
    <w:next w:val="1"/>
    <w:link w:val="108"/>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5">
    <w:name w:val="Body Text Indent 2"/>
    <w:basedOn w:val="1"/>
    <w:link w:val="101"/>
    <w:autoRedefine/>
    <w:qFormat/>
    <w:uiPriority w:val="0"/>
    <w:pPr>
      <w:tabs>
        <w:tab w:val="left" w:pos="8640"/>
      </w:tabs>
      <w:ind w:left="1260"/>
    </w:pPr>
    <w:rPr>
      <w:rFonts w:ascii="宋体" w:hAnsi="Times New Roman" w:eastAsia="宋体" w:cs="Times New Roman"/>
      <w:szCs w:val="20"/>
    </w:rPr>
  </w:style>
  <w:style w:type="paragraph" w:styleId="26">
    <w:name w:val="Balloon Text"/>
    <w:basedOn w:val="1"/>
    <w:link w:val="74"/>
    <w:autoRedefine/>
    <w:qFormat/>
    <w:uiPriority w:val="0"/>
    <w:rPr>
      <w:rFonts w:ascii="Times New Roman" w:hAnsi="Times New Roman" w:eastAsia="宋体" w:cs="Times New Roman"/>
      <w:sz w:val="18"/>
      <w:szCs w:val="18"/>
    </w:rPr>
  </w:style>
  <w:style w:type="paragraph" w:styleId="27">
    <w:name w:val="footer"/>
    <w:basedOn w:val="1"/>
    <w:link w:val="78"/>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8">
    <w:name w:val="header"/>
    <w:basedOn w:val="1"/>
    <w:link w:val="120"/>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9">
    <w:name w:val="toc 1"/>
    <w:basedOn w:val="1"/>
    <w:next w:val="1"/>
    <w:autoRedefine/>
    <w:unhideWhenUsed/>
    <w:qFormat/>
    <w:uiPriority w:val="39"/>
  </w:style>
  <w:style w:type="paragraph" w:styleId="30">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1">
    <w:name w:val="Body Text Indent 3"/>
    <w:basedOn w:val="1"/>
    <w:link w:val="154"/>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2">
    <w:name w:val="toc 2"/>
    <w:basedOn w:val="1"/>
    <w:next w:val="1"/>
    <w:autoRedefine/>
    <w:semiHidden/>
    <w:unhideWhenUsed/>
    <w:qFormat/>
    <w:uiPriority w:val="39"/>
    <w:pPr>
      <w:ind w:left="420" w:leftChars="200"/>
    </w:pPr>
  </w:style>
  <w:style w:type="paragraph" w:styleId="33">
    <w:name w:val="Body Text 2"/>
    <w:basedOn w:val="1"/>
    <w:link w:val="143"/>
    <w:autoRedefine/>
    <w:qFormat/>
    <w:uiPriority w:val="0"/>
    <w:pPr>
      <w:tabs>
        <w:tab w:val="left" w:pos="0"/>
      </w:tabs>
      <w:spacing w:line="400" w:lineRule="atLeast"/>
    </w:pPr>
    <w:rPr>
      <w:rFonts w:ascii="Arial" w:hAnsi="Arial" w:eastAsia="宋体" w:cs="Times New Roman"/>
      <w:color w:val="000000"/>
      <w:szCs w:val="24"/>
    </w:rPr>
  </w:style>
  <w:style w:type="paragraph" w:styleId="34">
    <w:name w:val="HTML Preformatted"/>
    <w:basedOn w:val="1"/>
    <w:link w:val="8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5">
    <w:name w:val="Normal (Web)"/>
    <w:basedOn w:val="1"/>
    <w:link w:val="93"/>
    <w:autoRedefine/>
    <w:qFormat/>
    <w:uiPriority w:val="0"/>
    <w:pPr>
      <w:widowControl/>
      <w:spacing w:before="100" w:beforeAutospacing="1" w:after="100" w:afterAutospacing="1"/>
      <w:jc w:val="left"/>
    </w:pPr>
    <w:rPr>
      <w:rFonts w:ascii="宋体" w:hAnsi="宋体"/>
      <w:sz w:val="15"/>
      <w:szCs w:val="15"/>
    </w:rPr>
  </w:style>
  <w:style w:type="paragraph" w:styleId="36">
    <w:name w:val="Title"/>
    <w:basedOn w:val="1"/>
    <w:next w:val="1"/>
    <w:link w:val="58"/>
    <w:autoRedefine/>
    <w:qFormat/>
    <w:uiPriority w:val="10"/>
    <w:pPr>
      <w:spacing w:before="120" w:after="60" w:line="300" w:lineRule="auto"/>
      <w:jc w:val="left"/>
      <w:outlineLvl w:val="0"/>
    </w:pPr>
    <w:rPr>
      <w:rFonts w:ascii="等线 Light" w:hAnsi="等线 Light" w:eastAsia="仿宋"/>
      <w:b/>
      <w:bCs/>
      <w:sz w:val="28"/>
      <w:szCs w:val="32"/>
    </w:rPr>
  </w:style>
  <w:style w:type="paragraph" w:styleId="37">
    <w:name w:val="annotation subject"/>
    <w:basedOn w:val="17"/>
    <w:next w:val="17"/>
    <w:link w:val="110"/>
    <w:autoRedefine/>
    <w:qFormat/>
    <w:uiPriority w:val="99"/>
    <w:pPr>
      <w:autoSpaceDE w:val="0"/>
      <w:autoSpaceDN w:val="0"/>
      <w:adjustRightInd w:val="0"/>
    </w:pPr>
    <w:rPr>
      <w:rFonts w:ascii="宋体" w:hAnsi="Times New Roman" w:eastAsia="宋体" w:cs="Times New Roman"/>
      <w:b/>
      <w:bCs/>
      <w:kern w:val="0"/>
      <w:sz w:val="24"/>
      <w:szCs w:val="24"/>
    </w:rPr>
  </w:style>
  <w:style w:type="table" w:styleId="39">
    <w:name w:val="Table Grid"/>
    <w:basedOn w:val="3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0"/>
    <w:rPr>
      <w:b/>
      <w:bCs/>
    </w:rPr>
  </w:style>
  <w:style w:type="character" w:styleId="42">
    <w:name w:val="FollowedHyperlink"/>
    <w:autoRedefine/>
    <w:unhideWhenUsed/>
    <w:qFormat/>
    <w:uiPriority w:val="99"/>
    <w:rPr>
      <w:color w:val="954F72"/>
      <w:u w:val="single"/>
    </w:rPr>
  </w:style>
  <w:style w:type="character" w:styleId="43">
    <w:name w:val="Emphasis"/>
    <w:autoRedefine/>
    <w:qFormat/>
    <w:uiPriority w:val="0"/>
    <w:rPr>
      <w:i/>
      <w:iCs/>
    </w:rPr>
  </w:style>
  <w:style w:type="character" w:styleId="44">
    <w:name w:val="Hyperlink"/>
    <w:autoRedefine/>
    <w:qFormat/>
    <w:uiPriority w:val="99"/>
    <w:rPr>
      <w:rFonts w:hint="default" w:ascii="Arial" w:hAnsi="Arial" w:cs="Arial"/>
      <w:color w:val="000000"/>
      <w:sz w:val="20"/>
      <w:szCs w:val="20"/>
      <w:u w:val="none"/>
    </w:rPr>
  </w:style>
  <w:style w:type="character" w:styleId="45">
    <w:name w:val="annotation reference"/>
    <w:basedOn w:val="40"/>
    <w:autoRedefine/>
    <w:qFormat/>
    <w:uiPriority w:val="99"/>
    <w:rPr>
      <w:sz w:val="21"/>
      <w:szCs w:val="21"/>
    </w:rPr>
  </w:style>
  <w:style w:type="paragraph" w:customStyle="1" w:styleId="46">
    <w:name w:val="首行缩进"/>
    <w:basedOn w:val="1"/>
    <w:autoRedefine/>
    <w:qFormat/>
    <w:uiPriority w:val="0"/>
    <w:pPr>
      <w:ind w:firstLine="480" w:firstLineChars="200"/>
    </w:pPr>
    <w:rPr>
      <w:lang w:val="zh-CN"/>
    </w:rPr>
  </w:style>
  <w:style w:type="character" w:customStyle="1" w:styleId="47">
    <w:name w:val="标题 1 字符"/>
    <w:basedOn w:val="40"/>
    <w:autoRedefine/>
    <w:qFormat/>
    <w:uiPriority w:val="0"/>
    <w:rPr>
      <w:b/>
      <w:bCs/>
      <w:kern w:val="44"/>
      <w:sz w:val="44"/>
      <w:szCs w:val="44"/>
    </w:rPr>
  </w:style>
  <w:style w:type="character" w:customStyle="1" w:styleId="48">
    <w:name w:val="标题 2 字符"/>
    <w:basedOn w:val="40"/>
    <w:link w:val="4"/>
    <w:autoRedefine/>
    <w:qFormat/>
    <w:uiPriority w:val="0"/>
    <w:rPr>
      <w:rFonts w:ascii="宋体" w:hAnsi="Calibri" w:eastAsia="宋体" w:cs="Times New Roman"/>
      <w:kern w:val="0"/>
      <w:sz w:val="24"/>
      <w:szCs w:val="24"/>
    </w:rPr>
  </w:style>
  <w:style w:type="character" w:customStyle="1" w:styleId="49">
    <w:name w:val="标题 3 字符"/>
    <w:basedOn w:val="40"/>
    <w:autoRedefine/>
    <w:qFormat/>
    <w:uiPriority w:val="0"/>
    <w:rPr>
      <w:b/>
      <w:bCs/>
      <w:sz w:val="32"/>
      <w:szCs w:val="32"/>
    </w:rPr>
  </w:style>
  <w:style w:type="character" w:customStyle="1" w:styleId="50">
    <w:name w:val="标题 4 字符"/>
    <w:basedOn w:val="40"/>
    <w:link w:val="6"/>
    <w:autoRedefine/>
    <w:qFormat/>
    <w:uiPriority w:val="9"/>
    <w:rPr>
      <w:rFonts w:ascii="Arial" w:hAnsi="Arial" w:eastAsia="黑体" w:cs="Times New Roman"/>
      <w:b/>
      <w:bCs/>
      <w:kern w:val="0"/>
      <w:sz w:val="28"/>
      <w:szCs w:val="28"/>
    </w:rPr>
  </w:style>
  <w:style w:type="character" w:customStyle="1" w:styleId="51">
    <w:name w:val="标题 5 字符"/>
    <w:basedOn w:val="40"/>
    <w:autoRedefine/>
    <w:qFormat/>
    <w:uiPriority w:val="9"/>
    <w:rPr>
      <w:b/>
      <w:bCs/>
      <w:sz w:val="28"/>
      <w:szCs w:val="28"/>
    </w:rPr>
  </w:style>
  <w:style w:type="character" w:customStyle="1" w:styleId="52">
    <w:name w:val="标题 6 字符"/>
    <w:basedOn w:val="40"/>
    <w:autoRedefine/>
    <w:qFormat/>
    <w:uiPriority w:val="0"/>
    <w:rPr>
      <w:rFonts w:asciiTheme="majorHAnsi" w:hAnsiTheme="majorHAnsi" w:eastAsiaTheme="majorEastAsia" w:cstheme="majorBidi"/>
      <w:b/>
      <w:bCs/>
      <w:sz w:val="24"/>
      <w:szCs w:val="24"/>
    </w:rPr>
  </w:style>
  <w:style w:type="character" w:customStyle="1" w:styleId="53">
    <w:name w:val="标题 7 字符"/>
    <w:basedOn w:val="40"/>
    <w:link w:val="10"/>
    <w:autoRedefine/>
    <w:qFormat/>
    <w:uiPriority w:val="9"/>
    <w:rPr>
      <w:rFonts w:ascii="Times New Roman" w:hAnsi="Calibri" w:eastAsia="黑体" w:cs="Times New Roman"/>
      <w:b/>
      <w:bCs/>
      <w:kern w:val="0"/>
      <w:sz w:val="28"/>
      <w:szCs w:val="24"/>
    </w:rPr>
  </w:style>
  <w:style w:type="character" w:customStyle="1" w:styleId="54">
    <w:name w:val="标题 8 字符"/>
    <w:basedOn w:val="40"/>
    <w:link w:val="11"/>
    <w:autoRedefine/>
    <w:qFormat/>
    <w:uiPriority w:val="9"/>
    <w:rPr>
      <w:rFonts w:ascii="Times New Roman" w:hAnsi="Calibri" w:eastAsia="黑体" w:cs="Times New Roman"/>
      <w:b/>
      <w:kern w:val="0"/>
      <w:sz w:val="28"/>
      <w:szCs w:val="24"/>
    </w:rPr>
  </w:style>
  <w:style w:type="character" w:customStyle="1" w:styleId="55">
    <w:name w:val="标题 9 字符"/>
    <w:basedOn w:val="40"/>
    <w:link w:val="12"/>
    <w:autoRedefine/>
    <w:qFormat/>
    <w:uiPriority w:val="9"/>
    <w:rPr>
      <w:rFonts w:ascii="Times New Roman" w:hAnsi="Calibri" w:eastAsia="黑体" w:cs="Times New Roman"/>
      <w:b/>
      <w:kern w:val="0"/>
      <w:sz w:val="28"/>
      <w:szCs w:val="24"/>
    </w:rPr>
  </w:style>
  <w:style w:type="character" w:customStyle="1" w:styleId="56">
    <w:name w:val="正文文本缩进 字符"/>
    <w:autoRedefine/>
    <w:qFormat/>
    <w:uiPriority w:val="0"/>
    <w:rPr>
      <w:rFonts w:ascii="Times New Roman" w:hAnsi="Times New Roman" w:eastAsia="宋体" w:cs="Times New Roman"/>
      <w:szCs w:val="20"/>
    </w:rPr>
  </w:style>
  <w:style w:type="character" w:customStyle="1" w:styleId="57">
    <w:name w:val="普通(网站) Char"/>
    <w:autoRedefine/>
    <w:qFormat/>
    <w:locked/>
    <w:uiPriority w:val="0"/>
    <w:rPr>
      <w:rFonts w:ascii="宋体" w:hAnsi="宋体"/>
      <w:sz w:val="15"/>
      <w:szCs w:val="15"/>
    </w:rPr>
  </w:style>
  <w:style w:type="character" w:customStyle="1" w:styleId="58">
    <w:name w:val="标题 字符1"/>
    <w:link w:val="36"/>
    <w:autoRedefine/>
    <w:qFormat/>
    <w:uiPriority w:val="10"/>
    <w:rPr>
      <w:rFonts w:ascii="等线 Light" w:hAnsi="等线 Light" w:eastAsia="仿宋"/>
      <w:b/>
      <w:bCs/>
      <w:sz w:val="28"/>
      <w:szCs w:val="32"/>
    </w:rPr>
  </w:style>
  <w:style w:type="character" w:customStyle="1" w:styleId="59">
    <w:name w:val="日期 Char"/>
    <w:autoRedefine/>
    <w:semiHidden/>
    <w:qFormat/>
    <w:uiPriority w:val="99"/>
    <w:rPr>
      <w:kern w:val="2"/>
      <w:sz w:val="21"/>
    </w:rPr>
  </w:style>
  <w:style w:type="character" w:customStyle="1" w:styleId="60">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1">
    <w:name w:val="批注文字 Char"/>
    <w:autoRedefine/>
    <w:semiHidden/>
    <w:qFormat/>
    <w:uiPriority w:val="99"/>
    <w:rPr>
      <w:kern w:val="2"/>
      <w:sz w:val="21"/>
    </w:rPr>
  </w:style>
  <w:style w:type="character" w:customStyle="1" w:styleId="62">
    <w:name w:val="正文缩进2格 Char"/>
    <w:link w:val="63"/>
    <w:autoRedefine/>
    <w:qFormat/>
    <w:uiPriority w:val="0"/>
    <w:rPr>
      <w:rFonts w:ascii="仿宋_GB2312" w:hAnsi="宋体" w:eastAsia="仿宋_GB2312"/>
      <w:sz w:val="31"/>
      <w:szCs w:val="28"/>
    </w:rPr>
  </w:style>
  <w:style w:type="paragraph" w:customStyle="1" w:styleId="63">
    <w:name w:val="正文缩进2格"/>
    <w:basedOn w:val="1"/>
    <w:next w:val="1"/>
    <w:link w:val="62"/>
    <w:autoRedefine/>
    <w:qFormat/>
    <w:uiPriority w:val="0"/>
    <w:pPr>
      <w:spacing w:line="600" w:lineRule="exact"/>
      <w:ind w:firstLine="639" w:firstLineChars="206"/>
    </w:pPr>
    <w:rPr>
      <w:rFonts w:ascii="仿宋_GB2312" w:hAnsi="宋体" w:eastAsia="仿宋_GB2312"/>
      <w:sz w:val="31"/>
      <w:szCs w:val="28"/>
    </w:rPr>
  </w:style>
  <w:style w:type="character" w:customStyle="1" w:styleId="64">
    <w:name w:val="批注文字 字符"/>
    <w:autoRedefine/>
    <w:semiHidden/>
    <w:qFormat/>
    <w:uiPriority w:val="99"/>
    <w:rPr>
      <w:rFonts w:ascii="Times New Roman" w:hAnsi="Times New Roman"/>
      <w:kern w:val="2"/>
      <w:sz w:val="24"/>
      <w:szCs w:val="24"/>
    </w:rPr>
  </w:style>
  <w:style w:type="character" w:customStyle="1" w:styleId="65">
    <w:name w:val="正文文本缩进 Char"/>
    <w:autoRedefine/>
    <w:qFormat/>
    <w:uiPriority w:val="0"/>
    <w:rPr>
      <w:rFonts w:ascii="Times New Roman" w:hAnsi="Times New Roman" w:eastAsia="宋体" w:cs="Times New Roman"/>
      <w:szCs w:val="20"/>
      <w:lang w:val="en-US" w:eastAsia="zh-CN"/>
    </w:rPr>
  </w:style>
  <w:style w:type="character" w:customStyle="1" w:styleId="66">
    <w:name w:val="批注框文本 字符1"/>
    <w:autoRedefine/>
    <w:semiHidden/>
    <w:qFormat/>
    <w:uiPriority w:val="99"/>
    <w:rPr>
      <w:rFonts w:ascii="宋体" w:hAnsi="Calibri" w:eastAsia="宋体" w:cs="Times New Roman"/>
      <w:kern w:val="0"/>
      <w:sz w:val="18"/>
      <w:szCs w:val="18"/>
    </w:rPr>
  </w:style>
  <w:style w:type="character" w:customStyle="1" w:styleId="67">
    <w:name w:val="List Paragraph Char"/>
    <w:link w:val="68"/>
    <w:autoRedefine/>
    <w:qFormat/>
    <w:uiPriority w:val="34"/>
    <w:rPr>
      <w:rFonts w:ascii="Calibri" w:hAnsi="Calibri"/>
    </w:rPr>
  </w:style>
  <w:style w:type="paragraph" w:customStyle="1" w:styleId="68">
    <w:name w:val="列出段落1"/>
    <w:basedOn w:val="1"/>
    <w:link w:val="67"/>
    <w:autoRedefine/>
    <w:qFormat/>
    <w:uiPriority w:val="34"/>
    <w:pPr>
      <w:ind w:firstLine="420" w:firstLineChars="200"/>
    </w:pPr>
    <w:rPr>
      <w:rFonts w:ascii="Calibri" w:hAnsi="Calibri"/>
    </w:rPr>
  </w:style>
  <w:style w:type="character" w:customStyle="1" w:styleId="69">
    <w:name w:val="标书正文 字符"/>
    <w:link w:val="70"/>
    <w:autoRedefine/>
    <w:qFormat/>
    <w:uiPriority w:val="0"/>
    <w:rPr>
      <w:rFonts w:ascii="Calibri" w:hAnsi="Calibri" w:eastAsia="仿宋"/>
      <w:sz w:val="24"/>
      <w:szCs w:val="21"/>
    </w:rPr>
  </w:style>
  <w:style w:type="paragraph" w:customStyle="1" w:styleId="70">
    <w:name w:val="标书正文"/>
    <w:basedOn w:val="1"/>
    <w:link w:val="69"/>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1">
    <w:name w:val="正文文本 字符"/>
    <w:autoRedefine/>
    <w:semiHidden/>
    <w:qFormat/>
    <w:uiPriority w:val="99"/>
    <w:rPr>
      <w:rFonts w:ascii="Times New Roman" w:hAnsi="Times New Roman"/>
      <w:kern w:val="2"/>
      <w:sz w:val="24"/>
      <w:szCs w:val="24"/>
    </w:rPr>
  </w:style>
  <w:style w:type="character" w:customStyle="1" w:styleId="72">
    <w:name w:val="页脚 Char"/>
    <w:autoRedefine/>
    <w:qFormat/>
    <w:uiPriority w:val="0"/>
    <w:rPr>
      <w:kern w:val="2"/>
      <w:sz w:val="18"/>
      <w:szCs w:val="18"/>
    </w:rPr>
  </w:style>
  <w:style w:type="character" w:customStyle="1" w:styleId="73">
    <w:name w:val="neir1"/>
    <w:autoRedefine/>
    <w:qFormat/>
    <w:uiPriority w:val="0"/>
    <w:rPr>
      <w:rFonts w:hint="default" w:ascii="ˎ̥" w:hAnsi="ˎ̥"/>
      <w:color w:val="333333"/>
      <w:sz w:val="21"/>
      <w:szCs w:val="21"/>
      <w:u w:val="none"/>
    </w:rPr>
  </w:style>
  <w:style w:type="character" w:customStyle="1" w:styleId="74">
    <w:name w:val="批注框文本 字符"/>
    <w:link w:val="26"/>
    <w:autoRedefine/>
    <w:qFormat/>
    <w:uiPriority w:val="0"/>
    <w:rPr>
      <w:rFonts w:ascii="Times New Roman" w:hAnsi="Times New Roman" w:eastAsia="宋体" w:cs="Times New Roman"/>
      <w:sz w:val="18"/>
      <w:szCs w:val="18"/>
    </w:rPr>
  </w:style>
  <w:style w:type="character" w:customStyle="1" w:styleId="75">
    <w:name w:val="正文文本 3 字符1"/>
    <w:autoRedefine/>
    <w:semiHidden/>
    <w:qFormat/>
    <w:uiPriority w:val="99"/>
    <w:rPr>
      <w:rFonts w:ascii="宋体" w:hAnsi="Calibri" w:eastAsia="宋体" w:cs="Times New Roman"/>
      <w:kern w:val="0"/>
      <w:sz w:val="16"/>
      <w:szCs w:val="16"/>
    </w:rPr>
  </w:style>
  <w:style w:type="character" w:customStyle="1" w:styleId="76">
    <w:name w:val="正文文本 字符3"/>
    <w:autoRedefine/>
    <w:semiHidden/>
    <w:qFormat/>
    <w:uiPriority w:val="99"/>
    <w:rPr>
      <w:rFonts w:ascii="宋体" w:hAnsi="Calibri" w:eastAsia="宋体" w:cs="Times New Roman"/>
      <w:kern w:val="0"/>
      <w:sz w:val="24"/>
      <w:szCs w:val="24"/>
    </w:rPr>
  </w:style>
  <w:style w:type="character" w:customStyle="1" w:styleId="77">
    <w:name w:val="日期 字符1"/>
    <w:autoRedefine/>
    <w:semiHidden/>
    <w:qFormat/>
    <w:uiPriority w:val="99"/>
    <w:rPr>
      <w:rFonts w:ascii="宋体" w:hAnsi="Calibri" w:eastAsia="宋体" w:cs="Times New Roman"/>
      <w:kern w:val="0"/>
      <w:sz w:val="24"/>
      <w:szCs w:val="24"/>
    </w:rPr>
  </w:style>
  <w:style w:type="character" w:customStyle="1" w:styleId="78">
    <w:name w:val="页脚 字符"/>
    <w:link w:val="27"/>
    <w:autoRedefine/>
    <w:qFormat/>
    <w:uiPriority w:val="99"/>
    <w:rPr>
      <w:rFonts w:ascii="宋体" w:eastAsia="宋体"/>
      <w:sz w:val="18"/>
      <w:szCs w:val="18"/>
    </w:rPr>
  </w:style>
  <w:style w:type="character" w:customStyle="1" w:styleId="79">
    <w:name w:val="吉奥正文 Char"/>
    <w:link w:val="80"/>
    <w:autoRedefine/>
    <w:qFormat/>
    <w:locked/>
    <w:uiPriority w:val="0"/>
    <w:rPr>
      <w:rFonts w:eastAsia="仿宋_GB2312"/>
      <w:sz w:val="28"/>
    </w:rPr>
  </w:style>
  <w:style w:type="paragraph" w:customStyle="1" w:styleId="80">
    <w:name w:val="吉奥正文"/>
    <w:basedOn w:val="1"/>
    <w:link w:val="79"/>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1">
    <w:name w:val="页脚 Char1"/>
    <w:autoRedefine/>
    <w:qFormat/>
    <w:uiPriority w:val="99"/>
    <w:rPr>
      <w:rFonts w:ascii="宋体" w:hAnsi="Times New Roman" w:eastAsia="宋体" w:cs="Times New Roman"/>
      <w:kern w:val="0"/>
      <w:sz w:val="18"/>
      <w:szCs w:val="18"/>
    </w:rPr>
  </w:style>
  <w:style w:type="character" w:customStyle="1" w:styleId="82">
    <w:name w:val="标题 字符"/>
    <w:autoRedefine/>
    <w:qFormat/>
    <w:uiPriority w:val="10"/>
    <w:rPr>
      <w:rFonts w:ascii="Cambria" w:hAnsi="Cambria" w:eastAsia="宋体" w:cs="Times New Roman"/>
      <w:b/>
      <w:bCs/>
      <w:kern w:val="0"/>
      <w:sz w:val="32"/>
      <w:szCs w:val="32"/>
      <w:lang w:val="en-US" w:eastAsia="zh-CN"/>
    </w:rPr>
  </w:style>
  <w:style w:type="character" w:customStyle="1" w:styleId="83">
    <w:name w:val="题注 字符1"/>
    <w:link w:val="14"/>
    <w:autoRedefine/>
    <w:qFormat/>
    <w:uiPriority w:val="0"/>
    <w:rPr>
      <w:rFonts w:ascii="Arial" w:hAnsi="Arial" w:eastAsia="黑体" w:cs="Arial"/>
    </w:rPr>
  </w:style>
  <w:style w:type="character" w:customStyle="1" w:styleId="84">
    <w:name w:val="批注文字 字符2"/>
    <w:autoRedefine/>
    <w:qFormat/>
    <w:uiPriority w:val="99"/>
    <w:rPr>
      <w:rFonts w:ascii="宋体" w:hAnsi="Times New Roman" w:eastAsia="宋体" w:cs="Times New Roman"/>
      <w:kern w:val="0"/>
      <w:sz w:val="24"/>
      <w:szCs w:val="24"/>
    </w:rPr>
  </w:style>
  <w:style w:type="character" w:customStyle="1" w:styleId="85">
    <w:name w:val="批注主题 字符1"/>
    <w:autoRedefine/>
    <w:semiHidden/>
    <w:qFormat/>
    <w:uiPriority w:val="99"/>
    <w:rPr>
      <w:rFonts w:ascii="宋体" w:hAnsi="Calibri" w:eastAsia="宋体" w:cs="Times New Roman"/>
      <w:b/>
      <w:bCs/>
      <w:kern w:val="0"/>
      <w:sz w:val="24"/>
      <w:szCs w:val="24"/>
    </w:rPr>
  </w:style>
  <w:style w:type="character" w:customStyle="1" w:styleId="86">
    <w:name w:val="HTML 预设格式 字符"/>
    <w:link w:val="34"/>
    <w:autoRedefine/>
    <w:qFormat/>
    <w:uiPriority w:val="99"/>
    <w:rPr>
      <w:rFonts w:ascii="Arial" w:hAnsi="Arial" w:eastAsia="宋体" w:cs="Arial"/>
      <w:szCs w:val="21"/>
    </w:rPr>
  </w:style>
  <w:style w:type="character" w:customStyle="1" w:styleId="87">
    <w:name w:val="标题 3.1 Char"/>
    <w:link w:val="88"/>
    <w:autoRedefine/>
    <w:qFormat/>
    <w:uiPriority w:val="0"/>
    <w:rPr>
      <w:rFonts w:ascii="宋体" w:hAnsi="宋体"/>
      <w:b/>
      <w:bCs/>
      <w:sz w:val="32"/>
      <w:szCs w:val="32"/>
    </w:rPr>
  </w:style>
  <w:style w:type="paragraph" w:customStyle="1" w:styleId="88">
    <w:name w:val="标题 3.1"/>
    <w:basedOn w:val="5"/>
    <w:link w:val="87"/>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9">
    <w:name w:val="HTML 预设格式 Char1"/>
    <w:autoRedefine/>
    <w:semiHidden/>
    <w:qFormat/>
    <w:uiPriority w:val="99"/>
    <w:rPr>
      <w:rFonts w:ascii="Courier New" w:hAnsi="Courier New" w:eastAsia="宋体" w:cs="Courier New"/>
      <w:kern w:val="0"/>
      <w:sz w:val="20"/>
      <w:szCs w:val="20"/>
    </w:rPr>
  </w:style>
  <w:style w:type="character" w:customStyle="1" w:styleId="90">
    <w:name w:val="批注文字 字符1"/>
    <w:autoRedefine/>
    <w:qFormat/>
    <w:uiPriority w:val="0"/>
    <w:rPr>
      <w:rFonts w:eastAsia="宋体"/>
      <w:kern w:val="2"/>
      <w:sz w:val="24"/>
      <w:szCs w:val="24"/>
      <w:lang w:val="en-US" w:eastAsia="zh-CN" w:bidi="ar-SA"/>
    </w:rPr>
  </w:style>
  <w:style w:type="character" w:customStyle="1" w:styleId="91">
    <w:name w:val="正文文本缩进 字符2"/>
    <w:autoRedefine/>
    <w:semiHidden/>
    <w:qFormat/>
    <w:uiPriority w:val="99"/>
    <w:rPr>
      <w:rFonts w:ascii="宋体" w:hAnsi="Calibri" w:eastAsia="宋体" w:cs="Times New Roman"/>
      <w:kern w:val="0"/>
      <w:sz w:val="24"/>
      <w:szCs w:val="24"/>
    </w:rPr>
  </w:style>
  <w:style w:type="character" w:customStyle="1" w:styleId="92">
    <w:name w:val="正文文本缩进 字符1"/>
    <w:link w:val="21"/>
    <w:autoRedefine/>
    <w:qFormat/>
    <w:uiPriority w:val="0"/>
    <w:rPr>
      <w:rFonts w:ascii="Times New Roman" w:hAnsi="Times New Roman" w:eastAsia="宋体" w:cs="Times New Roman"/>
      <w:szCs w:val="20"/>
    </w:rPr>
  </w:style>
  <w:style w:type="character" w:customStyle="1" w:styleId="93">
    <w:name w:val="普通(网站) 字符2"/>
    <w:link w:val="35"/>
    <w:autoRedefine/>
    <w:qFormat/>
    <w:locked/>
    <w:uiPriority w:val="0"/>
    <w:rPr>
      <w:rFonts w:ascii="宋体" w:hAnsi="宋体"/>
      <w:sz w:val="15"/>
      <w:szCs w:val="15"/>
    </w:rPr>
  </w:style>
  <w:style w:type="character" w:customStyle="1" w:styleId="94">
    <w:name w:val="模板正文 Char"/>
    <w:link w:val="9"/>
    <w:autoRedefine/>
    <w:qFormat/>
    <w:uiPriority w:val="0"/>
    <w:rPr>
      <w:rFonts w:ascii="宋体" w:eastAsia="仿宋"/>
      <w:sz w:val="24"/>
      <w:szCs w:val="21"/>
    </w:rPr>
  </w:style>
  <w:style w:type="character" w:customStyle="1" w:styleId="95">
    <w:name w:val="批注主题 Char"/>
    <w:autoRedefine/>
    <w:semiHidden/>
    <w:qFormat/>
    <w:uiPriority w:val="99"/>
    <w:rPr>
      <w:b/>
      <w:bCs/>
      <w:kern w:val="2"/>
      <w:sz w:val="21"/>
    </w:rPr>
  </w:style>
  <w:style w:type="character" w:customStyle="1" w:styleId="96">
    <w:name w:val="正文文本 Char1"/>
    <w:autoRedefine/>
    <w:qFormat/>
    <w:uiPriority w:val="0"/>
    <w:rPr>
      <w:rFonts w:ascii="宋体" w:hAnsi="Times New Roman" w:eastAsia="宋体" w:cs="Times New Roman"/>
      <w:kern w:val="0"/>
      <w:sz w:val="24"/>
      <w:szCs w:val="24"/>
    </w:rPr>
  </w:style>
  <w:style w:type="character" w:customStyle="1" w:styleId="97">
    <w:name w:val="正文文本 字符1"/>
    <w:autoRedefine/>
    <w:qFormat/>
    <w:uiPriority w:val="99"/>
    <w:rPr>
      <w:rFonts w:ascii="宋体" w:eastAsia="宋体"/>
      <w:b/>
      <w:bCs/>
      <w:sz w:val="84"/>
      <w:szCs w:val="84"/>
      <w:lang w:val="zh-CN"/>
    </w:rPr>
  </w:style>
  <w:style w:type="character" w:customStyle="1" w:styleId="98">
    <w:name w:val="标题 1 Char"/>
    <w:autoRedefine/>
    <w:qFormat/>
    <w:uiPriority w:val="9"/>
    <w:rPr>
      <w:rFonts w:ascii="宋体" w:hAnsi="Times New Roman" w:eastAsia="宋体" w:cs="Times New Roman"/>
      <w:kern w:val="0"/>
      <w:sz w:val="24"/>
      <w:szCs w:val="24"/>
    </w:rPr>
  </w:style>
  <w:style w:type="character" w:customStyle="1" w:styleId="99">
    <w:name w:val="正文文本 Char2"/>
    <w:autoRedefine/>
    <w:qFormat/>
    <w:uiPriority w:val="99"/>
    <w:rPr>
      <w:rFonts w:ascii="宋体" w:eastAsia="宋体"/>
      <w:b/>
      <w:bCs/>
      <w:sz w:val="84"/>
      <w:szCs w:val="84"/>
      <w:lang w:val="zh-CN"/>
    </w:rPr>
  </w:style>
  <w:style w:type="character" w:customStyle="1" w:styleId="100">
    <w:name w:val="纯文本 字符2"/>
    <w:link w:val="23"/>
    <w:autoRedefine/>
    <w:qFormat/>
    <w:uiPriority w:val="0"/>
    <w:rPr>
      <w:rFonts w:ascii="宋体" w:hAnsi="Courier New" w:eastAsia="宋体"/>
    </w:rPr>
  </w:style>
  <w:style w:type="character" w:customStyle="1" w:styleId="101">
    <w:name w:val="正文文本缩进 2 字符"/>
    <w:link w:val="25"/>
    <w:autoRedefine/>
    <w:qFormat/>
    <w:uiPriority w:val="0"/>
    <w:rPr>
      <w:rFonts w:ascii="宋体" w:hAnsi="Times New Roman" w:eastAsia="宋体" w:cs="Times New Roman"/>
      <w:szCs w:val="20"/>
    </w:rPr>
  </w:style>
  <w:style w:type="character" w:customStyle="1" w:styleId="102">
    <w:name w:val="HTML Markup"/>
    <w:autoRedefine/>
    <w:qFormat/>
    <w:uiPriority w:val="0"/>
    <w:rPr>
      <w:vanish/>
      <w:color w:val="FF0000"/>
    </w:rPr>
  </w:style>
  <w:style w:type="character" w:customStyle="1" w:styleId="103">
    <w:name w:val="页眉 Char1"/>
    <w:autoRedefine/>
    <w:qFormat/>
    <w:uiPriority w:val="0"/>
    <w:rPr>
      <w:rFonts w:ascii="宋体" w:hAnsi="Times New Roman" w:eastAsia="宋体" w:cs="Times New Roman"/>
      <w:kern w:val="0"/>
      <w:sz w:val="18"/>
      <w:szCs w:val="18"/>
    </w:rPr>
  </w:style>
  <w:style w:type="character" w:customStyle="1" w:styleId="104">
    <w:name w:val="font11"/>
    <w:autoRedefine/>
    <w:qFormat/>
    <w:uiPriority w:val="0"/>
    <w:rPr>
      <w:rFonts w:hint="eastAsia" w:ascii="宋体" w:hAnsi="宋体" w:eastAsia="宋体" w:cs="宋体"/>
      <w:color w:val="FF0000"/>
      <w:sz w:val="22"/>
      <w:szCs w:val="22"/>
      <w:u w:val="none"/>
    </w:rPr>
  </w:style>
  <w:style w:type="character" w:customStyle="1" w:styleId="105">
    <w:name w:val="style61"/>
    <w:autoRedefine/>
    <w:qFormat/>
    <w:uiPriority w:val="0"/>
    <w:rPr>
      <w:b/>
      <w:bCs/>
    </w:rPr>
  </w:style>
  <w:style w:type="character" w:customStyle="1" w:styleId="106">
    <w:name w:val="表头文字 Char"/>
    <w:link w:val="107"/>
    <w:autoRedefine/>
    <w:qFormat/>
    <w:uiPriority w:val="0"/>
    <w:rPr>
      <w:rFonts w:eastAsia="仿宋_GB2312"/>
      <w:b/>
      <w:sz w:val="28"/>
      <w:szCs w:val="21"/>
    </w:rPr>
  </w:style>
  <w:style w:type="paragraph" w:customStyle="1" w:styleId="107">
    <w:name w:val="表头文字"/>
    <w:basedOn w:val="1"/>
    <w:link w:val="106"/>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8">
    <w:name w:val="日期 字符"/>
    <w:link w:val="24"/>
    <w:autoRedefine/>
    <w:qFormat/>
    <w:uiPriority w:val="99"/>
    <w:rPr>
      <w:rFonts w:ascii="宋体" w:hAnsi="Times New Roman" w:eastAsia="宋体" w:cs="Times New Roman"/>
      <w:b/>
      <w:bCs/>
      <w:szCs w:val="21"/>
      <w:lang w:val="zh-CN"/>
    </w:rPr>
  </w:style>
  <w:style w:type="character" w:customStyle="1" w:styleId="109">
    <w:name w:val="纯文本 Char1"/>
    <w:autoRedefine/>
    <w:qFormat/>
    <w:uiPriority w:val="0"/>
    <w:rPr>
      <w:rFonts w:ascii="宋体" w:hAnsi="Courier New" w:eastAsia="宋体" w:cs="Courier New"/>
      <w:kern w:val="0"/>
      <w:szCs w:val="21"/>
    </w:rPr>
  </w:style>
  <w:style w:type="character" w:customStyle="1" w:styleId="110">
    <w:name w:val="批注主题 字符"/>
    <w:link w:val="37"/>
    <w:autoRedefine/>
    <w:qFormat/>
    <w:uiPriority w:val="99"/>
    <w:rPr>
      <w:rFonts w:ascii="宋体" w:hAnsi="Times New Roman" w:eastAsia="宋体" w:cs="Times New Roman"/>
      <w:b/>
      <w:bCs/>
      <w:kern w:val="0"/>
      <w:sz w:val="24"/>
      <w:szCs w:val="24"/>
    </w:rPr>
  </w:style>
  <w:style w:type="character" w:customStyle="1" w:styleId="111">
    <w:name w:val="纯文本 字符"/>
    <w:autoRedefine/>
    <w:qFormat/>
    <w:uiPriority w:val="99"/>
    <w:rPr>
      <w:rFonts w:ascii="宋体" w:hAnsi="Courier New" w:eastAsia="宋体" w:cs="Times New Roman"/>
      <w:szCs w:val="20"/>
      <w:lang w:val="en-US" w:eastAsia="zh-CN"/>
    </w:rPr>
  </w:style>
  <w:style w:type="character" w:customStyle="1" w:styleId="112">
    <w:name w:val="font71"/>
    <w:autoRedefine/>
    <w:qFormat/>
    <w:uiPriority w:val="0"/>
    <w:rPr>
      <w:rFonts w:hint="eastAsia" w:ascii="宋体" w:hAnsi="宋体" w:eastAsia="宋体" w:cs="宋体"/>
      <w:color w:val="FF0000"/>
      <w:sz w:val="18"/>
      <w:szCs w:val="18"/>
      <w:u w:val="none"/>
    </w:rPr>
  </w:style>
  <w:style w:type="character" w:customStyle="1" w:styleId="113">
    <w:name w:val="font21"/>
    <w:autoRedefine/>
    <w:qFormat/>
    <w:uiPriority w:val="0"/>
    <w:rPr>
      <w:rFonts w:hint="eastAsia" w:ascii="宋体" w:hAnsi="宋体" w:eastAsia="宋体" w:cs="宋体"/>
      <w:b/>
      <w:color w:val="000000"/>
      <w:sz w:val="21"/>
      <w:szCs w:val="21"/>
      <w:u w:val="none"/>
    </w:rPr>
  </w:style>
  <w:style w:type="character" w:customStyle="1" w:styleId="114">
    <w:name w:val="纯文本 字符3"/>
    <w:autoRedefine/>
    <w:semiHidden/>
    <w:qFormat/>
    <w:uiPriority w:val="99"/>
    <w:rPr>
      <w:rFonts w:ascii="等线" w:hAnsi="Courier New" w:cs="Courier New"/>
      <w:kern w:val="0"/>
      <w:sz w:val="24"/>
      <w:szCs w:val="24"/>
    </w:rPr>
  </w:style>
  <w:style w:type="character" w:customStyle="1" w:styleId="115">
    <w:name w:val="font31"/>
    <w:autoRedefine/>
    <w:qFormat/>
    <w:uiPriority w:val="0"/>
    <w:rPr>
      <w:rFonts w:hint="eastAsia" w:ascii="宋体" w:hAnsi="宋体" w:eastAsia="宋体" w:cs="宋体"/>
      <w:color w:val="000000"/>
      <w:sz w:val="18"/>
      <w:szCs w:val="18"/>
      <w:u w:val="none"/>
    </w:rPr>
  </w:style>
  <w:style w:type="character" w:customStyle="1" w:styleId="116">
    <w:name w:val="文档结构图 字符"/>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7">
    <w:name w:val="普通(网站) 字符1"/>
    <w:autoRedefine/>
    <w:qFormat/>
    <w:locked/>
    <w:uiPriority w:val="0"/>
    <w:rPr>
      <w:rFonts w:ascii="宋体" w:hAnsi="宋体"/>
      <w:sz w:val="15"/>
      <w:szCs w:val="15"/>
    </w:rPr>
  </w:style>
  <w:style w:type="character" w:customStyle="1" w:styleId="118">
    <w:name w:val="正文文本 字符2"/>
    <w:link w:val="19"/>
    <w:autoRedefine/>
    <w:qFormat/>
    <w:uiPriority w:val="99"/>
    <w:rPr>
      <w:rFonts w:ascii="宋体" w:eastAsia="宋体"/>
      <w:b/>
      <w:bCs/>
      <w:sz w:val="84"/>
      <w:szCs w:val="84"/>
      <w:lang w:val="zh-CN"/>
    </w:rPr>
  </w:style>
  <w:style w:type="character" w:customStyle="1" w:styleId="119">
    <w:name w:val="标题 5 Char"/>
    <w:autoRedefine/>
    <w:semiHidden/>
    <w:qFormat/>
    <w:uiPriority w:val="9"/>
    <w:rPr>
      <w:b/>
      <w:bCs/>
      <w:kern w:val="2"/>
      <w:sz w:val="28"/>
      <w:szCs w:val="28"/>
    </w:rPr>
  </w:style>
  <w:style w:type="character" w:customStyle="1" w:styleId="120">
    <w:name w:val="页眉 字符"/>
    <w:link w:val="28"/>
    <w:autoRedefine/>
    <w:qFormat/>
    <w:uiPriority w:val="99"/>
    <w:rPr>
      <w:rFonts w:ascii="宋体" w:eastAsia="宋体"/>
      <w:sz w:val="18"/>
      <w:szCs w:val="18"/>
    </w:rPr>
  </w:style>
  <w:style w:type="character" w:customStyle="1" w:styleId="121">
    <w:name w:val="表格文字 Char"/>
    <w:link w:val="122"/>
    <w:autoRedefine/>
    <w:qFormat/>
    <w:uiPriority w:val="0"/>
    <w:rPr>
      <w:rFonts w:eastAsia="仿宋_GB2312"/>
      <w:sz w:val="28"/>
      <w:szCs w:val="24"/>
    </w:rPr>
  </w:style>
  <w:style w:type="paragraph" w:customStyle="1" w:styleId="122">
    <w:name w:val="表格文字"/>
    <w:basedOn w:val="1"/>
    <w:link w:val="121"/>
    <w:autoRedefine/>
    <w:qFormat/>
    <w:uiPriority w:val="0"/>
    <w:rPr>
      <w:rFonts w:eastAsia="仿宋_GB2312"/>
      <w:sz w:val="28"/>
      <w:szCs w:val="24"/>
    </w:rPr>
  </w:style>
  <w:style w:type="character" w:customStyle="1" w:styleId="123">
    <w:name w:val="标题 字符2"/>
    <w:autoRedefine/>
    <w:qFormat/>
    <w:uiPriority w:val="10"/>
    <w:rPr>
      <w:rFonts w:ascii="等线 Light" w:hAnsi="等线 Light" w:eastAsia="等线 Light" w:cs="Times New Roman"/>
      <w:b/>
      <w:bCs/>
      <w:kern w:val="0"/>
      <w:sz w:val="32"/>
      <w:szCs w:val="32"/>
    </w:rPr>
  </w:style>
  <w:style w:type="character" w:customStyle="1" w:styleId="124">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5">
    <w:name w:val="小 Char"/>
    <w:autoRedefine/>
    <w:qFormat/>
    <w:uiPriority w:val="0"/>
    <w:rPr>
      <w:rFonts w:ascii="宋体" w:hAnsi="Courier New" w:eastAsia="宋体"/>
      <w:kern w:val="2"/>
      <w:sz w:val="21"/>
      <w:lang w:val="en-US" w:eastAsia="zh-CN" w:bidi="ar-SA"/>
    </w:rPr>
  </w:style>
  <w:style w:type="character" w:customStyle="1" w:styleId="126">
    <w:name w:val="themebody1"/>
    <w:autoRedefine/>
    <w:qFormat/>
    <w:uiPriority w:val="0"/>
    <w:rPr>
      <w:color w:val="FFFFFF"/>
    </w:rPr>
  </w:style>
  <w:style w:type="character" w:customStyle="1" w:styleId="127">
    <w:name w:val="页脚 字符1"/>
    <w:autoRedefine/>
    <w:semiHidden/>
    <w:qFormat/>
    <w:uiPriority w:val="99"/>
    <w:rPr>
      <w:rFonts w:ascii="宋体" w:hAnsi="Calibri" w:eastAsia="宋体" w:cs="Times New Roman"/>
      <w:kern w:val="0"/>
      <w:sz w:val="18"/>
      <w:szCs w:val="18"/>
    </w:rPr>
  </w:style>
  <w:style w:type="character" w:customStyle="1" w:styleId="128">
    <w:name w:val="列表段落 字符"/>
    <w:link w:val="129"/>
    <w:autoRedefine/>
    <w:qFormat/>
    <w:uiPriority w:val="34"/>
    <w:rPr>
      <w:kern w:val="2"/>
      <w:sz w:val="21"/>
      <w:szCs w:val="22"/>
    </w:rPr>
  </w:style>
  <w:style w:type="paragraph" w:styleId="129">
    <w:name w:val="List Paragraph"/>
    <w:basedOn w:val="1"/>
    <w:link w:val="128"/>
    <w:autoRedefine/>
    <w:qFormat/>
    <w:uiPriority w:val="34"/>
    <w:pPr>
      <w:ind w:firstLine="420" w:firstLineChars="200"/>
    </w:pPr>
  </w:style>
  <w:style w:type="character" w:customStyle="1" w:styleId="130">
    <w:name w:val="正文文本 Char"/>
    <w:autoRedefine/>
    <w:qFormat/>
    <w:uiPriority w:val="99"/>
    <w:rPr>
      <w:rFonts w:ascii="宋体" w:eastAsia="宋体"/>
      <w:b/>
      <w:bCs/>
      <w:sz w:val="84"/>
      <w:szCs w:val="84"/>
      <w:lang w:val="zh-CN"/>
    </w:rPr>
  </w:style>
  <w:style w:type="character" w:customStyle="1" w:styleId="131">
    <w:name w:val="页眉 字符1"/>
    <w:autoRedefine/>
    <w:semiHidden/>
    <w:qFormat/>
    <w:uiPriority w:val="99"/>
    <w:rPr>
      <w:rFonts w:ascii="宋体" w:hAnsi="Calibri" w:eastAsia="宋体" w:cs="Times New Roman"/>
      <w:kern w:val="0"/>
      <w:sz w:val="18"/>
      <w:szCs w:val="18"/>
    </w:rPr>
  </w:style>
  <w:style w:type="character" w:customStyle="1" w:styleId="132">
    <w:name w:val="标题 5 字符1"/>
    <w:link w:val="7"/>
    <w:autoRedefine/>
    <w:qFormat/>
    <w:uiPriority w:val="9"/>
    <w:rPr>
      <w:rFonts w:ascii="宋体" w:hAnsi="Calibri" w:eastAsia="宋体" w:cs="Times New Roman"/>
      <w:b/>
      <w:bCs/>
      <w:kern w:val="0"/>
      <w:sz w:val="28"/>
      <w:szCs w:val="28"/>
    </w:rPr>
  </w:style>
  <w:style w:type="character" w:customStyle="1" w:styleId="133">
    <w:name w:val="keyfeatures1"/>
    <w:autoRedefine/>
    <w:qFormat/>
    <w:uiPriority w:val="0"/>
    <w:rPr>
      <w:rFonts w:hint="default" w:ascii="Arial" w:hAnsi="Arial" w:cs="Arial"/>
      <w:color w:val="003366"/>
      <w:sz w:val="17"/>
      <w:szCs w:val="17"/>
      <w:u w:val="none"/>
    </w:rPr>
  </w:style>
  <w:style w:type="character" w:customStyle="1" w:styleId="134">
    <w:name w:val="题注 字符"/>
    <w:autoRedefine/>
    <w:qFormat/>
    <w:uiPriority w:val="0"/>
    <w:rPr>
      <w:rFonts w:ascii="宋体" w:hAnsi="宋体" w:eastAsia="黑体" w:cs="Times New Roman"/>
      <w:b/>
      <w:szCs w:val="21"/>
    </w:rPr>
  </w:style>
  <w:style w:type="character" w:customStyle="1" w:styleId="135">
    <w:name w:val="标题 4 Char"/>
    <w:autoRedefine/>
    <w:qFormat/>
    <w:uiPriority w:val="0"/>
    <w:rPr>
      <w:rFonts w:ascii="宋体" w:hAnsi="宋体" w:eastAsia="宋体"/>
      <w:b/>
      <w:kern w:val="2"/>
      <w:sz w:val="21"/>
      <w:szCs w:val="24"/>
      <w:lang w:val="en-US" w:eastAsia="zh-CN" w:bidi="ar-SA"/>
    </w:rPr>
  </w:style>
  <w:style w:type="character" w:customStyle="1" w:styleId="136">
    <w:name w:val="批注文字 字符3"/>
    <w:autoRedefine/>
    <w:semiHidden/>
    <w:qFormat/>
    <w:uiPriority w:val="99"/>
    <w:rPr>
      <w:rFonts w:ascii="宋体" w:hAnsi="Calibri" w:eastAsia="宋体" w:cs="Times New Roman"/>
      <w:kern w:val="0"/>
      <w:sz w:val="24"/>
      <w:szCs w:val="24"/>
    </w:rPr>
  </w:style>
  <w:style w:type="character" w:customStyle="1" w:styleId="137">
    <w:name w:val="纯文本 字符1"/>
    <w:autoRedefine/>
    <w:qFormat/>
    <w:uiPriority w:val="0"/>
    <w:rPr>
      <w:rFonts w:ascii="宋体" w:hAnsi="Courier New" w:eastAsia="宋体"/>
      <w:kern w:val="2"/>
      <w:sz w:val="21"/>
      <w:szCs w:val="24"/>
      <w:lang w:val="en-US" w:eastAsia="zh-CN" w:bidi="ar-SA"/>
    </w:rPr>
  </w:style>
  <w:style w:type="character" w:customStyle="1" w:styleId="138">
    <w:name w:val="列出段落 Char1"/>
    <w:autoRedefine/>
    <w:qFormat/>
    <w:uiPriority w:val="34"/>
    <w:rPr>
      <w:rFonts w:ascii="宋体"/>
      <w:sz w:val="24"/>
      <w:szCs w:val="24"/>
    </w:rPr>
  </w:style>
  <w:style w:type="character" w:customStyle="1" w:styleId="139">
    <w:name w:val="彩色列表 - 着色 1 字符"/>
    <w:link w:val="140"/>
    <w:autoRedefine/>
    <w:qFormat/>
    <w:uiPriority w:val="0"/>
    <w:rPr>
      <w:rFonts w:ascii="Calibri" w:hAnsi="Calibri"/>
    </w:rPr>
  </w:style>
  <w:style w:type="paragraph" w:customStyle="1" w:styleId="140">
    <w:name w:val="彩色列表 - 着色 11"/>
    <w:basedOn w:val="1"/>
    <w:link w:val="139"/>
    <w:autoRedefine/>
    <w:qFormat/>
    <w:uiPriority w:val="0"/>
    <w:pPr>
      <w:ind w:firstLine="420" w:firstLineChars="200"/>
    </w:pPr>
    <w:rPr>
      <w:rFonts w:ascii="Calibri" w:hAnsi="Calibri"/>
    </w:rPr>
  </w:style>
  <w:style w:type="character" w:customStyle="1" w:styleId="141">
    <w:name w:val="纯文本 Char"/>
    <w:autoRedefine/>
    <w:qFormat/>
    <w:uiPriority w:val="0"/>
    <w:rPr>
      <w:rFonts w:ascii="宋体" w:hAnsi="Courier New" w:eastAsia="宋体" w:cs="Times New Roman"/>
      <w:szCs w:val="20"/>
    </w:rPr>
  </w:style>
  <w:style w:type="character" w:customStyle="1" w:styleId="142">
    <w:name w:val="标题 6 字符1"/>
    <w:link w:val="8"/>
    <w:autoRedefine/>
    <w:qFormat/>
    <w:uiPriority w:val="9"/>
    <w:rPr>
      <w:rFonts w:ascii="Times New Roman" w:hAnsi="Calibri" w:eastAsia="黑体" w:cs="Times New Roman"/>
      <w:b/>
      <w:bCs/>
      <w:kern w:val="0"/>
      <w:sz w:val="28"/>
      <w:szCs w:val="24"/>
    </w:rPr>
  </w:style>
  <w:style w:type="character" w:customStyle="1" w:styleId="143">
    <w:name w:val="正文文本 2 字符"/>
    <w:link w:val="33"/>
    <w:autoRedefine/>
    <w:qFormat/>
    <w:uiPriority w:val="0"/>
    <w:rPr>
      <w:rFonts w:ascii="Arial" w:hAnsi="Arial" w:eastAsia="宋体" w:cs="Times New Roman"/>
      <w:color w:val="000000"/>
      <w:szCs w:val="24"/>
    </w:rPr>
  </w:style>
  <w:style w:type="character" w:customStyle="1" w:styleId="144">
    <w:name w:val="标题 3 字符1"/>
    <w:link w:val="5"/>
    <w:autoRedefine/>
    <w:qFormat/>
    <w:uiPriority w:val="0"/>
    <w:rPr>
      <w:rFonts w:ascii="宋体" w:hAnsi="Calibri" w:eastAsia="宋体" w:cs="Times New Roman"/>
      <w:kern w:val="0"/>
      <w:sz w:val="24"/>
      <w:szCs w:val="24"/>
    </w:rPr>
  </w:style>
  <w:style w:type="character" w:customStyle="1" w:styleId="145">
    <w:name w:val="正文文本缩进 2 字符1"/>
    <w:autoRedefine/>
    <w:semiHidden/>
    <w:qFormat/>
    <w:uiPriority w:val="99"/>
    <w:rPr>
      <w:rFonts w:ascii="宋体" w:hAnsi="Calibri" w:eastAsia="宋体" w:cs="Times New Roman"/>
      <w:kern w:val="0"/>
      <w:sz w:val="24"/>
      <w:szCs w:val="24"/>
    </w:rPr>
  </w:style>
  <w:style w:type="character" w:customStyle="1" w:styleId="146">
    <w:name w:val="正文文本缩进 3 字符1"/>
    <w:autoRedefine/>
    <w:semiHidden/>
    <w:qFormat/>
    <w:uiPriority w:val="99"/>
    <w:rPr>
      <w:rFonts w:ascii="宋体" w:hAnsi="Calibri" w:eastAsia="宋体" w:cs="Times New Roman"/>
      <w:kern w:val="0"/>
      <w:sz w:val="16"/>
      <w:szCs w:val="16"/>
    </w:rPr>
  </w:style>
  <w:style w:type="character" w:customStyle="1" w:styleId="147">
    <w:name w:val="正文文本 2 字符1"/>
    <w:autoRedefine/>
    <w:semiHidden/>
    <w:qFormat/>
    <w:uiPriority w:val="99"/>
    <w:rPr>
      <w:rFonts w:ascii="宋体" w:hAnsi="Calibri" w:eastAsia="宋体" w:cs="Times New Roman"/>
      <w:kern w:val="0"/>
      <w:sz w:val="24"/>
      <w:szCs w:val="24"/>
    </w:rPr>
  </w:style>
  <w:style w:type="character" w:customStyle="1" w:styleId="148">
    <w:name w:val="eschoolnr"/>
    <w:autoRedefine/>
    <w:qFormat/>
    <w:uiPriority w:val="0"/>
    <w:rPr>
      <w:sz w:val="23"/>
      <w:szCs w:val="23"/>
    </w:rPr>
  </w:style>
  <w:style w:type="character" w:customStyle="1" w:styleId="149">
    <w:name w:val="访问过的超链接1"/>
    <w:autoRedefine/>
    <w:qFormat/>
    <w:uiPriority w:val="0"/>
    <w:rPr>
      <w:rFonts w:ascii="Arial" w:hAnsi="Arial" w:cs="Arial"/>
      <w:color w:val="000000"/>
      <w:sz w:val="20"/>
      <w:szCs w:val="20"/>
      <w:u w:val="none"/>
    </w:rPr>
  </w:style>
  <w:style w:type="character" w:customStyle="1" w:styleId="150">
    <w:name w:val="标题 1 字符1"/>
    <w:link w:val="3"/>
    <w:autoRedefine/>
    <w:qFormat/>
    <w:uiPriority w:val="0"/>
    <w:rPr>
      <w:rFonts w:ascii="宋体" w:hAnsi="Calibri" w:eastAsia="宋体" w:cs="Times New Roman"/>
      <w:kern w:val="0"/>
      <w:sz w:val="24"/>
      <w:szCs w:val="24"/>
    </w:rPr>
  </w:style>
  <w:style w:type="character" w:customStyle="1" w:styleId="151">
    <w:name w:val="批注文字 Char1"/>
    <w:autoRedefine/>
    <w:qFormat/>
    <w:uiPriority w:val="0"/>
    <w:rPr>
      <w:kern w:val="2"/>
      <w:sz w:val="21"/>
      <w:szCs w:val="24"/>
    </w:rPr>
  </w:style>
  <w:style w:type="character" w:customStyle="1" w:styleId="152">
    <w:name w:val="批注框文本 Char"/>
    <w:autoRedefine/>
    <w:semiHidden/>
    <w:qFormat/>
    <w:uiPriority w:val="99"/>
    <w:rPr>
      <w:kern w:val="2"/>
      <w:sz w:val="18"/>
      <w:szCs w:val="18"/>
    </w:rPr>
  </w:style>
  <w:style w:type="character" w:customStyle="1" w:styleId="153">
    <w:name w:val="DAS正文 Char"/>
    <w:autoRedefine/>
    <w:qFormat/>
    <w:uiPriority w:val="0"/>
    <w:rPr>
      <w:rFonts w:ascii="Verdana" w:hAnsi="Verdana" w:eastAsia="宋体"/>
      <w:kern w:val="2"/>
      <w:sz w:val="21"/>
      <w:szCs w:val="21"/>
      <w:lang w:val="en-US" w:eastAsia="zh-CN" w:bidi="ar-SA"/>
    </w:rPr>
  </w:style>
  <w:style w:type="character" w:customStyle="1" w:styleId="154">
    <w:name w:val="正文文本缩进 3 字符"/>
    <w:link w:val="31"/>
    <w:autoRedefine/>
    <w:qFormat/>
    <w:uiPriority w:val="0"/>
    <w:rPr>
      <w:rFonts w:ascii="宋体" w:hAnsi="Times New Roman" w:eastAsia="宋体" w:cs="Times New Roman"/>
      <w:kern w:val="0"/>
      <w:sz w:val="24"/>
      <w:szCs w:val="24"/>
    </w:rPr>
  </w:style>
  <w:style w:type="character" w:customStyle="1" w:styleId="155">
    <w:name w:val="页眉 Char"/>
    <w:autoRedefine/>
    <w:qFormat/>
    <w:uiPriority w:val="99"/>
    <w:rPr>
      <w:kern w:val="2"/>
      <w:sz w:val="18"/>
      <w:szCs w:val="18"/>
    </w:rPr>
  </w:style>
  <w:style w:type="character" w:customStyle="1" w:styleId="156">
    <w:name w:val="正文文本 3 字符"/>
    <w:link w:val="18"/>
    <w:autoRedefine/>
    <w:qFormat/>
    <w:uiPriority w:val="0"/>
    <w:rPr>
      <w:rFonts w:ascii="宋体" w:hAnsi="Times New Roman" w:eastAsia="宋体" w:cs="Times New Roman"/>
      <w:b/>
      <w:bCs/>
      <w:color w:val="3366FF"/>
      <w:sz w:val="52"/>
      <w:szCs w:val="52"/>
      <w:lang w:val="zh-CN"/>
    </w:rPr>
  </w:style>
  <w:style w:type="character" w:customStyle="1" w:styleId="157">
    <w:name w:val="HTML 预设格式 字符1"/>
    <w:autoRedefine/>
    <w:semiHidden/>
    <w:qFormat/>
    <w:uiPriority w:val="99"/>
    <w:rPr>
      <w:rFonts w:ascii="Courier New" w:hAnsi="Courier New" w:eastAsia="宋体" w:cs="Courier New"/>
      <w:kern w:val="0"/>
      <w:sz w:val="20"/>
      <w:szCs w:val="20"/>
    </w:rPr>
  </w:style>
  <w:style w:type="character" w:customStyle="1" w:styleId="158">
    <w:name w:val="彩色列表 - 强调文字颜色 1 Char"/>
    <w:link w:val="159"/>
    <w:autoRedefine/>
    <w:qFormat/>
    <w:uiPriority w:val="0"/>
    <w:rPr>
      <w:rFonts w:ascii="宋体"/>
      <w:sz w:val="24"/>
      <w:szCs w:val="24"/>
    </w:rPr>
  </w:style>
  <w:style w:type="paragraph" w:customStyle="1" w:styleId="159">
    <w:name w:val="彩色列表 - 强调文字颜色 11"/>
    <w:basedOn w:val="1"/>
    <w:link w:val="158"/>
    <w:autoRedefine/>
    <w:qFormat/>
    <w:uiPriority w:val="0"/>
    <w:pPr>
      <w:autoSpaceDE w:val="0"/>
      <w:autoSpaceDN w:val="0"/>
      <w:adjustRightInd w:val="0"/>
      <w:ind w:firstLine="420" w:firstLineChars="200"/>
      <w:jc w:val="left"/>
    </w:pPr>
    <w:rPr>
      <w:rFonts w:ascii="宋体"/>
      <w:sz w:val="24"/>
      <w:szCs w:val="24"/>
    </w:rPr>
  </w:style>
  <w:style w:type="character" w:customStyle="1" w:styleId="160">
    <w:name w:val="普通(网站) 字符"/>
    <w:autoRedefine/>
    <w:qFormat/>
    <w:locked/>
    <w:uiPriority w:val="99"/>
    <w:rPr>
      <w:rFonts w:ascii="宋体" w:hAnsi="宋体" w:eastAsia="宋体" w:cs="Times New Roman"/>
      <w:kern w:val="0"/>
      <w:sz w:val="15"/>
      <w:szCs w:val="15"/>
      <w:lang w:val="en-US" w:eastAsia="zh-CN"/>
    </w:rPr>
  </w:style>
  <w:style w:type="paragraph" w:customStyle="1" w:styleId="161">
    <w:name w:val="_Style 123"/>
    <w:basedOn w:val="1"/>
    <w:next w:val="129"/>
    <w:autoRedefine/>
    <w:qFormat/>
    <w:uiPriority w:val="34"/>
    <w:pPr>
      <w:spacing w:line="360" w:lineRule="auto"/>
      <w:ind w:firstLine="420" w:firstLineChars="200"/>
    </w:pPr>
    <w:rPr>
      <w:rFonts w:ascii="Calibri" w:hAnsi="Calibri" w:eastAsia="宋体" w:cs="Times New Roman"/>
    </w:rPr>
  </w:style>
  <w:style w:type="character" w:customStyle="1" w:styleId="162">
    <w:name w:val="纯文本 字符4"/>
    <w:basedOn w:val="40"/>
    <w:autoRedefine/>
    <w:semiHidden/>
    <w:qFormat/>
    <w:uiPriority w:val="99"/>
    <w:rPr>
      <w:rFonts w:hAnsi="Courier New" w:cs="Courier New" w:asciiTheme="minorEastAsia"/>
    </w:rPr>
  </w:style>
  <w:style w:type="character" w:customStyle="1" w:styleId="163">
    <w:name w:val="批注文字 字符4"/>
    <w:basedOn w:val="40"/>
    <w:link w:val="17"/>
    <w:autoRedefine/>
    <w:semiHidden/>
    <w:qFormat/>
    <w:uiPriority w:val="99"/>
  </w:style>
  <w:style w:type="character" w:customStyle="1" w:styleId="164">
    <w:name w:val="批注主题 字符2"/>
    <w:basedOn w:val="163"/>
    <w:autoRedefine/>
    <w:semiHidden/>
    <w:qFormat/>
    <w:uiPriority w:val="99"/>
    <w:rPr>
      <w:b/>
      <w:bCs/>
    </w:rPr>
  </w:style>
  <w:style w:type="character" w:customStyle="1" w:styleId="165">
    <w:name w:val="标题 字符3"/>
    <w:basedOn w:val="40"/>
    <w:autoRedefine/>
    <w:qFormat/>
    <w:uiPriority w:val="10"/>
    <w:rPr>
      <w:rFonts w:asciiTheme="majorHAnsi" w:hAnsiTheme="majorHAnsi" w:eastAsiaTheme="majorEastAsia" w:cstheme="majorBidi"/>
      <w:b/>
      <w:bCs/>
      <w:sz w:val="32"/>
      <w:szCs w:val="32"/>
    </w:rPr>
  </w:style>
  <w:style w:type="character" w:customStyle="1" w:styleId="166">
    <w:name w:val="正文文本缩进 字符3"/>
    <w:basedOn w:val="40"/>
    <w:autoRedefine/>
    <w:semiHidden/>
    <w:qFormat/>
    <w:uiPriority w:val="99"/>
  </w:style>
  <w:style w:type="character" w:customStyle="1" w:styleId="167">
    <w:name w:val="正文文本 字符4"/>
    <w:basedOn w:val="40"/>
    <w:autoRedefine/>
    <w:semiHidden/>
    <w:qFormat/>
    <w:uiPriority w:val="99"/>
  </w:style>
  <w:style w:type="character" w:customStyle="1" w:styleId="168">
    <w:name w:val="正文文本缩进 3 字符2"/>
    <w:basedOn w:val="40"/>
    <w:autoRedefine/>
    <w:semiHidden/>
    <w:qFormat/>
    <w:uiPriority w:val="99"/>
    <w:rPr>
      <w:sz w:val="16"/>
      <w:szCs w:val="16"/>
    </w:rPr>
  </w:style>
  <w:style w:type="character" w:customStyle="1" w:styleId="169">
    <w:name w:val="页眉 字符2"/>
    <w:basedOn w:val="40"/>
    <w:autoRedefine/>
    <w:semiHidden/>
    <w:qFormat/>
    <w:uiPriority w:val="99"/>
    <w:rPr>
      <w:sz w:val="18"/>
      <w:szCs w:val="18"/>
    </w:rPr>
  </w:style>
  <w:style w:type="character" w:customStyle="1" w:styleId="170">
    <w:name w:val="批注框文本 字符2"/>
    <w:basedOn w:val="40"/>
    <w:autoRedefine/>
    <w:semiHidden/>
    <w:qFormat/>
    <w:uiPriority w:val="99"/>
    <w:rPr>
      <w:sz w:val="18"/>
      <w:szCs w:val="18"/>
    </w:rPr>
  </w:style>
  <w:style w:type="character" w:customStyle="1" w:styleId="171">
    <w:name w:val="HTML 预设格式 字符2"/>
    <w:basedOn w:val="40"/>
    <w:autoRedefine/>
    <w:semiHidden/>
    <w:qFormat/>
    <w:uiPriority w:val="99"/>
    <w:rPr>
      <w:rFonts w:ascii="Courier New" w:hAnsi="Courier New" w:cs="Courier New"/>
      <w:sz w:val="20"/>
      <w:szCs w:val="20"/>
    </w:rPr>
  </w:style>
  <w:style w:type="character" w:customStyle="1" w:styleId="172">
    <w:name w:val="页脚 字符2"/>
    <w:basedOn w:val="40"/>
    <w:autoRedefine/>
    <w:semiHidden/>
    <w:qFormat/>
    <w:uiPriority w:val="99"/>
    <w:rPr>
      <w:sz w:val="18"/>
      <w:szCs w:val="18"/>
    </w:rPr>
  </w:style>
  <w:style w:type="character" w:customStyle="1" w:styleId="173">
    <w:name w:val="正文文本缩进 2 字符2"/>
    <w:basedOn w:val="40"/>
    <w:autoRedefine/>
    <w:semiHidden/>
    <w:qFormat/>
    <w:uiPriority w:val="99"/>
  </w:style>
  <w:style w:type="character" w:customStyle="1" w:styleId="174">
    <w:name w:val="正文文本 3 字符2"/>
    <w:basedOn w:val="40"/>
    <w:autoRedefine/>
    <w:semiHidden/>
    <w:qFormat/>
    <w:uiPriority w:val="99"/>
    <w:rPr>
      <w:sz w:val="16"/>
      <w:szCs w:val="16"/>
    </w:rPr>
  </w:style>
  <w:style w:type="character" w:customStyle="1" w:styleId="175">
    <w:name w:val="正文文本 2 字符2"/>
    <w:basedOn w:val="40"/>
    <w:autoRedefine/>
    <w:semiHidden/>
    <w:qFormat/>
    <w:uiPriority w:val="99"/>
  </w:style>
  <w:style w:type="paragraph" w:customStyle="1" w:styleId="176">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7">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8">
    <w:name w:val="文档结构图 字符2"/>
    <w:basedOn w:val="40"/>
    <w:autoRedefine/>
    <w:semiHidden/>
    <w:qFormat/>
    <w:uiPriority w:val="99"/>
    <w:rPr>
      <w:rFonts w:ascii="Microsoft YaHei UI" w:eastAsia="Microsoft YaHei UI"/>
      <w:sz w:val="18"/>
      <w:szCs w:val="18"/>
    </w:rPr>
  </w:style>
  <w:style w:type="character" w:customStyle="1" w:styleId="179">
    <w:name w:val="日期 字符2"/>
    <w:basedOn w:val="40"/>
    <w:autoRedefine/>
    <w:semiHidden/>
    <w:qFormat/>
    <w:uiPriority w:val="99"/>
  </w:style>
  <w:style w:type="paragraph" w:customStyle="1" w:styleId="180">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1">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2">
    <w:name w:val="修订1"/>
    <w:autoRedefine/>
    <w:semiHidden/>
    <w:qFormat/>
    <w:uiPriority w:val="99"/>
    <w:rPr>
      <w:rFonts w:ascii="宋体" w:hAnsi="Calibri" w:eastAsia="宋体" w:cs="Times New Roman"/>
      <w:sz w:val="24"/>
      <w:szCs w:val="24"/>
      <w:lang w:val="en-US" w:eastAsia="zh-CN" w:bidi="ar-SA"/>
    </w:rPr>
  </w:style>
  <w:style w:type="paragraph" w:customStyle="1" w:styleId="183">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4">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5">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6">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7">
    <w:name w:val="p0"/>
    <w:basedOn w:val="1"/>
    <w:autoRedefine/>
    <w:qFormat/>
    <w:uiPriority w:val="0"/>
    <w:pPr>
      <w:widowControl/>
    </w:pPr>
    <w:rPr>
      <w:rFonts w:ascii="Times New Roman" w:hAnsi="Calibri" w:eastAsia="宋体" w:cs="Times New Roman"/>
      <w:kern w:val="0"/>
      <w:szCs w:val="20"/>
    </w:rPr>
  </w:style>
  <w:style w:type="paragraph" w:customStyle="1" w:styleId="188">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0">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1">
    <w:name w:val="WPSOffice手动目录 1"/>
    <w:autoRedefine/>
    <w:qFormat/>
    <w:uiPriority w:val="0"/>
    <w:rPr>
      <w:rFonts w:ascii="Calibri" w:hAnsi="Calibri" w:eastAsia="宋体" w:cs="Times New Roman"/>
      <w:lang w:val="en-US" w:eastAsia="zh-CN" w:bidi="ar-SA"/>
    </w:rPr>
  </w:style>
  <w:style w:type="paragraph" w:customStyle="1" w:styleId="192">
    <w:name w:val="_Style 69"/>
    <w:basedOn w:val="1"/>
    <w:next w:val="129"/>
    <w:autoRedefine/>
    <w:qFormat/>
    <w:uiPriority w:val="34"/>
    <w:pPr>
      <w:spacing w:line="360" w:lineRule="auto"/>
      <w:ind w:firstLine="420" w:firstLineChars="200"/>
    </w:pPr>
    <w:rPr>
      <w:rFonts w:ascii="Calibri" w:hAnsi="Calibri" w:eastAsia="宋体" w:cs="Times New Roman"/>
    </w:rPr>
  </w:style>
  <w:style w:type="paragraph" w:customStyle="1" w:styleId="193">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4">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5">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6">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7">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8">
    <w:name w:val="表格文字居中"/>
    <w:basedOn w:val="122"/>
    <w:autoRedefine/>
    <w:qFormat/>
    <w:uiPriority w:val="0"/>
    <w:pPr>
      <w:jc w:val="center"/>
    </w:pPr>
    <w:rPr>
      <w:rFonts w:cs="宋体"/>
      <w:szCs w:val="20"/>
    </w:rPr>
  </w:style>
  <w:style w:type="paragraph" w:customStyle="1" w:styleId="199">
    <w:name w:val="正文缩进4格"/>
    <w:basedOn w:val="63"/>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0">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1">
    <w:name w:val="正文文本首行缩进 字符"/>
    <w:basedOn w:val="118"/>
    <w:link w:val="20"/>
    <w:autoRedefine/>
    <w:semiHidden/>
    <w:qFormat/>
    <w:uiPriority w:val="99"/>
    <w:rPr>
      <w:rFonts w:ascii="宋体" w:eastAsia="宋体"/>
      <w:b w:val="0"/>
      <w:bCs w:val="0"/>
      <w:sz w:val="84"/>
      <w:szCs w:val="84"/>
      <w:lang w:val="zh-CN"/>
    </w:rPr>
  </w:style>
  <w:style w:type="paragraph" w:customStyle="1" w:styleId="202">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11811</Words>
  <Characters>67329</Characters>
  <Lines>561</Lines>
  <Paragraphs>157</Paragraphs>
  <TotalTime>0</TotalTime>
  <ScaleCrop>false</ScaleCrop>
  <LinksUpToDate>false</LinksUpToDate>
  <CharactersWithSpaces>78983</CharactersWithSpaces>
  <Application>WPS Office_12.1.0.16388_F1E327BC-269C-435d-A152-05C5408002CA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2024-01-03T07:55:00Z</dcterms:created>
  <dc:creator>HS</dc:creator>
  <cp:lastModifiedBy>郑翠婷</cp:lastModifiedBy>
  <cp:lastPrinted>2024-03-29T08:20:00Z</cp:lastPrinted>
  <dcterms:modified xsi:type="dcterms:W3CDTF">2024-04-03T08:24:08Z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0B60EEBF9F9C4F33B67A5165C18D94A0_13</vt:lpwstr>
  </property>
</Properties>
</file>