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jc w:val="center"/>
        <w:outlineLvl w:val="0"/>
        <w:rPr>
          <w:color w:val="auto"/>
          <w:highlight w:val="none"/>
        </w:rPr>
      </w:pPr>
      <w:bookmarkStart w:id="0" w:name="_Toc20234"/>
      <w:bookmarkStart w:id="1" w:name="_Toc10345"/>
      <w:r>
        <w:rPr>
          <w:rFonts w:hint="eastAsia"/>
          <w:b/>
          <w:color w:val="auto"/>
          <w:sz w:val="44"/>
          <w:szCs w:val="44"/>
          <w:highlight w:val="none"/>
          <w:lang w:eastAsia="zh-CN"/>
        </w:rPr>
        <w:t>东莞市智汇水务科技有限公司</w:t>
      </w:r>
      <w:bookmarkEnd w:id="0"/>
      <w:bookmarkEnd w:id="1"/>
      <w:bookmarkStart w:id="2" w:name="_Toc666"/>
      <w:bookmarkStart w:id="3" w:name="_Toc6153"/>
      <w:r>
        <w:rPr>
          <w:rFonts w:hint="eastAsia"/>
          <w:b/>
          <w:color w:val="auto"/>
          <w:sz w:val="44"/>
          <w:szCs w:val="44"/>
          <w:highlight w:val="none"/>
          <w:lang w:val="en-US" w:eastAsia="zh-CN"/>
        </w:rPr>
        <w:t>2024年</w:t>
      </w:r>
      <w:r>
        <w:rPr>
          <w:rFonts w:hint="eastAsia"/>
          <w:b/>
          <w:color w:val="auto"/>
          <w:sz w:val="44"/>
          <w:szCs w:val="44"/>
          <w:highlight w:val="none"/>
          <w:lang w:eastAsia="zh-CN"/>
        </w:rPr>
        <w:t>股权、设备资产</w:t>
      </w:r>
      <w:r>
        <w:rPr>
          <w:rFonts w:hint="eastAsia"/>
          <w:b/>
          <w:color w:val="auto"/>
          <w:sz w:val="44"/>
          <w:szCs w:val="44"/>
          <w:highlight w:val="none"/>
          <w:lang w:val="en-US" w:eastAsia="zh-CN"/>
        </w:rPr>
        <w:t>价值</w:t>
      </w:r>
      <w:r>
        <w:rPr>
          <w:rFonts w:hint="eastAsia"/>
          <w:b/>
          <w:color w:val="auto"/>
          <w:sz w:val="44"/>
          <w:szCs w:val="44"/>
          <w:highlight w:val="none"/>
          <w:lang w:eastAsia="zh-CN"/>
        </w:rPr>
        <w:t>评估单位采购项目</w:t>
      </w:r>
      <w:bookmarkEnd w:id="2"/>
      <w:bookmarkEnd w:id="3"/>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jc w:val="center"/>
        <w:rPr>
          <w:b/>
          <w:color w:val="auto"/>
          <w:sz w:val="72"/>
          <w:szCs w:val="72"/>
          <w:highlight w:val="none"/>
        </w:rPr>
      </w:pPr>
      <w:r>
        <w:rPr>
          <w:b/>
          <w:color w:val="auto"/>
          <w:sz w:val="72"/>
          <w:szCs w:val="72"/>
          <w:highlight w:val="none"/>
        </w:rPr>
        <w:t>询价文件</w:t>
      </w:r>
    </w:p>
    <w:p>
      <w:pPr>
        <w:spacing w:line="700" w:lineRule="exact"/>
        <w:ind w:right="-28" w:hanging="482"/>
        <w:jc w:val="center"/>
        <w:rPr>
          <w:b/>
          <w:bCs/>
          <w:color w:val="auto"/>
          <w:sz w:val="32"/>
          <w:szCs w:val="32"/>
          <w:highlight w:val="none"/>
          <w:lang w:val="zh-CN"/>
        </w:rPr>
      </w:pPr>
      <w:r>
        <w:rPr>
          <w:b/>
          <w:bCs/>
          <w:color w:val="auto"/>
          <w:sz w:val="32"/>
          <w:szCs w:val="32"/>
          <w:highlight w:val="none"/>
          <w:lang w:val="zh-CN"/>
        </w:rPr>
        <w:t>（</w:t>
      </w:r>
      <w:r>
        <w:rPr>
          <w:rFonts w:hint="eastAsia"/>
          <w:b/>
          <w:bCs/>
          <w:color w:val="auto"/>
          <w:sz w:val="32"/>
          <w:szCs w:val="32"/>
          <w:highlight w:val="none"/>
          <w:lang w:val="en-US" w:eastAsia="zh-CN"/>
        </w:rPr>
        <w:t>自行</w:t>
      </w:r>
      <w:r>
        <w:rPr>
          <w:b/>
          <w:bCs/>
          <w:color w:val="auto"/>
          <w:sz w:val="32"/>
          <w:szCs w:val="32"/>
          <w:highlight w:val="none"/>
          <w:lang w:val="zh-CN"/>
        </w:rPr>
        <w:t>采购）</w:t>
      </w:r>
    </w:p>
    <w:p>
      <w:pPr>
        <w:rPr>
          <w:color w:val="auto"/>
          <w:sz w:val="52"/>
          <w:highlight w:val="none"/>
        </w:rPr>
      </w:pPr>
    </w:p>
    <w:p>
      <w:pPr>
        <w:rPr>
          <w:color w:val="auto"/>
          <w:sz w:val="52"/>
          <w:highlight w:val="none"/>
        </w:rPr>
      </w:pPr>
    </w:p>
    <w:p>
      <w:pPr>
        <w:tabs>
          <w:tab w:val="left" w:pos="1620"/>
          <w:tab w:val="left" w:pos="1800"/>
        </w:tabs>
        <w:spacing w:line="740" w:lineRule="exact"/>
        <w:rPr>
          <w:b/>
          <w:bCs/>
          <w:color w:val="auto"/>
          <w:sz w:val="32"/>
          <w:szCs w:val="32"/>
          <w:highlight w:val="none"/>
        </w:rPr>
      </w:pPr>
    </w:p>
    <w:p>
      <w:pPr>
        <w:tabs>
          <w:tab w:val="left" w:pos="1620"/>
          <w:tab w:val="left" w:pos="1800"/>
        </w:tabs>
        <w:spacing w:line="740" w:lineRule="exact"/>
        <w:rPr>
          <w:b/>
          <w:bCs/>
          <w:color w:val="auto"/>
          <w:sz w:val="32"/>
          <w:szCs w:val="32"/>
          <w:highlight w:val="none"/>
        </w:rPr>
      </w:pPr>
    </w:p>
    <w:p>
      <w:pPr>
        <w:tabs>
          <w:tab w:val="left" w:pos="1620"/>
          <w:tab w:val="left" w:pos="1800"/>
          <w:tab w:val="left" w:pos="8460"/>
        </w:tabs>
        <w:spacing w:line="740" w:lineRule="exact"/>
        <w:rPr>
          <w:b/>
          <w:bCs/>
          <w:color w:val="auto"/>
          <w:sz w:val="32"/>
          <w:szCs w:val="32"/>
          <w:highlight w:val="none"/>
        </w:rPr>
      </w:pPr>
    </w:p>
    <w:p>
      <w:pPr>
        <w:tabs>
          <w:tab w:val="left" w:pos="1620"/>
          <w:tab w:val="left" w:pos="1800"/>
          <w:tab w:val="left" w:pos="8460"/>
        </w:tabs>
        <w:spacing w:line="740" w:lineRule="exact"/>
        <w:rPr>
          <w:b/>
          <w:bCs/>
          <w:color w:val="auto"/>
          <w:sz w:val="32"/>
          <w:szCs w:val="32"/>
          <w:highlight w:val="none"/>
        </w:rPr>
      </w:pPr>
    </w:p>
    <w:p>
      <w:pPr>
        <w:tabs>
          <w:tab w:val="left" w:pos="1620"/>
          <w:tab w:val="left" w:pos="1800"/>
          <w:tab w:val="left" w:pos="8460"/>
        </w:tabs>
        <w:spacing w:line="740" w:lineRule="exact"/>
        <w:ind w:firstLine="1285" w:firstLineChars="400"/>
        <w:rPr>
          <w:rFonts w:hint="default" w:eastAsia="宋体"/>
          <w:b/>
          <w:bCs/>
          <w:color w:val="auto"/>
          <w:sz w:val="32"/>
          <w:szCs w:val="32"/>
          <w:highlight w:val="none"/>
          <w:u w:val="single"/>
          <w:lang w:val="en-US" w:eastAsia="zh-CN"/>
        </w:rPr>
      </w:pPr>
      <w:r>
        <w:rPr>
          <w:b/>
          <w:bCs/>
          <w:color w:val="auto"/>
          <w:sz w:val="32"/>
          <w:szCs w:val="32"/>
          <w:highlight w:val="none"/>
        </w:rPr>
        <w:t>项目编号：</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lang w:eastAsia="zh-CN"/>
        </w:rPr>
        <w:t>2024-007</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p>
    <w:p>
      <w:pPr>
        <w:spacing w:line="740" w:lineRule="exact"/>
        <w:ind w:firstLine="1285" w:firstLineChars="400"/>
        <w:outlineLvl w:val="0"/>
        <w:rPr>
          <w:b/>
          <w:bCs/>
          <w:color w:val="auto"/>
          <w:sz w:val="32"/>
          <w:szCs w:val="32"/>
          <w:highlight w:val="none"/>
          <w:u w:val="single"/>
        </w:rPr>
      </w:pPr>
      <w:bookmarkStart w:id="4" w:name="_Toc26860"/>
      <w:bookmarkStart w:id="5" w:name="_Toc23702"/>
      <w:r>
        <w:rPr>
          <w:b/>
          <w:bCs/>
          <w:color w:val="auto"/>
          <w:sz w:val="32"/>
          <w:szCs w:val="32"/>
          <w:highlight w:val="none"/>
        </w:rPr>
        <w:t>采</w:t>
      </w:r>
      <w:r>
        <w:rPr>
          <w:rFonts w:hint="eastAsia"/>
          <w:b/>
          <w:bCs/>
          <w:color w:val="auto"/>
          <w:sz w:val="32"/>
          <w:szCs w:val="32"/>
          <w:highlight w:val="none"/>
        </w:rPr>
        <w:t xml:space="preserve"> </w:t>
      </w:r>
      <w:r>
        <w:rPr>
          <w:b/>
          <w:bCs/>
          <w:color w:val="auto"/>
          <w:sz w:val="32"/>
          <w:szCs w:val="32"/>
          <w:highlight w:val="none"/>
        </w:rPr>
        <w:t>购</w:t>
      </w:r>
      <w:r>
        <w:rPr>
          <w:rFonts w:hint="eastAsia"/>
          <w:b/>
          <w:bCs/>
          <w:color w:val="auto"/>
          <w:sz w:val="32"/>
          <w:szCs w:val="32"/>
          <w:highlight w:val="none"/>
        </w:rPr>
        <w:t xml:space="preserve"> </w:t>
      </w:r>
      <w:r>
        <w:rPr>
          <w:b/>
          <w:bCs/>
          <w:color w:val="auto"/>
          <w:sz w:val="32"/>
          <w:szCs w:val="32"/>
          <w:highlight w:val="none"/>
        </w:rPr>
        <w:t>人：</w:t>
      </w:r>
      <w:r>
        <w:rPr>
          <w:rFonts w:hint="eastAsia"/>
          <w:b/>
          <w:bCs/>
          <w:color w:val="auto"/>
          <w:sz w:val="32"/>
          <w:szCs w:val="32"/>
          <w:highlight w:val="none"/>
          <w:u w:val="single"/>
          <w:lang w:eastAsia="zh-CN"/>
        </w:rPr>
        <w:t>东莞市智汇水务科技有限公司</w:t>
      </w:r>
      <w:bookmarkEnd w:id="4"/>
      <w:bookmarkEnd w:id="5"/>
    </w:p>
    <w:p>
      <w:pPr>
        <w:spacing w:line="700" w:lineRule="exact"/>
        <w:ind w:right="-28" w:hanging="482"/>
        <w:jc w:val="center"/>
        <w:rPr>
          <w:b/>
          <w:bCs/>
          <w:color w:val="auto"/>
          <w:sz w:val="32"/>
          <w:szCs w:val="32"/>
          <w:highlight w:val="none"/>
          <w:lang w:val="zh-CN"/>
        </w:rPr>
      </w:pPr>
    </w:p>
    <w:p>
      <w:pPr>
        <w:spacing w:line="700" w:lineRule="exact"/>
        <w:ind w:right="-28" w:hanging="482"/>
        <w:jc w:val="center"/>
        <w:rPr>
          <w:b/>
          <w:color w:val="auto"/>
          <w:sz w:val="32"/>
          <w:szCs w:val="32"/>
          <w:highlight w:val="none"/>
        </w:rPr>
      </w:pPr>
      <w:r>
        <w:rPr>
          <w:rFonts w:hint="eastAsia"/>
          <w:b/>
          <w:bCs/>
          <w:color w:val="auto"/>
          <w:sz w:val="32"/>
          <w:szCs w:val="32"/>
          <w:highlight w:val="none"/>
          <w:lang w:val="en-US" w:eastAsia="zh-CN"/>
        </w:rPr>
        <w:t>2024</w:t>
      </w:r>
      <w:r>
        <w:rPr>
          <w:b/>
          <w:bCs/>
          <w:color w:val="auto"/>
          <w:sz w:val="32"/>
          <w:szCs w:val="32"/>
          <w:highlight w:val="none"/>
          <w:lang w:val="zh-CN"/>
        </w:rPr>
        <w:t>年</w:t>
      </w:r>
      <w:r>
        <w:rPr>
          <w:rFonts w:hint="eastAsia"/>
          <w:b/>
          <w:bCs/>
          <w:color w:val="auto"/>
          <w:sz w:val="32"/>
          <w:szCs w:val="32"/>
          <w:highlight w:val="none"/>
          <w:lang w:val="en-US" w:eastAsia="zh-CN"/>
        </w:rPr>
        <w:t>4</w:t>
      </w:r>
      <w:r>
        <w:rPr>
          <w:b/>
          <w:bCs/>
          <w:color w:val="auto"/>
          <w:sz w:val="32"/>
          <w:szCs w:val="32"/>
          <w:highlight w:val="none"/>
          <w:lang w:val="zh-CN"/>
        </w:rPr>
        <w:t>月</w:t>
      </w:r>
      <w:r>
        <w:rPr>
          <w:rFonts w:hint="eastAsia"/>
          <w:b/>
          <w:bCs/>
          <w:color w:val="auto"/>
          <w:sz w:val="32"/>
          <w:szCs w:val="32"/>
          <w:highlight w:val="none"/>
          <w:lang w:val="en-US" w:eastAsia="zh-CN"/>
        </w:rPr>
        <w:t>7</w:t>
      </w:r>
      <w:r>
        <w:rPr>
          <w:b/>
          <w:bCs/>
          <w:color w:val="auto"/>
          <w:sz w:val="32"/>
          <w:szCs w:val="32"/>
          <w:highlight w:val="none"/>
          <w:lang w:val="zh-CN"/>
        </w:rPr>
        <w:t>日</w:t>
      </w:r>
    </w:p>
    <w:p>
      <w:pPr>
        <w:pStyle w:val="31"/>
        <w:jc w:val="center"/>
        <w:rPr>
          <w:rFonts w:ascii="Times New Roman" w:hAnsi="Times New Roman" w:eastAsia="宋体"/>
          <w:b/>
          <w:color w:val="auto"/>
          <w:sz w:val="30"/>
          <w:szCs w:val="30"/>
          <w:highlight w:val="none"/>
          <w:lang w:val="zh-CN"/>
        </w:rPr>
        <w:sectPr>
          <w:headerReference r:id="rId4"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pPr>
    </w:p>
    <w:p>
      <w:pPr>
        <w:pStyle w:val="31"/>
        <w:pageBreakBefore w:val="0"/>
        <w:kinsoku/>
        <w:wordWrap/>
        <w:overflowPunct/>
        <w:topLinePunct w:val="0"/>
        <w:autoSpaceDE/>
        <w:autoSpaceDN/>
        <w:bidi w:val="0"/>
        <w:snapToGrid w:val="0"/>
        <w:spacing w:before="0" w:after="0" w:line="312" w:lineRule="auto"/>
        <w:jc w:val="center"/>
        <w:rPr>
          <w:rFonts w:ascii="Times New Roman" w:hAnsi="Times New Roman" w:eastAsia="宋体"/>
          <w:b/>
          <w:color w:val="auto"/>
          <w:sz w:val="30"/>
          <w:szCs w:val="30"/>
          <w:highlight w:val="none"/>
        </w:rPr>
      </w:pPr>
      <w:r>
        <w:rPr>
          <w:rFonts w:ascii="Times New Roman" w:hAnsi="Times New Roman" w:eastAsia="宋体"/>
          <w:b/>
          <w:color w:val="auto"/>
          <w:sz w:val="30"/>
          <w:szCs w:val="30"/>
          <w:highlight w:val="none"/>
          <w:lang w:val="zh-CN"/>
        </w:rPr>
        <w:t>目录</w:t>
      </w:r>
    </w:p>
    <w:p>
      <w:pPr>
        <w:pStyle w:val="11"/>
        <w:pageBreakBefore w:val="0"/>
        <w:tabs>
          <w:tab w:val="right" w:leader="dot" w:pos="8306"/>
          <w:tab w:val="clear" w:pos="1260"/>
          <w:tab w:val="clear" w:pos="8722"/>
        </w:tabs>
        <w:kinsoku/>
        <w:wordWrap/>
        <w:overflowPunct/>
        <w:topLinePunct w:val="0"/>
        <w:bidi w:val="0"/>
        <w:snapToGrid w:val="0"/>
        <w:spacing w:line="312" w:lineRule="auto"/>
        <w:rPr>
          <w:color w:val="auto"/>
        </w:rPr>
      </w:pPr>
      <w:r>
        <w:rPr>
          <w:rFonts w:eastAsiaTheme="minorEastAsia"/>
          <w:color w:val="auto"/>
          <w:sz w:val="21"/>
          <w:szCs w:val="21"/>
          <w:highlight w:val="none"/>
        </w:rPr>
        <w:fldChar w:fldCharType="begin"/>
      </w:r>
      <w:r>
        <w:rPr>
          <w:rFonts w:eastAsiaTheme="minorEastAsia"/>
          <w:color w:val="auto"/>
          <w:sz w:val="21"/>
          <w:szCs w:val="21"/>
          <w:highlight w:val="none"/>
        </w:rPr>
        <w:instrText xml:space="preserve"> TOC \o "1-3" \h \z \u </w:instrText>
      </w:r>
      <w:r>
        <w:rPr>
          <w:rFonts w:eastAsiaTheme="minorEastAsia"/>
          <w:color w:val="auto"/>
          <w:sz w:val="21"/>
          <w:szCs w:val="21"/>
          <w:highlight w:val="none"/>
        </w:rPr>
        <w:fldChar w:fldCharType="separate"/>
      </w: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_Toc17924 </w:instrText>
      </w:r>
      <w:r>
        <w:rPr>
          <w:rFonts w:eastAsiaTheme="minorEastAsia"/>
          <w:bCs/>
          <w:color w:val="auto"/>
          <w:szCs w:val="21"/>
          <w:highlight w:val="none"/>
          <w:lang w:val="zh-CN"/>
        </w:rPr>
        <w:fldChar w:fldCharType="separate"/>
      </w:r>
      <w:r>
        <w:rPr>
          <w:rFonts w:ascii="Times New Roman" w:hAnsi="Times New Roman"/>
          <w:bCs/>
          <w:color w:val="auto"/>
          <w:szCs w:val="30"/>
          <w:highlight w:val="none"/>
          <w:lang w:val="zh-CN"/>
        </w:rPr>
        <w:t>第一篇</w:t>
      </w:r>
      <w:r>
        <w:rPr>
          <w:rFonts w:hint="eastAsia" w:ascii="Times New Roman" w:hAnsi="Times New Roman"/>
          <w:bCs/>
          <w:color w:val="auto"/>
          <w:szCs w:val="30"/>
          <w:highlight w:val="none"/>
          <w:lang w:val="en-US" w:eastAsia="zh-CN"/>
        </w:rPr>
        <w:t xml:space="preserve"> </w:t>
      </w:r>
      <w:r>
        <w:rPr>
          <w:rFonts w:hint="eastAsia"/>
          <w:bCs/>
          <w:color w:val="auto"/>
          <w:szCs w:val="30"/>
          <w:highlight w:val="none"/>
          <w:lang w:val="en-US" w:eastAsia="zh-CN"/>
        </w:rPr>
        <w:t>询价公告</w:t>
      </w:r>
      <w:r>
        <w:rPr>
          <w:color w:val="auto"/>
        </w:rPr>
        <w:tab/>
      </w:r>
      <w:r>
        <w:rPr>
          <w:color w:val="auto"/>
        </w:rPr>
        <w:fldChar w:fldCharType="begin"/>
      </w:r>
      <w:r>
        <w:rPr>
          <w:color w:val="auto"/>
        </w:rPr>
        <w:instrText xml:space="preserve"> PAGEREF _Toc17924 \h </w:instrText>
      </w:r>
      <w:r>
        <w:rPr>
          <w:color w:val="auto"/>
        </w:rPr>
        <w:fldChar w:fldCharType="separate"/>
      </w:r>
      <w:r>
        <w:rPr>
          <w:color w:val="auto"/>
        </w:rPr>
        <w:t>3</w:t>
      </w:r>
      <w:r>
        <w:rPr>
          <w:color w:val="auto"/>
        </w:rPr>
        <w:fldChar w:fldCharType="end"/>
      </w:r>
      <w:r>
        <w:rPr>
          <w:rFonts w:eastAsiaTheme="minorEastAsia"/>
          <w:bCs/>
          <w:color w:val="auto"/>
          <w:szCs w:val="21"/>
          <w:highlight w:val="none"/>
          <w:lang w:val="zh-CN"/>
        </w:rPr>
        <w:fldChar w:fldCharType="end"/>
      </w:r>
    </w:p>
    <w:p>
      <w:pPr>
        <w:pStyle w:val="11"/>
        <w:pageBreakBefore w:val="0"/>
        <w:tabs>
          <w:tab w:val="right" w:leader="dot" w:pos="8306"/>
          <w:tab w:val="clear" w:pos="1260"/>
          <w:tab w:val="clear" w:pos="8722"/>
        </w:tabs>
        <w:kinsoku/>
        <w:wordWrap/>
        <w:overflowPunct/>
        <w:topLinePunct w:val="0"/>
        <w:bidi w:val="0"/>
        <w:snapToGrid w:val="0"/>
        <w:spacing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_Toc20918 </w:instrText>
      </w:r>
      <w:r>
        <w:rPr>
          <w:rFonts w:eastAsiaTheme="minorEastAsia"/>
          <w:bCs/>
          <w:color w:val="auto"/>
          <w:szCs w:val="21"/>
          <w:highlight w:val="none"/>
          <w:lang w:val="zh-CN"/>
        </w:rPr>
        <w:fldChar w:fldCharType="separate"/>
      </w:r>
      <w:r>
        <w:rPr>
          <w:rFonts w:hint="eastAsia" w:ascii="宋体" w:hAnsi="宋体" w:eastAsia="宋体" w:cs="宋体"/>
          <w:color w:val="auto"/>
          <w:szCs w:val="30"/>
          <w:highlight w:val="none"/>
          <w:lang w:val="zh-CN"/>
        </w:rPr>
        <w:t>第二篇</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lang w:val="zh-CN"/>
        </w:rPr>
        <w:t>报价人须知</w:t>
      </w:r>
      <w:r>
        <w:rPr>
          <w:color w:val="auto"/>
        </w:rPr>
        <w:tab/>
      </w:r>
      <w:r>
        <w:rPr>
          <w:color w:val="auto"/>
        </w:rPr>
        <w:fldChar w:fldCharType="begin"/>
      </w:r>
      <w:r>
        <w:rPr>
          <w:color w:val="auto"/>
        </w:rPr>
        <w:instrText xml:space="preserve"> PAGEREF _Toc20918 \h </w:instrText>
      </w:r>
      <w:r>
        <w:rPr>
          <w:color w:val="auto"/>
        </w:rPr>
        <w:fldChar w:fldCharType="separate"/>
      </w:r>
      <w:r>
        <w:rPr>
          <w:color w:val="auto"/>
        </w:rPr>
        <w:t>6</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_Toc14808 </w:instrText>
      </w:r>
      <w:r>
        <w:rPr>
          <w:rFonts w:eastAsiaTheme="minorEastAsia"/>
          <w:bCs/>
          <w:color w:val="auto"/>
          <w:szCs w:val="21"/>
          <w:highlight w:val="none"/>
          <w:lang w:val="zh-CN"/>
        </w:rPr>
        <w:fldChar w:fldCharType="separate"/>
      </w:r>
      <w:r>
        <w:rPr>
          <w:rFonts w:hint="eastAsia" w:asciiTheme="minorEastAsia" w:hAnsiTheme="minorEastAsia" w:eastAsiaTheme="minorEastAsia"/>
          <w:color w:val="auto"/>
          <w:szCs w:val="21"/>
          <w:highlight w:val="none"/>
          <w:lang w:val="en-US" w:eastAsia="zh-CN"/>
        </w:rPr>
        <w:t xml:space="preserve">1   </w:t>
      </w:r>
      <w:r>
        <w:rPr>
          <w:rFonts w:hint="eastAsia" w:asciiTheme="minorEastAsia" w:hAnsiTheme="minorEastAsia" w:eastAsiaTheme="minorEastAsia"/>
          <w:color w:val="auto"/>
          <w:szCs w:val="21"/>
          <w:highlight w:val="none"/>
          <w:lang w:val="zh-CN"/>
        </w:rPr>
        <w:t>资金来源：企业自筹资金。</w:t>
      </w:r>
      <w:r>
        <w:rPr>
          <w:color w:val="auto"/>
        </w:rPr>
        <w:tab/>
      </w:r>
      <w:r>
        <w:rPr>
          <w:color w:val="auto"/>
        </w:rPr>
        <w:fldChar w:fldCharType="begin"/>
      </w:r>
      <w:r>
        <w:rPr>
          <w:color w:val="auto"/>
        </w:rPr>
        <w:instrText xml:space="preserve"> PAGEREF _Toc14808 \h </w:instrText>
      </w:r>
      <w:r>
        <w:rPr>
          <w:color w:val="auto"/>
        </w:rPr>
        <w:fldChar w:fldCharType="separate"/>
      </w:r>
      <w:r>
        <w:rPr>
          <w:color w:val="auto"/>
        </w:rPr>
        <w:t>6</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_Toc31525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eastAsia="zh-CN"/>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合格的报价人</w:t>
      </w:r>
      <w:r>
        <w:rPr>
          <w:color w:val="auto"/>
        </w:rPr>
        <w:tab/>
      </w:r>
      <w:r>
        <w:rPr>
          <w:color w:val="auto"/>
        </w:rPr>
        <w:fldChar w:fldCharType="begin"/>
      </w:r>
      <w:r>
        <w:rPr>
          <w:color w:val="auto"/>
        </w:rPr>
        <w:instrText xml:space="preserve"> PAGEREF _Toc31525 \h </w:instrText>
      </w:r>
      <w:r>
        <w:rPr>
          <w:color w:val="auto"/>
        </w:rPr>
        <w:fldChar w:fldCharType="separate"/>
      </w:r>
      <w:r>
        <w:rPr>
          <w:color w:val="auto"/>
        </w:rPr>
        <w:t>6</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_Toc6675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val="zh-CN"/>
        </w:rPr>
        <w:t>合格的货物、服务或工程</w:t>
      </w:r>
      <w:r>
        <w:rPr>
          <w:color w:val="auto"/>
        </w:rPr>
        <w:tab/>
      </w:r>
      <w:r>
        <w:rPr>
          <w:color w:val="auto"/>
        </w:rPr>
        <w:fldChar w:fldCharType="begin"/>
      </w:r>
      <w:r>
        <w:rPr>
          <w:color w:val="auto"/>
        </w:rPr>
        <w:instrText xml:space="preserve"> PAGEREF _Toc6675 \h </w:instrText>
      </w:r>
      <w:r>
        <w:rPr>
          <w:color w:val="auto"/>
        </w:rPr>
        <w:fldChar w:fldCharType="separate"/>
      </w:r>
      <w:r>
        <w:rPr>
          <w:color w:val="auto"/>
        </w:rPr>
        <w:t>6</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_Toc25845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lang w:val="zh-CN"/>
        </w:rPr>
        <w:t>纪律与保密事项</w:t>
      </w:r>
      <w:r>
        <w:rPr>
          <w:color w:val="auto"/>
        </w:rPr>
        <w:tab/>
      </w:r>
      <w:r>
        <w:rPr>
          <w:color w:val="auto"/>
        </w:rPr>
        <w:fldChar w:fldCharType="begin"/>
      </w:r>
      <w:r>
        <w:rPr>
          <w:color w:val="auto"/>
        </w:rPr>
        <w:instrText xml:space="preserve"> PAGEREF _Toc25845 \h </w:instrText>
      </w:r>
      <w:r>
        <w:rPr>
          <w:color w:val="auto"/>
        </w:rPr>
        <w:fldChar w:fldCharType="separate"/>
      </w:r>
      <w:r>
        <w:rPr>
          <w:color w:val="auto"/>
        </w:rPr>
        <w:t>7</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_Toc23737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en-US" w:eastAsia="zh-CN"/>
        </w:rPr>
        <w:t xml:space="preserve">5   </w:t>
      </w:r>
      <w:r>
        <w:rPr>
          <w:rFonts w:hint="eastAsia" w:ascii="宋体" w:hAnsi="宋体" w:eastAsia="宋体" w:cs="宋体"/>
          <w:color w:val="auto"/>
          <w:szCs w:val="21"/>
          <w:highlight w:val="none"/>
          <w:lang w:val="zh-CN"/>
        </w:rPr>
        <w:t>询价文件</w:t>
      </w:r>
      <w:r>
        <w:rPr>
          <w:color w:val="auto"/>
        </w:rPr>
        <w:tab/>
      </w:r>
      <w:r>
        <w:rPr>
          <w:color w:val="auto"/>
        </w:rPr>
        <w:fldChar w:fldCharType="begin"/>
      </w:r>
      <w:r>
        <w:rPr>
          <w:color w:val="auto"/>
        </w:rPr>
        <w:instrText xml:space="preserve"> PAGEREF _Toc23737 \h </w:instrText>
      </w:r>
      <w:r>
        <w:rPr>
          <w:color w:val="auto"/>
        </w:rPr>
        <w:fldChar w:fldCharType="separate"/>
      </w:r>
      <w:r>
        <w:rPr>
          <w:color w:val="auto"/>
        </w:rPr>
        <w:t>7</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_Toc3054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en-US" w:eastAsia="zh-CN"/>
        </w:rPr>
        <w:t xml:space="preserve">6   </w:t>
      </w:r>
      <w:r>
        <w:rPr>
          <w:rFonts w:hint="eastAsia" w:ascii="宋体" w:hAnsi="宋体" w:eastAsia="宋体" w:cs="宋体"/>
          <w:color w:val="auto"/>
          <w:szCs w:val="21"/>
          <w:highlight w:val="none"/>
          <w:lang w:val="zh-CN"/>
        </w:rPr>
        <w:t>报价文件</w:t>
      </w:r>
      <w:r>
        <w:rPr>
          <w:color w:val="auto"/>
        </w:rPr>
        <w:tab/>
      </w:r>
      <w:r>
        <w:rPr>
          <w:color w:val="auto"/>
        </w:rPr>
        <w:fldChar w:fldCharType="begin"/>
      </w:r>
      <w:r>
        <w:rPr>
          <w:color w:val="auto"/>
        </w:rPr>
        <w:instrText xml:space="preserve"> PAGEREF _Toc3054 \h </w:instrText>
      </w:r>
      <w:r>
        <w:rPr>
          <w:color w:val="auto"/>
        </w:rPr>
        <w:fldChar w:fldCharType="separate"/>
      </w:r>
      <w:r>
        <w:rPr>
          <w:color w:val="auto"/>
        </w:rPr>
        <w:t>8</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_Toc11351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7   开封公开报价</w:t>
      </w:r>
      <w:r>
        <w:rPr>
          <w:color w:val="auto"/>
        </w:rPr>
        <w:tab/>
      </w:r>
      <w:r>
        <w:rPr>
          <w:color w:val="auto"/>
        </w:rPr>
        <w:fldChar w:fldCharType="begin"/>
      </w:r>
      <w:r>
        <w:rPr>
          <w:color w:val="auto"/>
        </w:rPr>
        <w:instrText xml:space="preserve"> PAGEREF _Toc11351 \h </w:instrText>
      </w:r>
      <w:r>
        <w:rPr>
          <w:color w:val="auto"/>
        </w:rPr>
        <w:fldChar w:fldCharType="separate"/>
      </w:r>
      <w:r>
        <w:rPr>
          <w:color w:val="auto"/>
        </w:rPr>
        <w:t>10</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_Toc19964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8   询价小组</w:t>
      </w:r>
      <w:r>
        <w:rPr>
          <w:color w:val="auto"/>
        </w:rPr>
        <w:tab/>
      </w:r>
      <w:r>
        <w:rPr>
          <w:color w:val="auto"/>
        </w:rPr>
        <w:fldChar w:fldCharType="begin"/>
      </w:r>
      <w:r>
        <w:rPr>
          <w:color w:val="auto"/>
        </w:rPr>
        <w:instrText xml:space="preserve"> PAGEREF _Toc19964 \h </w:instrText>
      </w:r>
      <w:r>
        <w:rPr>
          <w:color w:val="auto"/>
        </w:rPr>
        <w:fldChar w:fldCharType="separate"/>
      </w:r>
      <w:r>
        <w:rPr>
          <w:color w:val="auto"/>
        </w:rPr>
        <w:t>10</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_Toc14625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9   评审程序</w:t>
      </w:r>
      <w:r>
        <w:rPr>
          <w:color w:val="auto"/>
        </w:rPr>
        <w:tab/>
      </w:r>
      <w:r>
        <w:rPr>
          <w:color w:val="auto"/>
        </w:rPr>
        <w:fldChar w:fldCharType="begin"/>
      </w:r>
      <w:r>
        <w:rPr>
          <w:color w:val="auto"/>
        </w:rPr>
        <w:instrText xml:space="preserve"> PAGEREF _Toc14625 \h </w:instrText>
      </w:r>
      <w:r>
        <w:rPr>
          <w:color w:val="auto"/>
        </w:rPr>
        <w:fldChar w:fldCharType="separate"/>
      </w:r>
      <w:r>
        <w:rPr>
          <w:color w:val="auto"/>
        </w:rPr>
        <w:t>10</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_Toc32184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10   评定成交的标准</w:t>
      </w:r>
      <w:r>
        <w:rPr>
          <w:color w:val="auto"/>
        </w:rPr>
        <w:tab/>
      </w:r>
      <w:r>
        <w:rPr>
          <w:color w:val="auto"/>
        </w:rPr>
        <w:fldChar w:fldCharType="begin"/>
      </w:r>
      <w:r>
        <w:rPr>
          <w:color w:val="auto"/>
        </w:rPr>
        <w:instrText xml:space="preserve"> PAGEREF _Toc32184 \h </w:instrText>
      </w:r>
      <w:r>
        <w:rPr>
          <w:color w:val="auto"/>
        </w:rPr>
        <w:fldChar w:fldCharType="separate"/>
      </w:r>
      <w:r>
        <w:rPr>
          <w:color w:val="auto"/>
        </w:rPr>
        <w:t>12</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_Toc15066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11   采购结果通知及异议、投诉</w:t>
      </w:r>
      <w:r>
        <w:rPr>
          <w:color w:val="auto"/>
        </w:rPr>
        <w:tab/>
      </w:r>
      <w:r>
        <w:rPr>
          <w:color w:val="auto"/>
        </w:rPr>
        <w:fldChar w:fldCharType="begin"/>
      </w:r>
      <w:r>
        <w:rPr>
          <w:color w:val="auto"/>
        </w:rPr>
        <w:instrText xml:space="preserve"> PAGEREF _Toc15066 \h </w:instrText>
      </w:r>
      <w:r>
        <w:rPr>
          <w:color w:val="auto"/>
        </w:rPr>
        <w:fldChar w:fldCharType="separate"/>
      </w:r>
      <w:r>
        <w:rPr>
          <w:color w:val="auto"/>
        </w:rPr>
        <w:t>12</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_Toc6340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lang w:val="zh-CN"/>
        </w:rPr>
        <w:t>真实性审查</w:t>
      </w:r>
      <w:r>
        <w:rPr>
          <w:color w:val="auto"/>
        </w:rPr>
        <w:tab/>
      </w:r>
      <w:r>
        <w:rPr>
          <w:color w:val="auto"/>
        </w:rPr>
        <w:fldChar w:fldCharType="begin"/>
      </w:r>
      <w:r>
        <w:rPr>
          <w:color w:val="auto"/>
        </w:rPr>
        <w:instrText xml:space="preserve"> PAGEREF _Toc6340 \h </w:instrText>
      </w:r>
      <w:r>
        <w:rPr>
          <w:color w:val="auto"/>
        </w:rPr>
        <w:fldChar w:fldCharType="separate"/>
      </w:r>
      <w:r>
        <w:rPr>
          <w:color w:val="auto"/>
        </w:rPr>
        <w:t>13</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_Toc20487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13   签署合同</w:t>
      </w:r>
      <w:r>
        <w:rPr>
          <w:color w:val="auto"/>
        </w:rPr>
        <w:tab/>
      </w:r>
      <w:r>
        <w:rPr>
          <w:color w:val="auto"/>
        </w:rPr>
        <w:fldChar w:fldCharType="begin"/>
      </w:r>
      <w:r>
        <w:rPr>
          <w:color w:val="auto"/>
        </w:rPr>
        <w:instrText xml:space="preserve"> PAGEREF _Toc20487 \h </w:instrText>
      </w:r>
      <w:r>
        <w:rPr>
          <w:color w:val="auto"/>
        </w:rPr>
        <w:fldChar w:fldCharType="separate"/>
      </w:r>
      <w:r>
        <w:rPr>
          <w:color w:val="auto"/>
        </w:rPr>
        <w:t>14</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_Toc17515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14   发票</w:t>
      </w:r>
      <w:r>
        <w:rPr>
          <w:color w:val="auto"/>
        </w:rPr>
        <w:tab/>
      </w:r>
      <w:r>
        <w:rPr>
          <w:color w:val="auto"/>
        </w:rPr>
        <w:fldChar w:fldCharType="begin"/>
      </w:r>
      <w:r>
        <w:rPr>
          <w:color w:val="auto"/>
        </w:rPr>
        <w:instrText xml:space="preserve"> PAGEREF _Toc17515 \h </w:instrText>
      </w:r>
      <w:r>
        <w:rPr>
          <w:color w:val="auto"/>
        </w:rPr>
        <w:fldChar w:fldCharType="separate"/>
      </w:r>
      <w:r>
        <w:rPr>
          <w:color w:val="auto"/>
        </w:rPr>
        <w:t>14</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_Toc12589 </w:instrText>
      </w:r>
      <w:r>
        <w:rPr>
          <w:rFonts w:eastAsiaTheme="minorEastAsia"/>
          <w:bCs/>
          <w:color w:val="auto"/>
          <w:szCs w:val="21"/>
          <w:highlight w:val="none"/>
          <w:lang w:val="zh-CN"/>
        </w:rPr>
        <w:fldChar w:fldCharType="separate"/>
      </w:r>
      <w:r>
        <w:rPr>
          <w:rFonts w:hint="eastAsia" w:ascii="宋体" w:hAnsi="宋体" w:eastAsia="宋体" w:cs="宋体"/>
          <w:color w:val="auto"/>
          <w:szCs w:val="21"/>
          <w:highlight w:val="none"/>
          <w:lang w:val="zh-CN"/>
        </w:rPr>
        <w:t>15   其他说明</w:t>
      </w:r>
      <w:r>
        <w:rPr>
          <w:color w:val="auto"/>
        </w:rPr>
        <w:tab/>
      </w:r>
      <w:r>
        <w:rPr>
          <w:color w:val="auto"/>
        </w:rPr>
        <w:fldChar w:fldCharType="begin"/>
      </w:r>
      <w:r>
        <w:rPr>
          <w:color w:val="auto"/>
        </w:rPr>
        <w:instrText xml:space="preserve"> PAGEREF _Toc12589 \h </w:instrText>
      </w:r>
      <w:r>
        <w:rPr>
          <w:color w:val="auto"/>
        </w:rPr>
        <w:fldChar w:fldCharType="separate"/>
      </w:r>
      <w:r>
        <w:rPr>
          <w:color w:val="auto"/>
        </w:rPr>
        <w:t>14</w:t>
      </w:r>
      <w:r>
        <w:rPr>
          <w:color w:val="auto"/>
        </w:rPr>
        <w:fldChar w:fldCharType="end"/>
      </w:r>
      <w:r>
        <w:rPr>
          <w:rFonts w:eastAsiaTheme="minorEastAsia"/>
          <w:bCs/>
          <w:color w:val="auto"/>
          <w:szCs w:val="21"/>
          <w:highlight w:val="none"/>
          <w:lang w:val="zh-CN"/>
        </w:rPr>
        <w:fldChar w:fldCharType="end"/>
      </w:r>
    </w:p>
    <w:p>
      <w:pPr>
        <w:pStyle w:val="11"/>
        <w:pageBreakBefore w:val="0"/>
        <w:tabs>
          <w:tab w:val="right" w:leader="dot" w:pos="8306"/>
          <w:tab w:val="clear" w:pos="1260"/>
          <w:tab w:val="clear" w:pos="8722"/>
        </w:tabs>
        <w:kinsoku/>
        <w:wordWrap/>
        <w:overflowPunct/>
        <w:topLinePunct w:val="0"/>
        <w:bidi w:val="0"/>
        <w:snapToGrid w:val="0"/>
        <w:spacing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_Toc972 </w:instrText>
      </w:r>
      <w:r>
        <w:rPr>
          <w:rFonts w:eastAsiaTheme="minorEastAsia"/>
          <w:bCs/>
          <w:color w:val="auto"/>
          <w:szCs w:val="21"/>
          <w:highlight w:val="none"/>
          <w:lang w:val="zh-CN"/>
        </w:rPr>
        <w:fldChar w:fldCharType="separate"/>
      </w:r>
      <w:r>
        <w:rPr>
          <w:rFonts w:hint="eastAsia" w:ascii="宋体" w:hAnsi="宋体" w:eastAsia="宋体" w:cs="宋体"/>
          <w:color w:val="auto"/>
          <w:szCs w:val="30"/>
          <w:highlight w:val="none"/>
          <w:lang w:val="zh-CN"/>
        </w:rPr>
        <w:t>第三篇</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lang w:val="zh-CN"/>
        </w:rPr>
        <w:t>用户需求书</w:t>
      </w:r>
      <w:r>
        <w:rPr>
          <w:color w:val="auto"/>
        </w:rPr>
        <w:tab/>
      </w:r>
      <w:r>
        <w:rPr>
          <w:color w:val="auto"/>
        </w:rPr>
        <w:fldChar w:fldCharType="begin"/>
      </w:r>
      <w:r>
        <w:rPr>
          <w:color w:val="auto"/>
        </w:rPr>
        <w:instrText xml:space="preserve"> PAGEREF _Toc972 \h </w:instrText>
      </w:r>
      <w:r>
        <w:rPr>
          <w:color w:val="auto"/>
        </w:rPr>
        <w:fldChar w:fldCharType="separate"/>
      </w:r>
      <w:r>
        <w:rPr>
          <w:color w:val="auto"/>
        </w:rPr>
        <w:t>16</w:t>
      </w:r>
      <w:r>
        <w:rPr>
          <w:color w:val="auto"/>
        </w:rPr>
        <w:fldChar w:fldCharType="end"/>
      </w:r>
      <w:r>
        <w:rPr>
          <w:rFonts w:eastAsiaTheme="minorEastAsia"/>
          <w:bCs/>
          <w:color w:val="auto"/>
          <w:szCs w:val="21"/>
          <w:highlight w:val="none"/>
          <w:lang w:val="zh-CN"/>
        </w:rPr>
        <w:fldChar w:fldCharType="end"/>
      </w:r>
    </w:p>
    <w:p>
      <w:pPr>
        <w:pStyle w:val="11"/>
        <w:pageBreakBefore w:val="0"/>
        <w:tabs>
          <w:tab w:val="right" w:leader="dot" w:pos="8306"/>
          <w:tab w:val="clear" w:pos="1260"/>
          <w:tab w:val="clear" w:pos="8722"/>
        </w:tabs>
        <w:kinsoku/>
        <w:wordWrap/>
        <w:overflowPunct/>
        <w:topLinePunct w:val="0"/>
        <w:bidi w:val="0"/>
        <w:snapToGrid w:val="0"/>
        <w:spacing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_Toc22151 </w:instrText>
      </w:r>
      <w:r>
        <w:rPr>
          <w:rFonts w:eastAsiaTheme="minorEastAsia"/>
          <w:bCs/>
          <w:color w:val="auto"/>
          <w:szCs w:val="21"/>
          <w:highlight w:val="none"/>
          <w:lang w:val="zh-CN"/>
        </w:rPr>
        <w:fldChar w:fldCharType="separate"/>
      </w:r>
      <w:r>
        <w:rPr>
          <w:rFonts w:hint="eastAsia" w:ascii="宋体" w:hAnsi="宋体" w:eastAsia="宋体" w:cs="宋体"/>
          <w:color w:val="auto"/>
          <w:szCs w:val="30"/>
          <w:highlight w:val="none"/>
          <w:lang w:val="zh-CN"/>
        </w:rPr>
        <w:t>第四篇</w:t>
      </w:r>
      <w:r>
        <w:rPr>
          <w:rFonts w:hint="eastAsia" w:ascii="宋体" w:hAnsi="宋体" w:eastAsia="宋体" w:cs="宋体"/>
          <w:color w:val="auto"/>
          <w:szCs w:val="30"/>
          <w:highlight w:val="none"/>
          <w:lang w:val="en-US" w:eastAsia="zh-CN"/>
        </w:rPr>
        <w:t xml:space="preserve"> </w:t>
      </w:r>
      <w:r>
        <w:rPr>
          <w:rFonts w:hint="eastAsia" w:ascii="宋体" w:hAnsi="宋体" w:eastAsia="宋体" w:cs="宋体"/>
          <w:color w:val="auto"/>
          <w:szCs w:val="30"/>
          <w:highlight w:val="none"/>
          <w:lang w:val="zh-CN"/>
        </w:rPr>
        <w:t>合同条款</w:t>
      </w:r>
      <w:r>
        <w:rPr>
          <w:color w:val="auto"/>
        </w:rPr>
        <w:tab/>
      </w:r>
      <w:r>
        <w:rPr>
          <w:color w:val="auto"/>
        </w:rPr>
        <w:fldChar w:fldCharType="begin"/>
      </w:r>
      <w:r>
        <w:rPr>
          <w:color w:val="auto"/>
        </w:rPr>
        <w:instrText xml:space="preserve"> PAGEREF _Toc22151 \h </w:instrText>
      </w:r>
      <w:r>
        <w:rPr>
          <w:color w:val="auto"/>
        </w:rPr>
        <w:fldChar w:fldCharType="separate"/>
      </w:r>
      <w:r>
        <w:rPr>
          <w:color w:val="auto"/>
        </w:rPr>
        <w:t>19</w:t>
      </w:r>
      <w:r>
        <w:rPr>
          <w:color w:val="auto"/>
        </w:rPr>
        <w:fldChar w:fldCharType="end"/>
      </w:r>
      <w:r>
        <w:rPr>
          <w:rFonts w:eastAsiaTheme="minorEastAsia"/>
          <w:bCs/>
          <w:color w:val="auto"/>
          <w:szCs w:val="21"/>
          <w:highlight w:val="none"/>
          <w:lang w:val="zh-CN"/>
        </w:rPr>
        <w:fldChar w:fldCharType="end"/>
      </w:r>
    </w:p>
    <w:p>
      <w:pPr>
        <w:pStyle w:val="11"/>
        <w:pageBreakBefore w:val="0"/>
        <w:tabs>
          <w:tab w:val="right" w:leader="dot" w:pos="8306"/>
          <w:tab w:val="clear" w:pos="1260"/>
          <w:tab w:val="clear" w:pos="8722"/>
        </w:tabs>
        <w:kinsoku/>
        <w:wordWrap/>
        <w:overflowPunct/>
        <w:topLinePunct w:val="0"/>
        <w:bidi w:val="0"/>
        <w:snapToGrid w:val="0"/>
        <w:spacing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_Toc23552 </w:instrText>
      </w:r>
      <w:r>
        <w:rPr>
          <w:rFonts w:eastAsiaTheme="minorEastAsia"/>
          <w:bCs/>
          <w:color w:val="auto"/>
          <w:szCs w:val="21"/>
          <w:highlight w:val="none"/>
          <w:lang w:val="zh-CN"/>
        </w:rPr>
        <w:fldChar w:fldCharType="separate"/>
      </w:r>
      <w:r>
        <w:rPr>
          <w:rFonts w:hint="eastAsia" w:ascii="宋体" w:hAnsi="宋体" w:eastAsia="宋体"/>
          <w:color w:val="auto"/>
          <w:szCs w:val="30"/>
          <w:highlight w:val="none"/>
          <w:lang w:val="zh-CN"/>
        </w:rPr>
        <w:t>第五篇</w:t>
      </w:r>
      <w:r>
        <w:rPr>
          <w:rFonts w:hint="eastAsia" w:ascii="宋体" w:hAnsi="宋体" w:eastAsia="宋体"/>
          <w:color w:val="auto"/>
          <w:szCs w:val="30"/>
          <w:highlight w:val="none"/>
          <w:lang w:val="en-US" w:eastAsia="zh-CN"/>
        </w:rPr>
        <w:t xml:space="preserve"> </w:t>
      </w:r>
      <w:r>
        <w:rPr>
          <w:rFonts w:hint="eastAsia" w:ascii="宋体" w:hAnsi="宋体" w:eastAsia="宋体"/>
          <w:color w:val="auto"/>
          <w:szCs w:val="30"/>
          <w:highlight w:val="none"/>
          <w:lang w:val="zh-CN"/>
        </w:rPr>
        <w:t>报价文件格式</w:t>
      </w:r>
      <w:r>
        <w:rPr>
          <w:color w:val="auto"/>
        </w:rPr>
        <w:tab/>
      </w:r>
      <w:r>
        <w:rPr>
          <w:color w:val="auto"/>
        </w:rPr>
        <w:fldChar w:fldCharType="begin"/>
      </w:r>
      <w:r>
        <w:rPr>
          <w:color w:val="auto"/>
        </w:rPr>
        <w:instrText xml:space="preserve"> PAGEREF _Toc23552 \h </w:instrText>
      </w:r>
      <w:r>
        <w:rPr>
          <w:color w:val="auto"/>
        </w:rPr>
        <w:fldChar w:fldCharType="separate"/>
      </w:r>
      <w:r>
        <w:rPr>
          <w:color w:val="auto"/>
        </w:rPr>
        <w:t>30</w:t>
      </w:r>
      <w:r>
        <w:rPr>
          <w:color w:val="auto"/>
        </w:rPr>
        <w:fldChar w:fldCharType="end"/>
      </w:r>
      <w:r>
        <w:rPr>
          <w:rFonts w:eastAsiaTheme="minorEastAsia"/>
          <w:bCs/>
          <w:color w:val="auto"/>
          <w:szCs w:val="21"/>
          <w:highlight w:val="none"/>
          <w:lang w:val="zh-CN"/>
        </w:rPr>
        <w:fldChar w:fldCharType="end"/>
      </w:r>
    </w:p>
    <w:p>
      <w:pPr>
        <w:pStyle w:val="11"/>
        <w:pageBreakBefore w:val="0"/>
        <w:tabs>
          <w:tab w:val="right" w:leader="dot" w:pos="8306"/>
          <w:tab w:val="clear" w:pos="1260"/>
          <w:tab w:val="clear" w:pos="8722"/>
        </w:tabs>
        <w:kinsoku/>
        <w:wordWrap/>
        <w:overflowPunct/>
        <w:topLinePunct w:val="0"/>
        <w:bidi w:val="0"/>
        <w:snapToGrid w:val="0"/>
        <w:spacing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_Toc20439 </w:instrText>
      </w:r>
      <w:r>
        <w:rPr>
          <w:rFonts w:eastAsiaTheme="minorEastAsia"/>
          <w:bCs/>
          <w:color w:val="auto"/>
          <w:szCs w:val="21"/>
          <w:highlight w:val="none"/>
          <w:lang w:val="zh-CN"/>
        </w:rPr>
        <w:fldChar w:fldCharType="separate"/>
      </w:r>
      <w:r>
        <w:rPr>
          <w:rFonts w:ascii="宋体" w:hAnsi="宋体"/>
          <w:color w:val="auto"/>
          <w:szCs w:val="30"/>
          <w:highlight w:val="none"/>
          <w:lang w:val="zh-CN"/>
        </w:rPr>
        <w:t>一</w:t>
      </w:r>
      <w:r>
        <w:rPr>
          <w:rFonts w:hint="eastAsia" w:ascii="宋体" w:hAnsi="宋体"/>
          <w:color w:val="auto"/>
          <w:szCs w:val="30"/>
          <w:highlight w:val="none"/>
          <w:lang w:val="zh-CN"/>
        </w:rPr>
        <w:t>、</w:t>
      </w:r>
      <w:r>
        <w:rPr>
          <w:rFonts w:ascii="宋体" w:hAnsi="宋体"/>
          <w:color w:val="auto"/>
          <w:szCs w:val="30"/>
          <w:highlight w:val="none"/>
          <w:lang w:val="zh-CN"/>
        </w:rPr>
        <w:t>纸质</w:t>
      </w:r>
      <w:r>
        <w:rPr>
          <w:rFonts w:hint="eastAsia" w:ascii="宋体" w:hAnsi="宋体"/>
          <w:color w:val="auto"/>
          <w:szCs w:val="30"/>
          <w:highlight w:val="none"/>
          <w:lang w:val="zh-CN"/>
        </w:rPr>
        <w:t>盖章版</w:t>
      </w:r>
      <w:r>
        <w:rPr>
          <w:rFonts w:ascii="宋体" w:hAnsi="宋体"/>
          <w:color w:val="auto"/>
          <w:szCs w:val="30"/>
          <w:highlight w:val="none"/>
          <w:lang w:val="zh-CN"/>
        </w:rPr>
        <w:t>报价文件</w:t>
      </w:r>
      <w:r>
        <w:rPr>
          <w:color w:val="auto"/>
        </w:rPr>
        <w:tab/>
      </w:r>
      <w:r>
        <w:rPr>
          <w:color w:val="auto"/>
        </w:rPr>
        <w:fldChar w:fldCharType="begin"/>
      </w:r>
      <w:r>
        <w:rPr>
          <w:color w:val="auto"/>
        </w:rPr>
        <w:instrText xml:space="preserve"> PAGEREF _Toc20439 \h </w:instrText>
      </w:r>
      <w:r>
        <w:rPr>
          <w:color w:val="auto"/>
        </w:rPr>
        <w:fldChar w:fldCharType="separate"/>
      </w:r>
      <w:r>
        <w:rPr>
          <w:color w:val="auto"/>
        </w:rPr>
        <w:t>31</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_Toc4723 </w:instrText>
      </w:r>
      <w:r>
        <w:rPr>
          <w:rFonts w:eastAsiaTheme="minorEastAsia"/>
          <w:bCs/>
          <w:color w:val="auto"/>
          <w:szCs w:val="21"/>
          <w:highlight w:val="none"/>
          <w:lang w:val="zh-CN"/>
        </w:rPr>
        <w:fldChar w:fldCharType="separate"/>
      </w:r>
      <w:r>
        <w:rPr>
          <w:rFonts w:hint="eastAsia" w:ascii="Times New Roman" w:hAnsi="Times New Roman" w:eastAsia="宋体"/>
          <w:color w:val="auto"/>
          <w:szCs w:val="36"/>
          <w:highlight w:val="none"/>
          <w:lang w:eastAsia="zh-CN"/>
        </w:rPr>
        <w:t>（</w:t>
      </w:r>
      <w:r>
        <w:rPr>
          <w:rFonts w:hint="eastAsia" w:ascii="Times New Roman" w:hAnsi="Times New Roman" w:eastAsia="宋体"/>
          <w:color w:val="auto"/>
          <w:szCs w:val="36"/>
          <w:highlight w:val="none"/>
          <w:lang w:val="en-US" w:eastAsia="zh-CN"/>
        </w:rPr>
        <w:t>一</w:t>
      </w:r>
      <w:r>
        <w:rPr>
          <w:rFonts w:hint="eastAsia" w:ascii="Times New Roman" w:hAnsi="Times New Roman" w:eastAsia="宋体"/>
          <w:color w:val="auto"/>
          <w:szCs w:val="36"/>
          <w:highlight w:val="none"/>
          <w:lang w:eastAsia="zh-CN"/>
        </w:rPr>
        <w:t>）</w:t>
      </w:r>
      <w:r>
        <w:rPr>
          <w:rFonts w:ascii="Times New Roman" w:hAnsi="Times New Roman" w:eastAsia="宋体"/>
          <w:color w:val="auto"/>
          <w:szCs w:val="36"/>
          <w:highlight w:val="none"/>
        </w:rPr>
        <w:t>报价表</w:t>
      </w:r>
      <w:r>
        <w:rPr>
          <w:color w:val="auto"/>
        </w:rPr>
        <w:tab/>
      </w:r>
      <w:r>
        <w:rPr>
          <w:color w:val="auto"/>
        </w:rPr>
        <w:fldChar w:fldCharType="begin"/>
      </w:r>
      <w:r>
        <w:rPr>
          <w:color w:val="auto"/>
        </w:rPr>
        <w:instrText xml:space="preserve"> PAGEREF _Toc4723 \h </w:instrText>
      </w:r>
      <w:r>
        <w:rPr>
          <w:color w:val="auto"/>
        </w:rPr>
        <w:fldChar w:fldCharType="separate"/>
      </w:r>
      <w:r>
        <w:rPr>
          <w:color w:val="auto"/>
        </w:rPr>
        <w:t>33</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_Toc24746 </w:instrText>
      </w:r>
      <w:r>
        <w:rPr>
          <w:rFonts w:eastAsiaTheme="minorEastAsia"/>
          <w:bCs/>
          <w:color w:val="auto"/>
          <w:szCs w:val="21"/>
          <w:highlight w:val="none"/>
          <w:lang w:val="zh-CN"/>
        </w:rPr>
        <w:fldChar w:fldCharType="separate"/>
      </w:r>
      <w:r>
        <w:rPr>
          <w:rFonts w:hint="eastAsia" w:ascii="宋体" w:hAnsi="宋体" w:eastAsia="宋体" w:cs="Times New Roman"/>
          <w:color w:val="auto"/>
          <w:szCs w:val="32"/>
          <w:highlight w:val="none"/>
          <w:lang w:val="en-US" w:eastAsia="zh-CN"/>
        </w:rPr>
        <w:t>（二）</w:t>
      </w:r>
      <w:r>
        <w:rPr>
          <w:rFonts w:hint="eastAsia" w:ascii="宋体" w:hAnsi="宋体" w:eastAsia="宋体"/>
          <w:color w:val="auto"/>
          <w:szCs w:val="32"/>
          <w:highlight w:val="none"/>
          <w:lang w:val="en-US" w:eastAsia="zh-CN"/>
        </w:rPr>
        <w:t>报价人</w:t>
      </w:r>
      <w:r>
        <w:rPr>
          <w:rFonts w:hint="eastAsia" w:ascii="宋体" w:hAnsi="宋体" w:eastAsia="宋体"/>
          <w:color w:val="auto"/>
          <w:szCs w:val="32"/>
          <w:highlight w:val="none"/>
        </w:rPr>
        <w:t>资格证明文件</w:t>
      </w:r>
      <w:r>
        <w:rPr>
          <w:color w:val="auto"/>
        </w:rPr>
        <w:tab/>
      </w:r>
      <w:r>
        <w:rPr>
          <w:color w:val="auto"/>
        </w:rPr>
        <w:fldChar w:fldCharType="begin"/>
      </w:r>
      <w:r>
        <w:rPr>
          <w:color w:val="auto"/>
        </w:rPr>
        <w:instrText xml:space="preserve"> PAGEREF _Toc24746 \h </w:instrText>
      </w:r>
      <w:r>
        <w:rPr>
          <w:color w:val="auto"/>
        </w:rPr>
        <w:fldChar w:fldCharType="separate"/>
      </w:r>
      <w:r>
        <w:rPr>
          <w:color w:val="auto"/>
        </w:rPr>
        <w:t>35</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_Toc19238 </w:instrText>
      </w:r>
      <w:r>
        <w:rPr>
          <w:rFonts w:eastAsiaTheme="minorEastAsia"/>
          <w:bCs/>
          <w:color w:val="auto"/>
          <w:szCs w:val="21"/>
          <w:highlight w:val="none"/>
          <w:lang w:val="zh-CN"/>
        </w:rPr>
        <w:fldChar w:fldCharType="separate"/>
      </w:r>
      <w:r>
        <w:rPr>
          <w:rFonts w:hint="eastAsia" w:ascii="宋体" w:hAnsi="宋体" w:eastAsia="宋体"/>
          <w:color w:val="auto"/>
          <w:szCs w:val="32"/>
          <w:highlight w:val="none"/>
          <w:lang w:val="en-US" w:eastAsia="zh-CN"/>
        </w:rPr>
        <w:t>（三）报价人</w:t>
      </w:r>
      <w:r>
        <w:rPr>
          <w:rFonts w:hint="eastAsia" w:ascii="宋体" w:hAnsi="宋体" w:eastAsia="宋体"/>
          <w:color w:val="auto"/>
          <w:szCs w:val="32"/>
          <w:highlight w:val="none"/>
        </w:rPr>
        <w:t>基本情况一览表</w:t>
      </w:r>
      <w:r>
        <w:rPr>
          <w:rFonts w:hint="eastAsia" w:ascii="宋体" w:hAnsi="宋体" w:eastAsia="宋体"/>
          <w:color w:val="auto"/>
          <w:szCs w:val="32"/>
          <w:highlight w:val="none"/>
          <w:lang w:val="en-US" w:eastAsia="zh-CN"/>
        </w:rPr>
        <w:t>格式</w:t>
      </w:r>
      <w:r>
        <w:rPr>
          <w:color w:val="auto"/>
        </w:rPr>
        <w:tab/>
      </w:r>
      <w:r>
        <w:rPr>
          <w:color w:val="auto"/>
        </w:rPr>
        <w:fldChar w:fldCharType="begin"/>
      </w:r>
      <w:r>
        <w:rPr>
          <w:color w:val="auto"/>
        </w:rPr>
        <w:instrText xml:space="preserve"> PAGEREF _Toc19238 \h </w:instrText>
      </w:r>
      <w:r>
        <w:rPr>
          <w:color w:val="auto"/>
        </w:rPr>
        <w:fldChar w:fldCharType="separate"/>
      </w:r>
      <w:r>
        <w:rPr>
          <w:color w:val="auto"/>
        </w:rPr>
        <w:t>43</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_Toc19045 </w:instrText>
      </w:r>
      <w:r>
        <w:rPr>
          <w:rFonts w:eastAsiaTheme="minorEastAsia"/>
          <w:bCs/>
          <w:color w:val="auto"/>
          <w:szCs w:val="21"/>
          <w:highlight w:val="none"/>
          <w:lang w:val="zh-CN"/>
        </w:rPr>
        <w:fldChar w:fldCharType="separate"/>
      </w:r>
      <w:r>
        <w:rPr>
          <w:rFonts w:hint="eastAsia"/>
          <w:color w:val="auto"/>
          <w:highlight w:val="none"/>
          <w:lang w:val="en-US" w:eastAsia="zh-CN"/>
        </w:rPr>
        <w:t>（四）</w:t>
      </w:r>
      <w:r>
        <w:rPr>
          <w:rFonts w:hint="eastAsia" w:ascii="宋体" w:hAnsi="宋体" w:eastAsia="宋体"/>
          <w:color w:val="auto"/>
          <w:szCs w:val="36"/>
          <w:highlight w:val="none"/>
        </w:rPr>
        <w:t>用户需求响应情况</w:t>
      </w:r>
      <w:r>
        <w:rPr>
          <w:color w:val="auto"/>
        </w:rPr>
        <w:tab/>
      </w:r>
      <w:r>
        <w:rPr>
          <w:color w:val="auto"/>
        </w:rPr>
        <w:fldChar w:fldCharType="begin"/>
      </w:r>
      <w:r>
        <w:rPr>
          <w:color w:val="auto"/>
        </w:rPr>
        <w:instrText xml:space="preserve"> PAGEREF _Toc19045 \h </w:instrText>
      </w:r>
      <w:r>
        <w:rPr>
          <w:color w:val="auto"/>
        </w:rPr>
        <w:fldChar w:fldCharType="separate"/>
      </w:r>
      <w:r>
        <w:rPr>
          <w:color w:val="auto"/>
        </w:rPr>
        <w:t>44</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_Toc14335 </w:instrText>
      </w:r>
      <w:r>
        <w:rPr>
          <w:rFonts w:eastAsiaTheme="minorEastAsia"/>
          <w:bCs/>
          <w:color w:val="auto"/>
          <w:szCs w:val="21"/>
          <w:highlight w:val="none"/>
          <w:lang w:val="zh-CN"/>
        </w:rPr>
        <w:fldChar w:fldCharType="separate"/>
      </w:r>
      <w:r>
        <w:rPr>
          <w:rFonts w:hint="eastAsia" w:ascii="宋体" w:hAnsi="宋体" w:eastAsia="宋体"/>
          <w:color w:val="auto"/>
          <w:szCs w:val="36"/>
          <w:highlight w:val="none"/>
          <w:lang w:val="en-US" w:eastAsia="zh-CN"/>
        </w:rPr>
        <w:t>（</w:t>
      </w:r>
      <w:r>
        <w:rPr>
          <w:rFonts w:hint="eastAsia" w:ascii="宋体" w:hAnsi="宋体"/>
          <w:color w:val="auto"/>
          <w:szCs w:val="36"/>
          <w:highlight w:val="none"/>
          <w:lang w:val="en-US" w:eastAsia="zh-CN"/>
        </w:rPr>
        <w:t>五</w:t>
      </w:r>
      <w:r>
        <w:rPr>
          <w:rFonts w:hint="eastAsia" w:ascii="宋体" w:hAnsi="宋体" w:eastAsia="宋体"/>
          <w:color w:val="auto"/>
          <w:szCs w:val="36"/>
          <w:highlight w:val="none"/>
          <w:lang w:val="en-US" w:eastAsia="zh-CN"/>
        </w:rPr>
        <w:t>）</w:t>
      </w:r>
      <w:r>
        <w:rPr>
          <w:rFonts w:hint="eastAsia" w:ascii="宋体" w:hAnsi="宋体" w:eastAsia="宋体"/>
          <w:color w:val="auto"/>
          <w:szCs w:val="36"/>
          <w:highlight w:val="none"/>
        </w:rPr>
        <w:t>合同条款响应情况</w:t>
      </w:r>
      <w:r>
        <w:rPr>
          <w:color w:val="auto"/>
        </w:rPr>
        <w:tab/>
      </w:r>
      <w:r>
        <w:rPr>
          <w:color w:val="auto"/>
        </w:rPr>
        <w:fldChar w:fldCharType="begin"/>
      </w:r>
      <w:r>
        <w:rPr>
          <w:color w:val="auto"/>
        </w:rPr>
        <w:instrText xml:space="preserve"> PAGEREF _Toc14335 \h </w:instrText>
      </w:r>
      <w:r>
        <w:rPr>
          <w:color w:val="auto"/>
        </w:rPr>
        <w:fldChar w:fldCharType="separate"/>
      </w:r>
      <w:r>
        <w:rPr>
          <w:color w:val="auto"/>
        </w:rPr>
        <w:t>45</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_Toc2313 </w:instrText>
      </w:r>
      <w:r>
        <w:rPr>
          <w:rFonts w:eastAsiaTheme="minorEastAsia"/>
          <w:bCs/>
          <w:color w:val="auto"/>
          <w:szCs w:val="21"/>
          <w:highlight w:val="none"/>
          <w:lang w:val="zh-CN"/>
        </w:rPr>
        <w:fldChar w:fldCharType="separate"/>
      </w:r>
      <w:r>
        <w:rPr>
          <w:rFonts w:hint="eastAsia" w:ascii="宋体" w:hAnsi="宋体" w:eastAsia="宋体"/>
          <w:color w:val="auto"/>
          <w:szCs w:val="36"/>
          <w:highlight w:val="none"/>
          <w:lang w:val="en-US" w:eastAsia="zh-CN"/>
        </w:rPr>
        <w:t>（</w:t>
      </w:r>
      <w:r>
        <w:rPr>
          <w:rFonts w:hint="eastAsia" w:ascii="宋体" w:hAnsi="宋体"/>
          <w:color w:val="auto"/>
          <w:szCs w:val="36"/>
          <w:highlight w:val="none"/>
          <w:lang w:val="en-US" w:eastAsia="zh-CN"/>
        </w:rPr>
        <w:t>六</w:t>
      </w:r>
      <w:r>
        <w:rPr>
          <w:rFonts w:hint="eastAsia" w:ascii="宋体" w:hAnsi="宋体" w:eastAsia="宋体"/>
          <w:color w:val="auto"/>
          <w:szCs w:val="36"/>
          <w:highlight w:val="none"/>
          <w:lang w:val="en-US" w:eastAsia="zh-CN"/>
        </w:rPr>
        <w:t>）</w:t>
      </w:r>
      <w:r>
        <w:rPr>
          <w:rFonts w:hint="eastAsia" w:ascii="宋体" w:hAnsi="宋体" w:eastAsia="宋体"/>
          <w:color w:val="auto"/>
          <w:szCs w:val="36"/>
          <w:highlight w:val="none"/>
        </w:rPr>
        <w:t>拟投入</w:t>
      </w:r>
      <w:r>
        <w:rPr>
          <w:rFonts w:hint="eastAsia" w:ascii="宋体" w:hAnsi="宋体" w:eastAsia="宋体"/>
          <w:color w:val="auto"/>
          <w:szCs w:val="36"/>
          <w:highlight w:val="none"/>
          <w:lang w:val="en-US" w:eastAsia="zh-CN"/>
        </w:rPr>
        <w:t>本项目的服务</w:t>
      </w:r>
      <w:r>
        <w:rPr>
          <w:rFonts w:hint="eastAsia" w:ascii="宋体" w:hAnsi="宋体" w:eastAsia="宋体"/>
          <w:color w:val="auto"/>
          <w:szCs w:val="36"/>
          <w:highlight w:val="none"/>
        </w:rPr>
        <w:t>人员清单表</w:t>
      </w:r>
      <w:r>
        <w:rPr>
          <w:color w:val="auto"/>
        </w:rPr>
        <w:tab/>
      </w:r>
      <w:r>
        <w:rPr>
          <w:color w:val="auto"/>
        </w:rPr>
        <w:fldChar w:fldCharType="begin"/>
      </w:r>
      <w:r>
        <w:rPr>
          <w:color w:val="auto"/>
        </w:rPr>
        <w:instrText xml:space="preserve"> PAGEREF _Toc2313 \h </w:instrText>
      </w:r>
      <w:r>
        <w:rPr>
          <w:color w:val="auto"/>
        </w:rPr>
        <w:fldChar w:fldCharType="separate"/>
      </w:r>
      <w:r>
        <w:rPr>
          <w:color w:val="auto"/>
        </w:rPr>
        <w:t>46</w:t>
      </w:r>
      <w:r>
        <w:rPr>
          <w:color w:val="auto"/>
        </w:rPr>
        <w:fldChar w:fldCharType="end"/>
      </w:r>
      <w:r>
        <w:rPr>
          <w:rFonts w:eastAsiaTheme="minorEastAsia"/>
          <w:bCs/>
          <w:color w:val="auto"/>
          <w:szCs w:val="21"/>
          <w:highlight w:val="none"/>
          <w:lang w:val="zh-CN"/>
        </w:rPr>
        <w:fldChar w:fldCharType="end"/>
      </w:r>
    </w:p>
    <w:p>
      <w:pPr>
        <w:pStyle w:val="12"/>
        <w:pageBreakBefore w:val="0"/>
        <w:tabs>
          <w:tab w:val="right" w:leader="dot" w:pos="8306"/>
          <w:tab w:val="clear" w:pos="8722"/>
        </w:tabs>
        <w:kinsoku/>
        <w:wordWrap/>
        <w:overflowPunct/>
        <w:topLinePunct w:val="0"/>
        <w:bidi w:val="0"/>
        <w:snapToGrid w:val="0"/>
        <w:spacing w:before="0" w:after="0"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_Toc5897 </w:instrText>
      </w:r>
      <w:r>
        <w:rPr>
          <w:rFonts w:eastAsiaTheme="minorEastAsia"/>
          <w:bCs/>
          <w:color w:val="auto"/>
          <w:szCs w:val="21"/>
          <w:highlight w:val="none"/>
          <w:lang w:val="zh-CN"/>
        </w:rPr>
        <w:fldChar w:fldCharType="separate"/>
      </w:r>
      <w:r>
        <w:rPr>
          <w:rFonts w:hint="eastAsia" w:ascii="宋体" w:hAnsi="宋体" w:eastAsia="宋体"/>
          <w:color w:val="auto"/>
          <w:szCs w:val="36"/>
          <w:highlight w:val="none"/>
          <w:lang w:val="en-US" w:eastAsia="zh-CN"/>
        </w:rPr>
        <w:t>（</w:t>
      </w:r>
      <w:r>
        <w:rPr>
          <w:rFonts w:hint="eastAsia" w:ascii="宋体" w:hAnsi="宋体"/>
          <w:color w:val="auto"/>
          <w:szCs w:val="36"/>
          <w:highlight w:val="none"/>
          <w:lang w:val="en-US" w:eastAsia="zh-CN"/>
        </w:rPr>
        <w:t>七</w:t>
      </w:r>
      <w:r>
        <w:rPr>
          <w:rFonts w:hint="eastAsia" w:ascii="宋体" w:hAnsi="宋体" w:eastAsia="宋体"/>
          <w:color w:val="auto"/>
          <w:szCs w:val="36"/>
          <w:highlight w:val="none"/>
          <w:lang w:val="en-US" w:eastAsia="zh-CN"/>
        </w:rPr>
        <w:t>）</w:t>
      </w:r>
      <w:r>
        <w:rPr>
          <w:rFonts w:hint="eastAsia" w:ascii="宋体" w:hAnsi="宋体" w:eastAsia="宋体"/>
          <w:color w:val="auto"/>
          <w:szCs w:val="36"/>
          <w:highlight w:val="none"/>
        </w:rPr>
        <w:t>报价人认为需要提供的其他证明材料</w:t>
      </w:r>
      <w:r>
        <w:rPr>
          <w:color w:val="auto"/>
        </w:rPr>
        <w:tab/>
      </w:r>
      <w:r>
        <w:rPr>
          <w:color w:val="auto"/>
        </w:rPr>
        <w:fldChar w:fldCharType="begin"/>
      </w:r>
      <w:r>
        <w:rPr>
          <w:color w:val="auto"/>
        </w:rPr>
        <w:instrText xml:space="preserve"> PAGEREF _Toc5897 \h </w:instrText>
      </w:r>
      <w:r>
        <w:rPr>
          <w:color w:val="auto"/>
        </w:rPr>
        <w:fldChar w:fldCharType="separate"/>
      </w:r>
      <w:r>
        <w:rPr>
          <w:color w:val="auto"/>
        </w:rPr>
        <w:t>48</w:t>
      </w:r>
      <w:r>
        <w:rPr>
          <w:color w:val="auto"/>
        </w:rPr>
        <w:fldChar w:fldCharType="end"/>
      </w:r>
      <w:r>
        <w:rPr>
          <w:rFonts w:eastAsiaTheme="minorEastAsia"/>
          <w:bCs/>
          <w:color w:val="auto"/>
          <w:szCs w:val="21"/>
          <w:highlight w:val="none"/>
          <w:lang w:val="zh-CN"/>
        </w:rPr>
        <w:fldChar w:fldCharType="end"/>
      </w:r>
    </w:p>
    <w:p>
      <w:pPr>
        <w:pStyle w:val="11"/>
        <w:pageBreakBefore w:val="0"/>
        <w:tabs>
          <w:tab w:val="right" w:leader="dot" w:pos="8306"/>
          <w:tab w:val="clear" w:pos="1260"/>
          <w:tab w:val="clear" w:pos="8722"/>
        </w:tabs>
        <w:kinsoku/>
        <w:wordWrap/>
        <w:overflowPunct/>
        <w:topLinePunct w:val="0"/>
        <w:bidi w:val="0"/>
        <w:snapToGrid w:val="0"/>
        <w:spacing w:line="312" w:lineRule="auto"/>
        <w:rPr>
          <w:color w:val="auto"/>
        </w:rPr>
      </w:pPr>
      <w:r>
        <w:rPr>
          <w:rFonts w:eastAsiaTheme="minorEastAsia"/>
          <w:bCs/>
          <w:color w:val="auto"/>
          <w:szCs w:val="21"/>
          <w:highlight w:val="none"/>
          <w:lang w:val="zh-CN"/>
        </w:rPr>
        <w:fldChar w:fldCharType="begin"/>
      </w:r>
      <w:r>
        <w:rPr>
          <w:rFonts w:eastAsiaTheme="minorEastAsia"/>
          <w:bCs/>
          <w:color w:val="auto"/>
          <w:szCs w:val="21"/>
          <w:highlight w:val="none"/>
          <w:lang w:val="zh-CN"/>
        </w:rPr>
        <w:instrText xml:space="preserve"> HYPERLINK \l _Toc17148 </w:instrText>
      </w:r>
      <w:r>
        <w:rPr>
          <w:rFonts w:eastAsiaTheme="minorEastAsia"/>
          <w:bCs/>
          <w:color w:val="auto"/>
          <w:szCs w:val="21"/>
          <w:highlight w:val="none"/>
          <w:lang w:val="zh-CN"/>
        </w:rPr>
        <w:fldChar w:fldCharType="separate"/>
      </w:r>
      <w:r>
        <w:rPr>
          <w:rFonts w:hint="eastAsia" w:ascii="宋体" w:hAnsi="宋体" w:eastAsia="宋体"/>
          <w:color w:val="auto"/>
          <w:szCs w:val="30"/>
          <w:highlight w:val="none"/>
          <w:lang w:val="zh-CN"/>
        </w:rPr>
        <w:t>二、报价文件电子文档</w:t>
      </w:r>
      <w:r>
        <w:rPr>
          <w:color w:val="auto"/>
        </w:rPr>
        <w:tab/>
      </w:r>
      <w:r>
        <w:rPr>
          <w:color w:val="auto"/>
        </w:rPr>
        <w:fldChar w:fldCharType="begin"/>
      </w:r>
      <w:r>
        <w:rPr>
          <w:color w:val="auto"/>
        </w:rPr>
        <w:instrText xml:space="preserve"> PAGEREF _Toc17148 \h </w:instrText>
      </w:r>
      <w:r>
        <w:rPr>
          <w:color w:val="auto"/>
        </w:rPr>
        <w:fldChar w:fldCharType="separate"/>
      </w:r>
      <w:r>
        <w:rPr>
          <w:color w:val="auto"/>
        </w:rPr>
        <w:t>49</w:t>
      </w:r>
      <w:r>
        <w:rPr>
          <w:color w:val="auto"/>
        </w:rPr>
        <w:fldChar w:fldCharType="end"/>
      </w:r>
      <w:r>
        <w:rPr>
          <w:rFonts w:eastAsiaTheme="minorEastAsia"/>
          <w:bCs/>
          <w:color w:val="auto"/>
          <w:szCs w:val="21"/>
          <w:highlight w:val="none"/>
          <w:lang w:val="zh-CN"/>
        </w:rPr>
        <w:fldChar w:fldCharType="end"/>
      </w:r>
    </w:p>
    <w:p>
      <w:pPr>
        <w:pStyle w:val="14"/>
        <w:pageBreakBefore w:val="0"/>
        <w:kinsoku/>
        <w:wordWrap/>
        <w:overflowPunct/>
        <w:topLinePunct w:val="0"/>
        <w:bidi w:val="0"/>
        <w:snapToGrid w:val="0"/>
        <w:spacing w:before="0" w:after="0" w:line="312" w:lineRule="auto"/>
        <w:rPr>
          <w:rFonts w:hint="default" w:eastAsia="宋体"/>
          <w:color w:val="auto"/>
          <w:szCs w:val="21"/>
          <w:highlight w:val="none"/>
          <w:lang w:val="en-US" w:eastAsia="zh-CN"/>
        </w:rPr>
      </w:pPr>
      <w:r>
        <w:rPr>
          <w:rFonts w:eastAsiaTheme="minorEastAsia"/>
          <w:bCs/>
          <w:color w:val="auto"/>
          <w:szCs w:val="21"/>
          <w:highlight w:val="none"/>
          <w:lang w:val="zh-CN"/>
        </w:rPr>
        <w:fldChar w:fldCharType="end"/>
      </w:r>
      <w:bookmarkStart w:id="6" w:name="_Toc17924"/>
      <w:r>
        <w:rPr>
          <w:rFonts w:ascii="Times New Roman" w:hAnsi="Times New Roman"/>
          <w:color w:val="auto"/>
          <w:highlight w:val="none"/>
          <w:lang w:val="zh-CN"/>
        </w:rPr>
        <w:br w:type="page"/>
      </w:r>
      <w:r>
        <w:rPr>
          <w:rFonts w:ascii="Times New Roman" w:hAnsi="Times New Roman"/>
          <w:b/>
          <w:bCs/>
          <w:color w:val="auto"/>
          <w:sz w:val="30"/>
          <w:szCs w:val="30"/>
          <w:highlight w:val="none"/>
          <w:lang w:val="zh-CN"/>
        </w:rPr>
        <w:t>第一篇</w:t>
      </w:r>
      <w:r>
        <w:rPr>
          <w:rFonts w:hint="eastAsia" w:ascii="Times New Roman" w:hAnsi="Times New Roman"/>
          <w:b/>
          <w:bCs/>
          <w:color w:val="auto"/>
          <w:sz w:val="30"/>
          <w:szCs w:val="30"/>
          <w:highlight w:val="none"/>
          <w:lang w:val="en-US" w:eastAsia="zh-CN"/>
        </w:rPr>
        <w:t xml:space="preserve"> </w:t>
      </w:r>
      <w:r>
        <w:rPr>
          <w:rFonts w:hint="eastAsia"/>
          <w:b/>
          <w:bCs/>
          <w:color w:val="auto"/>
          <w:sz w:val="30"/>
          <w:szCs w:val="30"/>
          <w:highlight w:val="none"/>
          <w:lang w:val="en-US" w:eastAsia="zh-CN"/>
        </w:rPr>
        <w:t>询价公告</w:t>
      </w:r>
      <w:bookmarkEnd w:id="6"/>
    </w:p>
    <w:p>
      <w:pPr>
        <w:spacing w:line="360" w:lineRule="auto"/>
        <w:ind w:right="21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pPr>
        <w:pStyle w:val="2"/>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东莞市智汇水务科技有限公司</w:t>
      </w:r>
      <w:r>
        <w:rPr>
          <w:rFonts w:hint="eastAsia" w:ascii="宋体" w:hAnsi="宋体" w:eastAsia="宋体" w:cs="宋体"/>
          <w:color w:val="auto"/>
          <w:szCs w:val="21"/>
          <w:highlight w:val="none"/>
        </w:rPr>
        <w:t>（本项目“采购人”）</w:t>
      </w:r>
      <w:r>
        <w:rPr>
          <w:rFonts w:hint="eastAsia" w:ascii="宋体" w:hAnsi="宋体" w:cs="宋体"/>
          <w:color w:val="auto"/>
          <w:szCs w:val="21"/>
          <w:highlight w:val="none"/>
          <w:lang w:val="en-US" w:eastAsia="zh-CN"/>
        </w:rPr>
        <w:t>需对所持有的东莞市博汇环保科技有限公司的</w:t>
      </w:r>
      <w:r>
        <w:rPr>
          <w:rFonts w:hint="eastAsia" w:ascii="宋体" w:hAnsi="宋体" w:eastAsia="宋体" w:cs="宋体"/>
          <w:color w:val="auto"/>
          <w:szCs w:val="21"/>
          <w:highlight w:val="none"/>
          <w:lang w:eastAsia="zh-CN"/>
        </w:rPr>
        <w:t>股权、设备资产</w:t>
      </w:r>
      <w:r>
        <w:rPr>
          <w:rFonts w:hint="eastAsia" w:ascii="宋体" w:hAnsi="宋体" w:cs="宋体"/>
          <w:color w:val="auto"/>
          <w:szCs w:val="21"/>
          <w:highlight w:val="none"/>
          <w:lang w:val="en-US" w:eastAsia="zh-CN"/>
        </w:rPr>
        <w:t>价值评估</w:t>
      </w:r>
      <w:r>
        <w:rPr>
          <w:rFonts w:hint="eastAsia" w:ascii="宋体" w:hAnsi="宋体" w:eastAsia="宋体" w:cs="宋体"/>
          <w:color w:val="auto"/>
          <w:szCs w:val="21"/>
          <w:highlight w:val="none"/>
          <w:lang w:eastAsia="zh-CN"/>
        </w:rPr>
        <w:t>单位</w:t>
      </w:r>
      <w:r>
        <w:rPr>
          <w:rFonts w:hint="eastAsia" w:ascii="宋体" w:hAnsi="宋体" w:cs="宋体"/>
          <w:color w:val="auto"/>
          <w:szCs w:val="21"/>
          <w:highlight w:val="none"/>
          <w:lang w:val="en-US" w:eastAsia="zh-CN"/>
        </w:rPr>
        <w:t>采购项目</w:t>
      </w: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2024-007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进行公开</w:t>
      </w:r>
      <w:r>
        <w:rPr>
          <w:rFonts w:hint="eastAsia" w:ascii="宋体" w:hAnsi="宋体" w:cs="宋体"/>
          <w:color w:val="auto"/>
          <w:szCs w:val="21"/>
          <w:highlight w:val="none"/>
          <w:lang w:val="en-US" w:eastAsia="zh-CN"/>
        </w:rPr>
        <w:t>询价</w:t>
      </w:r>
      <w:r>
        <w:rPr>
          <w:rFonts w:hint="eastAsia" w:ascii="宋体" w:hAnsi="宋体" w:eastAsia="宋体" w:cs="宋体"/>
          <w:color w:val="auto"/>
          <w:szCs w:val="21"/>
          <w:highlight w:val="none"/>
          <w:lang w:val="zh-CN"/>
        </w:rPr>
        <w:t>，欢迎合格</w:t>
      </w:r>
      <w:r>
        <w:rPr>
          <w:rFonts w:hint="eastAsia" w:ascii="宋体" w:hAnsi="宋体" w:cs="宋体"/>
          <w:color w:val="auto"/>
          <w:szCs w:val="21"/>
          <w:highlight w:val="none"/>
          <w:lang w:val="zh-CN"/>
        </w:rPr>
        <w:t>的</w:t>
      </w:r>
      <w:r>
        <w:rPr>
          <w:rFonts w:hint="eastAsia" w:ascii="宋体" w:hAnsi="宋体" w:cs="宋体"/>
          <w:color w:val="auto"/>
          <w:szCs w:val="21"/>
          <w:highlight w:val="none"/>
          <w:lang w:val="en-US" w:eastAsia="zh-CN"/>
        </w:rPr>
        <w:t>报价人</w:t>
      </w:r>
      <w:r>
        <w:rPr>
          <w:rFonts w:hint="eastAsia" w:ascii="宋体" w:hAnsi="宋体" w:eastAsia="宋体" w:cs="宋体"/>
          <w:color w:val="auto"/>
          <w:szCs w:val="21"/>
          <w:highlight w:val="none"/>
          <w:lang w:val="zh-CN"/>
        </w:rPr>
        <w:t>就本项目提交密封</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lang w:eastAsia="zh-CN"/>
        </w:rPr>
        <w:t>。</w:t>
      </w:r>
    </w:p>
    <w:p>
      <w:pPr>
        <w:numPr>
          <w:ilvl w:val="0"/>
          <w:numId w:val="1"/>
        </w:numPr>
        <w:tabs>
          <w:tab w:val="left" w:pos="567"/>
        </w:tabs>
        <w:autoSpaceDE w:val="0"/>
        <w:autoSpaceDN w:val="0"/>
        <w:adjustRightInd w:val="0"/>
        <w:spacing w:line="360" w:lineRule="auto"/>
        <w:ind w:right="-34"/>
        <w:outlineLvl w:val="0"/>
        <w:rPr>
          <w:rFonts w:hint="eastAsia" w:ascii="宋体" w:hAnsi="宋体" w:eastAsia="宋体" w:cs="宋体"/>
          <w:color w:val="auto"/>
          <w:szCs w:val="21"/>
          <w:highlight w:val="none"/>
          <w:lang w:val="zh-CN"/>
        </w:rPr>
      </w:pPr>
      <w:bookmarkStart w:id="7" w:name="_Toc27826"/>
      <w:bookmarkStart w:id="8" w:name="_Toc25456"/>
      <w:r>
        <w:rPr>
          <w:rFonts w:hint="eastAsia" w:ascii="宋体" w:hAnsi="宋体" w:cs="宋体"/>
          <w:color w:val="auto"/>
          <w:szCs w:val="21"/>
          <w:highlight w:val="none"/>
          <w:lang w:val="en-US" w:eastAsia="zh-CN"/>
        </w:rPr>
        <w:t>采购内容</w:t>
      </w:r>
      <w:r>
        <w:rPr>
          <w:rFonts w:hint="eastAsia" w:ascii="宋体" w:hAnsi="宋体" w:eastAsia="宋体" w:cs="宋体"/>
          <w:bCs/>
          <w:color w:val="auto"/>
          <w:szCs w:val="21"/>
          <w:highlight w:val="none"/>
        </w:rPr>
        <w:t>：</w:t>
      </w:r>
      <w:bookmarkEnd w:id="7"/>
      <w:bookmarkEnd w:id="8"/>
    </w:p>
    <w:p>
      <w:pPr>
        <w:pStyle w:val="2"/>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对东莞市博汇环保科技有限公司</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股权及</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所持有的项目生产设备资产价值开展评估工作并出具评估报告（具体内容详见第三篇用户需求书）。</w:t>
      </w:r>
    </w:p>
    <w:p>
      <w:pPr>
        <w:pStyle w:val="36"/>
        <w:numPr>
          <w:ilvl w:val="0"/>
          <w:numId w:val="1"/>
        </w:numPr>
        <w:spacing w:line="360" w:lineRule="auto"/>
        <w:ind w:firstLineChars="0"/>
        <w:outlineLvl w:val="0"/>
        <w:rPr>
          <w:rFonts w:hint="eastAsia" w:ascii="宋体" w:hAnsi="宋体" w:eastAsia="宋体" w:cs="宋体"/>
          <w:color w:val="auto"/>
          <w:szCs w:val="21"/>
          <w:highlight w:val="none"/>
        </w:rPr>
      </w:pPr>
      <w:bookmarkStart w:id="9" w:name="_Toc15581"/>
      <w:bookmarkStart w:id="10" w:name="_Toc16693"/>
      <w:r>
        <w:rPr>
          <w:rFonts w:hint="eastAsia" w:ascii="宋体" w:hAnsi="宋体" w:cs="宋体"/>
          <w:color w:val="auto"/>
          <w:szCs w:val="21"/>
          <w:highlight w:val="none"/>
          <w:lang w:val="en-US" w:eastAsia="zh-CN"/>
        </w:rPr>
        <w:t>合格报价人资格要求：</w:t>
      </w:r>
      <w:bookmarkEnd w:id="9"/>
      <w:bookmarkEnd w:id="10"/>
    </w:p>
    <w:p>
      <w:pPr>
        <w:pStyle w:val="36"/>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420" w:hanging="420" w:hanging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2.1 在中华人民共和国境内登记注册的、合法存续、正常经营且具有独立承担民事责任能力的法人或其他组织；</w:t>
      </w:r>
    </w:p>
    <w:p>
      <w:pPr>
        <w:pStyle w:val="36"/>
        <w:widowControl w:val="0"/>
        <w:numPr>
          <w:ilvl w:val="0"/>
          <w:numId w:val="0"/>
        </w:numPr>
        <w:tabs>
          <w:tab w:val="left" w:pos="360"/>
        </w:tabs>
        <w:spacing w:line="360" w:lineRule="auto"/>
        <w:jc w:val="both"/>
        <w:outlineLvl w:val="1"/>
        <w:rPr>
          <w:rFonts w:hint="eastAsia" w:ascii="宋体" w:hAnsi="宋体" w:cs="宋体"/>
          <w:color w:val="auto"/>
          <w:szCs w:val="21"/>
          <w:highlight w:val="none"/>
          <w:lang w:val="en-US" w:eastAsia="zh-CN"/>
        </w:rPr>
      </w:pPr>
      <w:bookmarkStart w:id="11" w:name="_Toc31448"/>
      <w:bookmarkStart w:id="12" w:name="_Toc31800"/>
      <w:r>
        <w:rPr>
          <w:rFonts w:hint="eastAsia" w:ascii="宋体" w:hAnsi="宋体" w:cs="宋体"/>
          <w:color w:val="auto"/>
          <w:szCs w:val="21"/>
          <w:highlight w:val="none"/>
          <w:lang w:val="en-US" w:eastAsia="zh-CN"/>
        </w:rPr>
        <w:t>2.2 报价人需为省级财政部门资产评估机构登记备案单位；</w:t>
      </w:r>
      <w:bookmarkEnd w:id="11"/>
      <w:bookmarkEnd w:id="12"/>
    </w:p>
    <w:p>
      <w:pPr>
        <w:pStyle w:val="36"/>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420" w:hanging="420" w:hangingChars="200"/>
        <w:jc w:val="both"/>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2.3 报价人2021年1月1日以来具有二份股权或设备资产价值评估项目业绩（合同签订日期为2021年1月1日或以后）；</w:t>
      </w:r>
    </w:p>
    <w:p>
      <w:pPr>
        <w:pStyle w:val="36"/>
        <w:widowControl w:val="0"/>
        <w:numPr>
          <w:ilvl w:val="0"/>
          <w:numId w:val="0"/>
        </w:numPr>
        <w:tabs>
          <w:tab w:val="left" w:pos="360"/>
        </w:tabs>
        <w:spacing w:line="360" w:lineRule="auto"/>
        <w:jc w:val="both"/>
        <w:outlineLvl w:val="1"/>
        <w:rPr>
          <w:rFonts w:hint="default" w:ascii="宋体" w:hAnsi="宋体" w:cs="宋体"/>
          <w:color w:val="auto"/>
          <w:szCs w:val="21"/>
          <w:highlight w:val="none"/>
          <w:lang w:val="en-US" w:eastAsia="zh-CN"/>
        </w:rPr>
      </w:pPr>
      <w:bookmarkStart w:id="13" w:name="_Toc10992"/>
      <w:bookmarkStart w:id="14" w:name="_Toc12959"/>
      <w:r>
        <w:rPr>
          <w:rFonts w:hint="eastAsia" w:ascii="宋体" w:hAnsi="宋体" w:cs="宋体"/>
          <w:color w:val="auto"/>
          <w:szCs w:val="21"/>
          <w:highlight w:val="none"/>
          <w:lang w:val="en-US" w:eastAsia="zh-CN"/>
        </w:rPr>
        <w:t>2.4 本项目不接受联合体报价。</w:t>
      </w:r>
      <w:bookmarkEnd w:id="13"/>
      <w:bookmarkEnd w:id="14"/>
    </w:p>
    <w:p>
      <w:pPr>
        <w:pStyle w:val="36"/>
        <w:numPr>
          <w:ilvl w:val="0"/>
          <w:numId w:val="1"/>
        </w:numPr>
        <w:spacing w:line="360" w:lineRule="auto"/>
        <w:ind w:firstLineChars="0"/>
        <w:outlineLvl w:val="0"/>
        <w:rPr>
          <w:rFonts w:hint="eastAsia" w:ascii="宋体" w:hAnsi="宋体" w:eastAsia="宋体" w:cs="宋体"/>
          <w:color w:val="auto"/>
          <w:szCs w:val="21"/>
          <w:highlight w:val="none"/>
        </w:rPr>
      </w:pPr>
      <w:bookmarkStart w:id="15" w:name="_Toc32405"/>
      <w:bookmarkStart w:id="16" w:name="_Toc10610"/>
      <w:r>
        <w:rPr>
          <w:rFonts w:hint="eastAsia" w:ascii="宋体" w:hAnsi="宋体" w:cs="宋体"/>
          <w:color w:val="auto"/>
          <w:szCs w:val="21"/>
          <w:highlight w:val="none"/>
          <w:lang w:val="en-US" w:eastAsia="zh-CN"/>
        </w:rPr>
        <w:t>报价人获取询价文件的方式：</w:t>
      </w:r>
      <w:bookmarkEnd w:id="15"/>
      <w:bookmarkEnd w:id="16"/>
    </w:p>
    <w:p>
      <w:pPr>
        <w:pStyle w:val="36"/>
        <w:widowControl w:val="0"/>
        <w:numPr>
          <w:ilvl w:val="0"/>
          <w:numId w:val="0"/>
        </w:numPr>
        <w:tabs>
          <w:tab w:val="left" w:pos="360"/>
        </w:tabs>
        <w:spacing w:line="360" w:lineRule="auto"/>
        <w:ind w:firstLine="420" w:firstLineChars="2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有意参与报价的供应商请自行在</w:t>
      </w:r>
      <w:r>
        <w:rPr>
          <w:rFonts w:hint="default" w:ascii="Times New Roman" w:hAnsi="Times New Roman" w:cs="Times New Roman"/>
          <w:color w:val="auto"/>
          <w:kern w:val="2"/>
          <w:sz w:val="21"/>
          <w:szCs w:val="21"/>
          <w:highlight w:val="none"/>
          <w:u w:val="none"/>
          <w:lang w:val="zh-CN"/>
        </w:rPr>
        <w:t>东莞市水务集团有限公司官网</w:t>
      </w:r>
      <w:r>
        <w:rPr>
          <w:rFonts w:hint="default" w:ascii="Times New Roman" w:hAnsi="Times New Roman" w:cs="Times New Roman"/>
          <w:color w:val="auto"/>
          <w:kern w:val="2"/>
          <w:sz w:val="21"/>
          <w:szCs w:val="21"/>
          <w:highlight w:val="none"/>
          <w:u w:val="none"/>
        </w:rPr>
        <w:t>（http://www.dgswjt.cn/）</w:t>
      </w:r>
      <w:r>
        <w:rPr>
          <w:rFonts w:hint="eastAsia" w:ascii="Times New Roman" w:hAnsi="Times New Roman" w:cs="Times New Roman"/>
          <w:color w:val="auto"/>
          <w:kern w:val="2"/>
          <w:sz w:val="21"/>
          <w:szCs w:val="21"/>
          <w:highlight w:val="none"/>
          <w:u w:val="none"/>
          <w:lang w:val="en-US" w:eastAsia="zh-CN"/>
        </w:rPr>
        <w:t>下载本项目的询价文件，并按照询价文件要求编制报价文件。</w:t>
      </w:r>
    </w:p>
    <w:p>
      <w:pPr>
        <w:pStyle w:val="36"/>
        <w:numPr>
          <w:ilvl w:val="0"/>
          <w:numId w:val="1"/>
        </w:numPr>
        <w:spacing w:line="360" w:lineRule="auto"/>
        <w:ind w:firstLineChars="0"/>
        <w:outlineLvl w:val="0"/>
        <w:rPr>
          <w:rFonts w:hint="eastAsia" w:ascii="宋体" w:hAnsi="宋体" w:eastAsia="宋体" w:cs="宋体"/>
          <w:color w:val="auto"/>
          <w:szCs w:val="21"/>
          <w:highlight w:val="none"/>
        </w:rPr>
      </w:pPr>
      <w:bookmarkStart w:id="17" w:name="_Toc20507"/>
      <w:bookmarkStart w:id="18" w:name="_Toc10117"/>
      <w:r>
        <w:rPr>
          <w:rFonts w:hint="eastAsia" w:ascii="宋体" w:hAnsi="宋体" w:eastAsia="宋体" w:cs="宋体"/>
          <w:color w:val="auto"/>
          <w:szCs w:val="21"/>
          <w:highlight w:val="none"/>
        </w:rPr>
        <w:t>报价：</w:t>
      </w:r>
      <w:bookmarkEnd w:id="17"/>
      <w:bookmarkEnd w:id="18"/>
    </w:p>
    <w:p>
      <w:pPr>
        <w:pStyle w:val="2"/>
        <w:spacing w:after="0" w:line="360" w:lineRule="auto"/>
        <w:ind w:left="422" w:hanging="420" w:hangingChars="200"/>
        <w:rPr>
          <w:rFonts w:hint="eastAsia" w:ascii="宋体" w:hAnsi="宋体" w:cs="宋体"/>
          <w:b/>
          <w:color w:val="auto"/>
          <w:szCs w:val="21"/>
          <w:highlight w:val="none"/>
          <w:u w:val="single"/>
          <w:lang w:val="en-US" w:eastAsia="zh-CN"/>
        </w:rPr>
      </w:pPr>
      <w:r>
        <w:rPr>
          <w:rFonts w:hint="eastAsia" w:ascii="宋体" w:hAnsi="宋体" w:cs="宋体"/>
          <w:b w:val="0"/>
          <w:bCs/>
          <w:color w:val="auto"/>
          <w:szCs w:val="21"/>
          <w:highlight w:val="none"/>
          <w:u w:val="none"/>
          <w:lang w:val="en-US" w:eastAsia="zh-CN"/>
        </w:rPr>
        <w:t>4</w:t>
      </w:r>
      <w:r>
        <w:rPr>
          <w:rFonts w:hint="eastAsia" w:ascii="宋体" w:hAnsi="宋体" w:eastAsia="宋体" w:cs="宋体"/>
          <w:b w:val="0"/>
          <w:bCs/>
          <w:color w:val="auto"/>
          <w:szCs w:val="21"/>
          <w:highlight w:val="none"/>
          <w:u w:val="none"/>
        </w:rPr>
        <w:t>.1</w:t>
      </w:r>
      <w:r>
        <w:rPr>
          <w:rFonts w:hint="eastAsia" w:ascii="宋体" w:hAnsi="宋体" w:eastAsia="宋体" w:cs="宋体"/>
          <w:b/>
          <w:color w:val="auto"/>
          <w:szCs w:val="21"/>
          <w:highlight w:val="none"/>
          <w:u w:val="none"/>
        </w:rPr>
        <w:t xml:space="preserve"> </w:t>
      </w:r>
      <w:r>
        <w:rPr>
          <w:rFonts w:hint="eastAsia" w:ascii="宋体" w:hAnsi="宋体" w:eastAsia="宋体" w:cs="宋体"/>
          <w:b/>
          <w:color w:val="auto"/>
          <w:szCs w:val="21"/>
          <w:highlight w:val="none"/>
          <w:u w:val="single"/>
        </w:rPr>
        <w:t>本次报价（不含税）最高限价为</w:t>
      </w:r>
      <w:r>
        <w:rPr>
          <w:rFonts w:hint="eastAsia" w:ascii="宋体" w:hAnsi="宋体" w:cs="宋体"/>
          <w:b/>
          <w:color w:val="auto"/>
          <w:szCs w:val="21"/>
          <w:highlight w:val="none"/>
          <w:u w:val="single"/>
          <w:lang w:val="en-US" w:eastAsia="zh-CN"/>
        </w:rPr>
        <w:t>47,169.81</w:t>
      </w:r>
      <w:r>
        <w:rPr>
          <w:rFonts w:hint="eastAsia" w:ascii="宋体" w:hAnsi="宋体" w:eastAsia="宋体" w:cs="宋体"/>
          <w:b/>
          <w:color w:val="auto"/>
          <w:szCs w:val="21"/>
          <w:highlight w:val="none"/>
          <w:u w:val="single"/>
        </w:rPr>
        <w:t>元</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zh-CN"/>
        </w:rPr>
        <w:t>报价人的报价高于报价最高限价的，该报价人的报价文件将被视为无效报价。</w:t>
      </w:r>
    </w:p>
    <w:p>
      <w:pPr>
        <w:pStyle w:val="2"/>
        <w:spacing w:after="0" w:line="360" w:lineRule="auto"/>
        <w:ind w:left="422" w:hanging="420" w:hangingChars="200"/>
        <w:rPr>
          <w:rFonts w:hint="eastAsia" w:ascii="宋体" w:hAnsi="宋体" w:eastAsia="宋体" w:cs="宋体"/>
          <w:b/>
          <w:bCs/>
          <w:color w:val="auto"/>
          <w:szCs w:val="21"/>
          <w:highlight w:val="none"/>
          <w:u w:val="single"/>
        </w:rPr>
      </w:pP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zh-CN"/>
        </w:rPr>
        <w:t>.2</w:t>
      </w:r>
      <w:r>
        <w:rPr>
          <w:rFonts w:hint="eastAsia" w:ascii="宋体" w:hAnsi="宋体" w:eastAsia="宋体" w:cs="宋体"/>
          <w:b/>
          <w:bCs/>
          <w:color w:val="auto"/>
          <w:szCs w:val="21"/>
          <w:highlight w:val="none"/>
          <w:lang w:val="zh-CN"/>
        </w:rPr>
        <w:t xml:space="preserve"> </w:t>
      </w:r>
      <w:r>
        <w:rPr>
          <w:rFonts w:hint="eastAsia" w:ascii="宋体" w:hAnsi="宋体" w:eastAsia="宋体" w:cs="宋体"/>
          <w:b/>
          <w:color w:val="auto"/>
          <w:szCs w:val="21"/>
          <w:highlight w:val="none"/>
          <w:u w:val="single"/>
          <w:lang w:val="zh-CN"/>
        </w:rPr>
        <w:t>本项目报价为不含税价，</w:t>
      </w:r>
      <w:r>
        <w:rPr>
          <w:rFonts w:hint="eastAsia" w:ascii="宋体" w:hAnsi="宋体" w:eastAsia="宋体" w:cs="宋体"/>
          <w:b/>
          <w:bCs/>
          <w:color w:val="auto"/>
          <w:szCs w:val="21"/>
          <w:highlight w:val="none"/>
          <w:u w:val="single"/>
        </w:rPr>
        <w:t>即为《中华人民共和国增值税暂行条例》（国务院令第691号修订版）规定的销售额。</w:t>
      </w:r>
      <w:r>
        <w:rPr>
          <w:rFonts w:hint="eastAsia" w:ascii="宋体" w:hAnsi="宋体" w:eastAsia="宋体" w:cs="宋体"/>
          <w:b w:val="0"/>
          <w:bCs w:val="0"/>
          <w:color w:val="auto"/>
          <w:szCs w:val="21"/>
          <w:highlight w:val="none"/>
          <w:u w:val="none"/>
        </w:rPr>
        <w:t>本询价文件所称的不含税价和合同价（或合同单价）是指不含本采购项目报价人的销项税额，包含了报价人完成合同义务（含报价人代缴代扣、分包及委外服务、施工、采购货物等所产生的价税）的其他全部费用。</w:t>
      </w:r>
    </w:p>
    <w:p>
      <w:pPr>
        <w:pStyle w:val="2"/>
        <w:spacing w:after="0" w:line="360" w:lineRule="auto"/>
        <w:ind w:left="422" w:hanging="420" w:hangingChars="200"/>
        <w:rPr>
          <w:rFonts w:hint="default" w:ascii="宋体" w:hAnsi="宋体" w:cs="宋体"/>
          <w:b w:val="0"/>
          <w:bCs w:val="0"/>
          <w:color w:val="auto"/>
          <w:szCs w:val="21"/>
          <w:highlight w:val="none"/>
          <w:u w:val="none"/>
          <w:lang w:val="en-US" w:eastAsia="zh-CN"/>
        </w:rPr>
      </w:pPr>
      <w:r>
        <w:rPr>
          <w:rFonts w:hint="eastAsia" w:ascii="宋体" w:hAnsi="宋体" w:cs="宋体"/>
          <w:b w:val="0"/>
          <w:bCs w:val="0"/>
          <w:color w:val="auto"/>
          <w:szCs w:val="21"/>
          <w:highlight w:val="none"/>
          <w:u w:val="none"/>
          <w:lang w:val="en-US" w:eastAsia="zh-CN"/>
        </w:rPr>
        <w:t xml:space="preserve">4.3 </w:t>
      </w:r>
      <w:r>
        <w:rPr>
          <w:rFonts w:hint="eastAsia" w:ascii="宋体" w:hAnsi="宋体" w:eastAsia="宋体" w:cs="宋体"/>
          <w:b/>
          <w:bCs/>
          <w:color w:val="auto"/>
          <w:szCs w:val="21"/>
          <w:highlight w:val="none"/>
          <w:u w:val="single"/>
        </w:rPr>
        <w:t>本采购项目依法计算的报价人的销项税额由采购人承担，不计入报价。</w:t>
      </w:r>
    </w:p>
    <w:p>
      <w:pPr>
        <w:pStyle w:val="2"/>
        <w:spacing w:after="0" w:line="360" w:lineRule="auto"/>
        <w:ind w:left="422" w:hanging="420" w:hangingChars="200"/>
        <w:rPr>
          <w:rFonts w:hint="eastAsia" w:ascii="宋体" w:hAnsi="宋体" w:cs="monospace"/>
          <w:color w:val="auto"/>
          <w:kern w:val="2"/>
          <w:sz w:val="21"/>
          <w:szCs w:val="21"/>
          <w:highlight w:val="none"/>
          <w:lang w:val="zh-CN"/>
        </w:rPr>
      </w:pPr>
      <w:r>
        <w:rPr>
          <w:rFonts w:hint="eastAsia" w:ascii="宋体" w:hAnsi="宋体" w:cs="宋体"/>
          <w:b w:val="0"/>
          <w:bCs w:val="0"/>
          <w:color w:val="auto"/>
          <w:szCs w:val="21"/>
          <w:highlight w:val="none"/>
          <w:u w:val="none"/>
          <w:lang w:val="en-US" w:eastAsia="zh-CN"/>
        </w:rPr>
        <w:t>4</w:t>
      </w:r>
      <w:r>
        <w:rPr>
          <w:rFonts w:hint="eastAsia" w:ascii="宋体" w:hAnsi="宋体" w:eastAsia="宋体" w:cs="宋体"/>
          <w:b w:val="0"/>
          <w:bCs w:val="0"/>
          <w:color w:val="auto"/>
          <w:szCs w:val="21"/>
          <w:highlight w:val="none"/>
          <w:u w:val="none"/>
          <w:lang w:val="zh-CN"/>
        </w:rPr>
        <w:t>.</w:t>
      </w:r>
      <w:r>
        <w:rPr>
          <w:rFonts w:hint="eastAsia" w:ascii="宋体" w:hAnsi="宋体" w:cs="宋体"/>
          <w:b w:val="0"/>
          <w:bCs w:val="0"/>
          <w:color w:val="auto"/>
          <w:szCs w:val="21"/>
          <w:highlight w:val="none"/>
          <w:u w:val="none"/>
          <w:lang w:val="en-US" w:eastAsia="zh-CN"/>
        </w:rPr>
        <w:t>4</w:t>
      </w:r>
      <w:r>
        <w:rPr>
          <w:rFonts w:hint="eastAsia" w:ascii="宋体" w:hAnsi="宋体" w:eastAsia="宋体" w:cs="宋体"/>
          <w:b w:val="0"/>
          <w:bCs w:val="0"/>
          <w:color w:val="auto"/>
          <w:szCs w:val="21"/>
          <w:highlight w:val="none"/>
          <w:u w:val="none"/>
          <w:lang w:val="en-US" w:eastAsia="zh-CN"/>
        </w:rPr>
        <w:t xml:space="preserve"> </w:t>
      </w:r>
      <w:r>
        <w:rPr>
          <w:rFonts w:hint="eastAsia" w:ascii="宋体" w:hAnsi="宋体" w:cs="monospace"/>
          <w:b/>
          <w:bCs/>
          <w:color w:val="auto"/>
          <w:kern w:val="2"/>
          <w:sz w:val="21"/>
          <w:szCs w:val="21"/>
          <w:highlight w:val="none"/>
          <w:u w:val="single"/>
          <w:lang w:val="zh-CN"/>
        </w:rPr>
        <w:t>报价包括采购人购买本合同项下</w:t>
      </w:r>
      <w:r>
        <w:rPr>
          <w:rFonts w:hint="eastAsia" w:ascii="宋体" w:hAnsi="宋体" w:cs="monospace"/>
          <w:b/>
          <w:bCs/>
          <w:color w:val="auto"/>
          <w:kern w:val="2"/>
          <w:sz w:val="21"/>
          <w:szCs w:val="21"/>
          <w:highlight w:val="none"/>
          <w:u w:val="single"/>
          <w:lang w:val="en-US" w:eastAsia="zh-CN"/>
        </w:rPr>
        <w:t>的资产评估服务</w:t>
      </w:r>
      <w:r>
        <w:rPr>
          <w:rFonts w:hint="eastAsia" w:ascii="宋体" w:hAnsi="宋体" w:cs="monospace"/>
          <w:b/>
          <w:bCs/>
          <w:color w:val="auto"/>
          <w:kern w:val="2"/>
          <w:sz w:val="21"/>
          <w:szCs w:val="21"/>
          <w:highlight w:val="none"/>
          <w:u w:val="single"/>
          <w:lang w:val="zh-CN"/>
        </w:rPr>
        <w:t>所支付的全部价款，包括但不限于：（1）实地查勘</w:t>
      </w:r>
      <w:r>
        <w:rPr>
          <w:rFonts w:hint="eastAsia" w:ascii="宋体" w:hAnsi="宋体" w:cs="monospace"/>
          <w:b/>
          <w:bCs/>
          <w:color w:val="auto"/>
          <w:kern w:val="2"/>
          <w:sz w:val="21"/>
          <w:szCs w:val="21"/>
          <w:highlight w:val="none"/>
          <w:u w:val="single"/>
          <w:lang w:val="zh-CN" w:eastAsia="zh-CN"/>
        </w:rPr>
        <w:t>、资料收集/核实/分析、编写评估报告（</w:t>
      </w:r>
      <w:r>
        <w:rPr>
          <w:rFonts w:hint="eastAsia" w:ascii="宋体" w:hAnsi="宋体" w:cs="monospace"/>
          <w:b/>
          <w:bCs/>
          <w:color w:val="auto"/>
          <w:kern w:val="2"/>
          <w:sz w:val="21"/>
          <w:szCs w:val="21"/>
          <w:highlight w:val="none"/>
          <w:u w:val="single"/>
          <w:lang w:val="en-US" w:eastAsia="zh-CN"/>
        </w:rPr>
        <w:t>含</w:t>
      </w:r>
      <w:r>
        <w:rPr>
          <w:rFonts w:hint="eastAsia" w:ascii="宋体" w:hAnsi="宋体" w:cs="monospace"/>
          <w:b/>
          <w:bCs/>
          <w:color w:val="auto"/>
          <w:kern w:val="2"/>
          <w:sz w:val="21"/>
          <w:szCs w:val="21"/>
          <w:highlight w:val="none"/>
          <w:u w:val="single"/>
          <w:lang w:val="zh-CN" w:eastAsia="zh-CN"/>
        </w:rPr>
        <w:t>初评</w:t>
      </w:r>
      <w:r>
        <w:rPr>
          <w:rFonts w:hint="eastAsia" w:ascii="宋体" w:hAnsi="宋体" w:cs="monospace"/>
          <w:b/>
          <w:bCs/>
          <w:color w:val="auto"/>
          <w:kern w:val="2"/>
          <w:sz w:val="21"/>
          <w:szCs w:val="21"/>
          <w:highlight w:val="none"/>
          <w:u w:val="single"/>
          <w:lang w:val="en-US" w:eastAsia="zh-CN"/>
        </w:rPr>
        <w:t>/过程</w:t>
      </w:r>
      <w:r>
        <w:rPr>
          <w:rFonts w:hint="eastAsia" w:ascii="宋体" w:hAnsi="宋体" w:cs="monospace"/>
          <w:b/>
          <w:bCs/>
          <w:color w:val="auto"/>
          <w:kern w:val="2"/>
          <w:sz w:val="21"/>
          <w:szCs w:val="21"/>
          <w:highlight w:val="none"/>
          <w:u w:val="single"/>
          <w:lang w:val="zh-CN" w:eastAsia="zh-CN"/>
        </w:rPr>
        <w:t>修改</w:t>
      </w:r>
      <w:r>
        <w:rPr>
          <w:rFonts w:hint="eastAsia" w:ascii="宋体" w:hAnsi="宋体" w:cs="monospace"/>
          <w:b/>
          <w:bCs/>
          <w:color w:val="auto"/>
          <w:kern w:val="2"/>
          <w:sz w:val="21"/>
          <w:szCs w:val="21"/>
          <w:highlight w:val="none"/>
          <w:u w:val="single"/>
          <w:lang w:val="en-US" w:eastAsia="zh-CN"/>
        </w:rPr>
        <w:t>/</w:t>
      </w:r>
      <w:r>
        <w:rPr>
          <w:rFonts w:hint="eastAsia" w:ascii="宋体" w:hAnsi="宋体" w:cs="monospace"/>
          <w:b/>
          <w:bCs/>
          <w:color w:val="auto"/>
          <w:kern w:val="2"/>
          <w:sz w:val="21"/>
          <w:szCs w:val="21"/>
          <w:highlight w:val="none"/>
          <w:u w:val="single"/>
          <w:lang w:val="zh-CN" w:eastAsia="zh-CN"/>
        </w:rPr>
        <w:t>正式版）</w:t>
      </w:r>
      <w:r>
        <w:rPr>
          <w:rFonts w:hint="eastAsia" w:ascii="宋体" w:hAnsi="宋体" w:eastAsia="宋体" w:cs="monospace"/>
          <w:b/>
          <w:bCs/>
          <w:color w:val="auto"/>
          <w:kern w:val="2"/>
          <w:sz w:val="21"/>
          <w:szCs w:val="21"/>
          <w:highlight w:val="none"/>
          <w:u w:val="single"/>
          <w:lang w:val="zh-CN"/>
        </w:rPr>
        <w:t>；（</w:t>
      </w:r>
      <w:r>
        <w:rPr>
          <w:rFonts w:hint="eastAsia" w:ascii="宋体" w:hAnsi="宋体" w:eastAsia="宋体" w:cs="monospace"/>
          <w:b/>
          <w:bCs/>
          <w:color w:val="auto"/>
          <w:kern w:val="2"/>
          <w:sz w:val="21"/>
          <w:szCs w:val="21"/>
          <w:highlight w:val="none"/>
          <w:u w:val="single"/>
          <w:lang w:val="en-US" w:eastAsia="zh-CN"/>
        </w:rPr>
        <w:t>2</w:t>
      </w:r>
      <w:r>
        <w:rPr>
          <w:rFonts w:hint="eastAsia" w:ascii="宋体" w:hAnsi="宋体" w:cs="monospace"/>
          <w:b/>
          <w:bCs/>
          <w:color w:val="auto"/>
          <w:kern w:val="2"/>
          <w:sz w:val="21"/>
          <w:szCs w:val="21"/>
          <w:highlight w:val="none"/>
          <w:u w:val="single"/>
          <w:lang w:val="zh-CN"/>
        </w:rPr>
        <w:t>）服务期间</w:t>
      </w:r>
      <w:r>
        <w:rPr>
          <w:rFonts w:hint="eastAsia" w:ascii="宋体" w:hAnsi="宋体" w:cs="monospace"/>
          <w:b/>
          <w:bCs/>
          <w:color w:val="auto"/>
          <w:kern w:val="2"/>
          <w:sz w:val="21"/>
          <w:szCs w:val="21"/>
          <w:highlight w:val="none"/>
          <w:u w:val="single"/>
          <w:lang w:val="en-US" w:eastAsia="zh-CN"/>
        </w:rPr>
        <w:t>人员</w:t>
      </w:r>
      <w:r>
        <w:rPr>
          <w:rFonts w:hint="eastAsia" w:ascii="宋体" w:hAnsi="宋体" w:cs="monospace"/>
          <w:b/>
          <w:bCs/>
          <w:color w:val="auto"/>
          <w:kern w:val="2"/>
          <w:sz w:val="21"/>
          <w:szCs w:val="21"/>
          <w:highlight w:val="none"/>
          <w:u w:val="single"/>
          <w:lang w:val="zh-CN"/>
        </w:rPr>
        <w:t>工资、管理费、交通费、通讯费、</w:t>
      </w:r>
      <w:r>
        <w:rPr>
          <w:rFonts w:hint="eastAsia" w:ascii="宋体" w:hAnsi="宋体" w:cs="monospace"/>
          <w:b/>
          <w:bCs/>
          <w:color w:val="auto"/>
          <w:kern w:val="2"/>
          <w:sz w:val="21"/>
          <w:szCs w:val="21"/>
          <w:highlight w:val="none"/>
          <w:u w:val="single"/>
          <w:lang w:val="zh-CN" w:eastAsia="zh-CN"/>
        </w:rPr>
        <w:t>误餐补助</w:t>
      </w:r>
      <w:r>
        <w:rPr>
          <w:rFonts w:hint="eastAsia" w:ascii="宋体" w:hAnsi="宋体" w:cs="monospace"/>
          <w:b/>
          <w:bCs/>
          <w:color w:val="auto"/>
          <w:kern w:val="2"/>
          <w:sz w:val="21"/>
          <w:szCs w:val="21"/>
          <w:highlight w:val="none"/>
          <w:u w:val="single"/>
          <w:lang w:val="en-US" w:eastAsia="zh-CN"/>
        </w:rPr>
        <w:t>、差旅费、保险费</w:t>
      </w:r>
      <w:r>
        <w:rPr>
          <w:rFonts w:hint="eastAsia" w:ascii="宋体" w:hAnsi="宋体" w:cs="monospace"/>
          <w:b/>
          <w:bCs/>
          <w:color w:val="auto"/>
          <w:kern w:val="2"/>
          <w:sz w:val="21"/>
          <w:szCs w:val="21"/>
          <w:highlight w:val="none"/>
          <w:u w:val="single"/>
          <w:lang w:val="zh-CN"/>
        </w:rPr>
        <w:t>等一切费用；（</w:t>
      </w:r>
      <w:r>
        <w:rPr>
          <w:rFonts w:hint="eastAsia" w:ascii="宋体" w:hAnsi="宋体" w:cs="monospace"/>
          <w:b/>
          <w:bCs/>
          <w:color w:val="auto"/>
          <w:kern w:val="2"/>
          <w:sz w:val="21"/>
          <w:szCs w:val="21"/>
          <w:highlight w:val="none"/>
          <w:u w:val="single"/>
          <w:lang w:val="en-US" w:eastAsia="zh-CN"/>
        </w:rPr>
        <w:t>3</w:t>
      </w:r>
      <w:r>
        <w:rPr>
          <w:rFonts w:hint="eastAsia" w:ascii="宋体" w:hAnsi="宋体" w:cs="monospace"/>
          <w:b/>
          <w:bCs/>
          <w:color w:val="auto"/>
          <w:kern w:val="2"/>
          <w:sz w:val="21"/>
          <w:szCs w:val="21"/>
          <w:highlight w:val="none"/>
          <w:u w:val="single"/>
          <w:lang w:val="zh-CN"/>
        </w:rPr>
        <w:t>）合理利润、</w:t>
      </w:r>
      <w:r>
        <w:rPr>
          <w:rFonts w:hint="eastAsia" w:ascii="宋体" w:hAnsi="宋体" w:cs="monospace"/>
          <w:b/>
          <w:bCs/>
          <w:color w:val="auto"/>
          <w:kern w:val="2"/>
          <w:sz w:val="21"/>
          <w:szCs w:val="21"/>
          <w:highlight w:val="none"/>
          <w:u w:val="single"/>
          <w:lang w:val="en-US" w:eastAsia="zh-CN"/>
        </w:rPr>
        <w:t>成交人</w:t>
      </w:r>
      <w:r>
        <w:rPr>
          <w:rFonts w:hint="eastAsia" w:ascii="宋体" w:hAnsi="宋体" w:cs="monospace"/>
          <w:b/>
          <w:bCs/>
          <w:color w:val="auto"/>
          <w:kern w:val="2"/>
          <w:sz w:val="21"/>
          <w:szCs w:val="21"/>
          <w:highlight w:val="none"/>
          <w:u w:val="single"/>
          <w:lang w:val="zh-CN"/>
        </w:rPr>
        <w:t>销项税额以外的税费等；（</w:t>
      </w:r>
      <w:r>
        <w:rPr>
          <w:rFonts w:hint="eastAsia" w:ascii="宋体" w:hAnsi="宋体" w:cs="monospace"/>
          <w:b/>
          <w:bCs/>
          <w:color w:val="auto"/>
          <w:kern w:val="2"/>
          <w:sz w:val="21"/>
          <w:szCs w:val="21"/>
          <w:highlight w:val="none"/>
          <w:u w:val="single"/>
          <w:lang w:val="en-US" w:eastAsia="zh-CN"/>
        </w:rPr>
        <w:t>4</w:t>
      </w:r>
      <w:r>
        <w:rPr>
          <w:rFonts w:hint="eastAsia" w:ascii="宋体" w:hAnsi="宋体" w:cs="monospace"/>
          <w:b/>
          <w:bCs/>
          <w:color w:val="auto"/>
          <w:kern w:val="2"/>
          <w:sz w:val="21"/>
          <w:szCs w:val="21"/>
          <w:highlight w:val="none"/>
          <w:u w:val="single"/>
          <w:lang w:val="zh-CN"/>
        </w:rPr>
        <w:t>）法律法规、商业公认、</w:t>
      </w:r>
      <w:r>
        <w:rPr>
          <w:rFonts w:hint="eastAsia" w:ascii="宋体" w:hAnsi="宋体" w:cs="monospace"/>
          <w:b/>
          <w:bCs/>
          <w:color w:val="auto"/>
          <w:kern w:val="2"/>
          <w:sz w:val="21"/>
          <w:szCs w:val="21"/>
          <w:highlight w:val="none"/>
          <w:u w:val="single"/>
          <w:lang w:val="en-US" w:eastAsia="zh-CN"/>
        </w:rPr>
        <w:t>询价</w:t>
      </w:r>
      <w:r>
        <w:rPr>
          <w:rFonts w:hint="eastAsia" w:ascii="宋体" w:hAnsi="宋体" w:cs="monospace"/>
          <w:b/>
          <w:bCs/>
          <w:color w:val="auto"/>
          <w:kern w:val="2"/>
          <w:sz w:val="21"/>
          <w:szCs w:val="21"/>
          <w:highlight w:val="none"/>
          <w:u w:val="single"/>
          <w:lang w:val="zh-CN"/>
        </w:rPr>
        <w:t>文件规定由</w:t>
      </w:r>
      <w:r>
        <w:rPr>
          <w:rFonts w:hint="eastAsia" w:ascii="宋体" w:hAnsi="宋体" w:cs="monospace"/>
          <w:b/>
          <w:bCs/>
          <w:color w:val="auto"/>
          <w:kern w:val="2"/>
          <w:sz w:val="21"/>
          <w:szCs w:val="21"/>
          <w:highlight w:val="none"/>
          <w:u w:val="single"/>
          <w:lang w:val="en-US" w:eastAsia="zh-CN"/>
        </w:rPr>
        <w:t>报价人</w:t>
      </w:r>
      <w:r>
        <w:rPr>
          <w:rFonts w:hint="eastAsia" w:ascii="宋体" w:hAnsi="宋体" w:cs="monospace"/>
          <w:b/>
          <w:bCs/>
          <w:color w:val="auto"/>
          <w:kern w:val="2"/>
          <w:sz w:val="21"/>
          <w:szCs w:val="21"/>
          <w:highlight w:val="none"/>
          <w:u w:val="single"/>
          <w:lang w:val="zh-CN"/>
        </w:rPr>
        <w:t>承担的其他费用。未经采购人书面同意，成交人（包括但不限于成交人指定的第三方）不得要求采购人另行支付其他任何费用</w:t>
      </w:r>
      <w:r>
        <w:rPr>
          <w:rFonts w:hint="eastAsia" w:ascii="宋体" w:hAnsi="宋体" w:cs="monospace"/>
          <w:color w:val="auto"/>
          <w:kern w:val="2"/>
          <w:sz w:val="21"/>
          <w:szCs w:val="21"/>
          <w:highlight w:val="none"/>
          <w:lang w:val="zh-CN"/>
        </w:rPr>
        <w:t>。</w:t>
      </w:r>
    </w:p>
    <w:p>
      <w:pPr>
        <w:numPr>
          <w:ilvl w:val="0"/>
          <w:numId w:val="1"/>
        </w:numPr>
        <w:tabs>
          <w:tab w:val="left" w:pos="567"/>
        </w:tabs>
        <w:autoSpaceDE w:val="0"/>
        <w:autoSpaceDN w:val="0"/>
        <w:adjustRightInd w:val="0"/>
        <w:spacing w:line="360" w:lineRule="auto"/>
        <w:ind w:right="-34"/>
        <w:outlineLvl w:val="0"/>
        <w:rPr>
          <w:rFonts w:hint="eastAsia"/>
          <w:color w:val="auto"/>
          <w:highlight w:val="none"/>
          <w:u w:val="none"/>
          <w:lang w:val="zh-CN"/>
        </w:rPr>
      </w:pPr>
      <w:bookmarkStart w:id="19" w:name="_Toc28417"/>
      <w:bookmarkStart w:id="20" w:name="_Toc4655"/>
      <w:r>
        <w:rPr>
          <w:rFonts w:hint="eastAsia"/>
          <w:color w:val="auto"/>
          <w:highlight w:val="none"/>
          <w:u w:val="none"/>
          <w:lang w:val="en-US" w:eastAsia="zh-CN"/>
        </w:rPr>
        <w:t>报价文件递交时间及地点：</w:t>
      </w:r>
      <w:bookmarkEnd w:id="19"/>
      <w:bookmarkEnd w:id="20"/>
    </w:p>
    <w:p>
      <w:pPr>
        <w:numPr>
          <w:ilvl w:val="-1"/>
          <w:numId w:val="0"/>
        </w:numPr>
        <w:tabs>
          <w:tab w:val="left" w:pos="567"/>
        </w:tabs>
        <w:autoSpaceDE w:val="0"/>
        <w:autoSpaceDN w:val="0"/>
        <w:adjustRightInd w:val="0"/>
        <w:spacing w:line="360" w:lineRule="auto"/>
        <w:ind w:left="0" w:right="-34" w:firstLine="0"/>
        <w:rPr>
          <w:rFonts w:hint="default" w:ascii="Times New Roman"/>
          <w:b w:val="0"/>
          <w:bCs w:val="0"/>
          <w:color w:val="auto"/>
          <w:szCs w:val="21"/>
          <w:highlight w:val="none"/>
          <w:u w:val="none"/>
          <w:lang w:val="en-US"/>
        </w:rPr>
      </w:pPr>
      <w:r>
        <w:rPr>
          <w:rFonts w:hint="default"/>
          <w:b w:val="0"/>
          <w:bCs w:val="0"/>
          <w:color w:val="auto"/>
          <w:szCs w:val="21"/>
          <w:highlight w:val="none"/>
          <w:u w:val="none"/>
          <w:lang w:val="en-US" w:eastAsia="zh-CN"/>
        </w:rPr>
        <w:t>5.1 报价文件递交时间：</w:t>
      </w:r>
      <w:r>
        <w:rPr>
          <w:rFonts w:hint="eastAsia" w:cs="Times New Roman"/>
          <w:b w:val="0"/>
          <w:color w:val="auto"/>
          <w:szCs w:val="21"/>
          <w:highlight w:val="none"/>
          <w:u w:val="single"/>
          <w:lang w:val="en-US" w:eastAsia="zh-CN"/>
        </w:rPr>
        <w:t>2024</w:t>
      </w:r>
      <w:r>
        <w:rPr>
          <w:rFonts w:hint="default" w:ascii="Times New Roman" w:hAnsi="Times New Roman" w:eastAsia="宋体" w:cs="Times New Roman"/>
          <w:b w:val="0"/>
          <w:color w:val="auto"/>
          <w:szCs w:val="21"/>
          <w:highlight w:val="none"/>
          <w:u w:val="single"/>
          <w:lang w:val="en-US"/>
        </w:rPr>
        <w:t>年</w:t>
      </w:r>
      <w:r>
        <w:rPr>
          <w:rFonts w:hint="eastAsia" w:cs="Times New Roman"/>
          <w:b w:val="0"/>
          <w:color w:val="auto"/>
          <w:szCs w:val="21"/>
          <w:highlight w:val="none"/>
          <w:u w:val="single"/>
          <w:lang w:val="en-US" w:eastAsia="zh-CN"/>
        </w:rPr>
        <w:t>4</w:t>
      </w:r>
      <w:r>
        <w:rPr>
          <w:rFonts w:hint="default" w:ascii="Times New Roman" w:hAnsi="Times New Roman" w:eastAsia="宋体" w:cs="Times New Roman"/>
          <w:b w:val="0"/>
          <w:color w:val="auto"/>
          <w:szCs w:val="21"/>
          <w:highlight w:val="none"/>
          <w:u w:val="single"/>
          <w:lang w:val="en-US"/>
        </w:rPr>
        <w:t>月</w:t>
      </w:r>
      <w:r>
        <w:rPr>
          <w:rFonts w:hint="eastAsia" w:cs="Times New Roman"/>
          <w:b w:val="0"/>
          <w:color w:val="auto"/>
          <w:szCs w:val="21"/>
          <w:highlight w:val="none"/>
          <w:u w:val="single"/>
          <w:lang w:val="en-US" w:eastAsia="zh-CN"/>
        </w:rPr>
        <w:t>11</w:t>
      </w:r>
      <w:r>
        <w:rPr>
          <w:rFonts w:hint="default" w:ascii="Times New Roman" w:hAnsi="Times New Roman" w:eastAsia="宋体" w:cs="Times New Roman"/>
          <w:b w:val="0"/>
          <w:color w:val="auto"/>
          <w:szCs w:val="21"/>
          <w:highlight w:val="none"/>
          <w:u w:val="single"/>
          <w:lang w:val="en-US"/>
        </w:rPr>
        <w:t>日上午10时00分</w:t>
      </w:r>
      <w:r>
        <w:rPr>
          <w:rFonts w:hint="default" w:ascii="Times New Roman"/>
          <w:b w:val="0"/>
          <w:bCs w:val="0"/>
          <w:color w:val="auto"/>
          <w:szCs w:val="21"/>
          <w:highlight w:val="none"/>
          <w:u w:val="single"/>
          <w:lang w:val="en-US"/>
        </w:rPr>
        <w:t>（北京时间）</w:t>
      </w:r>
      <w:r>
        <w:rPr>
          <w:rFonts w:hint="eastAsia"/>
          <w:b w:val="0"/>
          <w:bCs w:val="0"/>
          <w:color w:val="auto"/>
          <w:szCs w:val="21"/>
          <w:highlight w:val="none"/>
          <w:u w:val="single"/>
          <w:lang w:val="en-US" w:eastAsia="zh-CN"/>
        </w:rPr>
        <w:t>前</w:t>
      </w:r>
      <w:r>
        <w:rPr>
          <w:rFonts w:hint="default"/>
          <w:b w:val="0"/>
          <w:bCs w:val="0"/>
          <w:color w:val="auto"/>
          <w:szCs w:val="21"/>
          <w:highlight w:val="none"/>
          <w:u w:val="none"/>
          <w:lang w:val="en-US"/>
        </w:rPr>
        <w:t>；</w:t>
      </w:r>
    </w:p>
    <w:p>
      <w:pPr>
        <w:numPr>
          <w:ilvl w:val="-1"/>
          <w:numId w:val="0"/>
        </w:numPr>
        <w:tabs>
          <w:tab w:val="left" w:pos="567"/>
        </w:tabs>
        <w:autoSpaceDE w:val="0"/>
        <w:autoSpaceDN w:val="0"/>
        <w:adjustRightInd w:val="0"/>
        <w:spacing w:line="360" w:lineRule="auto"/>
        <w:ind w:left="420" w:right="-34" w:hanging="420" w:hangingChars="200"/>
        <w:rPr>
          <w:rFonts w:hint="eastAsia" w:ascii="宋体" w:hAnsi="宋体" w:eastAsia="宋体" w:cs="宋体"/>
          <w:b/>
          <w:color w:val="auto"/>
          <w:szCs w:val="21"/>
          <w:highlight w:val="none"/>
          <w:u w:val="single"/>
        </w:rPr>
      </w:pPr>
      <w:r>
        <w:rPr>
          <w:rFonts w:hint="default"/>
          <w:b w:val="0"/>
          <w:bCs w:val="0"/>
          <w:color w:val="auto"/>
          <w:szCs w:val="21"/>
          <w:highlight w:val="none"/>
          <w:u w:val="none"/>
          <w:lang w:val="en-US" w:eastAsia="zh-CN"/>
        </w:rPr>
        <w:t>5.2 报价文件递交地点：</w:t>
      </w:r>
      <w:r>
        <w:rPr>
          <w:rFonts w:hint="default" w:ascii="Times New Roman" w:hAnsi="Times New Roman" w:eastAsia="宋体" w:cs="Times New Roman"/>
          <w:b w:val="0"/>
          <w:color w:val="auto"/>
          <w:szCs w:val="21"/>
          <w:highlight w:val="none"/>
          <w:u w:val="none"/>
        </w:rPr>
        <w:t>东莞市南城街道滨河路100号二期（东莞市水务集团净水有限公司）新大门内3号楼3楼东莞市水务集团实业发展有限公司合同管理部</w:t>
      </w:r>
      <w:r>
        <w:rPr>
          <w:rFonts w:hint="eastAsia" w:cs="Times New Roman"/>
          <w:b w:val="0"/>
          <w:color w:val="auto"/>
          <w:szCs w:val="21"/>
          <w:highlight w:val="none"/>
          <w:u w:val="none"/>
          <w:lang w:eastAsia="zh-CN"/>
        </w:rPr>
        <w:t>；</w:t>
      </w:r>
    </w:p>
    <w:p>
      <w:pPr>
        <w:numPr>
          <w:ilvl w:val="-1"/>
          <w:numId w:val="0"/>
        </w:numPr>
        <w:tabs>
          <w:tab w:val="left" w:pos="567"/>
        </w:tabs>
        <w:autoSpaceDE w:val="0"/>
        <w:autoSpaceDN w:val="0"/>
        <w:adjustRightInd w:val="0"/>
        <w:spacing w:line="360" w:lineRule="auto"/>
        <w:ind w:left="0" w:right="-34" w:firstLine="0"/>
        <w:outlineLvl w:val="1"/>
        <w:rPr>
          <w:rFonts w:hint="eastAsia"/>
          <w:color w:val="auto"/>
          <w:highlight w:val="none"/>
          <w:u w:val="none"/>
          <w:lang w:val="zh-CN"/>
        </w:rPr>
      </w:pPr>
      <w:bookmarkStart w:id="21" w:name="_Toc15860"/>
      <w:bookmarkStart w:id="22" w:name="_Toc11612"/>
      <w:r>
        <w:rPr>
          <w:rFonts w:hint="eastAsia"/>
          <w:color w:val="auto"/>
          <w:szCs w:val="21"/>
          <w:highlight w:val="none"/>
          <w:u w:val="none"/>
          <w:lang w:val="en-US" w:eastAsia="zh-CN"/>
        </w:rPr>
        <w:t xml:space="preserve">5.3 </w:t>
      </w:r>
      <w:r>
        <w:rPr>
          <w:rFonts w:hint="eastAsia" w:ascii="Times New Roman"/>
          <w:color w:val="auto"/>
          <w:szCs w:val="21"/>
          <w:highlight w:val="none"/>
          <w:u w:val="none"/>
          <w:lang w:val="zh-CN"/>
        </w:rPr>
        <w:t>电报、传真、邮件等非密封形式的报价概不接受。</w:t>
      </w:r>
      <w:bookmarkEnd w:id="21"/>
      <w:bookmarkEnd w:id="22"/>
    </w:p>
    <w:p>
      <w:pPr>
        <w:tabs>
          <w:tab w:val="left" w:pos="567"/>
        </w:tabs>
        <w:autoSpaceDE w:val="0"/>
        <w:autoSpaceDN w:val="0"/>
        <w:adjustRightInd w:val="0"/>
        <w:spacing w:line="360" w:lineRule="auto"/>
        <w:ind w:left="340" w:right="-34"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eastAsia="zh-CN"/>
        </w:rPr>
        <w:t>采购人倡议在递交报价文件截止日当天，由报价人法定代表人或其授权代表于递交报价文件截止时间前亲自递交密封的报价文件，并见证开封报价的过程。电报、传真、邮件等非密封形式的报价概不接受。报价人以快递、邮寄方式递交密封报价文件的，务必与采购联系人确认，并确保在递交报价文</w:t>
      </w:r>
      <w:bookmarkStart w:id="314" w:name="_GoBack"/>
      <w:bookmarkEnd w:id="314"/>
      <w:r>
        <w:rPr>
          <w:rFonts w:hint="eastAsia" w:ascii="宋体" w:hAnsi="宋体" w:cs="宋体"/>
          <w:color w:val="auto"/>
          <w:szCs w:val="21"/>
          <w:highlight w:val="none"/>
          <w:lang w:val="zh-CN" w:eastAsia="zh-CN"/>
        </w:rPr>
        <w:t>件截止时间前送达采购联系人（必须由询价文件内列明的采购联系人签收），自行承担因未能在递交报价文件截止时间前送达而被拒绝报价的风险，并视为自愿放弃对开封报价过程的监督，以及对开封报价的过程及程序提出异议的权利。</w:t>
      </w:r>
    </w:p>
    <w:p>
      <w:pPr>
        <w:numPr>
          <w:ilvl w:val="0"/>
          <w:numId w:val="1"/>
        </w:numPr>
        <w:tabs>
          <w:tab w:val="left" w:pos="567"/>
        </w:tabs>
        <w:autoSpaceDE w:val="0"/>
        <w:autoSpaceDN w:val="0"/>
        <w:adjustRightInd w:val="0"/>
        <w:spacing w:line="360" w:lineRule="auto"/>
        <w:ind w:right="-34"/>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兹定于</w:t>
      </w:r>
      <w:r>
        <w:rPr>
          <w:rFonts w:hint="eastAsia" w:ascii="宋体" w:hAnsi="宋体" w:cs="宋体"/>
          <w:b/>
          <w:color w:val="auto"/>
          <w:szCs w:val="21"/>
          <w:highlight w:val="none"/>
          <w:u w:val="single"/>
          <w:lang w:eastAsia="zh-CN"/>
        </w:rPr>
        <w:t>2024</w:t>
      </w:r>
      <w:r>
        <w:rPr>
          <w:rFonts w:hint="eastAsia" w:ascii="宋体" w:hAnsi="宋体" w:eastAsia="宋体" w:cs="宋体"/>
          <w:b/>
          <w:color w:val="auto"/>
          <w:szCs w:val="21"/>
          <w:highlight w:val="none"/>
          <w:u w:val="single"/>
        </w:rPr>
        <w:t>年</w:t>
      </w:r>
      <w:r>
        <w:rPr>
          <w:rFonts w:hint="eastAsia" w:ascii="宋体" w:hAnsi="宋体" w:cs="宋体"/>
          <w:b/>
          <w:color w:val="auto"/>
          <w:szCs w:val="21"/>
          <w:highlight w:val="none"/>
          <w:u w:val="single"/>
          <w:lang w:val="en-US" w:eastAsia="zh-CN"/>
        </w:rPr>
        <w:t>4</w:t>
      </w:r>
      <w:r>
        <w:rPr>
          <w:rFonts w:hint="eastAsia" w:ascii="宋体" w:hAnsi="宋体" w:eastAsia="宋体" w:cs="宋体"/>
          <w:b/>
          <w:color w:val="auto"/>
          <w:szCs w:val="21"/>
          <w:highlight w:val="none"/>
          <w:u w:val="single"/>
        </w:rPr>
        <w:t>月</w:t>
      </w:r>
      <w:r>
        <w:rPr>
          <w:rFonts w:hint="eastAsia" w:ascii="宋体" w:hAnsi="宋体" w:cs="宋体"/>
          <w:b/>
          <w:color w:val="auto"/>
          <w:szCs w:val="21"/>
          <w:highlight w:val="none"/>
          <w:u w:val="single"/>
          <w:lang w:val="en-US" w:eastAsia="zh-CN"/>
        </w:rPr>
        <w:t>11</w:t>
      </w:r>
      <w:r>
        <w:rPr>
          <w:rFonts w:hint="eastAsia" w:ascii="宋体" w:hAnsi="宋体" w:eastAsia="宋体" w:cs="宋体"/>
          <w:b/>
          <w:color w:val="auto"/>
          <w:szCs w:val="21"/>
          <w:highlight w:val="none"/>
          <w:u w:val="single"/>
        </w:rPr>
        <w:t>日上午10时00分（北京时间）</w:t>
      </w:r>
      <w:r>
        <w:rPr>
          <w:rFonts w:hint="eastAsia" w:ascii="宋体" w:hAnsi="宋体" w:eastAsia="宋体" w:cs="宋体"/>
          <w:color w:val="auto"/>
          <w:szCs w:val="21"/>
          <w:highlight w:val="none"/>
        </w:rPr>
        <w:t>在下述地址公开开封报价文件。</w:t>
      </w:r>
    </w:p>
    <w:p>
      <w:pPr>
        <w:tabs>
          <w:tab w:val="left" w:pos="567"/>
        </w:tabs>
        <w:autoSpaceDE w:val="0"/>
        <w:autoSpaceDN w:val="0"/>
        <w:adjustRightInd w:val="0"/>
        <w:spacing w:line="360" w:lineRule="auto"/>
        <w:ind w:left="340" w:right="-34"/>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开封报价地点：东莞市南城街道滨河路100号</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号楼</w:t>
      </w:r>
      <w:r>
        <w:rPr>
          <w:rFonts w:hint="eastAsia" w:ascii="宋体" w:hAnsi="宋体" w:eastAsia="宋体" w:cs="宋体"/>
          <w:color w:val="auto"/>
          <w:szCs w:val="21"/>
          <w:highlight w:val="none"/>
          <w:lang w:val="en-US" w:eastAsia="zh-CN"/>
        </w:rPr>
        <w:t>3楼</w:t>
      </w:r>
      <w:r>
        <w:rPr>
          <w:rFonts w:hint="eastAsia" w:ascii="宋体" w:hAnsi="宋体" w:eastAsia="宋体" w:cs="宋体"/>
          <w:color w:val="auto"/>
          <w:szCs w:val="21"/>
          <w:highlight w:val="none"/>
        </w:rPr>
        <w:t>东莞市水务集团实业发展有限公司会议室（或根据采购人采购部门临时调整的采购人办公区域内指定地点）。</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right="-34" w:hanging="420" w:hanging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7、本项目补充通知在</w:t>
      </w:r>
      <w:r>
        <w:rPr>
          <w:rFonts w:hint="default" w:ascii="Times New Roman" w:hAnsi="Times New Roman" w:cs="Times New Roman"/>
          <w:color w:val="auto"/>
          <w:kern w:val="2"/>
          <w:sz w:val="21"/>
          <w:szCs w:val="21"/>
          <w:highlight w:val="none"/>
          <w:u w:val="none"/>
          <w:lang w:val="zh-CN"/>
        </w:rPr>
        <w:t>东莞市水务集团有限公司官网</w:t>
      </w:r>
      <w:r>
        <w:rPr>
          <w:rFonts w:hint="default" w:ascii="Times New Roman" w:hAnsi="Times New Roman" w:cs="Times New Roman"/>
          <w:color w:val="auto"/>
          <w:kern w:val="2"/>
          <w:sz w:val="21"/>
          <w:szCs w:val="21"/>
          <w:highlight w:val="none"/>
          <w:u w:val="none"/>
        </w:rPr>
        <w:t>（http://www.dgswjt.cn/）</w:t>
      </w:r>
      <w:r>
        <w:rPr>
          <w:rFonts w:hint="eastAsia" w:cs="Times New Roman"/>
          <w:color w:val="auto"/>
          <w:kern w:val="2"/>
          <w:sz w:val="21"/>
          <w:szCs w:val="21"/>
          <w:highlight w:val="none"/>
          <w:u w:val="none"/>
          <w:lang w:val="en-US" w:eastAsia="zh-CN"/>
        </w:rPr>
        <w:t>予以公告，除此方式外，不再另行通知。供应商必须密切留意本项目补充通知发放信息，并自行下载补充通知及相关资料。如未留意或及时下载，一切后果由供应商自负。</w:t>
      </w:r>
    </w:p>
    <w:p>
      <w:pPr>
        <w:tabs>
          <w:tab w:val="left" w:pos="567"/>
        </w:tabs>
        <w:autoSpaceDE w:val="0"/>
        <w:autoSpaceDN w:val="0"/>
        <w:adjustRightInd w:val="0"/>
        <w:spacing w:line="360" w:lineRule="auto"/>
        <w:ind w:right="-34"/>
        <w:outlineLvl w:val="0"/>
        <w:rPr>
          <w:rFonts w:hint="eastAsia" w:ascii="宋体" w:hAnsi="宋体" w:eastAsia="宋体" w:cs="宋体"/>
          <w:color w:val="auto"/>
          <w:szCs w:val="21"/>
          <w:highlight w:val="none"/>
          <w:lang w:val="zh-CN"/>
        </w:rPr>
      </w:pPr>
      <w:bookmarkStart w:id="23" w:name="_Toc26135"/>
      <w:bookmarkStart w:id="24" w:name="_Toc25290"/>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、有关此次采购事宜，可按下列地址向采购人查询：</w:t>
      </w:r>
      <w:bookmarkEnd w:id="23"/>
      <w:bookmarkEnd w:id="24"/>
    </w:p>
    <w:p>
      <w:pPr>
        <w:tabs>
          <w:tab w:val="left" w:pos="567"/>
        </w:tabs>
        <w:autoSpaceDE w:val="0"/>
        <w:autoSpaceDN w:val="0"/>
        <w:adjustRightInd w:val="0"/>
        <w:spacing w:line="360" w:lineRule="auto"/>
        <w:ind w:left="340" w:right="-34"/>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hAnsi="宋体"/>
          <w:color w:val="auto"/>
          <w:szCs w:val="21"/>
          <w:highlight w:val="none"/>
          <w:lang w:val="en-US" w:eastAsia="zh-CN"/>
        </w:rPr>
        <w:t>马卓越</w:t>
      </w:r>
    </w:p>
    <w:p>
      <w:pPr>
        <w:tabs>
          <w:tab w:val="left" w:pos="567"/>
        </w:tabs>
        <w:autoSpaceDE w:val="0"/>
        <w:autoSpaceDN w:val="0"/>
        <w:adjustRightInd w:val="0"/>
        <w:spacing w:line="360" w:lineRule="auto"/>
        <w:ind w:left="340" w:right="-3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电话：0769-22</w:t>
      </w:r>
      <w:r>
        <w:rPr>
          <w:rFonts w:hint="eastAsia" w:ascii="宋体" w:hAnsi="宋体" w:eastAsia="宋体" w:cs="宋体"/>
          <w:color w:val="auto"/>
          <w:szCs w:val="21"/>
          <w:highlight w:val="none"/>
          <w:lang w:val="en-US" w:eastAsia="zh-CN"/>
        </w:rPr>
        <w:t>621996</w:t>
      </w:r>
    </w:p>
    <w:p>
      <w:pPr>
        <w:tabs>
          <w:tab w:val="left" w:pos="567"/>
        </w:tabs>
        <w:autoSpaceDE w:val="0"/>
        <w:autoSpaceDN w:val="0"/>
        <w:adjustRightInd w:val="0"/>
        <w:spacing w:line="360" w:lineRule="auto"/>
        <w:ind w:left="340" w:right="-34"/>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联系部门：东莞市水务集团实业发展有限公司合同管理部</w:t>
      </w:r>
    </w:p>
    <w:p>
      <w:pPr>
        <w:tabs>
          <w:tab w:val="left" w:pos="567"/>
        </w:tabs>
        <w:autoSpaceDE w:val="0"/>
        <w:autoSpaceDN w:val="0"/>
        <w:adjustRightInd w:val="0"/>
        <w:spacing w:line="360" w:lineRule="auto"/>
        <w:ind w:left="340" w:right="-34"/>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部门邮箱：</w:t>
      </w:r>
      <w:r>
        <w:rPr>
          <w:rFonts w:hint="eastAsia" w:ascii="宋体" w:hAnsi="宋体" w:eastAsia="宋体" w:cs="宋体"/>
          <w:color w:val="auto"/>
          <w:szCs w:val="21"/>
          <w:highlight w:val="none"/>
          <w:lang w:val="zh-CN"/>
        </w:rPr>
        <w:t>swsyhtglb@163.com</w:t>
      </w:r>
    </w:p>
    <w:p>
      <w:pPr>
        <w:tabs>
          <w:tab w:val="left" w:pos="567"/>
        </w:tabs>
        <w:autoSpaceDE w:val="0"/>
        <w:autoSpaceDN w:val="0"/>
        <w:adjustRightInd w:val="0"/>
        <w:spacing w:line="360" w:lineRule="auto"/>
        <w:ind w:left="1598" w:leftChars="161" w:right="-34" w:hanging="1260" w:hanging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联系人地址：东莞市南城街道滨河路100号二期（东莞市水务集团净水有限公司）新大门内3号楼3楼东莞市水务集团实业发展有限公司。</w:t>
      </w:r>
    </w:p>
    <w:p>
      <w:pPr>
        <w:widowControl/>
        <w:tabs>
          <w:tab w:val="left" w:pos="0"/>
        </w:tabs>
        <w:spacing w:line="360" w:lineRule="auto"/>
        <w:ind w:right="-36"/>
        <w:textAlignment w:val="bottom"/>
        <w:rPr>
          <w:rFonts w:hint="eastAsia" w:ascii="宋体" w:hAnsi="宋体" w:eastAsia="宋体" w:cs="宋体"/>
          <w:color w:val="auto"/>
          <w:szCs w:val="32"/>
          <w:highlight w:val="none"/>
        </w:rPr>
      </w:pPr>
    </w:p>
    <w:p>
      <w:pPr>
        <w:spacing w:line="480" w:lineRule="auto"/>
        <w:ind w:left="210" w:leftChars="100" w:right="210" w:rightChars="100" w:firstLine="2835" w:firstLineChars="1350"/>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东莞市</w:t>
      </w:r>
      <w:r>
        <w:rPr>
          <w:rFonts w:hint="eastAsia" w:ascii="宋体" w:hAnsi="宋体" w:cs="宋体"/>
          <w:color w:val="auto"/>
          <w:szCs w:val="21"/>
          <w:highlight w:val="none"/>
          <w:lang w:val="en-US" w:eastAsia="zh-CN"/>
        </w:rPr>
        <w:t>智汇水务科技</w:t>
      </w:r>
      <w:r>
        <w:rPr>
          <w:rFonts w:hint="eastAsia" w:ascii="宋体" w:hAnsi="宋体" w:eastAsia="宋体" w:cs="宋体"/>
          <w:color w:val="auto"/>
          <w:szCs w:val="21"/>
          <w:highlight w:val="none"/>
          <w:lang w:eastAsia="zh-CN"/>
        </w:rPr>
        <w:t>有限公司</w:t>
      </w:r>
    </w:p>
    <w:p>
      <w:pPr>
        <w:spacing w:line="480" w:lineRule="auto"/>
        <w:ind w:left="210" w:leftChars="100" w:right="210" w:rightChars="100" w:firstLine="2835" w:firstLineChars="1350"/>
        <w:jc w:val="righ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日</w:t>
      </w:r>
    </w:p>
    <w:p>
      <w:pPr>
        <w:pStyle w:val="14"/>
        <w:keepNext w:val="0"/>
        <w:keepLines w:val="0"/>
        <w:pageBreakBefore/>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outlineLvl w:val="1"/>
        <w:rPr>
          <w:rFonts w:hint="eastAsia" w:ascii="宋体" w:hAnsi="宋体" w:eastAsia="宋体" w:cs="宋体"/>
          <w:color w:val="auto"/>
          <w:sz w:val="30"/>
          <w:szCs w:val="30"/>
          <w:highlight w:val="none"/>
          <w:lang w:val="zh-CN"/>
        </w:rPr>
      </w:pPr>
      <w:bookmarkStart w:id="25" w:name="_Toc31116"/>
      <w:bookmarkStart w:id="26" w:name="_Toc20918"/>
      <w:r>
        <w:rPr>
          <w:rFonts w:hint="eastAsia" w:ascii="宋体" w:hAnsi="宋体" w:eastAsia="宋体" w:cs="宋体"/>
          <w:color w:val="auto"/>
          <w:sz w:val="30"/>
          <w:szCs w:val="30"/>
          <w:highlight w:val="none"/>
          <w:lang w:val="zh-CN"/>
        </w:rPr>
        <w:t>第二篇</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val="zh-CN"/>
        </w:rPr>
        <w:t>报价人须知</w:t>
      </w:r>
      <w:bookmarkEnd w:id="25"/>
      <w:bookmarkEnd w:id="26"/>
    </w:p>
    <w:p>
      <w:pPr>
        <w:pStyle w:val="5"/>
        <w:spacing w:before="0" w:after="0" w:line="360" w:lineRule="auto"/>
        <w:outlineLvl w:val="0"/>
        <w:rPr>
          <w:rFonts w:hint="eastAsia" w:asciiTheme="minorEastAsia" w:hAnsiTheme="minorEastAsia" w:eastAsiaTheme="minorEastAsia"/>
          <w:color w:val="auto"/>
          <w:sz w:val="21"/>
          <w:szCs w:val="21"/>
          <w:highlight w:val="none"/>
          <w:lang w:val="zh-CN"/>
        </w:rPr>
      </w:pPr>
      <w:bookmarkStart w:id="27" w:name="_Toc27750"/>
      <w:bookmarkStart w:id="28" w:name="_Toc14808"/>
      <w:r>
        <w:rPr>
          <w:rFonts w:hint="eastAsia" w:asciiTheme="minorEastAsia" w:hAnsiTheme="minorEastAsia" w:eastAsiaTheme="minorEastAsia"/>
          <w:color w:val="auto"/>
          <w:sz w:val="21"/>
          <w:szCs w:val="21"/>
          <w:highlight w:val="none"/>
          <w:lang w:val="en-US" w:eastAsia="zh-CN"/>
        </w:rPr>
        <w:t xml:space="preserve">1   </w:t>
      </w:r>
      <w:r>
        <w:rPr>
          <w:rFonts w:hint="eastAsia" w:asciiTheme="minorEastAsia" w:hAnsiTheme="minorEastAsia" w:eastAsiaTheme="minorEastAsia"/>
          <w:color w:val="auto"/>
          <w:sz w:val="21"/>
          <w:szCs w:val="21"/>
          <w:highlight w:val="none"/>
          <w:lang w:val="zh-CN"/>
        </w:rPr>
        <w:t>资金来源：企业自筹资金。</w:t>
      </w:r>
      <w:bookmarkEnd w:id="27"/>
      <w:bookmarkEnd w:id="28"/>
    </w:p>
    <w:p>
      <w:pPr>
        <w:pStyle w:val="2"/>
        <w:spacing w:line="360" w:lineRule="auto"/>
        <w:rPr>
          <w:rFonts w:hint="eastAsia" w:ascii="宋体" w:hAnsi="宋体" w:eastAsia="宋体" w:cs="宋体"/>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eastAsia="zh-CN"/>
        </w:rPr>
      </w:pPr>
      <w:bookmarkStart w:id="29" w:name="_Toc22949"/>
      <w:bookmarkStart w:id="30" w:name="_Toc31525"/>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eastAsia="zh-CN"/>
        </w:rPr>
        <w:t>合格的报价人</w:t>
      </w:r>
      <w:bookmarkEnd w:id="29"/>
      <w:bookmarkEnd w:id="30"/>
    </w:p>
    <w:p>
      <w:pPr>
        <w:spacing w:line="360" w:lineRule="auto"/>
        <w:ind w:left="525" w:hanging="525" w:hangingChars="2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 xml:space="preserve"> </w:t>
      </w:r>
      <w:r>
        <w:rPr>
          <w:rFonts w:hint="eastAsia" w:ascii="宋体" w:hAnsi="宋体" w:cs="宋体"/>
          <w:color w:val="auto"/>
          <w:szCs w:val="21"/>
          <w:highlight w:val="none"/>
          <w:lang w:val="en-US" w:eastAsia="zh-CN"/>
        </w:rPr>
        <w:t>合格的报价人条件见</w:t>
      </w:r>
      <w:r>
        <w:rPr>
          <w:rFonts w:hint="default" w:ascii="Times New Roman" w:hAnsi="Times New Roman" w:cs="Times New Roman"/>
          <w:color w:val="auto"/>
          <w:kern w:val="2"/>
          <w:sz w:val="21"/>
          <w:szCs w:val="21"/>
          <w:highlight w:val="none"/>
          <w:lang w:val="zh-CN"/>
        </w:rPr>
        <w:t>第一篇《</w:t>
      </w:r>
      <w:r>
        <w:rPr>
          <w:rFonts w:hint="eastAsia" w:cs="Times New Roman"/>
          <w:color w:val="auto"/>
          <w:kern w:val="2"/>
          <w:sz w:val="21"/>
          <w:szCs w:val="21"/>
          <w:highlight w:val="none"/>
          <w:lang w:val="en-US" w:eastAsia="zh-CN"/>
        </w:rPr>
        <w:t>询价</w:t>
      </w:r>
      <w:r>
        <w:rPr>
          <w:rFonts w:hint="default" w:ascii="Times New Roman" w:hAnsi="Times New Roman" w:cs="Times New Roman"/>
          <w:color w:val="auto"/>
          <w:kern w:val="2"/>
          <w:sz w:val="21"/>
          <w:szCs w:val="21"/>
          <w:highlight w:val="none"/>
          <w:lang w:val="zh-CN"/>
        </w:rPr>
        <w:t>公告》中第2条的“合格</w:t>
      </w:r>
      <w:r>
        <w:rPr>
          <w:rFonts w:hint="eastAsia" w:cs="Times New Roman"/>
          <w:color w:val="auto"/>
          <w:kern w:val="2"/>
          <w:sz w:val="21"/>
          <w:szCs w:val="21"/>
          <w:highlight w:val="none"/>
          <w:lang w:val="en-US" w:eastAsia="zh-CN"/>
        </w:rPr>
        <w:t>报价人</w:t>
      </w:r>
      <w:r>
        <w:rPr>
          <w:rFonts w:hint="default" w:ascii="Times New Roman" w:hAnsi="Times New Roman" w:cs="Times New Roman"/>
          <w:color w:val="auto"/>
          <w:kern w:val="2"/>
          <w:sz w:val="21"/>
          <w:szCs w:val="21"/>
          <w:highlight w:val="none"/>
          <w:lang w:val="zh-CN"/>
        </w:rPr>
        <w:t>资格要求”及本条以下2.2款</w:t>
      </w:r>
      <w:r>
        <w:rPr>
          <w:rFonts w:hint="eastAsia" w:cs="Times New Roman"/>
          <w:color w:val="auto"/>
          <w:kern w:val="2"/>
          <w:sz w:val="21"/>
          <w:szCs w:val="21"/>
          <w:highlight w:val="none"/>
          <w:lang w:val="en-US" w:eastAsia="zh-CN"/>
        </w:rPr>
        <w:t>至2.4款</w:t>
      </w:r>
      <w:r>
        <w:rPr>
          <w:rFonts w:hint="default" w:ascii="Times New Roman" w:hAnsi="Times New Roman" w:cs="Times New Roman"/>
          <w:color w:val="auto"/>
          <w:kern w:val="2"/>
          <w:sz w:val="21"/>
          <w:szCs w:val="21"/>
          <w:highlight w:val="none"/>
          <w:lang w:val="zh-CN"/>
        </w:rPr>
        <w:t>的通用要求。</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 xml:space="preserve">2.2 </w:t>
      </w:r>
      <w:r>
        <w:rPr>
          <w:rFonts w:hint="eastAsia" w:ascii="宋体" w:hAnsi="宋体" w:eastAsia="宋体" w:cs="宋体"/>
          <w:color w:val="auto"/>
          <w:szCs w:val="21"/>
          <w:highlight w:val="none"/>
          <w:lang w:val="zh-CN"/>
        </w:rPr>
        <w:t>报价人（含其不具有独立法人资格的分支机构）未被列入“信用中国”网站（www.creditchina.gov.cn）失信被执行人、重大税收违法失信主体、政府采购严重违法失信行为记录名单（处罚期限届满的除外）。</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与采购人存在利害关系可能影响采购公正性的法人、其他组织或者个人，不得参加报价；报价人负责人为同一人或者存在控股、管理关系的不同报价人，不得参加同一项目报价。上述情况一经发现，相关报价均无效。</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在参与采购人（或其上级单位、或权属单位）项目的投标报价或履行合同等经济活动过程中，未存在提供虚假材料等弄虚作假行为，未被纳入东莞市水务集团</w:t>
      </w:r>
      <w:r>
        <w:rPr>
          <w:rFonts w:hint="eastAsia" w:ascii="宋体" w:hAnsi="宋体" w:cs="宋体"/>
          <w:color w:val="auto"/>
          <w:szCs w:val="21"/>
          <w:highlight w:val="none"/>
          <w:lang w:val="en-US" w:eastAsia="zh-CN"/>
        </w:rPr>
        <w:t>实业发展</w:t>
      </w:r>
      <w:r>
        <w:rPr>
          <w:rFonts w:hint="eastAsia" w:ascii="宋体" w:hAnsi="宋体" w:eastAsia="宋体" w:cs="宋体"/>
          <w:color w:val="auto"/>
          <w:szCs w:val="21"/>
          <w:highlight w:val="none"/>
          <w:lang w:val="zh-CN"/>
        </w:rPr>
        <w:t>有限公司（含其</w:t>
      </w:r>
      <w:r>
        <w:rPr>
          <w:rFonts w:hint="eastAsia" w:ascii="宋体" w:hAnsi="宋体" w:cs="宋体"/>
          <w:color w:val="auto"/>
          <w:szCs w:val="21"/>
          <w:highlight w:val="none"/>
          <w:lang w:val="en-US" w:eastAsia="zh-CN"/>
        </w:rPr>
        <w:t>全资公司、</w:t>
      </w:r>
      <w:r>
        <w:rPr>
          <w:rFonts w:hint="eastAsia" w:ascii="宋体" w:hAnsi="宋体" w:eastAsia="宋体" w:cs="宋体"/>
          <w:color w:val="auto"/>
          <w:szCs w:val="21"/>
          <w:highlight w:val="none"/>
          <w:lang w:val="zh-CN"/>
        </w:rPr>
        <w:t>控股公司、由其管理的参股公司）招标、采购、征集供应商或合作方采购“黑名单”中。</w:t>
      </w:r>
    </w:p>
    <w:p>
      <w:pPr>
        <w:pStyle w:val="2"/>
        <w:spacing w:line="360" w:lineRule="auto"/>
        <w:rPr>
          <w:rFonts w:hint="eastAsia"/>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31" w:name="_Toc6675"/>
      <w:bookmarkStart w:id="32" w:name="_Toc16114"/>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lang w:val="zh-CN"/>
        </w:rPr>
        <w:t>合格的货物、服务或工程</w:t>
      </w:r>
      <w:bookmarkEnd w:id="31"/>
      <w:bookmarkEnd w:id="32"/>
    </w:p>
    <w:p>
      <w:pPr>
        <w:spacing w:line="360" w:lineRule="auto"/>
        <w:ind w:left="420" w:hanging="420" w:hanging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“服务”是指报价人依法并按采购文件规定完成的全部服务内容，其中包括完成服务所需的货物和工程，及应承担的技术支持、培训和其它伴随服务。</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货物”是指必须是合法生产、合法来源的原厂生产的、全新的、未使用过的，并完全符合原厂质量检测标准和国家质量检测标准、行业标准和采购文件要求、报价文件承诺。涉及进口产品或原材料的，报价人负责办理所有货物的进口及商检手续，并承担相关费用。</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报价人必须保证提供的所有服务，其质量、技术等特征必须符合国家、行业现行法律、法规的相关标准和及用户需求的要求。</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 进口的货物及其有关服务必须符合原产地和中华人民共和国的设计和制造生产或行业标准。进口的货物须是具有合法的进口手续和途径，并通过了中华人民共和国商检部门的检验。报价人负责办理所有货物的进口及商检手续，并承担相关费用，还应提供原产地证书、报关资料及检验检疫证明、完税证明。</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报价人应保证本项目的技术、服务或其任何一部分免受第三方提出侵犯其专利权、商标权、著作权或其它知识产权的起诉、仲裁或其他形式的责任追究。如果报价人不拥有相应的知识产权，则投标报价应包括合法获取该知识产权的相关费用。如有违反，造成采购人任何经济损失或其他损失的，由报价人承担全部赔偿责任，并向采购人支付采购标的20%的违约金（合同条款内对违约金另有约定的，优先从其约定）。</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无论报价人是否在投标报价表中明示，均视为投标报价已承担包含所有应支付的对专利权、商标权和版权、设计或其他知识产权而需要向其他方支付的版税和使用费等相关费用。如报价人未依法向第三方支付应缴版税和使用费等相关费用的，造成采购人任何经济损失的，由报价人承担全部赔偿责任。</w:t>
      </w:r>
    </w:p>
    <w:p>
      <w:pPr>
        <w:pStyle w:val="2"/>
        <w:spacing w:line="360" w:lineRule="auto"/>
        <w:rPr>
          <w:rFonts w:hint="eastAsia" w:ascii="宋体" w:hAnsi="宋体" w:eastAsia="宋体" w:cs="宋体"/>
          <w:color w:val="auto"/>
          <w:highlight w:val="none"/>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33" w:name="_Toc25845"/>
      <w:bookmarkStart w:id="34" w:name="_Toc19616"/>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lang w:val="zh-CN"/>
        </w:rPr>
        <w:t>纪律与保密事项</w:t>
      </w:r>
      <w:bookmarkEnd w:id="33"/>
      <w:bookmarkEnd w:id="34"/>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报价人应对</w:t>
      </w:r>
      <w:r>
        <w:rPr>
          <w:rFonts w:hint="eastAsia" w:ascii="宋体" w:hAnsi="宋体" w:cs="宋体"/>
          <w:color w:val="auto"/>
          <w:szCs w:val="21"/>
          <w:highlight w:val="none"/>
          <w:lang w:val="en-US" w:eastAsia="zh-CN"/>
        </w:rPr>
        <w:t>询价</w:t>
      </w:r>
      <w:r>
        <w:rPr>
          <w:rFonts w:hint="eastAsia" w:ascii="宋体" w:hAnsi="宋体" w:eastAsia="宋体" w:cs="宋体"/>
          <w:color w:val="auto"/>
          <w:szCs w:val="21"/>
          <w:highlight w:val="none"/>
        </w:rPr>
        <w:t>文件进行保密，仅限于报价人本单位使用，不得用作本次报价以外的任何用途。</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凡参与采购工作的有关人员均应自觉接受有关主管部门的监督，不得向他人透露潜在报价人的名称、数量以及可能影响公平竞争的有关报价的其他情况。</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开封报价后，直至向成交人发出《采购结果通知书》时止，凡与审查、澄清、评价和比较报价的有关资料以及授标意见等，参与评审工作的有关人员均不得向报价人及与评审无关的其他人透露。</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除报价人被要求对报价文件进行澄清外，从递交报价文件截止之时起至授予合同期间，报价人不得就与其报价文件有关的事项主动与询价小组联系。</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 从开封报价之日起至授予合同期间，在报价文件的审查、澄清、比较和评价阶段，报价人试图对询价小组和采购人施加任何影响或对采购人的比较及授予合同的决定产生影响，都可能导致其报价文件被拒绝。</w:t>
      </w:r>
    </w:p>
    <w:p>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t>4.6 报价人不得串通作弊，以不正当的手段妨碍、排挤其他报价人，扰乱采购市场，破坏公平竞争原则。</w:t>
      </w:r>
    </w:p>
    <w:p>
      <w:pPr>
        <w:pStyle w:val="5"/>
        <w:spacing w:before="0" w:after="0" w:line="360" w:lineRule="auto"/>
        <w:outlineLvl w:val="9"/>
        <w:rPr>
          <w:rFonts w:hint="eastAsia" w:ascii="宋体" w:hAnsi="宋体" w:eastAsia="宋体" w:cs="宋体"/>
          <w:color w:val="auto"/>
          <w:sz w:val="21"/>
          <w:szCs w:val="21"/>
          <w:highlight w:val="none"/>
          <w:lang w:val="en-US" w:eastAsia="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35" w:name="_Toc23754"/>
      <w:bookmarkStart w:id="36" w:name="_Toc23737"/>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lang w:val="zh-CN"/>
        </w:rPr>
        <w:t>询价文件</w:t>
      </w:r>
      <w:bookmarkEnd w:id="35"/>
      <w:bookmarkEnd w:id="36"/>
    </w:p>
    <w:p>
      <w:pPr>
        <w:spacing w:line="360" w:lineRule="auto"/>
        <w:ind w:left="420" w:hanging="420" w:hangingChars="200"/>
        <w:rPr>
          <w:rFonts w:hint="eastAsia" w:ascii="宋体" w:hAnsi="宋体" w:eastAsia="宋体" w:cs="宋体"/>
          <w:b/>
          <w:bCs/>
          <w:color w:val="auto"/>
          <w:szCs w:val="21"/>
          <w:highlight w:val="none"/>
          <w:lang w:val="zh-CN"/>
        </w:rPr>
      </w:pPr>
      <w:r>
        <w:rPr>
          <w:rFonts w:hint="eastAsia" w:ascii="宋体" w:hAnsi="宋体" w:eastAsia="宋体" w:cs="宋体"/>
          <w:color w:val="auto"/>
          <w:highlight w:val="none"/>
          <w:lang w:val="zh-CN"/>
        </w:rPr>
        <w:t xml:space="preserve">5.1 </w:t>
      </w:r>
      <w:r>
        <w:rPr>
          <w:rFonts w:hint="eastAsia" w:ascii="宋体" w:hAnsi="宋体" w:eastAsia="宋体" w:cs="宋体"/>
          <w:b/>
          <w:bCs/>
          <w:color w:val="auto"/>
          <w:szCs w:val="21"/>
          <w:highlight w:val="none"/>
          <w:u w:val="single"/>
          <w:lang w:val="zh-CN"/>
        </w:rPr>
        <w:t>报价人应审阅询价文件中所有须知、格式、条款和规格。报价人未按询价文件要求提供全部资料或提交的报价文件未对询价文件作出实质性响应（★标志的部分为报价人及其服务必备的条件或重要指示），那么报价人的报价文件将有可能被拒绝接收或视为无效报价文件</w:t>
      </w:r>
      <w:r>
        <w:rPr>
          <w:rFonts w:hint="eastAsia" w:ascii="宋体" w:hAnsi="宋体" w:eastAsia="宋体" w:cs="宋体"/>
          <w:b/>
          <w:bCs/>
          <w:color w:val="auto"/>
          <w:szCs w:val="21"/>
          <w:highlight w:val="none"/>
          <w:lang w:val="zh-CN"/>
        </w:rPr>
        <w:t>。</w:t>
      </w:r>
    </w:p>
    <w:p>
      <w:pPr>
        <w:spacing w:line="360" w:lineRule="auto"/>
        <w:ind w:left="420" w:hanging="420" w:hangingChars="200"/>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 xml:space="preserve">5.2 </w:t>
      </w:r>
      <w:r>
        <w:rPr>
          <w:rFonts w:hint="eastAsia" w:ascii="宋体" w:hAnsi="宋体" w:eastAsia="宋体" w:cs="宋体"/>
          <w:bCs/>
          <w:color w:val="auto"/>
          <w:szCs w:val="21"/>
          <w:highlight w:val="none"/>
          <w:lang w:val="zh-CN"/>
        </w:rPr>
        <w:t>本询价文件中的“境内”特指中华人民共和国海关关境以内，“境外”特指中华人民共和国海关关境以外。</w:t>
      </w:r>
    </w:p>
    <w:p>
      <w:pPr>
        <w:spacing w:line="360" w:lineRule="auto"/>
        <w:ind w:left="420" w:hanging="420" w:hanging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5.3 本询价文件中所指的“不含税价”，即为《中华人民共和国增值税暂行条例》（国务院令第691号修订版）规定的销售额。本询价文件所称的不含税价和合同价（或合同单价）是指不含本采购项目报价人的销项税额，包含了报价人完成合同义务（含报价人代缴代扣、分包及委外服务、施工、采购货物等所产生的价税）的其他全部费用。本采购项目依法计算的报价人的销项税额由采购人承担，不计入报价。</w:t>
      </w:r>
    </w:p>
    <w:p>
      <w:pPr>
        <w:spacing w:line="360" w:lineRule="auto"/>
        <w:ind w:left="420" w:hanging="420" w:hanging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5.4</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询价文件的异议。报价人或者其他利害关系人对询价文件有异议的，应当</w:t>
      </w:r>
      <w:r>
        <w:rPr>
          <w:rFonts w:hint="eastAsia" w:ascii="宋体" w:hAnsi="宋体" w:cs="宋体"/>
          <w:bCs/>
          <w:color w:val="auto"/>
          <w:szCs w:val="21"/>
          <w:highlight w:val="none"/>
          <w:lang w:val="en-US" w:eastAsia="zh-CN"/>
        </w:rPr>
        <w:t>在报价文件递交截止时间前</w:t>
      </w:r>
      <w:r>
        <w:rPr>
          <w:rFonts w:hint="eastAsia" w:ascii="宋体" w:hAnsi="宋体" w:eastAsia="宋体" w:cs="宋体"/>
          <w:bCs/>
          <w:color w:val="auto"/>
          <w:szCs w:val="21"/>
          <w:highlight w:val="none"/>
          <w:lang w:val="zh-CN"/>
        </w:rPr>
        <w:t>以书面形式向采购人提出，并</w:t>
      </w:r>
      <w:r>
        <w:rPr>
          <w:rFonts w:hint="eastAsia" w:ascii="宋体" w:hAnsi="宋体" w:cs="宋体"/>
          <w:bCs/>
          <w:color w:val="auto"/>
          <w:szCs w:val="21"/>
          <w:highlight w:val="none"/>
          <w:lang w:val="en-US" w:eastAsia="zh-CN"/>
        </w:rPr>
        <w:t>将材料原件</w:t>
      </w:r>
      <w:r>
        <w:rPr>
          <w:rFonts w:hint="eastAsia" w:ascii="宋体" w:hAnsi="宋体" w:eastAsia="宋体" w:cs="宋体"/>
          <w:bCs/>
          <w:color w:val="auto"/>
          <w:szCs w:val="21"/>
          <w:highlight w:val="none"/>
          <w:lang w:val="zh-CN"/>
        </w:rPr>
        <w:t>送达采购人联系人，逾期则视为对询价文件所有内容无异议。异议书面材料必须加盖报价人公章，并注明联系人、联系电话、联系地址。超出提交接收异议截止时间而提出的任何疑问，采购人可不予答复。</w:t>
      </w:r>
    </w:p>
    <w:p>
      <w:pPr>
        <w:spacing w:line="360" w:lineRule="auto"/>
        <w:ind w:left="420" w:hanging="420" w:hangingChars="200"/>
        <w:outlineLvl w:val="1"/>
        <w:rPr>
          <w:rFonts w:hint="eastAsia" w:ascii="宋体" w:hAnsi="宋体" w:eastAsia="宋体" w:cs="宋体"/>
          <w:bCs/>
          <w:color w:val="auto"/>
          <w:szCs w:val="21"/>
          <w:highlight w:val="none"/>
          <w:lang w:val="zh-CN"/>
        </w:rPr>
      </w:pPr>
      <w:bookmarkStart w:id="37" w:name="_Toc27358"/>
      <w:bookmarkStart w:id="38" w:name="_Toc15845"/>
      <w:r>
        <w:rPr>
          <w:rFonts w:hint="eastAsia" w:ascii="宋体" w:hAnsi="宋体" w:eastAsia="宋体" w:cs="宋体"/>
          <w:bCs/>
          <w:color w:val="auto"/>
          <w:szCs w:val="21"/>
          <w:highlight w:val="none"/>
          <w:lang w:val="zh-CN"/>
        </w:rPr>
        <w:t>5.5</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询价文件的澄清及修改。</w:t>
      </w:r>
      <w:bookmarkEnd w:id="37"/>
      <w:bookmarkEnd w:id="38"/>
    </w:p>
    <w:p>
      <w:pPr>
        <w:spacing w:line="360" w:lineRule="auto"/>
        <w:ind w:left="420" w:hanging="420" w:hanging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5.5.1采购人对已发出的询价文件进行必要澄清或者修改的，将在询价文件要求提交报价文件截止时间1日前，在东莞市水务集团有限公司网站（http://www.dgswjt.cn/）发布更正公告，除此方式外，不再另行通知。</w:t>
      </w:r>
    </w:p>
    <w:p>
      <w:pPr>
        <w:pStyle w:val="2"/>
        <w:spacing w:line="360" w:lineRule="auto"/>
        <w:rPr>
          <w:rFonts w:hint="eastAsia" w:ascii="宋体" w:hAnsi="宋体" w:eastAsia="宋体" w:cs="宋体"/>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39" w:name="_Toc1629"/>
      <w:bookmarkStart w:id="40" w:name="_Toc3054"/>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lang w:val="zh-CN"/>
        </w:rPr>
        <w:t>报价文件</w:t>
      </w:r>
      <w:bookmarkEnd w:id="39"/>
      <w:bookmarkEnd w:id="40"/>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报价人应准备一份密封的报价文件（纸质盖章版报价文件和报价文件电子文档，报价文件电子文档应为签字、盖章后的报价文件扫描的PDF</w:t>
      </w:r>
      <w:r>
        <w:rPr>
          <w:rFonts w:hint="eastAsia" w:ascii="宋体" w:hAnsi="宋体" w:eastAsia="宋体" w:cs="宋体"/>
          <w:b/>
          <w:color w:val="auto"/>
          <w:szCs w:val="21"/>
          <w:highlight w:val="none"/>
          <w:u w:val="single"/>
        </w:rPr>
        <w:t>格式电子文件</w:t>
      </w:r>
      <w:r>
        <w:rPr>
          <w:rFonts w:hint="eastAsia" w:ascii="宋体" w:hAnsi="宋体" w:eastAsia="宋体" w:cs="宋体"/>
          <w:b/>
          <w:color w:val="auto"/>
          <w:szCs w:val="21"/>
          <w:highlight w:val="none"/>
          <w:u w:val="single"/>
          <w:lang w:val="zh-CN"/>
        </w:rPr>
        <w:t>，用DVD或CD-R光盘或U盘储存，不留密码，无病毒，不压缩，密封提交）</w:t>
      </w:r>
      <w:r>
        <w:rPr>
          <w:rFonts w:hint="eastAsia" w:ascii="宋体" w:hAnsi="宋体" w:eastAsia="宋体" w:cs="宋体"/>
          <w:color w:val="auto"/>
          <w:szCs w:val="21"/>
          <w:highlight w:val="none"/>
          <w:lang w:val="zh-CN"/>
        </w:rPr>
        <w:t>。报价文件的组成详见第五篇报价文件格式。</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6.2 报价</w:t>
      </w:r>
      <w:r>
        <w:rPr>
          <w:rFonts w:hint="eastAsia" w:ascii="宋体" w:hAnsi="宋体" w:eastAsia="宋体" w:cs="宋体"/>
          <w:color w:val="auto"/>
          <w:szCs w:val="21"/>
          <w:highlight w:val="none"/>
          <w:lang w:val="zh-CN"/>
        </w:rPr>
        <w:t>文件的式样和签署。报价文件的封面应注明“项目名称、报价人名称、日期”等。</w:t>
      </w:r>
      <w:r>
        <w:rPr>
          <w:rFonts w:hint="eastAsia" w:ascii="宋体" w:hAnsi="宋体" w:eastAsia="宋体" w:cs="宋体"/>
          <w:bCs/>
          <w:color w:val="auto"/>
          <w:szCs w:val="21"/>
          <w:highlight w:val="none"/>
          <w:lang w:val="zh-CN"/>
        </w:rPr>
        <w:t>报价文件应打印或用不褪色墨水书写，询价文件提供的格式文件或报价文件中明确要求盖法人公章或签署的，应相应加法人公章或签署。</w:t>
      </w:r>
      <w:r>
        <w:rPr>
          <w:rFonts w:hint="eastAsia" w:ascii="宋体" w:hAnsi="宋体" w:eastAsia="宋体" w:cs="宋体"/>
          <w:color w:val="auto"/>
          <w:szCs w:val="21"/>
          <w:highlight w:val="none"/>
          <w:lang w:val="zh-CN"/>
        </w:rPr>
        <w:t>除报价人对错处作必要修改外，报价文件中不许有加行、涂抹或改写。</w:t>
      </w:r>
      <w:r>
        <w:rPr>
          <w:rFonts w:hint="eastAsia" w:ascii="宋体" w:hAnsi="宋体" w:eastAsia="宋体" w:cs="宋体"/>
          <w:bCs/>
          <w:color w:val="auto"/>
          <w:szCs w:val="21"/>
          <w:highlight w:val="none"/>
          <w:lang w:val="zh-CN"/>
        </w:rPr>
        <w:t>若有修改，应在修改处加盖报价人法人公章。</w:t>
      </w:r>
      <w:r>
        <w:rPr>
          <w:rFonts w:hint="eastAsia" w:ascii="宋体" w:hAnsi="宋体" w:eastAsia="宋体" w:cs="宋体"/>
          <w:color w:val="auto"/>
          <w:szCs w:val="21"/>
          <w:highlight w:val="none"/>
          <w:lang w:val="zh-CN"/>
        </w:rPr>
        <w:t>电报、电传、传真、电子邮件的报价概不接受。</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6.3 </w:t>
      </w:r>
      <w:r>
        <w:rPr>
          <w:rFonts w:hint="eastAsia" w:ascii="宋体" w:hAnsi="宋体" w:eastAsia="宋体" w:cs="宋体"/>
          <w:color w:val="auto"/>
          <w:szCs w:val="21"/>
          <w:highlight w:val="none"/>
          <w:lang w:val="zh-CN"/>
        </w:rPr>
        <w:t>报价文件的密封和标记。报价人应将报价文件密封在一个不透明的外层封装中。外层密封封装表面应正确标明项目名称、报价人名称、日期，封口位置的封条上应加盖报价人法人公章；报价文件已密封但不按前述标志封包，由此而引起的提前开封或错放责任由报价人承担。</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6.4</w:t>
      </w:r>
      <w:r>
        <w:rPr>
          <w:rFonts w:hint="eastAsia" w:ascii="宋体" w:hAnsi="宋体" w:eastAsia="宋体" w:cs="宋体"/>
          <w:color w:val="auto"/>
          <w:szCs w:val="21"/>
          <w:highlight w:val="none"/>
          <w:lang w:val="zh-CN"/>
        </w:rPr>
        <w:t xml:space="preserve"> 开封</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zh-CN"/>
        </w:rPr>
        <w:t>前，由报价人代表（第一位递交报价文件的报价人代表及主动自愿参与检查的报价人代表）和采购人相关代表将对本采购项目所有的报价文件的密封性进行检查，并签署进行确认。</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6.5</w:t>
      </w:r>
      <w:r>
        <w:rPr>
          <w:rFonts w:hint="eastAsia" w:ascii="宋体" w:hAnsi="宋体" w:eastAsia="宋体" w:cs="宋体"/>
          <w:color w:val="auto"/>
          <w:szCs w:val="21"/>
          <w:highlight w:val="none"/>
          <w:lang w:val="zh-CN"/>
        </w:rPr>
        <w:t xml:space="preserve"> 递交报价文件的截止日期。采购人收到报价文件的时间不得迟于第一篇“</w:t>
      </w:r>
      <w:r>
        <w:rPr>
          <w:rFonts w:hint="eastAsia" w:ascii="宋体" w:hAnsi="宋体" w:cs="宋体"/>
          <w:color w:val="auto"/>
          <w:szCs w:val="21"/>
          <w:highlight w:val="none"/>
          <w:lang w:val="en-US" w:eastAsia="zh-CN"/>
        </w:rPr>
        <w:t>询价公告</w:t>
      </w:r>
      <w:r>
        <w:rPr>
          <w:rFonts w:hint="eastAsia" w:ascii="宋体" w:hAnsi="宋体" w:eastAsia="宋体" w:cs="宋体"/>
          <w:color w:val="auto"/>
          <w:szCs w:val="21"/>
          <w:highlight w:val="none"/>
          <w:lang w:val="zh-CN"/>
        </w:rPr>
        <w:t>”中规定的截止时间。采购人可按照本须知第5条的规定修改询价文件并酌情延长递交报价文件的截止时间，因此，已规定的采购人和报价人的一切权利和义务将按延期后的递交报价文件截止时间履行。</w:t>
      </w:r>
    </w:p>
    <w:p>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t>6.6</w:t>
      </w:r>
      <w:r>
        <w:rPr>
          <w:rFonts w:hint="eastAsia" w:ascii="宋体" w:hAnsi="宋体" w:eastAsia="宋体" w:cs="宋体"/>
          <w:color w:val="auto"/>
          <w:szCs w:val="21"/>
          <w:highlight w:val="none"/>
          <w:lang w:val="zh-CN"/>
        </w:rPr>
        <w:t xml:space="preserve"> 迟交的报价文件。</w:t>
      </w:r>
      <w:r>
        <w:rPr>
          <w:rFonts w:hint="eastAsia" w:ascii="宋体" w:hAnsi="宋体" w:eastAsia="宋体" w:cs="宋体"/>
          <w:color w:val="auto"/>
          <w:highlight w:val="none"/>
        </w:rPr>
        <w:t>采购人</w:t>
      </w:r>
      <w:r>
        <w:rPr>
          <w:rFonts w:hint="eastAsia" w:ascii="宋体" w:hAnsi="宋体" w:eastAsia="宋体" w:cs="宋体"/>
          <w:color w:val="auto"/>
          <w:szCs w:val="21"/>
          <w:highlight w:val="none"/>
          <w:lang w:val="zh-CN"/>
        </w:rPr>
        <w:t>将拒绝任何晚于递交报价文件的截止时间交到的报价文件。</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6.7</w:t>
      </w:r>
      <w:r>
        <w:rPr>
          <w:rFonts w:hint="eastAsia" w:ascii="宋体" w:hAnsi="宋体" w:eastAsia="宋体" w:cs="宋体"/>
          <w:color w:val="auto"/>
          <w:szCs w:val="21"/>
          <w:highlight w:val="none"/>
          <w:lang w:val="zh-CN"/>
        </w:rPr>
        <w:t xml:space="preserve"> 报价文件的修改和撤回。报价人在提交报价文件后（递交报价文件截止时间前）可对其报价文件进行修改或撤回，但必须在提交报价文件截止日期前向采购人送达该修改或撤回的书面通知。递交报价文件截止时间后不得修改报价文件。</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6.8</w:t>
      </w:r>
      <w:r>
        <w:rPr>
          <w:rFonts w:hint="eastAsia" w:ascii="宋体" w:hAnsi="宋体" w:eastAsia="宋体" w:cs="宋体"/>
          <w:color w:val="auto"/>
          <w:szCs w:val="21"/>
          <w:highlight w:val="none"/>
          <w:lang w:val="zh-CN"/>
        </w:rPr>
        <w:t xml:space="preserve"> 报价人不得在递交报价文件截止时间起至本采购文件规定的报价文件有效期期满前撤销报价文件</w:t>
      </w:r>
      <w:r>
        <w:rPr>
          <w:rFonts w:hint="eastAsia" w:ascii="宋体" w:hAnsi="宋体" w:eastAsia="宋体" w:cs="宋体"/>
          <w:color w:val="auto"/>
          <w:szCs w:val="21"/>
          <w:highlight w:val="none"/>
        </w:rPr>
        <w:t>（其中包含放弃报价、放弃成交资格等），</w:t>
      </w:r>
      <w:r>
        <w:rPr>
          <w:rFonts w:hint="eastAsia" w:ascii="宋体" w:hAnsi="宋体" w:eastAsia="宋体" w:cs="宋体"/>
          <w:color w:val="auto"/>
          <w:szCs w:val="21"/>
          <w:highlight w:val="none"/>
          <w:lang w:val="zh-CN"/>
        </w:rPr>
        <w:t>否则采购人将视为报价人违约。</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6.9 </w:t>
      </w:r>
      <w:r>
        <w:rPr>
          <w:rFonts w:hint="eastAsia" w:ascii="宋体" w:hAnsi="宋体" w:eastAsia="宋体" w:cs="宋体"/>
          <w:color w:val="auto"/>
          <w:szCs w:val="21"/>
          <w:highlight w:val="none"/>
          <w:lang w:val="zh-CN"/>
        </w:rPr>
        <w:t>证明报价的货物、服务或工程与询价文件的要求相一致的文件可以是文字资料、图纸和数据资料。</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6.10 </w:t>
      </w:r>
      <w:r>
        <w:rPr>
          <w:rFonts w:hint="eastAsia" w:ascii="宋体" w:hAnsi="宋体" w:eastAsia="宋体" w:cs="宋体"/>
          <w:b w:val="0"/>
          <w:bCs/>
          <w:color w:val="auto"/>
          <w:szCs w:val="21"/>
          <w:highlight w:val="none"/>
          <w:u w:val="none"/>
          <w:lang w:val="zh-CN"/>
        </w:rPr>
        <w:t>报价人应注意本询价文件在《用户需求书》中对货物的性能配置、技术参数、技术要求所描述的特征或说明、服务及工程要求只是概括性的，不能理解为所需要的全部产品工序或服务、工程的要求，报价人应按行业技术、质量和以往的研究、货物生产制造、售后服务或项目经验，合格优质的完成采购内容和包含的全部货物、服务或工程。用户需求书中所有列出的相关货物技术要求不是唯一指定，仅作参考，即报价人可就货物提出替代标准，只要相当于(或优于)规定的货物品质和性能等技术参数要求，并提供满足本询价文件要求的证明材料，则视为合格。但凡标有“★”的地方均被视为重要的技术指标要求或性能要求或商务要求。报价人要特别加以注意，必须对此回答并完全满足这些要求，否则若有一项带“★”的条款未响应或不满足，将按无效报价处理</w:t>
      </w:r>
      <w:r>
        <w:rPr>
          <w:rFonts w:hint="eastAsia" w:ascii="宋体" w:hAnsi="宋体" w:eastAsia="宋体" w:cs="宋体"/>
          <w:b w:val="0"/>
          <w:bCs/>
          <w:color w:val="auto"/>
          <w:szCs w:val="21"/>
          <w:highlight w:val="none"/>
          <w:lang w:val="zh-CN"/>
        </w:rPr>
        <w:t>。</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6.11</w:t>
      </w:r>
      <w:r>
        <w:rPr>
          <w:rFonts w:hint="eastAsia" w:ascii="宋体" w:hAnsi="宋体" w:eastAsia="宋体" w:cs="宋体"/>
          <w:color w:val="auto"/>
          <w:szCs w:val="21"/>
          <w:highlight w:val="none"/>
          <w:lang w:val="zh-CN"/>
        </w:rPr>
        <w:t xml:space="preserve"> 报价文件有效期。</w:t>
      </w:r>
      <w:r>
        <w:rPr>
          <w:rFonts w:hint="eastAsia" w:ascii="宋体" w:hAnsi="宋体" w:eastAsia="宋体" w:cs="宋体"/>
          <w:bCs/>
          <w:color w:val="auto"/>
          <w:szCs w:val="21"/>
          <w:highlight w:val="none"/>
          <w:lang w:val="zh-CN"/>
        </w:rPr>
        <w:t>报价文件将在递交报价文件截止时间届满后次日起60日内有效。报价人参与本次报价，并递交报价文件则视为认可前述报价有效期的约定。</w:t>
      </w:r>
      <w:r>
        <w:rPr>
          <w:rFonts w:hint="eastAsia" w:ascii="宋体" w:hAnsi="宋体" w:eastAsia="宋体" w:cs="宋体"/>
          <w:color w:val="auto"/>
          <w:szCs w:val="21"/>
          <w:highlight w:val="none"/>
          <w:lang w:val="zh-CN"/>
        </w:rPr>
        <w:t>成交人的报价文件作为合同附件，合同失效时同时失效。</w:t>
      </w:r>
    </w:p>
    <w:p>
      <w:pPr>
        <w:pStyle w:val="2"/>
        <w:spacing w:line="360" w:lineRule="auto"/>
        <w:rPr>
          <w:rFonts w:hint="eastAsia" w:ascii="宋体" w:hAnsi="宋体" w:eastAsia="宋体" w:cs="宋体"/>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41" w:name="_Toc37323065"/>
      <w:bookmarkStart w:id="42" w:name="_Toc521918091"/>
      <w:bookmarkStart w:id="43" w:name="_Toc450662873"/>
      <w:bookmarkStart w:id="44" w:name="_Toc11351"/>
      <w:bookmarkStart w:id="45" w:name="_Toc7774"/>
      <w:r>
        <w:rPr>
          <w:rFonts w:hint="eastAsia" w:ascii="宋体" w:hAnsi="宋体" w:eastAsia="宋体" w:cs="宋体"/>
          <w:color w:val="auto"/>
          <w:sz w:val="21"/>
          <w:szCs w:val="21"/>
          <w:highlight w:val="none"/>
          <w:lang w:val="zh-CN"/>
        </w:rPr>
        <w:t>7   开</w:t>
      </w:r>
      <w:bookmarkEnd w:id="41"/>
      <w:bookmarkEnd w:id="42"/>
      <w:bookmarkEnd w:id="43"/>
      <w:r>
        <w:rPr>
          <w:rFonts w:hint="eastAsia" w:ascii="宋体" w:hAnsi="宋体" w:eastAsia="宋体" w:cs="宋体"/>
          <w:color w:val="auto"/>
          <w:sz w:val="21"/>
          <w:szCs w:val="21"/>
          <w:highlight w:val="none"/>
          <w:lang w:val="zh-CN"/>
        </w:rPr>
        <w:t>封公开报价</w:t>
      </w:r>
      <w:bookmarkEnd w:id="44"/>
      <w:bookmarkEnd w:id="45"/>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7.1 </w:t>
      </w:r>
      <w:r>
        <w:rPr>
          <w:rFonts w:hint="eastAsia" w:ascii="宋体" w:hAnsi="宋体" w:eastAsia="宋体" w:cs="宋体"/>
          <w:color w:val="auto"/>
          <w:szCs w:val="21"/>
          <w:highlight w:val="none"/>
          <w:lang w:val="zh-CN"/>
        </w:rPr>
        <w:t>在报价人代表自愿出席的情况下，在第一篇“</w:t>
      </w:r>
      <w:r>
        <w:rPr>
          <w:rFonts w:hint="eastAsia" w:ascii="宋体" w:hAnsi="宋体" w:cs="宋体"/>
          <w:color w:val="auto"/>
          <w:szCs w:val="21"/>
          <w:highlight w:val="none"/>
          <w:lang w:val="en-US" w:eastAsia="zh-CN"/>
        </w:rPr>
        <w:t>询价公告</w:t>
      </w:r>
      <w:r>
        <w:rPr>
          <w:rFonts w:hint="eastAsia" w:ascii="宋体" w:hAnsi="宋体" w:eastAsia="宋体" w:cs="宋体"/>
          <w:color w:val="auto"/>
          <w:szCs w:val="21"/>
          <w:highlight w:val="none"/>
          <w:lang w:val="zh-CN"/>
        </w:rPr>
        <w:t>”规定的地点和时间开封公开报价, 出席代表需登记以示出席。采购人代表包括但不限于采购部门代表、采购申请部门代表、财务部门代表。</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7.2 </w:t>
      </w:r>
      <w:r>
        <w:rPr>
          <w:rFonts w:hint="eastAsia" w:ascii="宋体" w:hAnsi="宋体" w:eastAsia="宋体" w:cs="宋体"/>
          <w:color w:val="auto"/>
          <w:szCs w:val="21"/>
          <w:highlight w:val="none"/>
          <w:lang w:val="zh-CN"/>
        </w:rPr>
        <w:t>开封公开报价时，采购人将当众宣读报价人名称、报价以及认为合适的其他内容。若宣读的结果与报价文件不符时，报价人有权在现场提出异议，经现场核查确认之后，可重新宣读其报价文件相关内容。若报价人现场未提出异议，则视为报价人确认宣读的结果。</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7.3 </w:t>
      </w:r>
      <w:r>
        <w:rPr>
          <w:rFonts w:hint="eastAsia" w:ascii="宋体" w:hAnsi="宋体" w:eastAsia="宋体" w:cs="宋体"/>
          <w:color w:val="auto"/>
          <w:szCs w:val="21"/>
          <w:highlight w:val="none"/>
          <w:lang w:val="zh-CN"/>
        </w:rPr>
        <w:t>报价人对开封公开报价有异议的，应当在公开报价的现场提出，采购人当场作出答复，并制作记录。</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7.4 </w:t>
      </w:r>
      <w:r>
        <w:rPr>
          <w:rFonts w:hint="eastAsia" w:ascii="宋体" w:hAnsi="宋体" w:eastAsia="宋体" w:cs="宋体"/>
          <w:color w:val="auto"/>
          <w:szCs w:val="21"/>
          <w:highlight w:val="none"/>
          <w:lang w:val="zh-CN"/>
        </w:rPr>
        <w:t>采购人将做开封公开报价记录，记录包括按第7.2款的规定在开标时宣读的全部内容、第7.3款发生的异议及答复。</w:t>
      </w:r>
    </w:p>
    <w:p>
      <w:pPr>
        <w:pStyle w:val="2"/>
        <w:spacing w:line="360" w:lineRule="auto"/>
        <w:rPr>
          <w:rFonts w:hint="eastAsia" w:ascii="宋体" w:hAnsi="宋体" w:eastAsia="宋体" w:cs="宋体"/>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46" w:name="_Toc521918093"/>
      <w:bookmarkStart w:id="47" w:name="_Toc19964"/>
      <w:bookmarkStart w:id="48" w:name="_Toc37323067"/>
      <w:bookmarkStart w:id="49" w:name="_Toc9168"/>
      <w:bookmarkStart w:id="50" w:name="_Toc450662875"/>
      <w:r>
        <w:rPr>
          <w:rFonts w:hint="eastAsia" w:ascii="宋体" w:hAnsi="宋体" w:eastAsia="宋体" w:cs="宋体"/>
          <w:color w:val="auto"/>
          <w:sz w:val="21"/>
          <w:szCs w:val="21"/>
          <w:highlight w:val="none"/>
          <w:lang w:val="zh-CN"/>
        </w:rPr>
        <w:t>8   询价小组</w:t>
      </w:r>
      <w:bookmarkEnd w:id="46"/>
      <w:bookmarkEnd w:id="47"/>
      <w:bookmarkEnd w:id="48"/>
      <w:bookmarkEnd w:id="49"/>
      <w:bookmarkEnd w:id="50"/>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8.1 </w:t>
      </w:r>
      <w:r>
        <w:rPr>
          <w:rFonts w:hint="eastAsia" w:ascii="宋体" w:hAnsi="宋体" w:eastAsia="宋体" w:cs="宋体"/>
          <w:color w:val="auto"/>
          <w:szCs w:val="21"/>
          <w:highlight w:val="none"/>
          <w:lang w:val="zh-CN"/>
        </w:rPr>
        <w:t>本项目由采购人自行组建询价小组。询价小组的成员在评审过程中必须严格遵守采购人及上级部门相关制度的有关规定。</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8.2 </w:t>
      </w:r>
      <w:r>
        <w:rPr>
          <w:rFonts w:hint="eastAsia" w:ascii="宋体" w:hAnsi="宋体" w:eastAsia="宋体" w:cs="宋体"/>
          <w:color w:val="auto"/>
          <w:szCs w:val="21"/>
          <w:highlight w:val="none"/>
          <w:lang w:val="zh-CN"/>
        </w:rPr>
        <w:t>询价小组根据询价文件的规定，进行报价文件的评审、得出评审结果，推荐成交候选人。</w:t>
      </w:r>
    </w:p>
    <w:p>
      <w:pPr>
        <w:pStyle w:val="2"/>
        <w:spacing w:line="360" w:lineRule="auto"/>
        <w:rPr>
          <w:rFonts w:hint="eastAsia"/>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51" w:name="_Toc14625"/>
      <w:bookmarkStart w:id="52" w:name="_Toc37323071"/>
      <w:bookmarkStart w:id="53" w:name="_Toc521918097"/>
      <w:bookmarkStart w:id="54" w:name="_Toc17484"/>
      <w:r>
        <w:rPr>
          <w:rFonts w:hint="eastAsia" w:ascii="宋体" w:hAnsi="宋体" w:eastAsia="宋体" w:cs="宋体"/>
          <w:color w:val="auto"/>
          <w:sz w:val="21"/>
          <w:szCs w:val="21"/>
          <w:highlight w:val="none"/>
          <w:lang w:val="zh-CN"/>
        </w:rPr>
        <w:t>9   评审程序</w:t>
      </w:r>
      <w:bookmarkEnd w:id="51"/>
      <w:bookmarkEnd w:id="52"/>
      <w:bookmarkEnd w:id="53"/>
      <w:bookmarkEnd w:id="54"/>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9.1 询价小组对</w:t>
      </w:r>
      <w:r>
        <w:rPr>
          <w:rFonts w:hint="eastAsia" w:ascii="宋体" w:hAnsi="宋体" w:eastAsia="宋体" w:cs="宋体"/>
          <w:color w:val="auto"/>
          <w:szCs w:val="21"/>
          <w:highlight w:val="none"/>
          <w:lang w:val="zh-CN"/>
        </w:rPr>
        <w:t>所有报价文件的评审，都采用相同的程序和标准。按步骤先进行初审，再得出评审结果，推荐成交候选人。</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9.2 </w:t>
      </w:r>
      <w:r>
        <w:rPr>
          <w:rFonts w:hint="eastAsia" w:ascii="宋体" w:hAnsi="宋体" w:eastAsia="宋体" w:cs="宋体"/>
          <w:color w:val="auto"/>
          <w:szCs w:val="21"/>
          <w:highlight w:val="none"/>
          <w:lang w:val="zh-CN"/>
        </w:rPr>
        <w:t>报价文件的初审。包括资格性审查和符合性审查。资格性审查：依据法律法规和询价文件的规定，对报价文件中的资格证明等进行审查，以确定报价人是否具备报价资格。符合性审查：依据询价文件的规定，从报价文件的有效性、完整性和对询价文件的响应程度进行审查，以确定是否对询价文件的实质性要求作出响应。</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9.3 </w:t>
      </w:r>
      <w:r>
        <w:rPr>
          <w:rFonts w:hint="eastAsia" w:ascii="宋体" w:hAnsi="宋体" w:eastAsia="宋体" w:cs="宋体"/>
          <w:color w:val="auto"/>
          <w:szCs w:val="21"/>
          <w:highlight w:val="none"/>
          <w:lang w:val="zh-CN"/>
        </w:rPr>
        <w:t>报价文件的澄清。对报价文件中含义不明确、同类问题表述不一致或者有明显文字和计算错误的内容，询价小组可以书面形式（应当由询价小组签字，可通过邮件发给报价人）要求报价人作出必要的澄清、说明或者纠正。报价人的澄清、说明或者补正应当采用书面形式，加盖报价人公章（或由其法定代表人或其授权的代表签字），并不得超出报价文件的范围或者改变报价文件的实质性内容。</w:t>
      </w:r>
      <w:r>
        <w:rPr>
          <w:rFonts w:hint="eastAsia" w:ascii="宋体" w:hAnsi="宋体" w:eastAsia="宋体" w:cs="宋体"/>
          <w:color w:val="auto"/>
          <w:highlight w:val="none"/>
          <w:lang w:val="zh-CN"/>
        </w:rPr>
        <w:t>该书面澄清作为其报价文件的一部分。</w:t>
      </w:r>
    </w:p>
    <w:p>
      <w:pPr>
        <w:spacing w:line="360" w:lineRule="auto"/>
        <w:ind w:left="42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9.4 </w:t>
      </w:r>
      <w:r>
        <w:rPr>
          <w:rFonts w:hint="eastAsia" w:ascii="宋体" w:hAnsi="宋体" w:eastAsia="宋体" w:cs="宋体"/>
          <w:color w:val="auto"/>
          <w:szCs w:val="21"/>
          <w:highlight w:val="none"/>
          <w:lang w:val="zh-CN"/>
        </w:rPr>
        <w:t>经过澄清后确认，报价文件存在重大（实质性）偏差，且不可接受，报价人则被认为是“未响应询价文件提出的实质性要求和条件的报价人”，不再进入下一步评审。</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 报价文件计算错误的修正。询价小组将对报价文件进行校核，看其是否有计算或表达上的错误，修正错误的原则如下：</w:t>
      </w:r>
      <w:r>
        <w:rPr>
          <w:rFonts w:hint="eastAsia" w:ascii="宋体" w:hAnsi="宋体" w:eastAsia="宋体" w:cs="宋体"/>
          <w:color w:val="auto"/>
          <w:szCs w:val="21"/>
          <w:highlight w:val="none"/>
          <w:lang w:val="zh-CN"/>
        </w:rPr>
        <w:t>报价文件的报价大写金额和小写金额不一致的，以大写金额为准；对不同文字文本报价文件的解释发生异议的，以中文文本为准。报价总价和以单价乘以数量计算的分项报价不一致时，总价合同项目以报价总价为准修正单价，单价合同则以单价乘以数量计算的报价合计为准修正总价。按前述修正原则排序依次进行修正至唯一值后的报价表经双方确认后，作为报价人的报价文件的组成部分。</w:t>
      </w:r>
    </w:p>
    <w:p>
      <w:pPr>
        <w:spacing w:line="360" w:lineRule="auto"/>
        <w:ind w:left="420" w:leftChars="200" w:firstLine="422" w:firstLineChars="20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按上述修正</w:t>
      </w:r>
      <w:r>
        <w:rPr>
          <w:rFonts w:hint="eastAsia" w:ascii="宋体" w:hAnsi="宋体" w:eastAsia="宋体" w:cs="宋体"/>
          <w:b/>
          <w:color w:val="auto"/>
          <w:szCs w:val="21"/>
          <w:highlight w:val="none"/>
          <w:u w:val="single"/>
        </w:rPr>
        <w:t>错误</w:t>
      </w:r>
      <w:r>
        <w:rPr>
          <w:rFonts w:hint="eastAsia" w:ascii="宋体" w:hAnsi="宋体" w:eastAsia="宋体" w:cs="宋体"/>
          <w:b/>
          <w:color w:val="auto"/>
          <w:szCs w:val="21"/>
          <w:highlight w:val="none"/>
          <w:u w:val="single"/>
          <w:lang w:val="zh-CN"/>
        </w:rPr>
        <w:t>的原则及方法调整或修正报价文件的报价，调整后的报价对报价人起约束作用。如果报价人不接受修正后的报价，则其报价将被拒绝，作为无效处理</w:t>
      </w:r>
      <w:r>
        <w:rPr>
          <w:rFonts w:hint="eastAsia" w:ascii="宋体" w:hAnsi="宋体" w:eastAsia="宋体" w:cs="宋体"/>
          <w:b/>
          <w:color w:val="auto"/>
          <w:szCs w:val="21"/>
          <w:highlight w:val="none"/>
          <w:lang w:val="zh-CN"/>
        </w:rPr>
        <w:t>。</w:t>
      </w:r>
    </w:p>
    <w:p>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9.6 </w:t>
      </w:r>
      <w:r>
        <w:rPr>
          <w:rFonts w:hint="eastAsia" w:ascii="宋体" w:hAnsi="宋体" w:eastAsia="宋体" w:cs="宋体"/>
          <w:color w:val="auto"/>
          <w:highlight w:val="none"/>
          <w:lang w:val="zh-CN"/>
        </w:rPr>
        <w:t>若</w:t>
      </w:r>
      <w:r>
        <w:rPr>
          <w:rFonts w:hint="eastAsia" w:ascii="宋体" w:hAnsi="宋体" w:eastAsia="宋体" w:cs="宋体"/>
          <w:color w:val="auto"/>
          <w:szCs w:val="21"/>
          <w:highlight w:val="none"/>
        </w:rPr>
        <w:t>报价</w:t>
      </w:r>
      <w:r>
        <w:rPr>
          <w:rFonts w:hint="eastAsia" w:ascii="宋体" w:hAnsi="宋体" w:eastAsia="宋体" w:cs="宋体"/>
          <w:color w:val="auto"/>
          <w:highlight w:val="none"/>
          <w:lang w:val="zh-CN"/>
        </w:rPr>
        <w:t>人出现超低报价，</w:t>
      </w:r>
      <w:r>
        <w:rPr>
          <w:rFonts w:hint="eastAsia" w:ascii="宋体" w:hAnsi="宋体" w:eastAsia="宋体" w:cs="宋体"/>
          <w:color w:val="auto"/>
          <w:szCs w:val="21"/>
          <w:highlight w:val="none"/>
        </w:rPr>
        <w:t>有可能影响货物、服务或工程质量，和不能诚信履约的，</w:t>
      </w:r>
      <w:r>
        <w:rPr>
          <w:rFonts w:hint="eastAsia" w:ascii="宋体" w:hAnsi="宋体" w:eastAsia="宋体" w:cs="宋体"/>
          <w:color w:val="auto"/>
          <w:highlight w:val="none"/>
          <w:lang w:val="zh-CN"/>
        </w:rPr>
        <w:t>询价小组将对报价的分项报价进行审查，并检查报价基础是否一致，是否存在重大漏项，同时</w:t>
      </w:r>
      <w:r>
        <w:rPr>
          <w:rFonts w:hint="eastAsia" w:ascii="宋体" w:hAnsi="宋体" w:eastAsia="宋体" w:cs="宋体"/>
          <w:color w:val="auto"/>
          <w:szCs w:val="21"/>
          <w:highlight w:val="none"/>
          <w:lang w:val="zh-CN"/>
        </w:rPr>
        <w:t>将要求该报价人作出书面说明并提供相关证明材料，</w:t>
      </w:r>
      <w:r>
        <w:rPr>
          <w:rFonts w:hint="eastAsia" w:ascii="宋体" w:hAnsi="宋体" w:eastAsia="宋体" w:cs="宋体"/>
          <w:color w:val="auto"/>
          <w:highlight w:val="none"/>
          <w:lang w:val="zh-CN"/>
        </w:rPr>
        <w:t>以确定报价人是否以低于企业成本价报价。</w:t>
      </w:r>
      <w:r>
        <w:rPr>
          <w:rFonts w:hint="eastAsia" w:ascii="宋体" w:hAnsi="宋体" w:eastAsia="宋体" w:cs="宋体"/>
          <w:b/>
          <w:color w:val="auto"/>
          <w:highlight w:val="none"/>
          <w:u w:val="single"/>
          <w:lang w:val="zh-CN"/>
        </w:rPr>
        <w:t>若询价小组认定报价人以低于企业成本价报价或报价存在重大漏项，</w:t>
      </w:r>
      <w:r>
        <w:rPr>
          <w:rFonts w:hint="eastAsia" w:ascii="宋体" w:hAnsi="宋体" w:eastAsia="宋体" w:cs="宋体"/>
          <w:b/>
          <w:color w:val="auto"/>
          <w:szCs w:val="21"/>
          <w:highlight w:val="none"/>
          <w:u w:val="single"/>
          <w:lang w:val="zh-CN"/>
        </w:rPr>
        <w:t>且报价人不能合理说明或不能提供相关证明材料，</w:t>
      </w:r>
      <w:r>
        <w:rPr>
          <w:rFonts w:hint="eastAsia" w:ascii="宋体" w:hAnsi="宋体" w:eastAsia="宋体" w:cs="宋体"/>
          <w:b/>
          <w:color w:val="auto"/>
          <w:highlight w:val="none"/>
          <w:u w:val="single"/>
          <w:lang w:val="zh-CN"/>
        </w:rPr>
        <w:t>导致采购人的利益得不到保障，则该报价人的报价作为无效报价处理</w:t>
      </w:r>
      <w:r>
        <w:rPr>
          <w:rFonts w:hint="eastAsia" w:ascii="宋体" w:hAnsi="宋体" w:eastAsia="宋体" w:cs="宋体"/>
          <w:b/>
          <w:color w:val="auto"/>
          <w:highlight w:val="none"/>
          <w:lang w:val="zh-CN"/>
        </w:rPr>
        <w:t>。</w:t>
      </w:r>
    </w:p>
    <w:p>
      <w:pPr>
        <w:pStyle w:val="43"/>
        <w:spacing w:line="360" w:lineRule="auto"/>
        <w:ind w:left="420" w:leftChars="200"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对是否低于企业成本价报价或报价存在重大漏项的事宜有争议的报价文件,询价小组成员将以记名方式表决,得票超过半数的报价人才有资格进入下一阶段的评审,否则将按无效报价处理</w:t>
      </w:r>
      <w:r>
        <w:rPr>
          <w:rFonts w:hint="eastAsia" w:ascii="宋体" w:hAnsi="宋体" w:eastAsia="宋体" w:cs="宋体"/>
          <w:b/>
          <w:color w:val="auto"/>
          <w:sz w:val="21"/>
          <w:szCs w:val="21"/>
          <w:highlight w:val="none"/>
          <w:lang w:val="zh-CN"/>
        </w:rPr>
        <w:t>。</w:t>
      </w:r>
    </w:p>
    <w:p>
      <w:pPr>
        <w:tabs>
          <w:tab w:val="left" w:pos="567"/>
        </w:tabs>
        <w:spacing w:line="360" w:lineRule="auto"/>
        <w:ind w:left="567" w:hanging="567"/>
        <w:outlineLvl w:val="1"/>
        <w:rPr>
          <w:rFonts w:hint="eastAsia" w:ascii="宋体" w:hAnsi="宋体" w:eastAsia="宋体" w:cs="宋体"/>
          <w:b/>
          <w:color w:val="auto"/>
          <w:szCs w:val="21"/>
          <w:highlight w:val="none"/>
          <w:lang w:val="zh-CN"/>
        </w:rPr>
      </w:pPr>
      <w:bookmarkStart w:id="55" w:name="_Toc17616"/>
      <w:bookmarkStart w:id="56" w:name="_Toc15715"/>
      <w:r>
        <w:rPr>
          <w:rFonts w:hint="eastAsia" w:ascii="宋体" w:hAnsi="宋体" w:eastAsia="宋体" w:cs="宋体"/>
          <w:color w:val="auto"/>
          <w:szCs w:val="21"/>
          <w:highlight w:val="none"/>
        </w:rPr>
        <w:t>9.7</w:t>
      </w:r>
      <w:r>
        <w:rPr>
          <w:rFonts w:hint="eastAsia" w:ascii="宋体" w:hAnsi="宋体" w:eastAsia="宋体" w:cs="宋体"/>
          <w:b/>
          <w:color w:val="auto"/>
          <w:szCs w:val="21"/>
          <w:highlight w:val="none"/>
          <w:lang w:val="zh-CN"/>
        </w:rPr>
        <w:t xml:space="preserve"> 报价文件出现下列情况之一的，被认定为无效报价：</w:t>
      </w:r>
      <w:bookmarkEnd w:id="55"/>
      <w:bookmarkEnd w:id="56"/>
    </w:p>
    <w:p>
      <w:pPr>
        <w:pStyle w:val="43"/>
        <w:tabs>
          <w:tab w:val="left" w:pos="426"/>
        </w:tabs>
        <w:spacing w:line="360" w:lineRule="auto"/>
        <w:ind w:left="563" w:hanging="562" w:hangingChars="268"/>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9.7.1</w:t>
      </w:r>
      <w:r>
        <w:rPr>
          <w:rFonts w:hint="eastAsia" w:ascii="宋体" w:hAnsi="宋体" w:eastAsia="宋体" w:cs="宋体"/>
          <w:b/>
          <w:color w:val="auto"/>
          <w:sz w:val="21"/>
          <w:szCs w:val="21"/>
          <w:highlight w:val="none"/>
          <w:u w:val="single"/>
        </w:rPr>
        <w:t>报价人不符合报价人的基本条件</w:t>
      </w:r>
      <w:r>
        <w:rPr>
          <w:rFonts w:hint="eastAsia" w:ascii="宋体" w:hAnsi="宋体" w:eastAsia="宋体" w:cs="宋体"/>
          <w:b/>
          <w:color w:val="auto"/>
          <w:sz w:val="21"/>
          <w:szCs w:val="21"/>
          <w:highlight w:val="none"/>
        </w:rPr>
        <w:t>。</w:t>
      </w:r>
    </w:p>
    <w:p>
      <w:pPr>
        <w:pStyle w:val="43"/>
        <w:tabs>
          <w:tab w:val="left" w:pos="567"/>
        </w:tabs>
        <w:spacing w:line="360" w:lineRule="auto"/>
        <w:ind w:left="630" w:hanging="630" w:hanging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9.7.2</w:t>
      </w:r>
      <w:r>
        <w:rPr>
          <w:rFonts w:hint="eastAsia" w:ascii="宋体" w:hAnsi="宋体" w:eastAsia="宋体" w:cs="宋体"/>
          <w:b/>
          <w:color w:val="auto"/>
          <w:sz w:val="21"/>
          <w:szCs w:val="21"/>
          <w:highlight w:val="none"/>
          <w:u w:val="single"/>
        </w:rPr>
        <w:t>报价</w:t>
      </w:r>
      <w:r>
        <w:rPr>
          <w:rFonts w:hint="eastAsia" w:ascii="宋体" w:eastAsia="宋体" w:cs="宋体"/>
          <w:b/>
          <w:color w:val="auto"/>
          <w:sz w:val="21"/>
          <w:szCs w:val="21"/>
          <w:highlight w:val="none"/>
          <w:u w:val="single"/>
          <w:lang w:val="en-US" w:eastAsia="zh-CN"/>
        </w:rPr>
        <w:t>高</w:t>
      </w:r>
      <w:r>
        <w:rPr>
          <w:rFonts w:hint="eastAsia" w:ascii="宋体" w:hAnsi="宋体" w:eastAsia="宋体" w:cs="宋体"/>
          <w:b/>
          <w:color w:val="auto"/>
          <w:sz w:val="21"/>
          <w:szCs w:val="21"/>
          <w:highlight w:val="none"/>
          <w:u w:val="single"/>
        </w:rPr>
        <w:t>于报价最</w:t>
      </w:r>
      <w:r>
        <w:rPr>
          <w:rFonts w:hint="eastAsia" w:ascii="宋体" w:eastAsia="宋体" w:cs="宋体"/>
          <w:b/>
          <w:color w:val="auto"/>
          <w:sz w:val="21"/>
          <w:szCs w:val="21"/>
          <w:highlight w:val="none"/>
          <w:u w:val="single"/>
          <w:lang w:val="en-US" w:eastAsia="zh-CN"/>
        </w:rPr>
        <w:t>高</w:t>
      </w:r>
      <w:r>
        <w:rPr>
          <w:rFonts w:hint="eastAsia" w:ascii="宋体" w:hAnsi="宋体" w:eastAsia="宋体" w:cs="宋体"/>
          <w:b/>
          <w:color w:val="auto"/>
          <w:sz w:val="21"/>
          <w:szCs w:val="21"/>
          <w:highlight w:val="none"/>
          <w:u w:val="single"/>
        </w:rPr>
        <w:t>限价的</w:t>
      </w:r>
      <w:r>
        <w:rPr>
          <w:rFonts w:hint="eastAsia" w:ascii="宋体" w:hAnsi="宋体" w:eastAsia="宋体" w:cs="宋体"/>
          <w:b/>
          <w:color w:val="auto"/>
          <w:sz w:val="21"/>
          <w:szCs w:val="21"/>
          <w:highlight w:val="none"/>
        </w:rPr>
        <w:t>。</w:t>
      </w:r>
    </w:p>
    <w:p>
      <w:pPr>
        <w:pStyle w:val="43"/>
        <w:tabs>
          <w:tab w:val="left" w:pos="426"/>
        </w:tabs>
        <w:spacing w:line="360" w:lineRule="auto"/>
        <w:ind w:left="563" w:hanging="562" w:hangingChars="268"/>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9.7.3</w:t>
      </w:r>
      <w:r>
        <w:rPr>
          <w:rFonts w:hint="eastAsia" w:ascii="宋体" w:hAnsi="宋体" w:eastAsia="宋体" w:cs="宋体"/>
          <w:b/>
          <w:color w:val="auto"/>
          <w:sz w:val="21"/>
          <w:szCs w:val="21"/>
          <w:highlight w:val="none"/>
          <w:u w:val="single"/>
        </w:rPr>
        <w:t>报价人递交两份或多份内容不同的报价文件，或报价方案不是唯一，或在一份报价文件中报有两个或多个报价，且未书面声明哪一个有效</w:t>
      </w:r>
      <w:r>
        <w:rPr>
          <w:rFonts w:hint="eastAsia" w:ascii="宋体" w:hAnsi="宋体" w:eastAsia="宋体" w:cs="宋体"/>
          <w:b/>
          <w:color w:val="auto"/>
          <w:sz w:val="21"/>
          <w:szCs w:val="21"/>
          <w:highlight w:val="none"/>
        </w:rPr>
        <w:t>。</w:t>
      </w:r>
    </w:p>
    <w:p>
      <w:pPr>
        <w:pStyle w:val="43"/>
        <w:spacing w:line="360" w:lineRule="auto"/>
        <w:ind w:left="525" w:hanging="525" w:hangingChars="2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9.7.4</w:t>
      </w:r>
      <w:r>
        <w:rPr>
          <w:rFonts w:hint="eastAsia" w:ascii="宋体" w:hAnsi="宋体" w:eastAsia="宋体" w:cs="宋体"/>
          <w:b/>
          <w:color w:val="auto"/>
          <w:sz w:val="21"/>
          <w:szCs w:val="21"/>
          <w:highlight w:val="none"/>
          <w:u w:val="single"/>
        </w:rPr>
        <w:t>报价文件未对采购范围内的全部内容进行报价</w:t>
      </w:r>
      <w:r>
        <w:rPr>
          <w:rFonts w:hint="eastAsia" w:ascii="宋体" w:hAnsi="宋体" w:eastAsia="宋体" w:cs="宋体"/>
          <w:b/>
          <w:color w:val="auto"/>
          <w:sz w:val="21"/>
          <w:szCs w:val="21"/>
          <w:highlight w:val="none"/>
        </w:rPr>
        <w:t>。</w:t>
      </w:r>
    </w:p>
    <w:p>
      <w:pPr>
        <w:pStyle w:val="43"/>
        <w:tabs>
          <w:tab w:val="left" w:pos="426"/>
        </w:tabs>
        <w:spacing w:line="360" w:lineRule="auto"/>
        <w:ind w:left="563" w:hanging="562" w:hangingChars="268"/>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9.7.5</w:t>
      </w:r>
      <w:r>
        <w:rPr>
          <w:rFonts w:hint="eastAsia" w:ascii="宋体" w:hAnsi="宋体" w:eastAsia="宋体" w:cs="宋体"/>
          <w:b/>
          <w:color w:val="auto"/>
          <w:sz w:val="21"/>
          <w:szCs w:val="21"/>
          <w:highlight w:val="none"/>
          <w:u w:val="single"/>
        </w:rPr>
        <w:t>虚假填写《合同条款偏离表》和《用户需求偏离表》的，或《合同条款偏离表》有重大的负偏离导致采购人利益无法得到保障、存在采购人无法接受的风险的</w:t>
      </w:r>
      <w:r>
        <w:rPr>
          <w:rFonts w:hint="eastAsia" w:ascii="宋体" w:hAnsi="宋体" w:eastAsia="宋体" w:cs="宋体"/>
          <w:b/>
          <w:color w:val="auto"/>
          <w:sz w:val="21"/>
          <w:szCs w:val="21"/>
          <w:highlight w:val="none"/>
        </w:rPr>
        <w:t>。</w:t>
      </w:r>
    </w:p>
    <w:p>
      <w:pPr>
        <w:pStyle w:val="43"/>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9.7.6</w:t>
      </w:r>
      <w:r>
        <w:rPr>
          <w:rFonts w:hint="eastAsia" w:ascii="宋体" w:hAnsi="宋体" w:eastAsia="宋体" w:cs="宋体"/>
          <w:b/>
          <w:color w:val="auto"/>
          <w:sz w:val="21"/>
          <w:szCs w:val="21"/>
          <w:highlight w:val="none"/>
          <w:u w:val="single"/>
        </w:rPr>
        <w:t>未实质性满足法律、法规和询价文件提出的实质性要求和条件（标注★的条款）</w:t>
      </w:r>
      <w:r>
        <w:rPr>
          <w:rFonts w:hint="eastAsia" w:ascii="宋体" w:hAnsi="宋体" w:eastAsia="宋体" w:cs="宋体"/>
          <w:b/>
          <w:color w:val="auto"/>
          <w:sz w:val="21"/>
          <w:szCs w:val="21"/>
          <w:highlight w:val="none"/>
        </w:rPr>
        <w:t>。</w:t>
      </w:r>
    </w:p>
    <w:p>
      <w:pPr>
        <w:pStyle w:val="43"/>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9.7.7</w:t>
      </w:r>
      <w:r>
        <w:rPr>
          <w:rFonts w:hint="eastAsia" w:ascii="宋体" w:hAnsi="宋体" w:eastAsia="宋体" w:cs="宋体"/>
          <w:b/>
          <w:color w:val="auto"/>
          <w:sz w:val="21"/>
          <w:szCs w:val="21"/>
          <w:highlight w:val="none"/>
          <w:u w:val="single"/>
        </w:rPr>
        <w:t>报价文件中附有采购人不能接受的条件</w:t>
      </w:r>
      <w:r>
        <w:rPr>
          <w:rFonts w:hint="eastAsia" w:ascii="宋体" w:hAnsi="宋体" w:eastAsia="宋体" w:cs="宋体"/>
          <w:b/>
          <w:color w:val="auto"/>
          <w:sz w:val="21"/>
          <w:szCs w:val="21"/>
          <w:highlight w:val="none"/>
        </w:rPr>
        <w:t>。</w:t>
      </w:r>
    </w:p>
    <w:p>
      <w:pPr>
        <w:pStyle w:val="43"/>
        <w:spacing w:line="360" w:lineRule="auto"/>
        <w:ind w:firstLine="0" w:firstLineChars="0"/>
        <w:rPr>
          <w:rFonts w:hint="eastAsia" w:ascii="宋体" w:hAnsi="宋体" w:eastAsia="宋体" w:cs="宋体"/>
          <w:b/>
          <w:color w:val="auto"/>
          <w:sz w:val="21"/>
          <w:szCs w:val="21"/>
          <w:highlight w:val="none"/>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57" w:name="_Toc32184"/>
      <w:bookmarkStart w:id="58" w:name="_Toc11431"/>
      <w:bookmarkStart w:id="59" w:name="_Toc10"/>
      <w:bookmarkStart w:id="60" w:name="_Toc22528"/>
      <w:bookmarkStart w:id="61" w:name="_Toc62668955"/>
      <w:bookmarkStart w:id="62" w:name="_Toc15616"/>
      <w:bookmarkStart w:id="63" w:name="_Toc11164"/>
      <w:bookmarkStart w:id="64" w:name="_Toc7332"/>
      <w:bookmarkStart w:id="65" w:name="_Toc8554"/>
      <w:bookmarkStart w:id="66" w:name="_Toc18018"/>
      <w:bookmarkStart w:id="67" w:name="_Toc54710224"/>
      <w:r>
        <w:rPr>
          <w:rFonts w:hint="eastAsia" w:ascii="宋体" w:hAnsi="宋体" w:eastAsia="宋体" w:cs="宋体"/>
          <w:color w:val="auto"/>
          <w:sz w:val="21"/>
          <w:szCs w:val="21"/>
          <w:highlight w:val="none"/>
          <w:lang w:val="zh-CN"/>
        </w:rPr>
        <w:t>10   评定成交的标准</w:t>
      </w:r>
      <w:bookmarkEnd w:id="57"/>
      <w:bookmarkEnd w:id="58"/>
      <w:bookmarkEnd w:id="59"/>
      <w:bookmarkEnd w:id="60"/>
      <w:bookmarkEnd w:id="61"/>
      <w:bookmarkEnd w:id="62"/>
      <w:bookmarkEnd w:id="63"/>
      <w:bookmarkEnd w:id="64"/>
      <w:bookmarkEnd w:id="65"/>
      <w:bookmarkEnd w:id="66"/>
    </w:p>
    <w:p>
      <w:pPr>
        <w:spacing w:line="360" w:lineRule="auto"/>
        <w:ind w:left="523" w:hanging="522" w:hangingChars="24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rPr>
        <w:t>10.1</w:t>
      </w:r>
      <w:r>
        <w:rPr>
          <w:rFonts w:hint="eastAsia"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u w:val="single"/>
          <w:lang w:val="zh-CN"/>
        </w:rPr>
        <w:t>询价小组从质量和服务均满足询价文件实质性响应要求的报价人中，按照报价由</w:t>
      </w:r>
      <w:r>
        <w:rPr>
          <w:rFonts w:hint="eastAsia" w:ascii="宋体" w:hAnsi="宋体" w:cs="宋体"/>
          <w:b/>
          <w:color w:val="auto"/>
          <w:szCs w:val="21"/>
          <w:highlight w:val="none"/>
          <w:u w:val="single"/>
          <w:lang w:val="en-US" w:eastAsia="zh-CN"/>
        </w:rPr>
        <w:t>低</w:t>
      </w:r>
      <w:r>
        <w:rPr>
          <w:rFonts w:hint="eastAsia" w:ascii="宋体" w:hAnsi="宋体" w:eastAsia="宋体" w:cs="宋体"/>
          <w:b/>
          <w:color w:val="auto"/>
          <w:szCs w:val="21"/>
          <w:highlight w:val="none"/>
          <w:u w:val="single"/>
          <w:lang w:val="zh-CN"/>
        </w:rPr>
        <w:t>到</w:t>
      </w:r>
      <w:r>
        <w:rPr>
          <w:rFonts w:hint="eastAsia" w:ascii="宋体" w:hAnsi="宋体" w:cs="宋体"/>
          <w:b/>
          <w:color w:val="auto"/>
          <w:szCs w:val="21"/>
          <w:highlight w:val="none"/>
          <w:u w:val="single"/>
          <w:lang w:val="en-US" w:eastAsia="zh-CN"/>
        </w:rPr>
        <w:t>高</w:t>
      </w:r>
      <w:r>
        <w:rPr>
          <w:rFonts w:hint="eastAsia" w:ascii="宋体" w:hAnsi="宋体" w:eastAsia="宋体" w:cs="宋体"/>
          <w:b/>
          <w:color w:val="auto"/>
          <w:szCs w:val="21"/>
          <w:highlight w:val="none"/>
          <w:u w:val="single"/>
          <w:lang w:val="zh-CN"/>
        </w:rPr>
        <w:t>的顺序推荐成交候选人，并编写评审报告</w:t>
      </w:r>
      <w:r>
        <w:rPr>
          <w:rFonts w:hint="eastAsia" w:ascii="宋体" w:hAnsi="宋体" w:eastAsia="宋体" w:cs="宋体"/>
          <w:b/>
          <w:color w:val="auto"/>
          <w:szCs w:val="21"/>
          <w:highlight w:val="none"/>
          <w:lang w:val="zh-CN"/>
        </w:rPr>
        <w:t>。</w:t>
      </w:r>
    </w:p>
    <w:p>
      <w:pPr>
        <w:spacing w:line="360" w:lineRule="auto"/>
        <w:ind w:left="525" w:leftChars="250" w:firstLine="315" w:firstLineChars="150"/>
        <w:rPr>
          <w:rFonts w:hint="eastAsia" w:ascii="宋体" w:hAnsi="宋体" w:eastAsia="宋体" w:cs="宋体"/>
          <w:color w:val="auto"/>
          <w:szCs w:val="21"/>
          <w:highlight w:val="none"/>
        </w:rPr>
      </w:pPr>
      <w:r>
        <w:rPr>
          <w:rFonts w:hint="eastAsia" w:ascii="宋体" w:hAnsi="宋体" w:eastAsia="宋体" w:cs="宋体"/>
          <w:color w:val="auto"/>
          <w:highlight w:val="none"/>
          <w:lang w:val="zh-CN"/>
        </w:rPr>
        <w:t>如果有两个或以上的报价人的报价相同时，询价小组应综合考虑报价人的报价产品或服务、</w:t>
      </w:r>
      <w:r>
        <w:rPr>
          <w:rFonts w:hint="eastAsia" w:ascii="宋体" w:hAnsi="宋体" w:eastAsia="宋体" w:cs="宋体"/>
          <w:color w:val="auto"/>
          <w:szCs w:val="21"/>
          <w:highlight w:val="none"/>
        </w:rPr>
        <w:t>综合实力、资质等级、类似业绩、获奖情况等因素（优先进行“比优”，无法比优的情况下可进行“比劣”），由询价小组进行投票表决，得票多的排名在先。当第一轮投票结果为报价人得票数相同时，再次进行投票，如此类推，直到能确定排序次序为止。</w:t>
      </w:r>
    </w:p>
    <w:p>
      <w:pPr>
        <w:spacing w:line="360" w:lineRule="auto"/>
        <w:ind w:left="523" w:hanging="522" w:hangingChars="249"/>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10.2</w:t>
      </w:r>
      <w:r>
        <w:rPr>
          <w:rFonts w:hint="eastAsia" w:ascii="宋体" w:hAnsi="宋体" w:eastAsia="宋体" w:cs="宋体"/>
          <w:b w:val="0"/>
          <w:bCs w:val="0"/>
          <w:color w:val="auto"/>
          <w:szCs w:val="21"/>
          <w:highlight w:val="none"/>
          <w:lang w:val="zh-CN"/>
        </w:rPr>
        <w:t xml:space="preserve"> </w:t>
      </w:r>
      <w:r>
        <w:rPr>
          <w:rFonts w:hint="eastAsia" w:ascii="宋体" w:hAnsi="宋体" w:eastAsia="宋体" w:cs="宋体"/>
          <w:b/>
          <w:bCs/>
          <w:color w:val="auto"/>
          <w:szCs w:val="21"/>
          <w:highlight w:val="none"/>
          <w:u w:val="single"/>
          <w:lang w:val="zh-CN"/>
        </w:rPr>
        <w:t>采购人根据询价小组的评审报告和推荐成交候选人名单，按质量和服务均能满足询价文件实质性响应要求，且报价最</w:t>
      </w:r>
      <w:r>
        <w:rPr>
          <w:rFonts w:hint="eastAsia" w:ascii="宋体" w:hAnsi="宋体" w:cs="宋体"/>
          <w:b/>
          <w:bCs/>
          <w:color w:val="auto"/>
          <w:szCs w:val="21"/>
          <w:highlight w:val="none"/>
          <w:u w:val="single"/>
          <w:lang w:val="en-US" w:eastAsia="zh-CN"/>
        </w:rPr>
        <w:t>低</w:t>
      </w:r>
      <w:r>
        <w:rPr>
          <w:rFonts w:hint="eastAsia" w:ascii="宋体" w:hAnsi="宋体" w:eastAsia="宋体" w:cs="宋体"/>
          <w:b/>
          <w:bCs/>
          <w:color w:val="auto"/>
          <w:szCs w:val="21"/>
          <w:highlight w:val="none"/>
          <w:u w:val="single"/>
          <w:lang w:val="zh-CN"/>
        </w:rPr>
        <w:t>的原则确定成交人</w:t>
      </w:r>
      <w:r>
        <w:rPr>
          <w:rFonts w:hint="eastAsia" w:ascii="宋体" w:hAnsi="宋体" w:eastAsia="宋体" w:cs="宋体"/>
          <w:b/>
          <w:bCs/>
          <w:color w:val="auto"/>
          <w:szCs w:val="21"/>
          <w:highlight w:val="none"/>
          <w:lang w:val="zh-CN"/>
        </w:rPr>
        <w:t>。</w:t>
      </w:r>
    </w:p>
    <w:p>
      <w:pPr>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10.3 </w:t>
      </w:r>
      <w:r>
        <w:rPr>
          <w:rFonts w:hint="eastAsia" w:ascii="宋体" w:hAnsi="宋体" w:eastAsia="宋体" w:cs="宋体"/>
          <w:color w:val="auto"/>
          <w:szCs w:val="21"/>
          <w:highlight w:val="none"/>
          <w:lang w:val="zh-CN"/>
        </w:rPr>
        <w:t>若</w:t>
      </w:r>
      <w:r>
        <w:rPr>
          <w:rFonts w:hint="eastAsia" w:ascii="宋体" w:hAnsi="宋体" w:eastAsia="宋体" w:cs="宋体"/>
          <w:color w:val="auto"/>
          <w:szCs w:val="21"/>
          <w:highlight w:val="none"/>
        </w:rPr>
        <w:t>本次采购过程中有效报价人不足三家时，询价失败。经批准，询价小组及作出实质性响应的报价人代表同意后，本项目可以现场转换采购方式继续采购：当有效报价人只有2家时，现场更改为竞争性谈判的方式继续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不同意转换采购方式的报价人可以退出报价。</w:t>
      </w:r>
      <w:bookmarkEnd w:id="67"/>
    </w:p>
    <w:p>
      <w:pPr>
        <w:pStyle w:val="5"/>
        <w:spacing w:before="0" w:after="0" w:line="360" w:lineRule="auto"/>
        <w:outlineLvl w:val="9"/>
        <w:rPr>
          <w:rFonts w:hint="eastAsia" w:ascii="宋体" w:hAnsi="宋体" w:eastAsia="宋体" w:cs="宋体"/>
          <w:color w:val="auto"/>
          <w:sz w:val="21"/>
          <w:szCs w:val="21"/>
          <w:highlight w:val="none"/>
          <w:lang w:val="zh-CN"/>
        </w:rPr>
      </w:pPr>
      <w:bookmarkStart w:id="68" w:name="_Toc22647"/>
      <w:bookmarkStart w:id="69" w:name="_Toc32216"/>
      <w:bookmarkStart w:id="70" w:name="_Toc356"/>
      <w:bookmarkStart w:id="71" w:name="_Toc8614"/>
      <w:bookmarkStart w:id="72" w:name="_Toc62668956"/>
      <w:bookmarkStart w:id="73" w:name="_Toc15780"/>
      <w:bookmarkStart w:id="74" w:name="_Toc4241"/>
      <w:bookmarkStart w:id="75" w:name="_Toc54710225"/>
    </w:p>
    <w:p>
      <w:pPr>
        <w:pStyle w:val="5"/>
        <w:spacing w:before="0" w:after="0" w:line="360" w:lineRule="auto"/>
        <w:outlineLvl w:val="0"/>
        <w:rPr>
          <w:rFonts w:hint="eastAsia" w:ascii="宋体" w:hAnsi="宋体" w:eastAsia="宋体" w:cs="宋体"/>
          <w:color w:val="auto"/>
          <w:sz w:val="21"/>
          <w:szCs w:val="21"/>
          <w:highlight w:val="none"/>
          <w:lang w:val="zh-CN"/>
        </w:rPr>
      </w:pPr>
      <w:bookmarkStart w:id="76" w:name="_Toc15066"/>
      <w:bookmarkStart w:id="77" w:name="_Toc12283"/>
      <w:r>
        <w:rPr>
          <w:rFonts w:hint="eastAsia" w:ascii="宋体" w:hAnsi="宋体" w:eastAsia="宋体" w:cs="宋体"/>
          <w:color w:val="auto"/>
          <w:sz w:val="21"/>
          <w:szCs w:val="21"/>
          <w:highlight w:val="none"/>
          <w:lang w:val="zh-CN"/>
        </w:rPr>
        <w:t>11   采购结果通知及异议、投诉</w:t>
      </w:r>
      <w:bookmarkEnd w:id="68"/>
      <w:bookmarkEnd w:id="69"/>
      <w:bookmarkEnd w:id="70"/>
      <w:bookmarkEnd w:id="71"/>
      <w:bookmarkEnd w:id="72"/>
      <w:bookmarkEnd w:id="73"/>
      <w:bookmarkEnd w:id="74"/>
      <w:bookmarkEnd w:id="76"/>
      <w:bookmarkEnd w:id="77"/>
    </w:p>
    <w:p>
      <w:pPr>
        <w:tabs>
          <w:tab w:val="left" w:pos="360"/>
        </w:tabs>
        <w:spacing w:line="360" w:lineRule="auto"/>
        <w:ind w:right="5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11.1 </w:t>
      </w:r>
      <w:r>
        <w:rPr>
          <w:rFonts w:hint="eastAsia" w:ascii="宋体" w:hAnsi="宋体" w:eastAsia="宋体" w:cs="宋体"/>
          <w:color w:val="auto"/>
          <w:szCs w:val="21"/>
          <w:highlight w:val="none"/>
          <w:lang w:val="zh-CN"/>
        </w:rPr>
        <w:t>采购人将以电子邮件的方式向参与报价的所有报价人发出采购结果通知。</w:t>
      </w:r>
    </w:p>
    <w:p>
      <w:pPr>
        <w:spacing w:line="360" w:lineRule="auto"/>
        <w:ind w:left="525"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11.2</w:t>
      </w:r>
      <w:r>
        <w:rPr>
          <w:rFonts w:hint="eastAsia" w:ascii="宋体" w:hAnsi="宋体" w:eastAsia="宋体" w:cs="宋体"/>
          <w:color w:val="auto"/>
          <w:szCs w:val="21"/>
          <w:highlight w:val="none"/>
          <w:lang w:val="zh-CN"/>
        </w:rPr>
        <w:t xml:space="preserve"> 报价人或者其他利害关系人对采购结果有异议的，应当在采购结果通知发出之日起3日内向采购人以书面的形式提出，并将完整的异议书面材料原件送达采购人采购联系人，逾期则视为对采购结果无异议。超出提交异议截止时间而提出的任何疑问，采购人可不予答复。</w:t>
      </w:r>
    </w:p>
    <w:p>
      <w:pPr>
        <w:spacing w:line="360" w:lineRule="auto"/>
        <w:ind w:left="525" w:leftChars="25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人将拒收未能提供完整异议书面材料的异议，完整的异议书面材料必须同时包含：异议书（加盖报价人法人公章，并注明联系人、联系电话、联系地址）、授权提交异议的法定代表人授权书原件、反映异议人主体资格的营业执照复印件（加盖报价人法人公章）、以及合法来源的证明材料。</w:t>
      </w:r>
    </w:p>
    <w:p>
      <w:pPr>
        <w:spacing w:line="360" w:lineRule="auto"/>
        <w:ind w:left="540" w:hanging="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发出采购结果</w:t>
      </w:r>
      <w:r>
        <w:rPr>
          <w:rFonts w:hint="eastAsia" w:ascii="宋体" w:hAnsi="宋体" w:eastAsia="宋体" w:cs="宋体"/>
          <w:color w:val="auto"/>
          <w:szCs w:val="21"/>
          <w:highlight w:val="none"/>
          <w:lang w:val="zh-CN"/>
        </w:rPr>
        <w:t>通知</w:t>
      </w:r>
      <w:r>
        <w:rPr>
          <w:rFonts w:hint="eastAsia" w:ascii="宋体" w:hAnsi="宋体" w:eastAsia="宋体" w:cs="宋体"/>
          <w:color w:val="auto"/>
          <w:szCs w:val="21"/>
          <w:highlight w:val="none"/>
        </w:rPr>
        <w:t>后，成交人有义务在采购结果通知发出之日起3日内提交报价文件中所提供的资格证明文件、业绩证明文件、对询价文件实质性条款响应文件、履约能力证明文件的原件供采购人核查，采购人如发现报价人提供虚假证明文件、虚假响应文件等弄虚作假行为骗取成交的，采购人有权取消其成交资格，</w:t>
      </w:r>
      <w:r>
        <w:rPr>
          <w:rFonts w:hint="eastAsia" w:ascii="宋体" w:hAnsi="宋体" w:eastAsia="宋体" w:cs="宋体"/>
          <w:color w:val="auto"/>
          <w:szCs w:val="21"/>
          <w:highlight w:val="none"/>
          <w:lang w:val="zh-CN"/>
        </w:rPr>
        <w:t>保留三年内拒绝该报价人参与采购人（或其上级单位、权属公司）采购项目投标报价的权利</w:t>
      </w:r>
      <w:r>
        <w:rPr>
          <w:rFonts w:hint="eastAsia" w:ascii="宋体" w:hAnsi="宋体" w:eastAsia="宋体" w:cs="宋体"/>
          <w:color w:val="auto"/>
          <w:szCs w:val="21"/>
          <w:highlight w:val="none"/>
        </w:rPr>
        <w:t>。涉嫌违法犯罪的，将移交司法机关处理。</w:t>
      </w:r>
    </w:p>
    <w:p>
      <w:pPr>
        <w:spacing w:line="360" w:lineRule="auto"/>
        <w:ind w:left="54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必要时，当采购人向成交人发出提供上述证明资料原件进行核查的书面通知后，三个工作日内成交人仍未能提供原件进行核查的，视为其无法提供真实的资料，采购人有权取消其成交人资格</w:t>
      </w:r>
      <w:r>
        <w:rPr>
          <w:rFonts w:hint="eastAsia" w:ascii="宋体" w:hAnsi="宋体" w:eastAsia="宋体" w:cs="宋体"/>
          <w:b/>
          <w:color w:val="auto"/>
          <w:szCs w:val="21"/>
          <w:highlight w:val="none"/>
        </w:rPr>
        <w:t>。</w:t>
      </w:r>
    </w:p>
    <w:p>
      <w:pPr>
        <w:snapToGrid w:val="0"/>
        <w:spacing w:line="360" w:lineRule="auto"/>
        <w:ind w:left="529" w:hanging="529" w:hangingChars="25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11.4 </w:t>
      </w:r>
      <w:r>
        <w:rPr>
          <w:rFonts w:hint="eastAsia" w:ascii="宋体" w:hAnsi="宋体" w:eastAsia="宋体" w:cs="宋体"/>
          <w:color w:val="auto"/>
          <w:szCs w:val="21"/>
          <w:highlight w:val="none"/>
          <w:lang w:val="zh-CN"/>
        </w:rPr>
        <w:t>报价人或者其他利害关系人认为采购活动不符合法律、行政法规、采购人制度规定的，可以自知道或者应当知道之日起10日内，按程序向采购人的上级单位投诉。投诉应当有明确的请求和必要的证明材料。投诉书应当包括下列内容：</w:t>
      </w:r>
    </w:p>
    <w:p>
      <w:pPr>
        <w:snapToGrid w:val="0"/>
        <w:spacing w:line="360" w:lineRule="auto"/>
        <w:ind w:left="525" w:leftChars="25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（一）投诉人和被投诉人的姓名或者名称、通讯地址、邮编、联系人及联系电话；</w:t>
      </w:r>
    </w:p>
    <w:p>
      <w:pPr>
        <w:snapToGrid w:val="0"/>
        <w:spacing w:line="360" w:lineRule="auto"/>
        <w:ind w:firstLine="945" w:firstLineChars="4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（二）异议和异议答复情况说明及相关证明材料；</w:t>
      </w:r>
    </w:p>
    <w:p>
      <w:pPr>
        <w:snapToGrid w:val="0"/>
        <w:spacing w:line="360" w:lineRule="auto"/>
        <w:ind w:firstLine="945" w:firstLineChars="4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（三）具体、明确的投诉事项和与投诉事项相关的投诉请求；</w:t>
      </w:r>
    </w:p>
    <w:p>
      <w:pPr>
        <w:snapToGrid w:val="0"/>
        <w:spacing w:line="360" w:lineRule="auto"/>
        <w:ind w:firstLine="945" w:firstLineChars="4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（四）事实依据；</w:t>
      </w:r>
    </w:p>
    <w:p>
      <w:pPr>
        <w:snapToGrid w:val="0"/>
        <w:spacing w:line="360" w:lineRule="auto"/>
        <w:ind w:firstLine="945" w:firstLineChars="4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（五）法律依据；</w:t>
      </w:r>
    </w:p>
    <w:p>
      <w:pPr>
        <w:snapToGrid w:val="0"/>
        <w:spacing w:line="360" w:lineRule="auto"/>
        <w:ind w:firstLine="945" w:firstLineChars="4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（六）提起投诉的日期；</w:t>
      </w:r>
    </w:p>
    <w:p>
      <w:pPr>
        <w:snapToGrid w:val="0"/>
        <w:spacing w:line="360" w:lineRule="auto"/>
        <w:ind w:left="525" w:leftChars="25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投诉人为法人或者其他组织的，应当由法定代表人、主要负责人，或者其授权代表签字或者盖章，并加盖公章。</w:t>
      </w:r>
    </w:p>
    <w:p>
      <w:pPr>
        <w:snapToGrid w:val="0"/>
        <w:spacing w:line="360" w:lineRule="auto"/>
        <w:ind w:left="525" w:leftChars="25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投诉人投诉的事项不得超出已质疑事项的范围，但基于异议答复内容提出的投诉事项除外。</w:t>
      </w:r>
    </w:p>
    <w:p>
      <w:pPr>
        <w:snapToGrid w:val="0"/>
        <w:spacing w:line="360" w:lineRule="auto"/>
        <w:ind w:left="529" w:hanging="529" w:hangingChars="25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bookmarkEnd w:id="75"/>
    <w:p>
      <w:pPr>
        <w:pStyle w:val="2"/>
        <w:spacing w:line="360" w:lineRule="auto"/>
        <w:rPr>
          <w:rFonts w:hint="eastAsia" w:ascii="宋体" w:hAnsi="宋体" w:eastAsia="宋体" w:cs="宋体"/>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78" w:name="_Toc6340"/>
      <w:bookmarkStart w:id="79" w:name="_Toc465358970"/>
      <w:bookmarkStart w:id="80" w:name="_Toc521918099"/>
      <w:bookmarkStart w:id="81" w:name="_Toc29560"/>
      <w:bookmarkStart w:id="82" w:name="_Toc37323073"/>
      <w:bookmarkStart w:id="83" w:name="_Toc466882018"/>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lang w:val="zh-CN"/>
        </w:rPr>
        <w:t>真实性审查</w:t>
      </w:r>
      <w:bookmarkEnd w:id="78"/>
      <w:bookmarkEnd w:id="79"/>
      <w:bookmarkEnd w:id="80"/>
      <w:bookmarkEnd w:id="81"/>
      <w:bookmarkEnd w:id="82"/>
      <w:bookmarkEnd w:id="83"/>
    </w:p>
    <w:p>
      <w:pPr>
        <w:snapToGrid w:val="0"/>
        <w:spacing w:line="360" w:lineRule="auto"/>
        <w:ind w:left="529" w:hanging="529" w:hangingChars="25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12.1 在授予合同前，采购人、或询价小组有权组织对报价人的真实性审查。包括对报价人资格证明文件、</w:t>
      </w:r>
      <w:r>
        <w:rPr>
          <w:rFonts w:hint="eastAsia" w:ascii="宋体" w:hAnsi="宋体" w:eastAsia="宋体" w:cs="宋体"/>
          <w:color w:val="auto"/>
          <w:szCs w:val="21"/>
          <w:highlight w:val="none"/>
        </w:rPr>
        <w:t>业绩证明资料</w:t>
      </w:r>
      <w:r>
        <w:rPr>
          <w:rFonts w:hint="eastAsia" w:ascii="宋体" w:hAnsi="宋体" w:eastAsia="宋体" w:cs="宋体"/>
          <w:color w:val="auto"/>
          <w:szCs w:val="21"/>
          <w:highlight w:val="none"/>
          <w:lang w:val="zh-CN"/>
        </w:rPr>
        <w:t>、对询价文件实质性条款响应文件、履约能力证明文件以及对报价人现场的真实性进行核查，若发现其提供虚假证明文件、虚假响应文件等弄虚作假行为的，或经审查确认其经营、财务状况发生较大变化（或者存在违法行为）导致无法按照报价文件的承诺履约的，或其明确表示不按照报价文件承诺履约等影响成交结果的行为，采购人有权按照询价小组提出的成交候选人名单排序依次确定其他成交候选人为成交人或重新采购。</w:t>
      </w:r>
    </w:p>
    <w:p>
      <w:pPr>
        <w:snapToGrid w:val="0"/>
        <w:spacing w:line="360" w:lineRule="auto"/>
        <w:ind w:left="529" w:hanging="529" w:hangingChars="25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12.2 报价人在采购人或询价小组通知其提供上述证明资料原件进行核查的要求后，未能在约定的时间内提供原件进行核查的，视为报价人无法提供真实的资料，采购人有权按照询价小组提出的成交候选人名单排序依次确定其他成交候选人为成交人或重新采购。</w:t>
      </w:r>
    </w:p>
    <w:p>
      <w:pPr>
        <w:snapToGrid w:val="0"/>
        <w:spacing w:line="360" w:lineRule="auto"/>
        <w:ind w:left="529" w:hanging="529" w:hangingChars="25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12.3 若报价人在报价或履约过程中存在提供虚假材料、虚假响应文件等弄虚作假行为，或不按照报价文件承诺履约或撤回报价或放弃成交资格或</w:t>
      </w:r>
      <w:r>
        <w:rPr>
          <w:rFonts w:hint="eastAsia" w:ascii="宋体" w:hAnsi="宋体" w:eastAsia="宋体" w:cs="宋体"/>
          <w:color w:val="auto"/>
          <w:szCs w:val="21"/>
          <w:highlight w:val="none"/>
        </w:rPr>
        <w:t>不按要求与采购人签订合同</w:t>
      </w:r>
      <w:r>
        <w:rPr>
          <w:rFonts w:hint="eastAsia" w:ascii="宋体" w:hAnsi="宋体" w:eastAsia="宋体" w:cs="宋体"/>
          <w:color w:val="auto"/>
          <w:szCs w:val="21"/>
          <w:highlight w:val="none"/>
          <w:lang w:val="zh-CN"/>
        </w:rPr>
        <w:t>等影响成交结果的行为，采购人有权将报价人纳入东莞市水务集团</w:t>
      </w:r>
      <w:r>
        <w:rPr>
          <w:rFonts w:hint="eastAsia" w:ascii="宋体" w:hAnsi="宋体" w:cs="宋体"/>
          <w:color w:val="auto"/>
          <w:szCs w:val="21"/>
          <w:highlight w:val="none"/>
          <w:lang w:val="en-US" w:eastAsia="zh-CN"/>
        </w:rPr>
        <w:t>实业发展</w:t>
      </w:r>
      <w:r>
        <w:rPr>
          <w:rFonts w:hint="eastAsia" w:ascii="宋体" w:hAnsi="宋体" w:eastAsia="宋体" w:cs="宋体"/>
          <w:color w:val="auto"/>
          <w:szCs w:val="21"/>
          <w:highlight w:val="none"/>
          <w:lang w:val="zh-CN"/>
        </w:rPr>
        <w:t>有限公司（含其</w:t>
      </w:r>
      <w:r>
        <w:rPr>
          <w:rFonts w:hint="eastAsia" w:ascii="宋体" w:hAnsi="宋体" w:cs="宋体"/>
          <w:color w:val="auto"/>
          <w:szCs w:val="21"/>
          <w:highlight w:val="none"/>
          <w:lang w:val="en-US" w:eastAsia="zh-CN"/>
        </w:rPr>
        <w:t>全资公司、</w:t>
      </w:r>
      <w:r>
        <w:rPr>
          <w:rFonts w:hint="eastAsia" w:ascii="宋体" w:hAnsi="宋体" w:eastAsia="宋体" w:cs="宋体"/>
          <w:color w:val="auto"/>
          <w:szCs w:val="21"/>
          <w:highlight w:val="none"/>
          <w:lang w:val="zh-CN"/>
        </w:rPr>
        <w:t>控股公司、由其管理的参股公司）招标、采购、征集供应商或合作方采购的‘黑名单’中，因此导致报价人无法参与东莞市水务集团</w:t>
      </w:r>
      <w:r>
        <w:rPr>
          <w:rFonts w:hint="eastAsia" w:ascii="宋体" w:hAnsi="宋体" w:cs="宋体"/>
          <w:color w:val="auto"/>
          <w:szCs w:val="21"/>
          <w:highlight w:val="none"/>
          <w:lang w:val="en-US" w:eastAsia="zh-CN"/>
        </w:rPr>
        <w:t>实业发展</w:t>
      </w:r>
      <w:r>
        <w:rPr>
          <w:rFonts w:hint="eastAsia" w:ascii="宋体" w:hAnsi="宋体" w:eastAsia="宋体" w:cs="宋体"/>
          <w:color w:val="auto"/>
          <w:szCs w:val="21"/>
          <w:highlight w:val="none"/>
          <w:lang w:val="zh-CN"/>
        </w:rPr>
        <w:t>有限公司相关招标采购等活动的，由报价人自行承担全部后果。</w:t>
      </w:r>
    </w:p>
    <w:p>
      <w:pPr>
        <w:pStyle w:val="2"/>
        <w:spacing w:line="360" w:lineRule="auto"/>
        <w:rPr>
          <w:rFonts w:hint="eastAsia" w:ascii="宋体" w:hAnsi="宋体" w:eastAsia="宋体" w:cs="宋体"/>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84" w:name="_Toc53735602"/>
      <w:bookmarkStart w:id="85" w:name="_Toc37323077"/>
      <w:bookmarkStart w:id="86" w:name="_Toc521918104"/>
      <w:bookmarkStart w:id="87" w:name="_Toc1669"/>
      <w:bookmarkStart w:id="88" w:name="_Toc20487"/>
      <w:r>
        <w:rPr>
          <w:rFonts w:hint="eastAsia" w:ascii="宋体" w:hAnsi="宋体" w:eastAsia="宋体" w:cs="宋体"/>
          <w:color w:val="auto"/>
          <w:sz w:val="21"/>
          <w:szCs w:val="21"/>
          <w:highlight w:val="none"/>
          <w:lang w:val="zh-CN"/>
        </w:rPr>
        <w:t>13   签署合同</w:t>
      </w:r>
      <w:bookmarkEnd w:id="84"/>
      <w:bookmarkEnd w:id="85"/>
      <w:bookmarkEnd w:id="86"/>
      <w:bookmarkEnd w:id="87"/>
      <w:bookmarkEnd w:id="88"/>
    </w:p>
    <w:p>
      <w:pPr>
        <w:tabs>
          <w:tab w:val="left" w:pos="435"/>
        </w:tabs>
        <w:spacing w:line="360" w:lineRule="auto"/>
        <w:ind w:left="540" w:right="18" w:hanging="540"/>
        <w:rPr>
          <w:rFonts w:hint="eastAsia"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u w:val="single"/>
          <w:lang w:val="zh-CN"/>
        </w:rPr>
        <w:t>成交人在自采购结果通知书发出之日起7日内，在通知书上规定的时间内，应派法定代表人或授权代表前往采购人处签订合同，否则采购人有权取消成交资格并按询价文件及法律、法规的规定进行处理</w:t>
      </w:r>
      <w:r>
        <w:rPr>
          <w:rFonts w:hint="eastAsia" w:ascii="宋体" w:hAnsi="宋体" w:eastAsia="宋体" w:cs="宋体"/>
          <w:color w:val="auto"/>
          <w:szCs w:val="21"/>
          <w:highlight w:val="none"/>
          <w:lang w:val="zh-CN"/>
        </w:rPr>
        <w:t>。</w:t>
      </w:r>
    </w:p>
    <w:p>
      <w:pPr>
        <w:snapToGrid w:val="0"/>
        <w:spacing w:line="360" w:lineRule="auto"/>
        <w:ind w:left="529" w:hanging="529" w:hangingChars="25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在签署合同前，采购人可按照9.5款的规定对成交人报价表内的算术性错误等情况进行复核，存在错误或不符合询价文件规定的，对成交人的报价进行修正。</w:t>
      </w:r>
    </w:p>
    <w:p>
      <w:pPr>
        <w:snapToGrid w:val="0"/>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szCs w:val="21"/>
          <w:highlight w:val="none"/>
          <w:lang w:val="zh-CN"/>
        </w:rPr>
        <w:t xml:space="preserve">13.3 </w:t>
      </w:r>
      <w:r>
        <w:rPr>
          <w:rFonts w:hint="eastAsia" w:ascii="宋体" w:hAnsi="宋体" w:eastAsia="宋体" w:cs="宋体"/>
          <w:color w:val="auto"/>
          <w:szCs w:val="21"/>
          <w:highlight w:val="none"/>
        </w:rPr>
        <w:t>成交人因不可抗力或自身原因不能履行合同的、不按要求与采购人签订合同、成交人放弃成交、成交资格被依法确认无效的，采购人可以按照询价小组提出的成交候选人名单排序依次确定其他成交候选人为成交人或重新采购。</w:t>
      </w:r>
    </w:p>
    <w:p>
      <w:pPr>
        <w:pStyle w:val="5"/>
        <w:spacing w:before="0" w:after="0" w:line="360" w:lineRule="auto"/>
        <w:outlineLvl w:val="9"/>
        <w:rPr>
          <w:rFonts w:hint="eastAsia" w:ascii="宋体" w:hAnsi="宋体" w:eastAsia="宋体" w:cs="宋体"/>
          <w:color w:val="auto"/>
          <w:sz w:val="21"/>
          <w:szCs w:val="21"/>
          <w:highlight w:val="none"/>
          <w:lang w:val="zh-CN"/>
        </w:rPr>
      </w:pPr>
      <w:bookmarkStart w:id="89" w:name="_Toc37323081"/>
      <w:bookmarkStart w:id="90" w:name="_Toc521918108"/>
      <w:bookmarkStart w:id="91" w:name="_Toc62668959"/>
    </w:p>
    <w:p>
      <w:pPr>
        <w:pStyle w:val="5"/>
        <w:spacing w:before="0" w:after="0" w:line="360" w:lineRule="auto"/>
        <w:outlineLvl w:val="0"/>
        <w:rPr>
          <w:rFonts w:hint="eastAsia" w:ascii="宋体" w:hAnsi="宋体" w:eastAsia="宋体" w:cs="宋体"/>
          <w:color w:val="auto"/>
          <w:sz w:val="21"/>
          <w:szCs w:val="21"/>
          <w:highlight w:val="none"/>
          <w:lang w:val="zh-CN"/>
        </w:rPr>
      </w:pPr>
      <w:bookmarkStart w:id="92" w:name="_Toc28292"/>
      <w:bookmarkStart w:id="93" w:name="_Toc17515"/>
      <w:r>
        <w:rPr>
          <w:rFonts w:hint="eastAsia" w:ascii="宋体" w:hAnsi="宋体" w:eastAsia="宋体" w:cs="宋体"/>
          <w:color w:val="auto"/>
          <w:sz w:val="21"/>
          <w:szCs w:val="21"/>
          <w:highlight w:val="none"/>
          <w:lang w:val="zh-CN"/>
        </w:rPr>
        <w:t>14   发票</w:t>
      </w:r>
      <w:bookmarkEnd w:id="89"/>
      <w:bookmarkEnd w:id="90"/>
      <w:bookmarkEnd w:id="91"/>
      <w:bookmarkEnd w:id="92"/>
      <w:bookmarkEnd w:id="93"/>
    </w:p>
    <w:p>
      <w:pPr>
        <w:spacing w:line="360" w:lineRule="auto"/>
        <w:ind w:left="630" w:hanging="630" w:hangingChars="3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 本项目获得成交的成交人在执行合同过程中，向采购人（含其全资公司、控股公司、</w:t>
      </w:r>
    </w:p>
    <w:p>
      <w:pPr>
        <w:spacing w:line="360" w:lineRule="auto"/>
        <w:ind w:left="630" w:leftChars="250" w:hanging="105" w:hangingChars="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由其管理的参股公司）出具的发票必须是由成交人开具，不得以其他单位或个人名义</w:t>
      </w:r>
    </w:p>
    <w:p>
      <w:pPr>
        <w:spacing w:line="360" w:lineRule="auto"/>
        <w:ind w:left="630" w:leftChars="250" w:hanging="105" w:hangingChars="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出具，本项目成交人向采购人（含其全资公司、控股公司、由其管理的参股公司）出</w:t>
      </w:r>
    </w:p>
    <w:p>
      <w:pPr>
        <w:spacing w:line="360" w:lineRule="auto"/>
        <w:ind w:left="630" w:leftChars="250" w:hanging="105" w:hangingChars="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具的发票类型为增值税</w:t>
      </w:r>
      <w:r>
        <w:rPr>
          <w:rFonts w:hint="eastAsia" w:ascii="宋体" w:hAnsi="宋体" w:cs="宋体"/>
          <w:color w:val="auto"/>
          <w:szCs w:val="21"/>
          <w:highlight w:val="none"/>
          <w:lang w:val="en-US" w:eastAsia="zh-CN"/>
        </w:rPr>
        <w:t>专用</w:t>
      </w:r>
      <w:r>
        <w:rPr>
          <w:rFonts w:hint="eastAsia" w:ascii="宋体" w:hAnsi="宋体" w:eastAsia="宋体" w:cs="宋体"/>
          <w:color w:val="auto"/>
          <w:szCs w:val="21"/>
          <w:highlight w:val="none"/>
          <w:lang w:val="zh-CN"/>
        </w:rPr>
        <w:t>发票。</w:t>
      </w:r>
    </w:p>
    <w:p>
      <w:pPr>
        <w:pStyle w:val="2"/>
        <w:rPr>
          <w:rFonts w:hint="eastAsia" w:ascii="宋体" w:hAnsi="宋体" w:eastAsia="宋体" w:cs="宋体"/>
          <w:color w:val="auto"/>
          <w:highlight w:val="none"/>
          <w:lang w:val="zh-CN"/>
        </w:rPr>
      </w:pPr>
    </w:p>
    <w:p>
      <w:pPr>
        <w:pStyle w:val="5"/>
        <w:spacing w:before="0" w:after="0" w:line="360" w:lineRule="auto"/>
        <w:outlineLvl w:val="0"/>
        <w:rPr>
          <w:rFonts w:hint="eastAsia" w:ascii="宋体" w:hAnsi="宋体" w:eastAsia="宋体" w:cs="宋体"/>
          <w:color w:val="auto"/>
          <w:sz w:val="21"/>
          <w:szCs w:val="21"/>
          <w:highlight w:val="none"/>
          <w:lang w:val="zh-CN"/>
        </w:rPr>
      </w:pPr>
      <w:bookmarkStart w:id="94" w:name="_Toc26112"/>
      <w:bookmarkStart w:id="95" w:name="_Toc12589"/>
      <w:bookmarkStart w:id="96" w:name="_Toc62668960"/>
      <w:r>
        <w:rPr>
          <w:rFonts w:hint="eastAsia" w:ascii="宋体" w:hAnsi="宋体" w:eastAsia="宋体" w:cs="宋体"/>
          <w:color w:val="auto"/>
          <w:sz w:val="21"/>
          <w:szCs w:val="21"/>
          <w:highlight w:val="none"/>
          <w:lang w:val="zh-CN"/>
        </w:rPr>
        <w:t>15   其他说明</w:t>
      </w:r>
      <w:bookmarkEnd w:id="94"/>
      <w:bookmarkEnd w:id="95"/>
      <w:bookmarkEnd w:id="96"/>
    </w:p>
    <w:p>
      <w:pPr>
        <w:spacing w:line="360" w:lineRule="auto"/>
        <w:rPr>
          <w:rFonts w:hint="eastAsia" w:ascii="宋体" w:hAnsi="宋体" w:eastAsia="宋体" w:cs="宋体"/>
          <w:color w:val="auto"/>
          <w:szCs w:val="21"/>
          <w:highlight w:val="none"/>
          <w:lang w:val="zh-CN"/>
        </w:rPr>
      </w:pPr>
      <w:bookmarkStart w:id="97" w:name="_Toc521918109"/>
      <w:bookmarkStart w:id="98" w:name="_Toc37323082"/>
      <w:r>
        <w:rPr>
          <w:rFonts w:hint="eastAsia" w:ascii="宋体" w:hAnsi="宋体" w:eastAsia="宋体" w:cs="宋体"/>
          <w:color w:val="auto"/>
          <w:szCs w:val="21"/>
          <w:highlight w:val="none"/>
          <w:lang w:val="zh-CN"/>
        </w:rPr>
        <w:t>15.1 本次采购活动的最终解释权归采购人所有。</w:t>
      </w:r>
      <w:bookmarkEnd w:id="97"/>
      <w:bookmarkEnd w:id="98"/>
    </w:p>
    <w:p>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15.2 本项目严禁转包及未经采购人书面同意的分包。</w:t>
      </w:r>
    </w:p>
    <w:p>
      <w:pPr>
        <w:spacing w:line="360" w:lineRule="auto"/>
        <w:ind w:left="630" w:hanging="63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15.</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报价人根据询价文件载明的服务要求的实际情况，拟在成交后将成交项目的非主体、</w:t>
      </w:r>
    </w:p>
    <w:p>
      <w:pPr>
        <w:spacing w:line="360" w:lineRule="auto"/>
        <w:ind w:left="630" w:leftChars="250" w:hanging="105" w:hangingChars="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非关键性专业工作交由他人完成的，应当在报价文件中载明并提供分包单位的相关资</w:t>
      </w:r>
    </w:p>
    <w:p>
      <w:pPr>
        <w:spacing w:line="360" w:lineRule="auto"/>
        <w:ind w:left="630" w:leftChars="250" w:hanging="105" w:hangingChars="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质证明资料及意向协议。</w:t>
      </w:r>
    </w:p>
    <w:p>
      <w:pPr>
        <w:spacing w:line="360" w:lineRule="auto"/>
        <w:ind w:left="630" w:hanging="630"/>
        <w:rPr>
          <w:rFonts w:hint="eastAsia" w:ascii="宋体" w:hAnsi="宋体" w:eastAsia="宋体" w:cs="宋体"/>
          <w:color w:val="auto"/>
          <w:szCs w:val="21"/>
          <w:highlight w:val="none"/>
          <w:lang w:val="zh-CN"/>
        </w:rPr>
      </w:pPr>
      <w:r>
        <w:rPr>
          <w:rFonts w:hint="eastAsia" w:ascii="宋体" w:hAnsi="宋体" w:eastAsia="宋体" w:cs="宋体"/>
          <w:color w:val="auto"/>
          <w:highlight w:val="none"/>
          <w:lang w:val="zh-CN"/>
        </w:rPr>
        <w:t xml:space="preserve">15.4 </w:t>
      </w:r>
      <w:r>
        <w:rPr>
          <w:rFonts w:hint="eastAsia" w:ascii="宋体" w:hAnsi="宋体" w:eastAsia="宋体" w:cs="宋体"/>
          <w:color w:val="auto"/>
          <w:szCs w:val="21"/>
          <w:highlight w:val="none"/>
          <w:lang w:val="zh-CN"/>
        </w:rPr>
        <w:t>报价费用。无论报价的结果如何，报价人需承担所有与编写和递交报价文件有关的费</w:t>
      </w:r>
    </w:p>
    <w:p>
      <w:pPr>
        <w:spacing w:line="360" w:lineRule="auto"/>
        <w:ind w:left="630" w:leftChars="250" w:hanging="105" w:hangingChars="50"/>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rPr>
        <w:t>用，采购人在任何情况下不负担这些费用。</w:t>
      </w:r>
    </w:p>
    <w:p>
      <w:pPr>
        <w:tabs>
          <w:tab w:val="left" w:pos="142"/>
        </w:tabs>
        <w:spacing w:line="360" w:lineRule="auto"/>
        <w:ind w:left="532" w:hanging="53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15.5 本项目只允许有一个报价价格，任何有选择的或不是固定价的报价将不予接受，作为非实质性响应报价而予以拒绝。报价人不得以低于企业自身成本的价格竞投。</w:t>
      </w:r>
    </w:p>
    <w:p>
      <w:pPr>
        <w:tabs>
          <w:tab w:val="left" w:pos="142"/>
        </w:tabs>
        <w:spacing w:line="360" w:lineRule="auto"/>
        <w:ind w:left="532" w:hanging="532"/>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br w:type="page"/>
      </w:r>
    </w:p>
    <w:p>
      <w:pPr>
        <w:pStyle w:val="14"/>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1"/>
        <w:rPr>
          <w:rFonts w:hint="eastAsia" w:ascii="宋体" w:hAnsi="宋体" w:eastAsia="宋体" w:cs="宋体"/>
          <w:color w:val="auto"/>
          <w:sz w:val="30"/>
          <w:szCs w:val="30"/>
          <w:highlight w:val="none"/>
          <w:lang w:val="zh-CN"/>
        </w:rPr>
      </w:pPr>
      <w:bookmarkStart w:id="99" w:name="_Toc30803"/>
      <w:bookmarkStart w:id="100" w:name="_Toc972"/>
      <w:r>
        <w:rPr>
          <w:rFonts w:hint="eastAsia" w:ascii="宋体" w:hAnsi="宋体" w:eastAsia="宋体" w:cs="宋体"/>
          <w:color w:val="auto"/>
          <w:sz w:val="30"/>
          <w:szCs w:val="30"/>
          <w:highlight w:val="none"/>
          <w:lang w:val="zh-CN"/>
        </w:rPr>
        <w:t>第三篇</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val="zh-CN"/>
        </w:rPr>
        <w:t>用户需求书</w:t>
      </w:r>
      <w:bookmarkEnd w:id="99"/>
      <w:bookmarkEnd w:id="100"/>
      <w:bookmarkStart w:id="101" w:name="_Hlt91899334"/>
      <w:bookmarkEnd w:id="101"/>
      <w:bookmarkStart w:id="102" w:name="_Hlt92097802"/>
      <w:bookmarkEnd w:id="102"/>
      <w:bookmarkStart w:id="103" w:name="_Hlt133291417"/>
      <w:bookmarkEnd w:id="103"/>
      <w:bookmarkStart w:id="104" w:name="_Hlt92101665"/>
      <w:bookmarkEnd w:id="104"/>
      <w:bookmarkStart w:id="105" w:name="_Hlt507989741"/>
      <w:bookmarkEnd w:id="105"/>
      <w:bookmarkStart w:id="106" w:name="_Hlt87773422"/>
      <w:bookmarkEnd w:id="106"/>
      <w:bookmarkStart w:id="107" w:name="_Hlt92477987"/>
      <w:bookmarkEnd w:id="107"/>
      <w:bookmarkStart w:id="108" w:name="_Hlt92097807"/>
      <w:bookmarkEnd w:id="108"/>
      <w:bookmarkStart w:id="109" w:name="_Hlt109563261"/>
      <w:bookmarkEnd w:id="109"/>
      <w:bookmarkStart w:id="110" w:name="yqh"/>
      <w:bookmarkEnd w:id="110"/>
      <w:bookmarkStart w:id="111" w:name="_Hlt92100255"/>
      <w:bookmarkEnd w:id="111"/>
      <w:bookmarkStart w:id="112" w:name="_Hlt74192688"/>
      <w:bookmarkEnd w:id="112"/>
      <w:bookmarkStart w:id="113" w:name="_Hlt137898605"/>
      <w:bookmarkEnd w:id="113"/>
      <w:bookmarkStart w:id="114" w:name="_Hlt107746026"/>
      <w:bookmarkEnd w:id="114"/>
      <w:bookmarkStart w:id="115" w:name="_Hlt107921814"/>
      <w:bookmarkEnd w:id="115"/>
      <w:bookmarkStart w:id="116" w:name="_Hlt92472623"/>
      <w:bookmarkEnd w:id="116"/>
      <w:bookmarkStart w:id="117" w:name="_Hlt133639916"/>
      <w:bookmarkEnd w:id="117"/>
      <w:bookmarkStart w:id="118" w:name="_Hlt137959623"/>
      <w:bookmarkEnd w:id="118"/>
    </w:p>
    <w:p>
      <w:pPr>
        <w:tabs>
          <w:tab w:val="left" w:pos="-2520"/>
          <w:tab w:val="left" w:pos="540"/>
          <w:tab w:val="left" w:pos="720"/>
        </w:tabs>
        <w:snapToGrid w:val="0"/>
        <w:spacing w:line="360" w:lineRule="auto"/>
        <w:ind w:leftChars="200"/>
        <w:outlineLvl w:val="1"/>
        <w:rPr>
          <w:rFonts w:hint="eastAsia" w:ascii="宋体" w:hAnsi="宋体" w:eastAsia="宋体" w:cs="宋体"/>
          <w:b/>
          <w:bCs/>
          <w:color w:val="auto"/>
          <w:sz w:val="21"/>
          <w:szCs w:val="21"/>
          <w:highlight w:val="none"/>
        </w:rPr>
      </w:pPr>
      <w:bookmarkStart w:id="119" w:name="_Toc372"/>
      <w:bookmarkStart w:id="120" w:name="_Toc7467"/>
      <w:r>
        <w:rPr>
          <w:rFonts w:hint="eastAsia" w:ascii="宋体" w:hAnsi="宋体" w:eastAsia="宋体" w:cs="宋体"/>
          <w:b/>
          <w:bCs/>
          <w:color w:val="auto"/>
          <w:sz w:val="21"/>
          <w:szCs w:val="21"/>
          <w:highlight w:val="none"/>
        </w:rPr>
        <w:t>一、项目概况：</w:t>
      </w:r>
      <w:bookmarkEnd w:id="119"/>
      <w:bookmarkEnd w:id="120"/>
    </w:p>
    <w:p>
      <w:pPr>
        <w:tabs>
          <w:tab w:val="left" w:pos="-2520"/>
          <w:tab w:val="left" w:pos="540"/>
          <w:tab w:val="left" w:pos="720"/>
        </w:tabs>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贯彻落实常平镇石马河流域断面考核工作顺利开展，加强生活垃圾无害化处理和加快垃圾填埋场无害化整治，东莞市智汇水务科技有限公司（下称智汇公司）出资40万元（占股比例14.29%）与北京博力扬环保科技有限公司出资240万元（占股比例85.71%）成立东莞市博汇环保科技有限公司（下称博汇公司），共同开展常平镇笑金坑生活垃圾填埋场渗滤液处理示范项目（下称一期项目），已于2016年建成一座渗滤液处理设施，并于当年5月投入运行，设计处理规模50m3/日，采用“MNBS垃圾渗滤液处理技术”，无浓缩液产生。垃圾渗滤液经处理后达到《生活垃圾填埋场污染物控制标准》（16889-2008）表2标准，尾水排入市政污水管。处理设施多年来运行效果一直良好，出水水质能够稳定达标排放。</w:t>
      </w:r>
    </w:p>
    <w:p>
      <w:pPr>
        <w:tabs>
          <w:tab w:val="left" w:pos="-2520"/>
          <w:tab w:val="left" w:pos="540"/>
          <w:tab w:val="left" w:pos="720"/>
        </w:tabs>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防止渗滤液溢流，保证垃圾填埋场渗滤液全量处理，智汇公司2019年在笑金坑垃圾填埋场内实施渗滤液处理二期项目，采购预处理系统设备430万元（成交价），借鉴一期项目的建设、运行经验，继续采用“MNBS垃圾渗滤液处理技术”，不产生浓缩液，设计处理规模为150 m3/日，垃圾渗滤液经处理后达到《生活垃圾填埋场污染物控制标准》（16889-2008）表2标准，尾水排入市政污水管。</w:t>
      </w:r>
    </w:p>
    <w:p>
      <w:pPr>
        <w:tabs>
          <w:tab w:val="left" w:pos="-2520"/>
          <w:tab w:val="left" w:pos="540"/>
          <w:tab w:val="left" w:pos="720"/>
        </w:tabs>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博汇公司主营业务为承接垃圾渗滤液处理项目的运营服务，成立至今共承接三个项目：一是2016年5月承接常平镇笑金坑生活垃圾填埋场渗滤液处理示范项目（目前还在运营中），该项目运营处理单价为51元/立方米，每年处理水量约28000立方米，预计年收入142.8万元；二是2017年4月承接长安镇红花坑生活垃圾填埋场渗滤液处理项目（该项目于2020年7月合同到期后结束运营），该项目运营单价为51元/立方米，预计年收入153万元；三是2018年10月承接常平镇笑金坑生活垃圾填埋场渗滤液处理二期项目（目前还在运营中），该项目运营单价为51元/立方米，每年处理水量约60000立方米，预计年收入306万元。截至2024年2月博汇公司资产总额752.91万元，资产负债301.48万元，净资产(所有者权益)451.43.万元，未分配利润171.43万元，归属智汇公司权益为91.43万元。设备资产情况如下：</w:t>
      </w:r>
    </w:p>
    <w:tbl>
      <w:tblPr>
        <w:tblStyle w:val="17"/>
        <w:tblW w:w="827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75"/>
        <w:gridCol w:w="663"/>
        <w:gridCol w:w="1100"/>
        <w:gridCol w:w="1350"/>
        <w:gridCol w:w="13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662"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序号</w:t>
            </w:r>
          </w:p>
        </w:tc>
        <w:tc>
          <w:tcPr>
            <w:tcW w:w="1675" w:type="dxa"/>
            <w:vAlign w:val="center"/>
          </w:tcPr>
          <w:p>
            <w:pPr>
              <w:tabs>
                <w:tab w:val="left" w:pos="-2520"/>
                <w:tab w:val="left" w:pos="540"/>
                <w:tab w:val="left" w:pos="720"/>
              </w:tabs>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设备名称</w:t>
            </w:r>
          </w:p>
        </w:tc>
        <w:tc>
          <w:tcPr>
            <w:tcW w:w="663"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数量</w:t>
            </w:r>
          </w:p>
        </w:tc>
        <w:tc>
          <w:tcPr>
            <w:tcW w:w="1100"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计量单位</w:t>
            </w:r>
          </w:p>
        </w:tc>
        <w:tc>
          <w:tcPr>
            <w:tcW w:w="1350"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购置日期</w:t>
            </w:r>
          </w:p>
        </w:tc>
        <w:tc>
          <w:tcPr>
            <w:tcW w:w="1325"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启用日期</w:t>
            </w:r>
          </w:p>
        </w:tc>
        <w:tc>
          <w:tcPr>
            <w:tcW w:w="1500"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账面原值（元）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62"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675" w:type="dxa"/>
            <w:vAlign w:val="center"/>
          </w:tcPr>
          <w:p>
            <w:pPr>
              <w:tabs>
                <w:tab w:val="left" w:pos="-2520"/>
                <w:tab w:val="left" w:pos="540"/>
                <w:tab w:val="left" w:pos="720"/>
              </w:tabs>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垃圾渗滤液与处理设备</w:t>
            </w:r>
          </w:p>
        </w:tc>
        <w:tc>
          <w:tcPr>
            <w:tcW w:w="663"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00"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1350"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2018年5月</w:t>
            </w:r>
          </w:p>
        </w:tc>
        <w:tc>
          <w:tcPr>
            <w:tcW w:w="1325"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2018年9月</w:t>
            </w:r>
          </w:p>
        </w:tc>
        <w:tc>
          <w:tcPr>
            <w:tcW w:w="1500" w:type="dxa"/>
            <w:vAlign w:val="center"/>
          </w:tcPr>
          <w:p>
            <w:pPr>
              <w:tabs>
                <w:tab w:val="left" w:pos="-2520"/>
                <w:tab w:val="left" w:pos="540"/>
                <w:tab w:val="left" w:pos="720"/>
              </w:tabs>
              <w:adjustRightInd w:val="0"/>
              <w:snapToGrid w:val="0"/>
              <w:spacing w:line="360" w:lineRule="auto"/>
              <w:jc w:val="righ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3,773,563.37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62"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675" w:type="dxa"/>
            <w:vAlign w:val="center"/>
          </w:tcPr>
          <w:p>
            <w:pPr>
              <w:tabs>
                <w:tab w:val="left" w:pos="-2520"/>
                <w:tab w:val="left" w:pos="540"/>
                <w:tab w:val="left" w:pos="720"/>
              </w:tabs>
              <w:adjustRightInd w:val="0"/>
              <w:snapToGri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末端监控系统</w:t>
            </w:r>
          </w:p>
        </w:tc>
        <w:tc>
          <w:tcPr>
            <w:tcW w:w="663"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00"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1350"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2021年3月</w:t>
            </w:r>
          </w:p>
        </w:tc>
        <w:tc>
          <w:tcPr>
            <w:tcW w:w="1325" w:type="dxa"/>
            <w:vAlign w:val="center"/>
          </w:tcPr>
          <w:p>
            <w:pPr>
              <w:tabs>
                <w:tab w:val="left" w:pos="-2520"/>
                <w:tab w:val="left" w:pos="540"/>
                <w:tab w:val="left" w:pos="720"/>
              </w:tabs>
              <w:adjustRightInd w:val="0"/>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2021年3月</w:t>
            </w:r>
          </w:p>
        </w:tc>
        <w:tc>
          <w:tcPr>
            <w:tcW w:w="1500" w:type="dxa"/>
            <w:vAlign w:val="center"/>
          </w:tcPr>
          <w:p>
            <w:pPr>
              <w:tabs>
                <w:tab w:val="left" w:pos="-2520"/>
                <w:tab w:val="left" w:pos="540"/>
                <w:tab w:val="left" w:pos="720"/>
              </w:tabs>
              <w:adjustRightInd w:val="0"/>
              <w:snapToGrid w:val="0"/>
              <w:spacing w:line="360" w:lineRule="auto"/>
              <w:jc w:val="righ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16,336.65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75" w:type="dxa"/>
            <w:gridSpan w:val="6"/>
            <w:vAlign w:val="center"/>
          </w:tcPr>
          <w:p>
            <w:pPr>
              <w:tabs>
                <w:tab w:val="left" w:pos="-2520"/>
                <w:tab w:val="left" w:pos="540"/>
                <w:tab w:val="left" w:pos="720"/>
              </w:tabs>
              <w:adjustRightInd w:val="0"/>
              <w:snapToGrid w:val="0"/>
              <w:spacing w:line="360" w:lineRule="auto"/>
              <w:ind w:firstLine="420" w:firstLineChars="20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w:t>
            </w:r>
          </w:p>
        </w:tc>
        <w:tc>
          <w:tcPr>
            <w:tcW w:w="1500" w:type="dxa"/>
            <w:vAlign w:val="center"/>
          </w:tcPr>
          <w:p>
            <w:pPr>
              <w:tabs>
                <w:tab w:val="left" w:pos="-2520"/>
                <w:tab w:val="left" w:pos="540"/>
                <w:tab w:val="left" w:pos="720"/>
              </w:tabs>
              <w:adjustRightInd w:val="0"/>
              <w:snapToGrid w:val="0"/>
              <w:spacing w:line="360" w:lineRule="auto"/>
              <w:jc w:val="righ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3,789,900.02</w:t>
            </w:r>
          </w:p>
        </w:tc>
      </w:tr>
    </w:tbl>
    <w:p>
      <w:pPr>
        <w:tabs>
          <w:tab w:val="left" w:pos="-2520"/>
          <w:tab w:val="left" w:pos="540"/>
          <w:tab w:val="left" w:pos="720"/>
        </w:tabs>
        <w:adjustRightInd w:val="0"/>
        <w:snapToGrid w:val="0"/>
        <w:spacing w:line="360" w:lineRule="auto"/>
        <w:ind w:firstLine="160" w:firstLineChars="200"/>
        <w:rPr>
          <w:rFonts w:hint="eastAsia" w:ascii="宋体" w:hAnsi="宋体" w:cs="宋体"/>
          <w:color w:val="auto"/>
          <w:sz w:val="8"/>
          <w:szCs w:val="8"/>
          <w:highlight w:val="none"/>
          <w:lang w:val="en-US" w:eastAsia="zh-CN"/>
        </w:rPr>
      </w:pPr>
    </w:p>
    <w:p>
      <w:pPr>
        <w:tabs>
          <w:tab w:val="left" w:pos="-2520"/>
          <w:tab w:val="left" w:pos="540"/>
          <w:tab w:val="left" w:pos="720"/>
        </w:tabs>
        <w:adjustRightInd w:val="0"/>
        <w:snapToGrid w:val="0"/>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现智汇公司为简化管理流程，全面清退项目固定资产投资，收回项目资产价值，计划将所持有博汇公司股权及设备资产公开转让交易，需采购一家具备相应资质的资产评估单位，对博汇公司股权及智汇公司</w:t>
      </w:r>
      <w:r>
        <w:rPr>
          <w:rFonts w:hint="eastAsia" w:ascii="宋体" w:hAnsi="宋体" w:cs="宋体"/>
          <w:b w:val="0"/>
          <w:bCs w:val="0"/>
          <w:color w:val="auto"/>
          <w:sz w:val="21"/>
          <w:szCs w:val="21"/>
          <w:highlight w:val="none"/>
          <w:lang w:val="en-US" w:eastAsia="zh-CN"/>
        </w:rPr>
        <w:t>持有的项目</w:t>
      </w:r>
      <w:r>
        <w:rPr>
          <w:rFonts w:hint="eastAsia" w:ascii="宋体" w:hAnsi="宋体" w:cs="宋体"/>
          <w:color w:val="auto"/>
          <w:sz w:val="21"/>
          <w:szCs w:val="21"/>
          <w:highlight w:val="none"/>
          <w:lang w:val="en-US" w:eastAsia="zh-CN"/>
        </w:rPr>
        <w:t>设备资产价值开展评估工作并出具评估报告。</w:t>
      </w:r>
    </w:p>
    <w:p>
      <w:pPr>
        <w:numPr>
          <w:ilvl w:val="0"/>
          <w:numId w:val="2"/>
        </w:numPr>
        <w:tabs>
          <w:tab w:val="left" w:pos="-2520"/>
          <w:tab w:val="left" w:pos="540"/>
          <w:tab w:val="left" w:pos="720"/>
        </w:tabs>
        <w:adjustRightInd w:val="0"/>
        <w:snapToGrid w:val="0"/>
        <w:spacing w:line="360" w:lineRule="auto"/>
        <w:ind w:leftChars="0" w:firstLine="422" w:firstLineChars="200"/>
        <w:outlineLvl w:val="1"/>
        <w:rPr>
          <w:rFonts w:hint="eastAsia" w:ascii="宋体" w:hAnsi="宋体" w:cs="宋体"/>
          <w:b/>
          <w:bCs/>
          <w:color w:val="auto"/>
          <w:sz w:val="21"/>
          <w:szCs w:val="21"/>
          <w:highlight w:val="none"/>
          <w:lang w:val="en-US" w:eastAsia="zh-CN"/>
        </w:rPr>
      </w:pPr>
      <w:bookmarkStart w:id="121" w:name="_Toc18824"/>
      <w:bookmarkStart w:id="122" w:name="_Toc26231"/>
      <w:r>
        <w:rPr>
          <w:rFonts w:hint="eastAsia" w:ascii="宋体" w:hAnsi="宋体" w:cs="宋体"/>
          <w:b/>
          <w:bCs/>
          <w:color w:val="auto"/>
          <w:sz w:val="21"/>
          <w:szCs w:val="21"/>
          <w:highlight w:val="none"/>
          <w:lang w:val="en-US" w:eastAsia="zh-CN"/>
        </w:rPr>
        <w:t>项目内容</w:t>
      </w:r>
      <w:bookmarkEnd w:id="121"/>
      <w:bookmarkEnd w:id="122"/>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（一）评估对象：博汇公司的股权及</w:t>
      </w:r>
      <w:r>
        <w:rPr>
          <w:rFonts w:hint="eastAsia" w:ascii="宋体" w:hAnsi="宋体" w:cs="宋体"/>
          <w:color w:val="auto"/>
          <w:sz w:val="21"/>
          <w:szCs w:val="21"/>
          <w:highlight w:val="none"/>
          <w:lang w:val="en-US" w:eastAsia="zh-CN"/>
        </w:rPr>
        <w:t>智汇公司</w:t>
      </w:r>
      <w:r>
        <w:rPr>
          <w:rFonts w:hint="eastAsia" w:ascii="宋体" w:hAnsi="宋体" w:cs="宋体"/>
          <w:b w:val="0"/>
          <w:bCs w:val="0"/>
          <w:color w:val="auto"/>
          <w:sz w:val="21"/>
          <w:szCs w:val="21"/>
          <w:highlight w:val="none"/>
          <w:lang w:val="en-US" w:eastAsia="zh-CN"/>
        </w:rPr>
        <w:t>持有的设备资产价值开展评估工作。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（二）评估范围：博汇公司股东全部权益价值（包括博汇公司全部资产和负债）及</w:t>
      </w:r>
      <w:r>
        <w:rPr>
          <w:rFonts w:hint="eastAsia" w:ascii="宋体" w:hAnsi="宋体" w:cs="宋体"/>
          <w:color w:val="auto"/>
          <w:sz w:val="21"/>
          <w:szCs w:val="21"/>
          <w:highlight w:val="none"/>
          <w:lang w:val="en-US" w:eastAsia="zh-CN"/>
        </w:rPr>
        <w:t>智汇公司</w:t>
      </w:r>
      <w:r>
        <w:rPr>
          <w:rFonts w:hint="eastAsia" w:ascii="宋体" w:hAnsi="宋体" w:cs="宋体"/>
          <w:b w:val="0"/>
          <w:bCs w:val="0"/>
          <w:color w:val="auto"/>
          <w:sz w:val="21"/>
          <w:szCs w:val="21"/>
          <w:highlight w:val="none"/>
          <w:lang w:val="en-US" w:eastAsia="zh-CN"/>
        </w:rPr>
        <w:t>所有的位于东莞市常平镇九江水笑金坑垃圾填埋场渗滤液处理二期项目的预处理系统及监控系统等生产设备价值。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（三）评估基准日：暂定为2024年3月31日，各项资产评估基准日以采购人具体通知为准。</w:t>
      </w:r>
    </w:p>
    <w:p>
      <w:pPr>
        <w:tabs>
          <w:tab w:val="left" w:pos="-2520"/>
          <w:tab w:val="left" w:pos="540"/>
          <w:tab w:val="left" w:pos="720"/>
        </w:tabs>
        <w:adjustRightInd w:val="0"/>
        <w:snapToGrid w:val="0"/>
        <w:spacing w:line="360" w:lineRule="auto"/>
        <w:ind w:firstLine="422" w:firstLineChars="200"/>
        <w:outlineLvl w:val="1"/>
        <w:rPr>
          <w:rFonts w:hint="eastAsia" w:asciiTheme="minorEastAsia" w:hAnsiTheme="minorEastAsia" w:eastAsiaTheme="minorEastAsia"/>
          <w:b/>
          <w:bCs/>
          <w:color w:val="auto"/>
          <w:szCs w:val="21"/>
          <w:highlight w:val="none"/>
          <w:lang w:eastAsia="zh-CN"/>
        </w:rPr>
      </w:pPr>
      <w:bookmarkStart w:id="123" w:name="_Toc5751"/>
      <w:bookmarkStart w:id="124" w:name="_Toc13353"/>
      <w:r>
        <w:rPr>
          <w:rFonts w:hint="eastAsia" w:asciiTheme="minorEastAsia" w:hAnsiTheme="minorEastAsia" w:eastAsiaTheme="minorEastAsia"/>
          <w:b/>
          <w:bCs/>
          <w:color w:val="auto"/>
          <w:szCs w:val="21"/>
          <w:highlight w:val="none"/>
          <w:lang w:val="en-US" w:eastAsia="zh-CN"/>
        </w:rPr>
        <w:t>三</w:t>
      </w: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项目要求</w:t>
      </w:r>
      <w:bookmarkEnd w:id="123"/>
      <w:bookmarkEnd w:id="124"/>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zh-CN" w:eastAsia="zh-CN"/>
        </w:rPr>
        <w:t>工作内容要求</w:t>
      </w:r>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bookmarkStart w:id="125" w:name="_Toc6929"/>
      <w:bookmarkStart w:id="126" w:name="_Toc18244"/>
      <w:r>
        <w:rPr>
          <w:rFonts w:hint="eastAsia" w:ascii="宋体" w:hAnsi="宋体" w:cs="宋体"/>
          <w:color w:val="auto"/>
          <w:sz w:val="21"/>
          <w:szCs w:val="21"/>
          <w:highlight w:val="none"/>
          <w:lang w:val="zh-CN" w:eastAsia="zh-CN"/>
        </w:rPr>
        <w:t>1、履行评估程序，开展不限于以下出具评估报告的相关工作：</w:t>
      </w:r>
      <w:bookmarkEnd w:id="125"/>
      <w:bookmarkEnd w:id="126"/>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（1）资产评估机构拟定资产评估计划，提供采购人或被评估对象（单位）需提供的资料清单，以便采购人或被评估对象及时提供相关资料；</w:t>
      </w:r>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（2）资产评估机构人员根据实际情况进行实地查勘或进驻被评估单位，指导被评估单位开展资产清查工作，对评估资产进行核实和鉴定，收集相关数据资料；</w:t>
      </w:r>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（3）资产评估机构根据现场工作的情况进行评定估算和评估汇总工作，得出初步的评估结论；</w:t>
      </w:r>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（4）资产评估机构以初稿形式将有关评估的基本内容与采购人进行沟通；</w:t>
      </w:r>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（5）对评估报告初稿修改、完善，确认相关数据无误后，出具正式评估报告盖章版原件一式三份及对应电子档。</w:t>
      </w:r>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2、按照国家和地方有关资产评估的法律、行政法规和行业协会的有关执业规范，根据资产评估准则的要求履行评估程序，按照委托评估目的、范围、方法和评估基准日对委估资产进行评估，如期出具资产评估报告书。</w:t>
      </w:r>
    </w:p>
    <w:p>
      <w:pPr>
        <w:adjustRightInd w:val="0"/>
        <w:snapToGrid w:val="0"/>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3、全程及时有效地跟进与本项目评估相关的资料收集、评估、协调、出席相关会议等，推进评估进度。</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zh-CN" w:eastAsia="zh-CN"/>
        </w:rPr>
        <w:t>4、必要时，根据采购人的需求就评估过程中发现的问题出具书面意见</w:t>
      </w:r>
      <w:r>
        <w:rPr>
          <w:rFonts w:hint="eastAsia" w:ascii="宋体" w:hAnsi="宋体" w:cs="宋体"/>
          <w:color w:val="auto"/>
          <w:sz w:val="21"/>
          <w:szCs w:val="21"/>
          <w:highlight w:val="none"/>
          <w:lang w:val="en-US" w:eastAsia="zh-CN"/>
        </w:rPr>
        <w:t>。</w:t>
      </w:r>
    </w:p>
    <w:p>
      <w:pPr>
        <w:adjustRightInd w:val="0"/>
        <w:snapToGrid w:val="0"/>
        <w:spacing w:line="360" w:lineRule="auto"/>
        <w:ind w:firstLine="420" w:firstLineChars="200"/>
        <w:outlineLvl w:val="9"/>
        <w:rPr>
          <w:rFonts w:hint="eastAsia" w:ascii="宋体" w:hAnsi="宋体" w:eastAsia="宋体" w:cs="宋体"/>
          <w:color w:val="auto"/>
          <w:sz w:val="21"/>
          <w:szCs w:val="21"/>
          <w:highlight w:val="none"/>
          <w:lang w:val="zh-CN"/>
        </w:rPr>
      </w:pPr>
      <w:bookmarkStart w:id="127" w:name="_Toc1282"/>
      <w:bookmarkStart w:id="128" w:name="_Toc25553"/>
      <w:r>
        <w:rPr>
          <w:rFonts w:hint="eastAsia" w:ascii="宋体" w:hAnsi="宋体" w:cs="宋体"/>
          <w:color w:val="auto"/>
          <w:sz w:val="21"/>
          <w:szCs w:val="21"/>
          <w:highlight w:val="none"/>
          <w:lang w:val="en-US" w:eastAsia="zh-CN"/>
        </w:rPr>
        <w:t>（二）服务单位要求</w:t>
      </w:r>
      <w:bookmarkEnd w:id="127"/>
      <w:bookmarkEnd w:id="128"/>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报价人应按照评估行业公认的业务标准、道德规范和勤勉尽责原则，根据采购人的合理要求，按时提供合格的评估报告及其他书面文件。出具的评估报告必须符合相关评估技术规范的要求，评估结果应当符合当地市场价格水平，并对所出具的评估报告承担法律责任。</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2、报价人应选派有经验、认真负责及尽职，并且数量足够的资产评估师组成项目工作小组，负责实施评估工作</w:t>
      </w:r>
      <w:bookmarkStart w:id="129" w:name="_Toc444547592"/>
      <w:bookmarkStart w:id="130" w:name="_Toc444546382"/>
      <w:bookmarkStart w:id="131" w:name="_Toc444550255"/>
      <w:r>
        <w:rPr>
          <w:rFonts w:hint="eastAsia" w:ascii="宋体" w:hAnsi="宋体" w:cs="宋体"/>
          <w:color w:val="auto"/>
          <w:sz w:val="21"/>
          <w:szCs w:val="21"/>
          <w:highlight w:val="none"/>
          <w:lang w:val="en-US" w:eastAsia="zh-CN"/>
        </w:rPr>
        <w:t>。各项评估工作应符合资产评估准则等相关规定；</w:t>
      </w:r>
      <w:bookmarkEnd w:id="129"/>
      <w:bookmarkEnd w:id="130"/>
      <w:bookmarkEnd w:id="131"/>
      <w:bookmarkStart w:id="132" w:name="_Toc444546384"/>
      <w:bookmarkStart w:id="133" w:name="_Toc444547594"/>
      <w:bookmarkStart w:id="134" w:name="_Toc444550257"/>
      <w:r>
        <w:rPr>
          <w:rFonts w:hint="eastAsia" w:ascii="宋体" w:hAnsi="宋体" w:cs="宋体"/>
          <w:color w:val="auto"/>
          <w:sz w:val="21"/>
          <w:szCs w:val="21"/>
          <w:highlight w:val="none"/>
          <w:lang w:val="en-US" w:eastAsia="zh-CN"/>
        </w:rPr>
        <w:t>评估人员对评估过程中知悉的国家秘密、商业秘密等负有保密义务，并不得利用其为自己或他人谋取利益</w:t>
      </w:r>
      <w:bookmarkEnd w:id="132"/>
      <w:bookmarkEnd w:id="133"/>
      <w:bookmarkEnd w:id="134"/>
      <w:r>
        <w:rPr>
          <w:rFonts w:hint="eastAsia" w:ascii="宋体" w:hAnsi="宋体" w:cs="宋体"/>
          <w:color w:val="auto"/>
          <w:sz w:val="21"/>
          <w:szCs w:val="21"/>
          <w:highlight w:val="none"/>
          <w:lang w:val="en-US" w:eastAsia="zh-CN"/>
        </w:rPr>
        <w:t>。</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3、报价人在受委托完成有关评估事项时，应维护采购人的合法权益，不得为任何一方或其他第三方的利益而损害采购人的合法权益。</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4、报价人如果在工作中实质性损害了采购人的权益，采购人有权解除与评估公司的合作协议，并保留追究相关赔偿的权力。</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5、报价人根据采购人的实际工作需要，无偿提供本次资产评估服务日常咨询等相关服务。</w:t>
      </w:r>
    </w:p>
    <w:p>
      <w:pPr>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6、报价人应严格对涉及评估的相关资料和信息进行保密，包括纸质文本资料、电子文档资料、信息图片、真实数据等</w:t>
      </w:r>
      <w:r>
        <w:rPr>
          <w:rFonts w:hint="eastAsia" w:ascii="宋体" w:hAnsi="宋体" w:eastAsia="宋体" w:cs="宋体"/>
          <w:color w:val="auto"/>
          <w:sz w:val="21"/>
          <w:szCs w:val="21"/>
          <w:highlight w:val="none"/>
          <w:lang w:val="zh-CN"/>
        </w:rPr>
        <w:t>。</w:t>
      </w:r>
    </w:p>
    <w:p>
      <w:pPr>
        <w:adjustRightInd w:val="0"/>
        <w:snapToGrid w:val="0"/>
        <w:spacing w:line="360" w:lineRule="auto"/>
        <w:ind w:firstLine="420" w:firstLineChars="200"/>
        <w:rPr>
          <w:rFonts w:hint="eastAsia" w:ascii="宋体" w:hAnsi="宋体" w:eastAsia="宋体" w:cs="宋体"/>
          <w:color w:val="auto"/>
          <w:sz w:val="21"/>
          <w:szCs w:val="21"/>
          <w:highlight w:val="none"/>
          <w:lang w:val="zh-CN"/>
        </w:rPr>
      </w:pPr>
      <w:bookmarkStart w:id="135" w:name="_Toc444547595"/>
      <w:bookmarkStart w:id="136" w:name="_Toc444546385"/>
      <w:bookmarkStart w:id="137" w:name="_Toc444550258"/>
      <w:r>
        <w:rPr>
          <w:rFonts w:hint="eastAsia" w:ascii="宋体" w:hAnsi="宋体" w:cs="宋体"/>
          <w:color w:val="auto"/>
          <w:sz w:val="21"/>
          <w:szCs w:val="21"/>
          <w:highlight w:val="none"/>
          <w:lang w:val="en-US" w:eastAsia="zh-CN"/>
        </w:rPr>
        <w:t>（三）工作</w:t>
      </w:r>
      <w:r>
        <w:rPr>
          <w:rFonts w:hint="eastAsia" w:ascii="宋体" w:hAnsi="宋体" w:eastAsia="宋体" w:cs="宋体"/>
          <w:color w:val="auto"/>
          <w:sz w:val="21"/>
          <w:szCs w:val="21"/>
          <w:highlight w:val="none"/>
          <w:lang w:val="zh-CN"/>
        </w:rPr>
        <w:t>人员要求</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bookmarkEnd w:id="135"/>
      <w:bookmarkEnd w:id="136"/>
      <w:bookmarkEnd w:id="137"/>
      <w:r>
        <w:rPr>
          <w:rFonts w:hint="eastAsia" w:ascii="宋体" w:hAnsi="宋体" w:cs="宋体"/>
          <w:color w:val="auto"/>
          <w:sz w:val="21"/>
          <w:szCs w:val="21"/>
          <w:highlight w:val="none"/>
          <w:lang w:val="en-US" w:eastAsia="zh-CN"/>
        </w:rPr>
        <w:t>投入本项目的资产评估师不低于2名（提供评估师的执业证书复印件），不包括拟转到分支机构执业的资产评估师及已设立的其他分支机构的资产评估师；</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2、报价人派出的评估人员必须具有3年以上的资产评估工作经验，具备专门学识与经验，经过适当的专业训练，并具有足够的分析、判断能力。</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（四）工期要求</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w:t>
      </w:r>
      <w:r>
        <w:rPr>
          <w:rFonts w:hint="eastAsia" w:ascii="宋体" w:hAnsi="宋体" w:cs="宋体"/>
          <w:color w:val="auto"/>
          <w:szCs w:val="21"/>
          <w:highlight w:val="none"/>
          <w:lang w:val="en-US" w:eastAsia="zh-CN"/>
        </w:rPr>
        <w:t>在接到采购人通知后</w:t>
      </w:r>
      <w:r>
        <w:rPr>
          <w:rFonts w:hint="eastAsia" w:ascii="宋体" w:hAnsi="宋体" w:cs="宋体"/>
          <w:color w:val="auto"/>
          <w:sz w:val="21"/>
          <w:szCs w:val="21"/>
          <w:highlight w:val="none"/>
          <w:lang w:val="en-US" w:eastAsia="zh-CN"/>
        </w:rPr>
        <w:t>十个工作日内向采购人提交初评结果，经采购人确认后，以采购人通知出具报告之日起计，十个工作日内提交正式资产评估报告一式三份及对应电子版，评估报告需加盖乙方公章以及经办资产评估师签章。</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（五）验收要求</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采购人对本项目实际应评估内容按照国家和地方有关资产评估的法律、行政法规和行业协会的有关规定对评估报告内容进行验收。</w:t>
      </w:r>
    </w:p>
    <w:p>
      <w:pPr>
        <w:adjustRightInd w:val="0"/>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（六）报价要求</w:t>
      </w:r>
    </w:p>
    <w:p>
      <w:pPr>
        <w:adjustRightInd w:val="0"/>
        <w:snapToGrid w:val="0"/>
        <w:spacing w:line="360" w:lineRule="auto"/>
        <w:ind w:firstLine="420" w:firstLineChars="200"/>
        <w:rPr>
          <w:rFonts w:hint="eastAsia" w:ascii="宋体" w:hAnsi="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本项目总体评估费用包含实地查勘、资料收集/核实/分析、编写评估报告（含初评/过程修改/正式版）、服务期间人员工资、管理费、交通费、通讯费、误餐补助、差旅费、保险费、合理利润、法律法规、商业公认应该由报价人承担的其他费用等</w:t>
      </w:r>
      <w:r>
        <w:rPr>
          <w:rFonts w:hint="eastAsia" w:ascii="宋体" w:hAnsi="宋体" w:cs="宋体"/>
          <w:color w:val="auto"/>
          <w:sz w:val="21"/>
          <w:szCs w:val="21"/>
          <w:highlight w:val="none"/>
          <w:lang w:val="zh-CN" w:eastAsia="zh-CN"/>
        </w:rPr>
        <w:t>。</w:t>
      </w:r>
    </w:p>
    <w:p>
      <w:pPr>
        <w:adjustRightInd w:val="0"/>
        <w:snapToGrid w:val="0"/>
        <w:spacing w:line="360" w:lineRule="auto"/>
        <w:ind w:firstLine="422" w:firstLineChars="200"/>
        <w:outlineLvl w:val="1"/>
        <w:rPr>
          <w:rFonts w:hint="eastAsia" w:ascii="宋体" w:hAnsi="宋体" w:cs="宋体"/>
          <w:b/>
          <w:bCs/>
          <w:color w:val="auto"/>
          <w:sz w:val="21"/>
          <w:szCs w:val="21"/>
          <w:highlight w:val="none"/>
          <w:lang w:val="zh-CN" w:eastAsia="zh-CN"/>
        </w:rPr>
      </w:pPr>
      <w:r>
        <w:rPr>
          <w:rFonts w:hint="eastAsia" w:ascii="宋体" w:hAnsi="宋体" w:cs="宋体"/>
          <w:b/>
          <w:bCs/>
          <w:color w:val="auto"/>
          <w:sz w:val="21"/>
          <w:szCs w:val="21"/>
          <w:highlight w:val="none"/>
          <w:lang w:val="en-US" w:eastAsia="zh-CN"/>
        </w:rPr>
        <w:t>四、付款方式</w:t>
      </w:r>
    </w:p>
    <w:p>
      <w:pPr>
        <w:adjustRightInd w:val="0"/>
        <w:snapToGrid w:val="0"/>
        <w:spacing w:line="360" w:lineRule="auto"/>
        <w:ind w:firstLine="420" w:firstLineChars="200"/>
        <w:rPr>
          <w:rFonts w:hint="eastAsia"/>
          <w:color w:val="auto"/>
          <w:highlight w:val="none"/>
          <w:lang w:val="zh-CN" w:eastAsia="zh-CN"/>
        </w:rPr>
      </w:pPr>
      <w:r>
        <w:rPr>
          <w:rFonts w:hint="eastAsia"/>
          <w:color w:val="auto"/>
          <w:highlight w:val="none"/>
          <w:lang w:val="en-US" w:eastAsia="zh-CN"/>
        </w:rPr>
        <w:t>报价人完成所有评估工作，经采购人确认后，报价人向采购人提供合法、有效的增值税专用发票和请款报告，经采购人审核确认无误后十个工作日内支付</w:t>
      </w:r>
      <w:r>
        <w:rPr>
          <w:rFonts w:hint="eastAsia"/>
          <w:color w:val="auto"/>
          <w:highlight w:val="none"/>
          <w:lang w:val="zh-CN" w:eastAsia="zh-CN"/>
        </w:rPr>
        <w:t>。</w:t>
      </w:r>
    </w:p>
    <w:p>
      <w:pPr>
        <w:pStyle w:val="3"/>
        <w:rPr>
          <w:rFonts w:hint="eastAsia"/>
          <w:color w:val="auto"/>
          <w:highlight w:val="none"/>
          <w:lang w:val="zh-CN"/>
        </w:rPr>
      </w:pPr>
    </w:p>
    <w:p>
      <w:pPr>
        <w:adjustRightInd w:val="0"/>
        <w:snapToGrid w:val="0"/>
        <w:spacing w:line="360" w:lineRule="auto"/>
        <w:ind w:firstLine="420" w:firstLineChars="200"/>
        <w:rPr>
          <w:rFonts w:hint="eastAsia" w:ascii="宋体" w:hAnsi="宋体" w:eastAsia="宋体" w:cs="宋体"/>
          <w:color w:val="auto"/>
          <w:sz w:val="30"/>
          <w:szCs w:val="30"/>
          <w:highlight w:val="none"/>
          <w:lang w:val="zh-CN"/>
        </w:rPr>
      </w:pPr>
      <w:r>
        <w:rPr>
          <w:rFonts w:hint="eastAsia" w:ascii="宋体" w:hAnsi="宋体" w:eastAsia="宋体" w:cs="宋体"/>
          <w:color w:val="auto"/>
          <w:sz w:val="21"/>
          <w:szCs w:val="21"/>
          <w:highlight w:val="none"/>
          <w:lang w:val="zh-CN"/>
        </w:rPr>
        <w:br w:type="page"/>
      </w:r>
    </w:p>
    <w:p>
      <w:pPr>
        <w:pStyle w:val="14"/>
        <w:spacing w:before="0" w:after="0" w:line="360" w:lineRule="auto"/>
        <w:rPr>
          <w:rFonts w:hint="eastAsia" w:ascii="宋体" w:hAnsi="宋体" w:eastAsia="宋体" w:cs="宋体"/>
          <w:color w:val="auto"/>
          <w:sz w:val="30"/>
          <w:szCs w:val="30"/>
          <w:highlight w:val="none"/>
          <w:lang w:val="zh-CN"/>
        </w:rPr>
      </w:pPr>
      <w:bookmarkStart w:id="138" w:name="_Toc2260"/>
      <w:bookmarkStart w:id="139" w:name="_Toc22151"/>
      <w:r>
        <w:rPr>
          <w:rFonts w:hint="eastAsia" w:ascii="宋体" w:hAnsi="宋体" w:eastAsia="宋体" w:cs="宋体"/>
          <w:color w:val="auto"/>
          <w:sz w:val="30"/>
          <w:szCs w:val="30"/>
          <w:highlight w:val="none"/>
          <w:lang w:val="zh-CN"/>
        </w:rPr>
        <w:t>第四篇</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val="zh-CN"/>
        </w:rPr>
        <w:t>合同条款</w:t>
      </w:r>
      <w:bookmarkEnd w:id="138"/>
      <w:bookmarkEnd w:id="139"/>
    </w:p>
    <w:p>
      <w:pPr>
        <w:wordWrap w:val="0"/>
        <w:spacing w:line="360" w:lineRule="auto"/>
        <w:jc w:val="center"/>
        <w:rPr>
          <w:rFonts w:hint="eastAsia" w:ascii="宋体" w:hAnsi="宋体" w:eastAsia="宋体" w:cs="宋体"/>
          <w:b/>
          <w:bCs/>
          <w:color w:val="auto"/>
          <w:sz w:val="44"/>
          <w:szCs w:val="44"/>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pacing w:line="360" w:lineRule="auto"/>
        <w:jc w:val="center"/>
        <w:rPr>
          <w:rFonts w:ascii="宋体" w:hAnsi="宋体" w:cs="宋体"/>
          <w:b/>
          <w:bCs/>
          <w:sz w:val="44"/>
          <w:szCs w:val="44"/>
        </w:rPr>
      </w:pPr>
      <w:bookmarkStart w:id="140" w:name="_Toc8591"/>
      <w:bookmarkStart w:id="141" w:name="_Toc16833"/>
      <w:bookmarkStart w:id="142" w:name="_Toc28107"/>
      <w:bookmarkStart w:id="143" w:name="_Toc17314"/>
      <w:bookmarkStart w:id="144" w:name="_Toc22834"/>
      <w:r>
        <w:rPr>
          <w:rFonts w:hint="eastAsia" w:ascii="宋体" w:hAnsi="宋体" w:cs="宋体"/>
          <w:b/>
          <w:bCs/>
          <w:sz w:val="44"/>
          <w:szCs w:val="44"/>
        </w:rPr>
        <w:t>2024年东莞市智汇水务科技有限公司</w:t>
      </w:r>
    </w:p>
    <w:p>
      <w:pPr>
        <w:spacing w:line="360" w:lineRule="auto"/>
        <w:jc w:val="center"/>
        <w:rPr>
          <w:rFonts w:ascii="宋体" w:hAnsi="宋体" w:cs="宋体"/>
          <w:b/>
          <w:bCs/>
          <w:sz w:val="44"/>
          <w:szCs w:val="44"/>
        </w:rPr>
      </w:pPr>
      <w:r>
        <w:rPr>
          <w:rFonts w:hint="eastAsia" w:ascii="宋体" w:hAnsi="宋体" w:cs="宋体"/>
          <w:b/>
          <w:bCs/>
          <w:sz w:val="44"/>
          <w:szCs w:val="44"/>
        </w:rPr>
        <w:t>资产评估委托合同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
      </w:pPr>
    </w:p>
    <w:p>
      <w:pPr>
        <w:pStyle w:val="2"/>
      </w:pPr>
    </w:p>
    <w:p>
      <w:pPr>
        <w:spacing w:line="360" w:lineRule="auto"/>
        <w:rPr>
          <w:rFonts w:ascii="宋体" w:hAnsi="宋体" w:cs="宋体"/>
          <w:sz w:val="24"/>
        </w:rPr>
      </w:pPr>
    </w:p>
    <w:p>
      <w:pPr>
        <w:spacing w:line="360" w:lineRule="auto"/>
        <w:ind w:firstLine="1800" w:firstLineChars="600"/>
        <w:rPr>
          <w:rFonts w:ascii="宋体" w:hAnsi="宋体" w:cs="宋体"/>
          <w:sz w:val="30"/>
          <w:szCs w:val="30"/>
          <w:u w:val="single"/>
        </w:rPr>
      </w:pPr>
      <w:r>
        <w:rPr>
          <w:rFonts w:hint="eastAsia" w:ascii="宋体" w:hAnsi="宋体" w:cs="宋体"/>
          <w:sz w:val="30"/>
          <w:szCs w:val="30"/>
        </w:rPr>
        <w:t>合同编号：</w:t>
      </w:r>
      <w:r>
        <w:rPr>
          <w:rFonts w:hint="eastAsia" w:ascii="宋体" w:hAnsi="宋体" w:cs="宋体"/>
          <w:sz w:val="30"/>
          <w:szCs w:val="30"/>
          <w:u w:val="single"/>
        </w:rPr>
        <w:t xml:space="preserve">                     </w:t>
      </w:r>
    </w:p>
    <w:p>
      <w:pPr>
        <w:spacing w:line="360" w:lineRule="auto"/>
        <w:ind w:firstLine="1800" w:firstLineChars="600"/>
        <w:rPr>
          <w:rFonts w:ascii="宋体" w:hAnsi="宋体" w:cs="宋体"/>
          <w:sz w:val="30"/>
          <w:szCs w:val="30"/>
        </w:rPr>
      </w:pPr>
      <w:r>
        <w:rPr>
          <w:rFonts w:hint="eastAsia" w:ascii="宋体" w:hAnsi="宋体" w:cs="宋体"/>
          <w:sz w:val="30"/>
          <w:szCs w:val="30"/>
        </w:rPr>
        <w:t>甲方：</w:t>
      </w:r>
      <w:r>
        <w:rPr>
          <w:rFonts w:hint="eastAsia" w:ascii="宋体" w:hAnsi="宋体" w:cs="宋体"/>
          <w:sz w:val="30"/>
          <w:szCs w:val="30"/>
          <w:u w:val="single"/>
        </w:rPr>
        <w:t>东莞市智汇水务科技有限公司</w:t>
      </w:r>
    </w:p>
    <w:p>
      <w:pPr>
        <w:spacing w:line="360" w:lineRule="auto"/>
        <w:ind w:firstLine="1800" w:firstLineChars="600"/>
        <w:jc w:val="left"/>
        <w:rPr>
          <w:rFonts w:ascii="宋体" w:hAnsi="宋体" w:cs="宋体"/>
          <w:sz w:val="30"/>
          <w:szCs w:val="30"/>
        </w:rPr>
      </w:pPr>
      <w:r>
        <w:rPr>
          <w:rFonts w:hint="eastAsia" w:ascii="宋体" w:hAnsi="宋体" w:cs="宋体"/>
          <w:sz w:val="30"/>
          <w:szCs w:val="30"/>
        </w:rPr>
        <w:t>乙方：</w:t>
      </w:r>
      <w:r>
        <w:rPr>
          <w:rFonts w:hint="eastAsia" w:ascii="宋体" w:hAnsi="宋体" w:cs="宋体"/>
          <w:sz w:val="30"/>
          <w:szCs w:val="30"/>
          <w:u w:val="single"/>
        </w:rPr>
        <w:t xml:space="preserve">                          </w:t>
      </w:r>
    </w:p>
    <w:p>
      <w:pPr>
        <w:spacing w:line="360" w:lineRule="auto"/>
        <w:jc w:val="left"/>
        <w:rPr>
          <w:rFonts w:ascii="宋体" w:hAnsi="宋体" w:cs="宋体"/>
          <w:sz w:val="30"/>
          <w:szCs w:val="30"/>
          <w:u w:val="single"/>
        </w:rPr>
      </w:pPr>
    </w:p>
    <w:p>
      <w:pPr>
        <w:pStyle w:val="3"/>
        <w:ind w:firstLine="0" w:firstLineChars="0"/>
      </w:pPr>
    </w:p>
    <w:p>
      <w:pPr>
        <w:spacing w:line="360" w:lineRule="auto"/>
        <w:ind w:firstLine="1800" w:firstLineChars="600"/>
        <w:rPr>
          <w:rFonts w:ascii="宋体" w:hAnsi="宋体" w:cs="宋体"/>
          <w:kern w:val="0"/>
          <w:sz w:val="24"/>
        </w:rPr>
        <w:sectPr>
          <w:footerReference r:id="rId6" w:type="default"/>
          <w:pgSz w:w="11906" w:h="16838"/>
          <w:pgMar w:top="1440" w:right="1800" w:bottom="1440" w:left="1800" w:header="851" w:footer="992" w:gutter="0"/>
          <w:pgNumType w:start="2"/>
          <w:cols w:space="425" w:num="1"/>
          <w:docGrid w:type="lines" w:linePitch="312" w:charSpace="0"/>
        </w:sectPr>
      </w:pPr>
      <w:r>
        <w:rPr>
          <w:rFonts w:hint="eastAsia" w:ascii="宋体" w:hAnsi="宋体" w:cs="宋体"/>
          <w:sz w:val="30"/>
          <w:szCs w:val="30"/>
        </w:rPr>
        <w:t>签订日期：2024年  月  日</w:t>
      </w:r>
    </w:p>
    <w:p>
      <w:pPr>
        <w:snapToGrid w:val="0"/>
        <w:spacing w:line="360" w:lineRule="auto"/>
        <w:ind w:firstLine="422" w:firstLineChars="200"/>
        <w:rPr>
          <w:rFonts w:ascii="宋体" w:hAnsi="宋体" w:cs="宋体"/>
          <w:b/>
          <w:bCs/>
          <w:szCs w:val="21"/>
        </w:rPr>
      </w:pPr>
      <w:r>
        <w:rPr>
          <w:rFonts w:hint="eastAsia" w:ascii="宋体" w:hAnsi="宋体" w:cs="宋体"/>
          <w:b/>
          <w:bCs/>
          <w:szCs w:val="21"/>
        </w:rPr>
        <w:t>甲方（委托方）：</w:t>
      </w:r>
    </w:p>
    <w:p>
      <w:pPr>
        <w:snapToGrid w:val="0"/>
        <w:spacing w:line="360" w:lineRule="auto"/>
        <w:ind w:firstLine="420" w:firstLineChars="200"/>
        <w:rPr>
          <w:rFonts w:ascii="宋体" w:hAnsi="宋体" w:cs="宋体"/>
          <w:szCs w:val="21"/>
        </w:rPr>
      </w:pPr>
      <w:r>
        <w:rPr>
          <w:rFonts w:hint="eastAsia" w:ascii="宋体" w:hAnsi="宋体" w:cs="宋体"/>
          <w:szCs w:val="21"/>
        </w:rPr>
        <w:t>法定代表人：</w:t>
      </w:r>
    </w:p>
    <w:p>
      <w:pPr>
        <w:snapToGrid w:val="0"/>
        <w:spacing w:line="360" w:lineRule="auto"/>
        <w:ind w:firstLine="420" w:firstLineChars="200"/>
        <w:rPr>
          <w:rFonts w:ascii="宋体" w:hAnsi="宋体" w:cs="宋体"/>
          <w:szCs w:val="21"/>
        </w:rPr>
      </w:pPr>
      <w:r>
        <w:rPr>
          <w:rFonts w:hint="eastAsia" w:ascii="宋体" w:hAnsi="宋体" w:cs="宋体"/>
          <w:szCs w:val="21"/>
        </w:rPr>
        <w:t>联系地址：</w:t>
      </w:r>
    </w:p>
    <w:p>
      <w:pPr>
        <w:snapToGrid w:val="0"/>
        <w:spacing w:after="156" w:afterLines="50" w:line="360" w:lineRule="auto"/>
        <w:ind w:firstLine="420" w:firstLineChars="200"/>
        <w:rPr>
          <w:rFonts w:ascii="宋体" w:hAnsi="宋体" w:cs="宋体"/>
          <w:szCs w:val="21"/>
        </w:rPr>
      </w:pPr>
      <w:r>
        <w:rPr>
          <w:rFonts w:hint="eastAsia" w:ascii="宋体" w:hAnsi="宋体" w:cs="宋体"/>
          <w:szCs w:val="21"/>
        </w:rPr>
        <w:t>联系人及联系电话：</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乙方（受托方）：</w:t>
      </w:r>
    </w:p>
    <w:p>
      <w:pPr>
        <w:snapToGrid w:val="0"/>
        <w:spacing w:line="360" w:lineRule="auto"/>
        <w:ind w:firstLine="420" w:firstLineChars="200"/>
        <w:rPr>
          <w:rFonts w:ascii="宋体" w:hAnsi="宋体" w:cs="宋体"/>
          <w:szCs w:val="21"/>
        </w:rPr>
      </w:pPr>
      <w:r>
        <w:rPr>
          <w:rFonts w:hint="eastAsia" w:ascii="宋体" w:hAnsi="宋体" w:cs="宋体"/>
          <w:szCs w:val="21"/>
        </w:rPr>
        <w:t>法定代表人：</w:t>
      </w:r>
    </w:p>
    <w:p>
      <w:pPr>
        <w:snapToGrid w:val="0"/>
        <w:spacing w:line="360" w:lineRule="auto"/>
        <w:ind w:firstLine="420" w:firstLineChars="200"/>
        <w:rPr>
          <w:rFonts w:ascii="宋体" w:hAnsi="宋体" w:cs="宋体"/>
          <w:szCs w:val="21"/>
        </w:rPr>
      </w:pPr>
      <w:r>
        <w:rPr>
          <w:rFonts w:hint="eastAsia" w:ascii="宋体" w:hAnsi="宋体" w:cs="宋体"/>
          <w:szCs w:val="21"/>
        </w:rPr>
        <w:t>联系地址：</w:t>
      </w:r>
    </w:p>
    <w:p>
      <w:pPr>
        <w:snapToGrid w:val="0"/>
        <w:spacing w:after="156" w:afterLines="50" w:line="360" w:lineRule="auto"/>
        <w:ind w:firstLine="420" w:firstLineChars="200"/>
        <w:rPr>
          <w:rFonts w:ascii="宋体" w:hAnsi="宋体" w:cs="宋体"/>
          <w:szCs w:val="21"/>
        </w:rPr>
      </w:pPr>
      <w:r>
        <w:rPr>
          <w:rFonts w:hint="eastAsia" w:ascii="宋体" w:hAnsi="宋体" w:cs="宋体"/>
          <w:szCs w:val="21"/>
        </w:rPr>
        <w:t>联系人及联系电话：</w:t>
      </w:r>
    </w:p>
    <w:p>
      <w:pPr>
        <w:snapToGrid w:val="0"/>
        <w:spacing w:line="360" w:lineRule="auto"/>
        <w:ind w:firstLine="420" w:firstLineChars="200"/>
        <w:rPr>
          <w:rFonts w:ascii="宋体" w:hAnsi="宋体" w:cs="宋体"/>
          <w:szCs w:val="21"/>
        </w:rPr>
      </w:pPr>
      <w:r>
        <w:rPr>
          <w:rFonts w:hint="eastAsia" w:ascii="宋体" w:hAnsi="宋体" w:cs="宋体"/>
          <w:szCs w:val="21"/>
        </w:rPr>
        <w:t>甲方因资产有偿转让事宜，委托乙方对东莞市博汇环保科技有限公司的股权及甲方持有的设备资产价值进行资产评估。根据《中华人民共和国资产评估法》、《中华人民共和国民法典》、《资产评估基本准则》及《资产评估执业准则—资产评估委托合同》等规定，经甲乙双方友好协商，达成如下协议：</w:t>
      </w:r>
    </w:p>
    <w:p>
      <w:pPr>
        <w:snapToGrid w:val="0"/>
        <w:spacing w:line="360" w:lineRule="auto"/>
        <w:ind w:firstLine="422" w:firstLineChars="200"/>
        <w:rPr>
          <w:rFonts w:ascii="宋体" w:hAnsi="宋体" w:cs="宋体"/>
          <w:b/>
          <w:bCs/>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第一条 评估目的</w:t>
      </w:r>
    </w:p>
    <w:p>
      <w:pPr>
        <w:snapToGrid w:val="0"/>
        <w:spacing w:line="360" w:lineRule="auto"/>
        <w:ind w:firstLine="420" w:firstLineChars="200"/>
        <w:rPr>
          <w:rFonts w:ascii="宋体" w:hAnsi="宋体" w:cs="宋体"/>
          <w:szCs w:val="21"/>
        </w:rPr>
      </w:pPr>
      <w:r>
        <w:rPr>
          <w:rFonts w:hint="eastAsia" w:ascii="宋体" w:hAnsi="宋体" w:cs="宋体"/>
          <w:szCs w:val="21"/>
        </w:rPr>
        <w:t>甲方因资产有偿转让事宜，委托乙方对东莞市博汇环保科技有限公司的股权及甲方持有的设备资产价值进行资产评估，为该公司经济行为计算资产的市场价值提供参考。</w:t>
      </w:r>
    </w:p>
    <w:p>
      <w:pPr>
        <w:snapToGrid w:val="0"/>
        <w:spacing w:line="360" w:lineRule="auto"/>
        <w:ind w:firstLine="422" w:firstLineChars="200"/>
        <w:rPr>
          <w:rFonts w:ascii="宋体" w:hAnsi="宋体" w:cs="宋体"/>
          <w:b/>
          <w:bCs/>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第二条 评估对象和范围</w:t>
      </w:r>
    </w:p>
    <w:p>
      <w:pPr>
        <w:snapToGrid w:val="0"/>
        <w:spacing w:line="360" w:lineRule="auto"/>
        <w:ind w:firstLine="420" w:firstLineChars="200"/>
        <w:rPr>
          <w:rFonts w:ascii="宋体" w:hAnsi="宋体" w:cs="宋体"/>
          <w:szCs w:val="21"/>
        </w:rPr>
      </w:pPr>
      <w:r>
        <w:rPr>
          <w:rFonts w:hint="eastAsia" w:ascii="宋体" w:hAnsi="宋体" w:cs="宋体"/>
          <w:szCs w:val="21"/>
        </w:rPr>
        <w:t>1.评估对象：东莞市博汇环保科技有限公司的股权及甲方持有的设备资产价值。</w:t>
      </w:r>
    </w:p>
    <w:p>
      <w:pPr>
        <w:snapToGrid w:val="0"/>
        <w:spacing w:line="360" w:lineRule="auto"/>
        <w:ind w:firstLine="420" w:firstLineChars="200"/>
        <w:rPr>
          <w:rFonts w:ascii="宋体" w:hAnsi="宋体" w:cs="宋体"/>
          <w:szCs w:val="21"/>
        </w:rPr>
      </w:pPr>
      <w:r>
        <w:rPr>
          <w:rFonts w:hint="eastAsia" w:ascii="宋体" w:hAnsi="宋体" w:cs="宋体"/>
          <w:szCs w:val="21"/>
        </w:rPr>
        <w:t>2.评估范围：东莞市博汇环保科技有限公司股东全部权益价值及甲方所有的位于东莞市常平镇九江水笑金坑垃圾填埋场渗滤液处理二期项目的预处理系统及监控系统等生产设备价值。</w:t>
      </w:r>
    </w:p>
    <w:p>
      <w:pPr>
        <w:snapToGrid w:val="0"/>
        <w:spacing w:line="360" w:lineRule="auto"/>
        <w:ind w:firstLine="422" w:firstLineChars="200"/>
        <w:rPr>
          <w:rFonts w:ascii="宋体" w:hAnsi="宋体" w:cs="宋体"/>
          <w:b/>
          <w:bCs/>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第三条 评估基准日</w:t>
      </w:r>
    </w:p>
    <w:p>
      <w:pPr>
        <w:snapToGrid w:val="0"/>
        <w:spacing w:line="360" w:lineRule="auto"/>
        <w:ind w:firstLine="420" w:firstLineChars="200"/>
        <w:rPr>
          <w:rFonts w:ascii="宋体" w:hAnsi="宋体" w:cs="宋体"/>
          <w:szCs w:val="21"/>
        </w:rPr>
      </w:pPr>
      <w:r>
        <w:rPr>
          <w:rFonts w:hint="eastAsia"/>
        </w:rPr>
        <w:t>各项资产评估基准日以甲方具体通知为准</w:t>
      </w:r>
      <w:r>
        <w:rPr>
          <w:rFonts w:hint="eastAsia" w:ascii="宋体" w:hAnsi="宋体" w:cs="宋体"/>
          <w:szCs w:val="21"/>
        </w:rPr>
        <w:t>。</w:t>
      </w:r>
    </w:p>
    <w:p>
      <w:pPr>
        <w:snapToGrid w:val="0"/>
        <w:spacing w:line="360" w:lineRule="auto"/>
        <w:ind w:firstLine="422" w:firstLineChars="200"/>
        <w:rPr>
          <w:rFonts w:ascii="宋体" w:hAnsi="宋体" w:cs="宋体"/>
          <w:b/>
          <w:bCs/>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第四条 评估报告使用范围</w:t>
      </w:r>
    </w:p>
    <w:p>
      <w:pPr>
        <w:snapToGrid w:val="0"/>
        <w:spacing w:line="360" w:lineRule="auto"/>
        <w:ind w:firstLine="420" w:firstLineChars="200"/>
        <w:rPr>
          <w:rFonts w:ascii="宋体" w:hAnsi="宋体" w:cs="宋体"/>
          <w:szCs w:val="21"/>
        </w:rPr>
      </w:pPr>
      <w:r>
        <w:rPr>
          <w:rFonts w:hint="eastAsia" w:ascii="宋体" w:hAnsi="宋体" w:cs="宋体"/>
          <w:szCs w:val="21"/>
        </w:rPr>
        <w:t>1.资产评估报告仅供甲方、本合同约定的其他资产评估报告使用人和法律、行政法规规定的评估报告使用人使用；除此之外，其他任何机构和个人不能成为资产评估报告的使用人。</w:t>
      </w:r>
    </w:p>
    <w:p>
      <w:pPr>
        <w:snapToGrid w:val="0"/>
        <w:spacing w:line="360" w:lineRule="auto"/>
        <w:ind w:firstLine="420" w:firstLineChars="200"/>
        <w:rPr>
          <w:rFonts w:ascii="宋体" w:hAnsi="宋体" w:cs="宋体"/>
          <w:szCs w:val="21"/>
        </w:rPr>
      </w:pPr>
      <w:r>
        <w:rPr>
          <w:rFonts w:hint="eastAsia" w:ascii="宋体" w:hAnsi="宋体" w:cs="宋体"/>
          <w:szCs w:val="21"/>
        </w:rPr>
        <w:t>2.甲方为实现本合同项下评估目的所需的其他使用范围，包括但不限于在甲方资产有偿转让过程中，基于公开交易的需要，将本合同项下资产评估报告部分或全部内容提供给交易机构及国有资产监管机构，或在交易机构公开发布的交易信息中使用等。</w:t>
      </w:r>
    </w:p>
    <w:p>
      <w:pPr>
        <w:snapToGrid w:val="0"/>
        <w:spacing w:line="360" w:lineRule="auto"/>
        <w:ind w:firstLine="420" w:firstLineChars="200"/>
        <w:rPr>
          <w:rFonts w:ascii="宋体" w:hAnsi="宋体" w:cs="宋体"/>
          <w:szCs w:val="21"/>
        </w:rPr>
      </w:pPr>
      <w:r>
        <w:rPr>
          <w:rFonts w:hint="eastAsia" w:ascii="宋体" w:hAnsi="宋体" w:cs="宋体"/>
          <w:szCs w:val="21"/>
        </w:rPr>
        <w:t>3.甲方或者其他资产评估报告使用人应当按照法律、行政法规规定和资产评估报告载明的使用目的及用途，在载明的评估结论使用有效期内使用资产评估报告。</w:t>
      </w:r>
    </w:p>
    <w:p>
      <w:pPr>
        <w:snapToGrid w:val="0"/>
        <w:spacing w:line="360" w:lineRule="auto"/>
        <w:ind w:firstLine="420" w:firstLineChars="200"/>
        <w:rPr>
          <w:rFonts w:ascii="宋体" w:hAnsi="宋体" w:cs="宋体"/>
          <w:szCs w:val="21"/>
        </w:rPr>
      </w:pPr>
      <w:r>
        <w:rPr>
          <w:rFonts w:hint="eastAsia" w:ascii="宋体" w:hAnsi="宋体" w:cs="宋体"/>
          <w:szCs w:val="21"/>
        </w:rPr>
        <w:t>4.甲方或者其他资产评估报告使用人违反前述约定使用资产评估报告的，资产评估机构及其资产评估专业人员不承担责任。</w:t>
      </w:r>
    </w:p>
    <w:p>
      <w:pPr>
        <w:snapToGrid w:val="0"/>
        <w:spacing w:line="360" w:lineRule="auto"/>
        <w:ind w:firstLine="420" w:firstLineChars="200"/>
        <w:rPr>
          <w:rFonts w:ascii="宋体" w:hAnsi="宋体" w:cs="宋体"/>
          <w:szCs w:val="21"/>
        </w:rPr>
      </w:pPr>
      <w:r>
        <w:rPr>
          <w:rFonts w:hint="eastAsia" w:ascii="宋体" w:hAnsi="宋体" w:cs="宋体"/>
          <w:szCs w:val="21"/>
        </w:rPr>
        <w:t>5.资产评估报告有效期为一年，自“评估基准日”起算，具体以资产评估报告记录的日期为准。有效期内资产状况或外部市场状况发生重大变化的，评估结论失效，应当重新委托评估。</w:t>
      </w:r>
    </w:p>
    <w:p>
      <w:pPr>
        <w:snapToGrid w:val="0"/>
        <w:spacing w:line="360" w:lineRule="auto"/>
        <w:ind w:firstLine="420" w:firstLineChars="200"/>
        <w:rPr>
          <w:rFonts w:ascii="宋体" w:hAnsi="宋体" w:cs="宋体"/>
          <w:szCs w:val="21"/>
        </w:rPr>
      </w:pPr>
      <w:r>
        <w:rPr>
          <w:rFonts w:hint="eastAsia" w:ascii="宋体" w:hAnsi="宋体" w:cs="宋体"/>
          <w:szCs w:val="21"/>
        </w:rPr>
        <w:t>6.除法律、行政法规规定以及本合同另有约定外，未征得乙方书面同意，甲方不得将乙方提交的资产评估报告内容摘抄、引用或者披露于公开媒体。</w:t>
      </w:r>
    </w:p>
    <w:p>
      <w:pPr>
        <w:snapToGrid w:val="0"/>
        <w:spacing w:line="360" w:lineRule="auto"/>
        <w:ind w:firstLine="420" w:firstLineChars="200"/>
        <w:rPr>
          <w:rFonts w:ascii="宋体" w:hAnsi="宋体" w:cs="宋体"/>
          <w:szCs w:val="21"/>
        </w:rPr>
      </w:pPr>
      <w:r>
        <w:rPr>
          <w:rFonts w:hint="eastAsia" w:ascii="宋体" w:hAnsi="宋体" w:cs="宋体"/>
          <w:szCs w:val="21"/>
        </w:rPr>
        <w:t>7.未经甲方书面许可，乙方及其资产评估专业人员不得将资产评估报告的内容、甲方或被评估单位提供的有关文件资料和执业过程中获知的商业秘密向第三方提供或者公开，法律、行政法规另有规定的除外。</w:t>
      </w:r>
    </w:p>
    <w:p>
      <w:pPr>
        <w:pStyle w:val="2"/>
      </w:pPr>
    </w:p>
    <w:p>
      <w:pPr>
        <w:snapToGrid w:val="0"/>
        <w:spacing w:line="360" w:lineRule="auto"/>
        <w:ind w:firstLine="422" w:firstLineChars="200"/>
        <w:rPr>
          <w:b/>
        </w:rPr>
      </w:pPr>
      <w:r>
        <w:rPr>
          <w:rFonts w:hint="eastAsia"/>
          <w:b/>
        </w:rPr>
        <w:t>第五条 服务要求</w:t>
      </w:r>
    </w:p>
    <w:p>
      <w:pPr>
        <w:pStyle w:val="2"/>
        <w:spacing w:line="360" w:lineRule="auto"/>
        <w:ind w:firstLine="420" w:firstLineChars="200"/>
      </w:pPr>
      <w:r>
        <w:rPr>
          <w:rFonts w:hint="eastAsia"/>
        </w:rPr>
        <w:t>（一）工作内容要求</w:t>
      </w:r>
    </w:p>
    <w:p>
      <w:pPr>
        <w:pStyle w:val="3"/>
        <w:spacing w:line="360" w:lineRule="auto"/>
        <w:ind w:firstLine="420" w:firstLineChars="200"/>
        <w:rPr>
          <w:rFonts w:ascii="宋体" w:hAnsi="宋体" w:cs="宋体"/>
          <w:szCs w:val="21"/>
        </w:rPr>
      </w:pPr>
      <w:r>
        <w:rPr>
          <w:rFonts w:hint="eastAsia" w:ascii="宋体" w:hAnsi="宋体" w:cs="宋体"/>
          <w:szCs w:val="21"/>
        </w:rPr>
        <w:t>1.乙方应按本合同约定履行评估程序，开展不限于以下出具评估报告的相关工作：</w:t>
      </w:r>
    </w:p>
    <w:p>
      <w:pPr>
        <w:pStyle w:val="3"/>
        <w:spacing w:line="360" w:lineRule="auto"/>
        <w:ind w:firstLine="420" w:firstLineChars="200"/>
        <w:rPr>
          <w:rFonts w:ascii="宋体" w:hAnsi="宋体" w:cs="宋体"/>
          <w:szCs w:val="21"/>
        </w:rPr>
      </w:pPr>
      <w:r>
        <w:rPr>
          <w:rFonts w:hint="eastAsia" w:ascii="宋体" w:hAnsi="宋体" w:cs="宋体"/>
          <w:szCs w:val="21"/>
        </w:rPr>
        <w:t>（1）乙方应拟定资产评估计划，提供甲方或被评估对象（单位）需提供的资料清单，以便甲方或被评估对象及时提供相关资料；</w:t>
      </w:r>
    </w:p>
    <w:p>
      <w:pPr>
        <w:pStyle w:val="3"/>
        <w:spacing w:line="360" w:lineRule="auto"/>
        <w:ind w:firstLine="420" w:firstLineChars="200"/>
        <w:rPr>
          <w:rFonts w:ascii="宋体" w:hAnsi="宋体" w:cs="宋体"/>
          <w:szCs w:val="21"/>
        </w:rPr>
      </w:pPr>
      <w:r>
        <w:rPr>
          <w:rFonts w:hint="eastAsia" w:ascii="宋体" w:hAnsi="宋体" w:cs="宋体"/>
          <w:szCs w:val="21"/>
        </w:rPr>
        <w:t>（2）乙方人员应根据实际情况进行实地查勘或进驻被评估单位，指导被评估单位开展资产清查工作，对评估资产进行核实和鉴定，收集相关数据资料；</w:t>
      </w:r>
    </w:p>
    <w:p>
      <w:pPr>
        <w:pStyle w:val="3"/>
        <w:spacing w:line="360" w:lineRule="auto"/>
        <w:ind w:firstLine="420" w:firstLineChars="200"/>
        <w:rPr>
          <w:rFonts w:ascii="宋体" w:hAnsi="宋体" w:cs="宋体"/>
          <w:szCs w:val="21"/>
        </w:rPr>
      </w:pPr>
      <w:r>
        <w:rPr>
          <w:rFonts w:hint="eastAsia" w:ascii="宋体" w:hAnsi="宋体" w:cs="宋体"/>
          <w:szCs w:val="21"/>
        </w:rPr>
        <w:t>（3）乙方应根据现场工作的情况进行评定估算和评估汇总工作，得出初步的评估结论；</w:t>
      </w:r>
    </w:p>
    <w:p>
      <w:pPr>
        <w:pStyle w:val="3"/>
        <w:spacing w:line="360" w:lineRule="auto"/>
        <w:ind w:firstLine="420" w:firstLineChars="200"/>
        <w:rPr>
          <w:rFonts w:ascii="宋体" w:hAnsi="宋体" w:cs="宋体"/>
          <w:szCs w:val="21"/>
        </w:rPr>
      </w:pPr>
      <w:r>
        <w:rPr>
          <w:rFonts w:hint="eastAsia" w:ascii="宋体" w:hAnsi="宋体" w:cs="宋体"/>
          <w:szCs w:val="21"/>
        </w:rPr>
        <w:t>（4）乙方应以初稿形式将有关评估的基本内容与甲方进行沟通；</w:t>
      </w:r>
    </w:p>
    <w:p>
      <w:pPr>
        <w:pStyle w:val="3"/>
        <w:spacing w:line="360" w:lineRule="auto"/>
        <w:ind w:firstLine="420" w:firstLineChars="200"/>
        <w:rPr>
          <w:rFonts w:ascii="宋体" w:hAnsi="宋体" w:cs="宋体"/>
          <w:szCs w:val="21"/>
        </w:rPr>
      </w:pPr>
      <w:r>
        <w:rPr>
          <w:rFonts w:hint="eastAsia" w:ascii="宋体" w:hAnsi="宋体" w:cs="宋体"/>
          <w:szCs w:val="21"/>
        </w:rPr>
        <w:t>（5）乙方应对评估报告初稿进行修改、完善，并在确认相关数据无误后，出具正式评估报告。</w:t>
      </w:r>
    </w:p>
    <w:p>
      <w:pPr>
        <w:pStyle w:val="3"/>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.乙方应全程及时有效地跟进与本项目评估相关的资料收集、评估、协调、出席相关会议等，推进评估进度。</w:t>
      </w:r>
    </w:p>
    <w:p>
      <w:pPr>
        <w:pStyle w:val="3"/>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.乙方应根据甲方的需求就评估过程中发现的问题出具书面意见。</w:t>
      </w:r>
    </w:p>
    <w:p>
      <w:pPr>
        <w:pStyle w:val="3"/>
        <w:spacing w:line="360" w:lineRule="auto"/>
        <w:ind w:firstLine="420" w:firstLineChars="200"/>
        <w:rPr>
          <w:rFonts w:ascii="宋体" w:hAnsi="宋体" w:cs="宋体"/>
          <w:szCs w:val="21"/>
        </w:rPr>
      </w:pPr>
      <w:r>
        <w:rPr>
          <w:rFonts w:hint="eastAsia" w:ascii="宋体" w:hAnsi="宋体" w:cs="宋体"/>
          <w:szCs w:val="21"/>
        </w:rPr>
        <w:t>（二）评估要求</w:t>
      </w:r>
    </w:p>
    <w:p>
      <w:pPr>
        <w:pStyle w:val="3"/>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.乙方应选派有经验、认真负责及尽职，并且数量足够的评估师组成项目工作小组，负责实施本合同项下评估工作。各项评估工作应符合资产评估准则等相关规定。</w:t>
      </w:r>
    </w:p>
    <w:p>
      <w:pPr>
        <w:pStyle w:val="3"/>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.乙方在完成有关评估事项时，应维护甲方的合法权益，不得为任何一方或其他第三方的利益而损害甲方的合法权益。</w:t>
      </w:r>
    </w:p>
    <w:p>
      <w:pPr>
        <w:pStyle w:val="3"/>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.乙方在评估过程中损害甲方权益的，甲方有权单方解除本合同，并要求乙方足额赔偿。</w:t>
      </w:r>
    </w:p>
    <w:p>
      <w:pPr>
        <w:pStyle w:val="3"/>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.乙方应根据甲方的实际工作需要，无偿提供本次资产评估服务涉及的日常咨询等相关服务。</w:t>
      </w:r>
    </w:p>
    <w:p>
      <w:pPr>
        <w:pStyle w:val="3"/>
        <w:spacing w:line="360" w:lineRule="auto"/>
        <w:ind w:firstLine="420" w:firstLineChars="200"/>
      </w:pPr>
      <w:r>
        <w:rPr>
          <w:rFonts w:hint="eastAsia"/>
        </w:rPr>
        <w:t>（三）工作人员要求</w:t>
      </w:r>
    </w:p>
    <w:p>
      <w:pPr>
        <w:pStyle w:val="3"/>
        <w:spacing w:line="360" w:lineRule="auto"/>
        <w:ind w:firstLine="420" w:firstLineChars="200"/>
      </w:pPr>
      <w:r>
        <w:rPr>
          <w:rFonts w:hint="eastAsia" w:ascii="宋体" w:hAnsi="宋体" w:cs="宋体"/>
          <w:szCs w:val="21"/>
        </w:rPr>
        <w:t>1</w:t>
      </w:r>
      <w:r>
        <w:rPr>
          <w:rFonts w:ascii="宋体" w:hAnsi="宋体" w:cs="宋体"/>
          <w:szCs w:val="21"/>
        </w:rPr>
        <w:t>.</w:t>
      </w:r>
      <w:r>
        <w:rPr>
          <w:rFonts w:hint="eastAsia"/>
        </w:rPr>
        <w:t>乙方投入本项目的资产评估师不低于2名（乙方应在本合同生效之日起</w:t>
      </w:r>
      <w:r>
        <w:rPr>
          <w:rFonts w:hint="eastAsia"/>
          <w:lang w:val="en-US" w:eastAsia="zh-CN"/>
        </w:rPr>
        <w:t>2</w:t>
      </w:r>
      <w:r>
        <w:rPr>
          <w:rFonts w:hint="eastAsia"/>
        </w:rPr>
        <w:t>天内提供评估师的执业证书复印件），不包括拟转到分支机构执业的资产评估师及已设立的其他分支机构的资产评估师；</w:t>
      </w:r>
    </w:p>
    <w:p>
      <w:pPr>
        <w:pStyle w:val="3"/>
        <w:spacing w:line="360" w:lineRule="auto"/>
        <w:ind w:firstLine="420" w:firstLineChars="200"/>
      </w:pPr>
      <w:r>
        <w:rPr>
          <w:rFonts w:hint="eastAsia" w:ascii="宋体" w:hAnsi="宋体" w:cs="宋体"/>
          <w:szCs w:val="21"/>
        </w:rPr>
        <w:t>2</w:t>
      </w:r>
      <w:r>
        <w:rPr>
          <w:rFonts w:ascii="宋体" w:hAnsi="宋体" w:cs="宋体"/>
          <w:szCs w:val="21"/>
        </w:rPr>
        <w:t>.</w:t>
      </w:r>
      <w:r>
        <w:rPr>
          <w:rFonts w:hint="eastAsia" w:ascii="宋体" w:hAnsi="宋体" w:cs="宋体"/>
          <w:szCs w:val="21"/>
        </w:rPr>
        <w:t>乙</w:t>
      </w:r>
      <w:r>
        <w:rPr>
          <w:rFonts w:hint="eastAsia"/>
        </w:rPr>
        <w:t>方在本合同项下指派的评估人员必须具有3年以上的资产评估工作经验，具备专门学识与经验，经过适当的专业训练，并具有足够的分析、判断能力。</w:t>
      </w:r>
    </w:p>
    <w:p>
      <w:pPr>
        <w:snapToGrid w:val="0"/>
        <w:spacing w:line="360" w:lineRule="auto"/>
        <w:rPr>
          <w:rFonts w:ascii="宋体" w:hAnsi="宋体" w:cs="宋体"/>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第六条 评估报告提交期限及验收</w:t>
      </w:r>
    </w:p>
    <w:p>
      <w:pPr>
        <w:snapToGrid w:val="0"/>
        <w:spacing w:line="360" w:lineRule="auto"/>
        <w:ind w:firstLine="420" w:firstLineChars="200"/>
        <w:rPr>
          <w:rFonts w:ascii="宋体" w:hAnsi="宋体" w:cs="宋体"/>
          <w:szCs w:val="21"/>
        </w:rPr>
      </w:pPr>
      <w:r>
        <w:rPr>
          <w:rFonts w:hint="eastAsia" w:ascii="宋体" w:hAnsi="宋体" w:cs="宋体"/>
          <w:szCs w:val="21"/>
        </w:rPr>
        <w:t>1</w:t>
      </w:r>
      <w:bookmarkStart w:id="145" w:name="_Hlk117014823"/>
      <w:r>
        <w:rPr>
          <w:rFonts w:hint="eastAsia" w:ascii="宋体" w:hAnsi="宋体" w:cs="宋体"/>
          <w:szCs w:val="21"/>
        </w:rPr>
        <w:t>.乙方应为东莞市博汇环保科技有限公司的股权及甲方持有的设备资产价值进行资产评估并分别出具评估报告。</w:t>
      </w:r>
    </w:p>
    <w:p>
      <w:pPr>
        <w:snapToGrid w:val="0"/>
        <w:spacing w:line="360" w:lineRule="auto"/>
        <w:ind w:firstLine="420" w:firstLineChars="200"/>
        <w:rPr>
          <w:rFonts w:ascii="宋体" w:hAnsi="宋体" w:cs="宋体"/>
          <w:szCs w:val="21"/>
        </w:rPr>
      </w:pPr>
      <w:r>
        <w:rPr>
          <w:rFonts w:hint="eastAsia" w:ascii="宋体" w:hAnsi="宋体" w:cs="宋体"/>
          <w:szCs w:val="21"/>
        </w:rPr>
        <w:t>2.乙方应在接到甲方通知后10个工作日内向甲方提交初评结果，经甲方确认后，以甲方通知出具报告之日起计，10个工作日内向甲方提交正式纸质资产评估报告书（包括股权评估报告以及设备资产价值评估报告）各一式3份及对应电子版。</w:t>
      </w:r>
    </w:p>
    <w:p>
      <w:pPr>
        <w:snapToGrid w:val="0"/>
        <w:spacing w:line="360" w:lineRule="auto"/>
        <w:ind w:firstLine="420" w:firstLineChars="200"/>
        <w:rPr>
          <w:rFonts w:ascii="宋体" w:hAnsi="宋体" w:cs="宋体"/>
          <w:szCs w:val="21"/>
        </w:rPr>
      </w:pPr>
      <w:r>
        <w:rPr>
          <w:rFonts w:hint="eastAsia" w:ascii="宋体" w:hAnsi="宋体" w:cs="宋体"/>
          <w:szCs w:val="21"/>
        </w:rPr>
        <w:t>3.评估报告应当由至少两名承办该项业务的资产评估师签名并加盖乙方公章。</w:t>
      </w:r>
    </w:p>
    <w:p>
      <w:pPr>
        <w:snapToGrid w:val="0"/>
        <w:spacing w:line="360" w:lineRule="auto"/>
        <w:ind w:firstLine="420" w:firstLineChars="200"/>
        <w:rPr>
          <w:rFonts w:ascii="宋体" w:hAnsi="宋体" w:cs="宋体"/>
          <w:szCs w:val="21"/>
        </w:rPr>
      </w:pPr>
      <w:r>
        <w:rPr>
          <w:rFonts w:hint="eastAsia" w:ascii="宋体" w:hAnsi="宋体" w:cs="宋体"/>
          <w:szCs w:val="21"/>
        </w:rPr>
        <w:t>4.甲方根据国家和地方有关资产评估的法律、行政法规和行业协会的有关规定对评估报告内容进行验收。</w:t>
      </w:r>
    </w:p>
    <w:bookmarkEnd w:id="145"/>
    <w:p>
      <w:pPr>
        <w:snapToGrid w:val="0"/>
        <w:spacing w:line="360" w:lineRule="auto"/>
        <w:ind w:firstLine="420" w:firstLineChars="200"/>
        <w:rPr>
          <w:rFonts w:ascii="宋体" w:hAnsi="宋体" w:cs="宋体"/>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第七条 服务费用及支付方式</w:t>
      </w:r>
    </w:p>
    <w:p>
      <w:pPr>
        <w:snapToGrid w:val="0"/>
        <w:spacing w:line="360" w:lineRule="auto"/>
        <w:ind w:firstLine="420" w:firstLineChars="200"/>
        <w:rPr>
          <w:rFonts w:ascii="宋体" w:hAnsi="宋体" w:cs="宋体"/>
          <w:szCs w:val="21"/>
        </w:rPr>
      </w:pPr>
      <w:r>
        <w:rPr>
          <w:rFonts w:hint="eastAsia" w:ascii="宋体" w:hAnsi="宋体" w:cs="宋体"/>
          <w:szCs w:val="21"/>
        </w:rPr>
        <w:t>1.本合同价（即销售额，不含销项税额，下同）为【】元（大写人民币），其中股权评估服务费为【】元（大写人民币【】元），设备资产评估服务费为【】元（大写人民币【】元）。在本合同履行过程中，合同价（即销售额，不含乙方销项税额）不随法律法规政策、物价人工、服务期调整而进行调整，未经甲方书面确认，乙方无权增加任何费用。</w:t>
      </w:r>
    </w:p>
    <w:p>
      <w:pPr>
        <w:snapToGrid w:val="0"/>
        <w:spacing w:line="360" w:lineRule="auto"/>
        <w:ind w:firstLine="420" w:firstLineChars="200"/>
        <w:rPr>
          <w:rFonts w:ascii="宋体" w:hAnsi="宋体" w:cs="宋体"/>
          <w:szCs w:val="21"/>
        </w:rPr>
      </w:pPr>
      <w:r>
        <w:rPr>
          <w:rFonts w:hint="eastAsia" w:ascii="宋体" w:hAnsi="宋体" w:cs="宋体"/>
          <w:szCs w:val="21"/>
        </w:rPr>
        <w:t>2.依法计得并根据本合同约定确定的销项税额由甲方承担。根据《中华人民共和国增值税暂行条例》（国务院令第691号修订版）及当前税务部门的相关规定，本合同项目的增值税税率暂定为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cs="宋体"/>
          <w:szCs w:val="21"/>
          <w:u w:val="single"/>
          <w:lang w:val="en-US" w:eastAsia="zh-CN"/>
        </w:rPr>
        <w:t xml:space="preserve"> </w:t>
      </w:r>
      <w:r>
        <w:rPr>
          <w:rFonts w:hint="eastAsia" w:ascii="宋体" w:hAnsi="宋体" w:cs="宋体"/>
          <w:szCs w:val="21"/>
        </w:rPr>
        <w:t>%，对应的销项税额为【】元（大写人民币），乙方的增值税销项税额根据本合同约定按实结算。在本合同履行过程中，税收政策变动导致增值税税率调整，依法应调整销项税额的，依法调整；但因乙方未按合同约定完成合同义务、未根据合同约定提供合法、完整的请款资料、评估报告不合法导致的重新评估等原因致使销项税额增加的，相应损失由乙方承担。</w:t>
      </w:r>
    </w:p>
    <w:p>
      <w:pPr>
        <w:snapToGrid w:val="0"/>
        <w:spacing w:line="360" w:lineRule="auto"/>
        <w:ind w:firstLine="420" w:firstLineChars="200"/>
        <w:rPr>
          <w:rFonts w:ascii="宋体" w:hAnsi="宋体" w:cs="宋体"/>
          <w:szCs w:val="21"/>
        </w:rPr>
      </w:pPr>
      <w:r>
        <w:rPr>
          <w:rFonts w:hint="eastAsia" w:ascii="宋体" w:hAnsi="宋体" w:cs="宋体"/>
          <w:szCs w:val="21"/>
        </w:rPr>
        <w:t>因乙方未按法定税率计算税额或未根据本合同约定出具对应税额的增值税专用发票等乙方原因导致甲方多支付税额的，乙方必须退还甲方，给甲方造成损失的，乙方须向甲方赔偿相应损失。</w:t>
      </w:r>
    </w:p>
    <w:p>
      <w:pPr>
        <w:snapToGrid w:val="0"/>
        <w:spacing w:line="360" w:lineRule="auto"/>
        <w:ind w:firstLine="420" w:firstLineChars="200"/>
        <w:rPr>
          <w:rFonts w:ascii="宋体" w:hAnsi="宋体" w:cs="宋体"/>
          <w:szCs w:val="21"/>
        </w:rPr>
      </w:pPr>
      <w:r>
        <w:rPr>
          <w:rFonts w:hint="eastAsia" w:ascii="宋体" w:hAnsi="宋体" w:cs="宋体"/>
          <w:szCs w:val="21"/>
        </w:rPr>
        <w:t>3.合同价税合计为【】元（大写人民币），合同履行期间根据本条第2项规定调整销项税额的，结算合同价税合计对应调整。</w:t>
      </w:r>
    </w:p>
    <w:p>
      <w:pPr>
        <w:snapToGrid w:val="0"/>
        <w:spacing w:line="360" w:lineRule="auto"/>
        <w:ind w:firstLine="420" w:firstLineChars="200"/>
        <w:rPr>
          <w:rFonts w:ascii="宋体" w:hAnsi="宋体" w:cs="宋体"/>
          <w:szCs w:val="21"/>
        </w:rPr>
      </w:pPr>
      <w:bookmarkStart w:id="146" w:name="_Toc29943"/>
      <w:bookmarkStart w:id="147" w:name="_Toc4134"/>
      <w:r>
        <w:rPr>
          <w:rFonts w:hint="eastAsia" w:ascii="宋体" w:hAnsi="宋体" w:cs="宋体"/>
          <w:szCs w:val="21"/>
        </w:rPr>
        <w:t>4.合同价为乙方完成应承担合同义务的全部费用，包括但不限于：</w:t>
      </w:r>
      <w:bookmarkEnd w:id="146"/>
      <w:bookmarkEnd w:id="147"/>
    </w:p>
    <w:p>
      <w:pPr>
        <w:snapToGrid w:val="0"/>
        <w:spacing w:line="360" w:lineRule="auto"/>
        <w:ind w:firstLine="420" w:firstLineChars="200"/>
        <w:rPr>
          <w:rFonts w:ascii="宋体" w:hAnsi="宋体" w:cs="宋体"/>
          <w:szCs w:val="21"/>
        </w:rPr>
      </w:pPr>
      <w:r>
        <w:rPr>
          <w:rFonts w:hint="eastAsia" w:ascii="宋体" w:hAnsi="宋体" w:cs="宋体"/>
          <w:szCs w:val="21"/>
        </w:rPr>
        <w:t>（1）实地查勘、资料收集/核实/分析、编写评估报告（含初评/过程修改/正式版等）；</w:t>
      </w:r>
    </w:p>
    <w:p>
      <w:pPr>
        <w:snapToGrid w:val="0"/>
        <w:spacing w:line="360" w:lineRule="auto"/>
        <w:ind w:firstLine="420" w:firstLineChars="200"/>
        <w:rPr>
          <w:rFonts w:ascii="宋体" w:hAnsi="宋体" w:cs="宋体"/>
          <w:szCs w:val="21"/>
        </w:rPr>
      </w:pPr>
      <w:r>
        <w:rPr>
          <w:rFonts w:hint="eastAsia" w:ascii="宋体" w:hAnsi="宋体" w:cs="宋体"/>
          <w:szCs w:val="21"/>
        </w:rPr>
        <w:t>（2）服务期间人员工资、管理费、交通费、通讯费、餐费、差旅费、保险费等一切费用；</w:t>
      </w:r>
    </w:p>
    <w:p>
      <w:pPr>
        <w:snapToGrid w:val="0"/>
        <w:spacing w:line="360" w:lineRule="auto"/>
        <w:ind w:firstLine="420" w:firstLineChars="200"/>
        <w:rPr>
          <w:rFonts w:ascii="宋体" w:hAnsi="宋体" w:cs="宋体"/>
          <w:szCs w:val="21"/>
        </w:rPr>
      </w:pPr>
      <w:r>
        <w:rPr>
          <w:rFonts w:hint="eastAsia" w:ascii="宋体" w:hAnsi="宋体" w:cs="宋体"/>
          <w:szCs w:val="21"/>
        </w:rPr>
        <w:t>（3）合理利润、乙方销项税额以外的税费等；</w:t>
      </w:r>
    </w:p>
    <w:p>
      <w:pPr>
        <w:snapToGrid w:val="0"/>
        <w:spacing w:line="360" w:lineRule="auto"/>
        <w:ind w:firstLine="420" w:firstLineChars="200"/>
        <w:rPr>
          <w:rFonts w:ascii="宋体" w:hAnsi="宋体" w:cs="宋体"/>
          <w:szCs w:val="21"/>
        </w:rPr>
      </w:pPr>
      <w:r>
        <w:rPr>
          <w:rFonts w:hint="eastAsia" w:ascii="宋体" w:hAnsi="宋体" w:cs="宋体"/>
          <w:szCs w:val="21"/>
        </w:rPr>
        <w:t>（4）法律法规、商业公认、询价文件规定由乙方承担的其他费用。</w:t>
      </w:r>
    </w:p>
    <w:p>
      <w:pPr>
        <w:snapToGrid w:val="0"/>
        <w:spacing w:line="360" w:lineRule="auto"/>
        <w:ind w:firstLine="420" w:firstLineChars="200"/>
        <w:rPr>
          <w:rFonts w:ascii="宋体" w:hAnsi="宋体" w:cs="宋体"/>
          <w:szCs w:val="21"/>
        </w:rPr>
      </w:pPr>
      <w:r>
        <w:rPr>
          <w:rFonts w:hint="eastAsia" w:ascii="宋体" w:hAnsi="宋体" w:cs="宋体"/>
          <w:szCs w:val="21"/>
        </w:rPr>
        <w:t>5.乙方完成本合同项下所有工作并经甲方确认后，乙方向甲方提供合法、有效的增值税专用发票和请款报告，经甲方审核确认无误后十个工作日内支付。</w:t>
      </w:r>
    </w:p>
    <w:p>
      <w:pPr>
        <w:snapToGrid w:val="0"/>
        <w:spacing w:line="360" w:lineRule="auto"/>
        <w:ind w:firstLine="420" w:firstLineChars="200"/>
        <w:rPr>
          <w:rFonts w:ascii="宋体" w:hAnsi="宋体" w:cs="宋体"/>
          <w:szCs w:val="21"/>
        </w:rPr>
      </w:pPr>
      <w:r>
        <w:rPr>
          <w:rFonts w:hint="eastAsia" w:ascii="宋体" w:hAnsi="宋体" w:cs="宋体"/>
          <w:szCs w:val="21"/>
        </w:rPr>
        <w:t>6.以上款项由甲方直接以银行转账方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pPr>
        <w:snapToGrid w:val="0"/>
        <w:spacing w:line="360" w:lineRule="auto"/>
        <w:ind w:firstLine="420" w:firstLineChars="200"/>
        <w:outlineLvl w:val="0"/>
        <w:rPr>
          <w:rFonts w:ascii="宋体" w:hAnsi="宋体" w:cs="宋体"/>
          <w:szCs w:val="21"/>
        </w:rPr>
      </w:pPr>
      <w:bookmarkStart w:id="148" w:name="_Toc11634"/>
      <w:bookmarkStart w:id="149" w:name="_Toc21563"/>
      <w:r>
        <w:rPr>
          <w:rFonts w:hint="eastAsia" w:ascii="宋体" w:hAnsi="宋体" w:cs="宋体"/>
          <w:szCs w:val="21"/>
        </w:rPr>
        <w:t>7.乙方收款账户信息</w:t>
      </w:r>
      <w:bookmarkEnd w:id="148"/>
      <w:bookmarkEnd w:id="149"/>
    </w:p>
    <w:tbl>
      <w:tblPr>
        <w:tblStyle w:val="17"/>
        <w:tblW w:w="0" w:type="auto"/>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0" w:type="dxa"/>
            <w:vAlign w:val="center"/>
          </w:tcPr>
          <w:p>
            <w:pPr>
              <w:snapToGrid w:val="0"/>
              <w:spacing w:line="480" w:lineRule="auto"/>
              <w:ind w:firstLine="420" w:firstLineChars="200"/>
              <w:rPr>
                <w:rFonts w:ascii="宋体" w:hAnsi="宋体" w:cs="宋体"/>
                <w:szCs w:val="21"/>
              </w:rPr>
            </w:pPr>
            <w:r>
              <w:rPr>
                <w:rFonts w:hint="eastAsia" w:ascii="宋体" w:hAnsi="宋体" w:cs="宋体"/>
                <w:szCs w:val="21"/>
              </w:rPr>
              <w:t>账号户名</w:t>
            </w:r>
          </w:p>
        </w:tc>
        <w:tc>
          <w:tcPr>
            <w:tcW w:w="5513" w:type="dxa"/>
          </w:tcPr>
          <w:p>
            <w:pPr>
              <w:snapToGrid w:val="0"/>
              <w:spacing w:line="48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vAlign w:val="center"/>
          </w:tcPr>
          <w:p>
            <w:pPr>
              <w:snapToGrid w:val="0"/>
              <w:spacing w:line="480" w:lineRule="auto"/>
              <w:ind w:firstLine="420" w:firstLineChars="200"/>
              <w:rPr>
                <w:rFonts w:ascii="宋体" w:hAnsi="宋体" w:cs="宋体"/>
                <w:szCs w:val="21"/>
              </w:rPr>
            </w:pPr>
            <w:r>
              <w:rPr>
                <w:rFonts w:hint="eastAsia" w:ascii="宋体" w:hAnsi="宋体" w:cs="宋体"/>
                <w:szCs w:val="21"/>
              </w:rPr>
              <w:t>开户银行名称</w:t>
            </w:r>
          </w:p>
        </w:tc>
        <w:tc>
          <w:tcPr>
            <w:tcW w:w="5513" w:type="dxa"/>
          </w:tcPr>
          <w:p>
            <w:pPr>
              <w:snapToGrid w:val="0"/>
              <w:spacing w:line="48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0" w:type="dxa"/>
            <w:vAlign w:val="center"/>
          </w:tcPr>
          <w:p>
            <w:pPr>
              <w:snapToGrid w:val="0"/>
              <w:spacing w:line="480" w:lineRule="auto"/>
              <w:ind w:firstLine="420" w:firstLineChars="200"/>
              <w:rPr>
                <w:rFonts w:ascii="宋体" w:hAnsi="宋体" w:cs="宋体"/>
                <w:szCs w:val="21"/>
              </w:rPr>
            </w:pPr>
            <w:r>
              <w:rPr>
                <w:rFonts w:hint="eastAsia" w:ascii="宋体" w:hAnsi="宋体" w:cs="宋体"/>
                <w:szCs w:val="21"/>
              </w:rPr>
              <w:t>银行账号</w:t>
            </w:r>
          </w:p>
        </w:tc>
        <w:tc>
          <w:tcPr>
            <w:tcW w:w="5513" w:type="dxa"/>
          </w:tcPr>
          <w:p>
            <w:pPr>
              <w:snapToGrid w:val="0"/>
              <w:spacing w:line="480" w:lineRule="auto"/>
              <w:ind w:firstLine="420" w:firstLineChars="200"/>
              <w:rPr>
                <w:rFonts w:ascii="宋体" w:hAnsi="宋体" w:cs="宋体"/>
                <w:szCs w:val="21"/>
              </w:rPr>
            </w:pPr>
          </w:p>
        </w:tc>
      </w:tr>
    </w:tbl>
    <w:p>
      <w:pPr>
        <w:snapToGrid w:val="0"/>
        <w:spacing w:line="360" w:lineRule="auto"/>
        <w:rPr>
          <w:rFonts w:ascii="宋体" w:hAnsi="宋体" w:cs="宋体"/>
          <w:szCs w:val="21"/>
        </w:rPr>
      </w:pPr>
    </w:p>
    <w:p>
      <w:pPr>
        <w:snapToGrid w:val="0"/>
        <w:spacing w:line="360" w:lineRule="auto"/>
        <w:ind w:firstLine="422" w:firstLineChars="200"/>
        <w:outlineLvl w:val="1"/>
        <w:rPr>
          <w:rFonts w:ascii="宋体" w:hAnsi="宋体" w:cs="宋体"/>
          <w:b/>
          <w:bCs/>
          <w:szCs w:val="21"/>
        </w:rPr>
      </w:pPr>
      <w:bookmarkStart w:id="150" w:name="_Toc27606"/>
      <w:bookmarkStart w:id="151" w:name="_Toc14599"/>
      <w:r>
        <w:rPr>
          <w:rFonts w:hint="eastAsia" w:ascii="宋体" w:hAnsi="宋体" w:cs="宋体"/>
          <w:b/>
          <w:bCs/>
          <w:szCs w:val="21"/>
        </w:rPr>
        <w:t>第八条 甲方的权利与义务</w:t>
      </w:r>
      <w:bookmarkEnd w:id="150"/>
      <w:bookmarkEnd w:id="151"/>
    </w:p>
    <w:p>
      <w:pPr>
        <w:snapToGrid w:val="0"/>
        <w:spacing w:line="360" w:lineRule="auto"/>
        <w:ind w:firstLine="420" w:firstLineChars="200"/>
        <w:outlineLvl w:val="1"/>
        <w:rPr>
          <w:rFonts w:ascii="宋体" w:hAnsi="宋体" w:cs="宋体"/>
          <w:szCs w:val="21"/>
        </w:rPr>
      </w:pPr>
      <w:bookmarkStart w:id="152" w:name="_Toc26126"/>
      <w:bookmarkStart w:id="153" w:name="_Toc25471"/>
      <w:r>
        <w:rPr>
          <w:rFonts w:hint="eastAsia" w:ascii="宋体" w:hAnsi="宋体" w:cs="宋体"/>
          <w:szCs w:val="21"/>
        </w:rPr>
        <w:t>1</w:t>
      </w:r>
      <w:bookmarkEnd w:id="152"/>
      <w:bookmarkEnd w:id="153"/>
      <w:bookmarkStart w:id="154" w:name="_Toc1433"/>
      <w:bookmarkStart w:id="155" w:name="_Toc11458"/>
      <w:r>
        <w:rPr>
          <w:rFonts w:hint="eastAsia" w:ascii="宋体" w:hAnsi="宋体" w:cs="宋体"/>
          <w:szCs w:val="21"/>
        </w:rPr>
        <w:t>.甲方的权利：</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（1）甲方有权对乙方的评估工作进行监督，对乙方不符合法律、行政法规和行业协会规定的行为要求整改。</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（2）甲方、产权持有人或其他相关当事人发现乙方指定的评估专业人员与本次评估业务有人员关联，甲方有权要求乙方更换该评估专业人员。</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（3）甲方对乙方实施的评估程序或对评估结论有疑义时，有权提出质疑，并要求乙方解释及出具澄清文件，乙方对甲方提出的疑义或质疑不予解释或无法解释清楚的，甲方有权视为乙方未完成该项工作内容。</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（4）甲方有权要求查验乙方营业执照、向有关行政管理部门备案的有关材料及资产评估师执业资格证书等相关资质文件。</w:t>
      </w:r>
    </w:p>
    <w:p>
      <w:pPr>
        <w:snapToGrid w:val="0"/>
        <w:spacing w:line="360" w:lineRule="auto"/>
        <w:ind w:firstLine="420" w:firstLineChars="200"/>
        <w:outlineLvl w:val="1"/>
        <w:rPr>
          <w:rFonts w:ascii="宋体" w:hAnsi="宋体" w:cs="宋体"/>
          <w:szCs w:val="21"/>
        </w:rPr>
      </w:pPr>
      <w:bookmarkStart w:id="156" w:name="_Toc25867"/>
      <w:bookmarkStart w:id="157" w:name="_Toc16662"/>
      <w:r>
        <w:rPr>
          <w:rFonts w:hint="eastAsia" w:ascii="宋体" w:hAnsi="宋体" w:cs="宋体"/>
          <w:szCs w:val="21"/>
        </w:rPr>
        <w:t>2.甲方的义务：</w:t>
      </w:r>
      <w:bookmarkEnd w:id="156"/>
      <w:bookmarkEnd w:id="157"/>
    </w:p>
    <w:p>
      <w:pPr>
        <w:snapToGrid w:val="0"/>
        <w:spacing w:line="360" w:lineRule="auto"/>
        <w:ind w:firstLine="420" w:firstLineChars="200"/>
        <w:outlineLvl w:val="1"/>
        <w:rPr>
          <w:rFonts w:ascii="宋体" w:hAnsi="宋体" w:cs="宋体"/>
          <w:szCs w:val="21"/>
        </w:rPr>
      </w:pPr>
      <w:r>
        <w:rPr>
          <w:rFonts w:hint="eastAsia" w:ascii="宋体" w:hAnsi="宋体" w:cs="宋体"/>
          <w:szCs w:val="21"/>
        </w:rPr>
        <w:t>（1）依法提供资产评估业务需要的资料并保证资料的真实性、完整性、合法性，并对其提供的资产评估明细表及其他重要资料以签字或盖章的方式进行确认。</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（2）为乙方及其资产评估专业人员开展资产评估业务提供必要的工作条件和协助，并根据资产评估业务需要，负责乙方及其资产评估专业人员与其他相关当事人之间的协调。</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（3）按合同约定足额支付评估服务费用。</w:t>
      </w:r>
      <w:bookmarkEnd w:id="154"/>
      <w:bookmarkEnd w:id="155"/>
    </w:p>
    <w:p>
      <w:pPr>
        <w:snapToGrid w:val="0"/>
        <w:spacing w:line="360" w:lineRule="auto"/>
        <w:ind w:firstLine="420" w:firstLineChars="200"/>
        <w:rPr>
          <w:rFonts w:ascii="宋体" w:hAnsi="宋体" w:cs="宋体"/>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第九条 乙方的权利与义务</w:t>
      </w:r>
    </w:p>
    <w:p>
      <w:pPr>
        <w:snapToGrid w:val="0"/>
        <w:spacing w:line="360" w:lineRule="auto"/>
        <w:ind w:firstLine="420" w:firstLineChars="200"/>
        <w:rPr>
          <w:rFonts w:ascii="宋体" w:hAnsi="宋体" w:cs="宋体"/>
          <w:szCs w:val="21"/>
        </w:rPr>
      </w:pPr>
      <w:bookmarkStart w:id="158" w:name="_Toc12872"/>
      <w:bookmarkStart w:id="159" w:name="_Toc22280"/>
      <w:r>
        <w:rPr>
          <w:rFonts w:hint="eastAsia" w:ascii="宋体" w:hAnsi="宋体" w:cs="宋体"/>
          <w:szCs w:val="21"/>
        </w:rPr>
        <w:t>1</w:t>
      </w:r>
      <w:bookmarkEnd w:id="158"/>
      <w:bookmarkEnd w:id="159"/>
      <w:r>
        <w:rPr>
          <w:rFonts w:hint="eastAsia" w:ascii="宋体" w:hAnsi="宋体" w:cs="宋体"/>
          <w:szCs w:val="21"/>
        </w:rPr>
        <w:t>.乙方的权利：</w:t>
      </w:r>
    </w:p>
    <w:p>
      <w:pPr>
        <w:snapToGrid w:val="0"/>
        <w:spacing w:line="360" w:lineRule="auto"/>
        <w:ind w:firstLine="420" w:firstLineChars="200"/>
        <w:rPr>
          <w:rFonts w:ascii="宋体" w:hAnsi="宋体" w:cs="宋体"/>
          <w:szCs w:val="21"/>
        </w:rPr>
      </w:pPr>
      <w:r>
        <w:rPr>
          <w:rFonts w:hint="eastAsia" w:ascii="宋体" w:hAnsi="宋体" w:cs="宋体"/>
          <w:szCs w:val="21"/>
        </w:rPr>
        <w:t>（1）甲方要求出具虚假资产评估报告或者有其他非法干预评估结论情形的，乙方有权单方解除本合同。甲方应按照经甲方确认的工作量支付相应的评估服务费。</w:t>
      </w:r>
    </w:p>
    <w:p>
      <w:pPr>
        <w:snapToGrid w:val="0"/>
        <w:spacing w:line="360" w:lineRule="auto"/>
        <w:ind w:firstLine="420" w:firstLineChars="200"/>
        <w:rPr>
          <w:rFonts w:ascii="宋体" w:hAnsi="宋体" w:cs="宋体"/>
          <w:szCs w:val="21"/>
        </w:rPr>
      </w:pPr>
      <w:r>
        <w:rPr>
          <w:rFonts w:hint="eastAsia" w:ascii="宋体" w:hAnsi="宋体" w:cs="宋体"/>
          <w:szCs w:val="21"/>
        </w:rPr>
        <w:t>（2）甲方或者其他相关当事人原因导致资产评估程序受限，乙方无法履行资产评估委托合同，乙方可以单方解除本合同。甲方应按照经甲方确认的工作量支付相应的评估服务费。</w:t>
      </w:r>
    </w:p>
    <w:p>
      <w:pPr>
        <w:snapToGrid w:val="0"/>
        <w:spacing w:line="360" w:lineRule="auto"/>
        <w:ind w:firstLine="420" w:firstLineChars="200"/>
        <w:rPr>
          <w:rFonts w:ascii="宋体" w:hAnsi="宋体" w:cs="宋体"/>
          <w:szCs w:val="21"/>
        </w:rPr>
      </w:pPr>
      <w:r>
        <w:rPr>
          <w:rFonts w:hint="eastAsia" w:ascii="宋体" w:hAnsi="宋体" w:cs="宋体"/>
          <w:szCs w:val="21"/>
        </w:rPr>
        <w:t>（3）甲方和其他相关当事人如果拒绝提供或者不如实提供开展资产评估业务所需的权属证明、财务会计信息或者其他相关资料的，乙方有权拒绝履行本合同。</w:t>
      </w:r>
    </w:p>
    <w:p>
      <w:pPr>
        <w:snapToGrid w:val="0"/>
        <w:spacing w:line="360" w:lineRule="auto"/>
        <w:ind w:firstLine="420" w:firstLineChars="200"/>
        <w:rPr>
          <w:rFonts w:ascii="宋体" w:hAnsi="宋体" w:cs="宋体"/>
          <w:szCs w:val="21"/>
        </w:rPr>
      </w:pPr>
      <w:bookmarkStart w:id="160" w:name="_Toc12358"/>
      <w:bookmarkStart w:id="161" w:name="_Toc88"/>
      <w:r>
        <w:rPr>
          <w:rFonts w:hint="eastAsia" w:ascii="宋体" w:hAnsi="宋体" w:cs="宋体"/>
          <w:szCs w:val="21"/>
        </w:rPr>
        <w:t>（4）乙方按合同约定完成合同义务且不存在违约行为的情况下，有权请求甲方按合同约定及时足额支付评估服务费用。</w:t>
      </w:r>
      <w:bookmarkEnd w:id="160"/>
      <w:bookmarkEnd w:id="161"/>
    </w:p>
    <w:p>
      <w:pPr>
        <w:snapToGrid w:val="0"/>
        <w:spacing w:line="360" w:lineRule="auto"/>
        <w:ind w:firstLine="420" w:firstLineChars="200"/>
        <w:rPr>
          <w:rFonts w:ascii="宋体" w:hAnsi="宋体" w:cs="宋体"/>
          <w:szCs w:val="21"/>
        </w:rPr>
      </w:pPr>
      <w:bookmarkStart w:id="162" w:name="_Toc11725"/>
      <w:bookmarkStart w:id="163" w:name="_Toc7746"/>
      <w:r>
        <w:rPr>
          <w:rFonts w:hint="eastAsia" w:ascii="宋体" w:hAnsi="宋体" w:cs="宋体"/>
          <w:szCs w:val="21"/>
        </w:rPr>
        <w:t>2.乙方的义务</w:t>
      </w:r>
      <w:bookmarkEnd w:id="162"/>
      <w:bookmarkEnd w:id="163"/>
    </w:p>
    <w:p>
      <w:pPr>
        <w:snapToGrid w:val="0"/>
        <w:spacing w:line="360" w:lineRule="auto"/>
        <w:ind w:firstLine="420" w:firstLineChars="200"/>
        <w:rPr>
          <w:rFonts w:ascii="宋体" w:hAnsi="宋体" w:cs="宋体"/>
          <w:szCs w:val="21"/>
        </w:rPr>
      </w:pPr>
      <w:r>
        <w:rPr>
          <w:rFonts w:hint="eastAsia" w:ascii="宋体" w:hAnsi="宋体" w:cs="宋体"/>
          <w:szCs w:val="21"/>
        </w:rPr>
        <w:t>（1）遵守相关法律、行政法规和资产评估准则，对评估对象在评估基准日特定目的下的价值进行分析和估算并出具资产评估报告，对所出具的资产评估报告依法承担责任。</w:t>
      </w:r>
    </w:p>
    <w:p>
      <w:pPr>
        <w:snapToGrid w:val="0"/>
        <w:spacing w:line="360" w:lineRule="auto"/>
        <w:ind w:firstLine="420" w:firstLineChars="200"/>
        <w:rPr>
          <w:rFonts w:ascii="宋体" w:hAnsi="宋体" w:cs="宋体"/>
          <w:szCs w:val="21"/>
        </w:rPr>
      </w:pPr>
      <w:r>
        <w:rPr>
          <w:rFonts w:hint="eastAsia" w:ascii="宋体" w:hAnsi="宋体" w:cs="宋体"/>
          <w:szCs w:val="21"/>
        </w:rPr>
        <w:t>（2）乙方应对履行合同义务过程中获知的关于甲方的商业秘密负有保密责任。除法律、法规另有规定的，未经甲方书面许可，乙方不得将评估报告内容、甲方或被评估单位提供的有关文件资料和商业秘密向第三方提供或者公开</w:t>
      </w:r>
      <w:bookmarkStart w:id="164" w:name="_Hlk117015884"/>
      <w:r>
        <w:rPr>
          <w:rFonts w:hint="eastAsia" w:ascii="宋体" w:hAnsi="宋体" w:cs="宋体"/>
          <w:szCs w:val="21"/>
        </w:rPr>
        <w:t>。乙方应于本合同项下评估工作完成后，返还或销毁甲方向乙方提供的全部资料。乙方的保密义务不因本合同解除或终止而失效，直至甲方的资料合法公开为止</w:t>
      </w:r>
      <w:bookmarkEnd w:id="164"/>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（3）乙方应按合同约定的时间及要求，拟定工作计划，按时完成资产评估相关工作，并出具资产评估报告。</w:t>
      </w:r>
    </w:p>
    <w:p>
      <w:pPr>
        <w:snapToGrid w:val="0"/>
        <w:spacing w:line="360" w:lineRule="auto"/>
        <w:ind w:firstLine="420" w:firstLineChars="200"/>
        <w:rPr>
          <w:rFonts w:ascii="宋体" w:hAnsi="宋体" w:cs="宋体"/>
          <w:szCs w:val="21"/>
        </w:rPr>
      </w:pPr>
      <w:r>
        <w:rPr>
          <w:rFonts w:hint="eastAsia" w:ascii="宋体" w:hAnsi="宋体" w:cs="宋体"/>
          <w:szCs w:val="21"/>
        </w:rPr>
        <w:t>（4）如乙方发现其指定资产评估专业人员与资产评估业务存在关联的，应当及时主动向甲方提出，经甲方书面同意后及时更换评估专业人员。</w:t>
      </w:r>
    </w:p>
    <w:p>
      <w:pPr>
        <w:snapToGrid w:val="0"/>
        <w:spacing w:line="360" w:lineRule="auto"/>
        <w:ind w:firstLine="420" w:firstLineChars="200"/>
        <w:rPr>
          <w:rFonts w:ascii="宋体" w:hAnsi="宋体" w:cs="宋体"/>
          <w:szCs w:val="21"/>
        </w:rPr>
      </w:pPr>
      <w:r>
        <w:rPr>
          <w:rFonts w:hint="eastAsia" w:ascii="宋体" w:hAnsi="宋体" w:cs="宋体"/>
          <w:szCs w:val="21"/>
        </w:rPr>
        <w:t>（5）乙方应按合同约定独立完成合同义务，不得将该合同义务全部或部分转让给第三方。</w:t>
      </w:r>
    </w:p>
    <w:p>
      <w:pPr>
        <w:snapToGrid w:val="0"/>
        <w:spacing w:line="360" w:lineRule="auto"/>
        <w:ind w:firstLine="420" w:firstLineChars="200"/>
        <w:rPr>
          <w:rFonts w:ascii="宋体" w:hAnsi="宋体" w:cs="宋体"/>
          <w:szCs w:val="21"/>
        </w:rPr>
      </w:pPr>
    </w:p>
    <w:p>
      <w:pPr>
        <w:snapToGrid w:val="0"/>
        <w:spacing w:line="360" w:lineRule="auto"/>
        <w:ind w:firstLine="422" w:firstLineChars="200"/>
        <w:outlineLvl w:val="1"/>
        <w:rPr>
          <w:rFonts w:ascii="宋体" w:hAnsi="宋体" w:cs="宋体"/>
          <w:b/>
          <w:bCs/>
          <w:szCs w:val="21"/>
        </w:rPr>
      </w:pPr>
      <w:bookmarkStart w:id="165" w:name="_Toc9506"/>
      <w:bookmarkStart w:id="166" w:name="_Toc24296"/>
      <w:r>
        <w:rPr>
          <w:rFonts w:hint="eastAsia" w:ascii="宋体" w:hAnsi="宋体" w:cs="宋体"/>
          <w:b/>
          <w:bCs/>
          <w:szCs w:val="21"/>
        </w:rPr>
        <w:t>第十条 违约责任</w:t>
      </w:r>
      <w:bookmarkEnd w:id="165"/>
      <w:bookmarkEnd w:id="166"/>
    </w:p>
    <w:p>
      <w:pPr>
        <w:snapToGrid w:val="0"/>
        <w:spacing w:line="360" w:lineRule="auto"/>
        <w:ind w:firstLine="420" w:firstLineChars="200"/>
        <w:rPr>
          <w:rFonts w:ascii="宋体" w:hAnsi="宋体" w:cs="宋体"/>
          <w:szCs w:val="21"/>
        </w:rPr>
      </w:pPr>
      <w:r>
        <w:rPr>
          <w:rFonts w:hint="eastAsia" w:ascii="宋体" w:hAnsi="宋体" w:cs="宋体"/>
          <w:szCs w:val="21"/>
        </w:rPr>
        <w:t>1.除第九条第1款约定情形外，乙方无故终止本合同的，应向甲方退还所有评估服务费用，并赔偿甲方由此造成的损失。</w:t>
      </w:r>
    </w:p>
    <w:p>
      <w:pPr>
        <w:snapToGrid w:val="0"/>
        <w:spacing w:line="360" w:lineRule="auto"/>
        <w:ind w:firstLine="420" w:firstLineChars="200"/>
        <w:rPr>
          <w:rFonts w:ascii="宋体" w:hAnsi="宋体" w:cs="宋体"/>
          <w:szCs w:val="21"/>
        </w:rPr>
      </w:pPr>
      <w:r>
        <w:rPr>
          <w:rFonts w:hint="eastAsia" w:ascii="宋体" w:hAnsi="宋体" w:cs="宋体"/>
          <w:szCs w:val="21"/>
        </w:rPr>
        <w:t>2.甲方提前终止资产评估业务、解除资产评估委托合同的，应当按照经甲方确认的工作量支付相应的评估服务费。</w:t>
      </w:r>
    </w:p>
    <w:p>
      <w:pPr>
        <w:snapToGrid w:val="0"/>
        <w:spacing w:line="360" w:lineRule="auto"/>
        <w:ind w:firstLine="420" w:firstLineChars="200"/>
        <w:rPr>
          <w:rFonts w:ascii="宋体" w:hAnsi="宋体" w:cs="宋体"/>
          <w:szCs w:val="21"/>
        </w:rPr>
      </w:pPr>
      <w:r>
        <w:rPr>
          <w:rFonts w:hint="eastAsia" w:ascii="宋体" w:hAnsi="宋体" w:cs="宋体"/>
          <w:szCs w:val="21"/>
        </w:rPr>
        <w:t>3.乙方出现以下行为的，甲方有权单方解除合同，并要求乙方按合同价的20%支付违约金，同时，甲方保留向有关行政管理部门或行业协会举报和投诉的权利：</w:t>
      </w:r>
    </w:p>
    <w:p>
      <w:pPr>
        <w:snapToGrid w:val="0"/>
        <w:spacing w:line="360" w:lineRule="auto"/>
        <w:ind w:firstLine="420" w:firstLineChars="200"/>
        <w:rPr>
          <w:rFonts w:ascii="宋体" w:hAnsi="宋体" w:cs="宋体"/>
          <w:szCs w:val="21"/>
        </w:rPr>
      </w:pPr>
      <w:r>
        <w:rPr>
          <w:rFonts w:hint="eastAsia" w:ascii="宋体" w:hAnsi="宋体" w:cs="宋体"/>
          <w:szCs w:val="21"/>
        </w:rPr>
        <w:t>（1）乙方存在资质证书造假或乙方指定的评估专业人员存在资格证书造假等资料造假行为；</w:t>
      </w:r>
    </w:p>
    <w:p>
      <w:pPr>
        <w:snapToGrid w:val="0"/>
        <w:spacing w:line="360" w:lineRule="auto"/>
        <w:ind w:firstLine="420" w:firstLineChars="200"/>
        <w:rPr>
          <w:rFonts w:ascii="宋体" w:hAnsi="宋体" w:cs="宋体"/>
          <w:szCs w:val="21"/>
        </w:rPr>
      </w:pPr>
      <w:r>
        <w:rPr>
          <w:rFonts w:hint="eastAsia" w:ascii="宋体" w:hAnsi="宋体" w:cs="宋体"/>
          <w:szCs w:val="21"/>
        </w:rPr>
        <w:t>（2）乙方的评估程序、评估方法不符合法律、行政法规规定和行业协会要求的，经甲方书面提出整改要求后，乙方仍不予整改；</w:t>
      </w:r>
    </w:p>
    <w:p>
      <w:pPr>
        <w:snapToGrid w:val="0"/>
        <w:spacing w:line="360" w:lineRule="auto"/>
        <w:ind w:firstLine="420" w:firstLineChars="200"/>
        <w:rPr>
          <w:rFonts w:ascii="宋体" w:hAnsi="宋体" w:cs="宋体"/>
          <w:szCs w:val="21"/>
        </w:rPr>
      </w:pPr>
      <w:r>
        <w:rPr>
          <w:rFonts w:hint="eastAsia" w:ascii="宋体" w:hAnsi="宋体" w:cs="宋体"/>
          <w:szCs w:val="21"/>
        </w:rPr>
        <w:t>（3）乙方指定的评估专业人员与本次评估业务有人员关联，甲方要求乙方更换该评估专业人员，乙方以任何理由拒绝更换；</w:t>
      </w:r>
    </w:p>
    <w:p>
      <w:pPr>
        <w:snapToGrid w:val="0"/>
        <w:spacing w:line="360" w:lineRule="auto"/>
        <w:ind w:firstLine="420" w:firstLineChars="200"/>
        <w:rPr>
          <w:rFonts w:ascii="宋体" w:hAnsi="宋体" w:cs="宋体"/>
          <w:szCs w:val="21"/>
        </w:rPr>
      </w:pPr>
      <w:r>
        <w:rPr>
          <w:rFonts w:hint="eastAsia" w:ascii="宋体" w:hAnsi="宋体" w:cs="宋体"/>
          <w:szCs w:val="21"/>
        </w:rPr>
        <w:t>（4）乙方实际跟进该项目的评估人员与附件3人员名单不符，经甲方书面提出更换评估人员要求后，乙方仍不予更换或更换后的评估人员履历非优于附件3评估人员履历的；</w:t>
      </w:r>
    </w:p>
    <w:p>
      <w:pPr>
        <w:snapToGrid w:val="0"/>
        <w:spacing w:line="360" w:lineRule="auto"/>
        <w:ind w:firstLine="420" w:firstLineChars="200"/>
        <w:rPr>
          <w:rFonts w:ascii="宋体" w:hAnsi="宋体" w:cs="宋体"/>
          <w:szCs w:val="21"/>
        </w:rPr>
      </w:pPr>
      <w:r>
        <w:rPr>
          <w:rFonts w:hint="eastAsia"/>
        </w:rPr>
        <w:t>（5）乙方将本合同义务全部或部分转让给第三方的。</w:t>
      </w:r>
    </w:p>
    <w:p>
      <w:pPr>
        <w:snapToGrid w:val="0"/>
        <w:spacing w:line="360" w:lineRule="auto"/>
        <w:ind w:firstLine="420" w:firstLineChars="200"/>
        <w:rPr>
          <w:rFonts w:ascii="宋体" w:hAnsi="宋体" w:cs="宋体"/>
          <w:szCs w:val="21"/>
        </w:rPr>
      </w:pPr>
      <w:r>
        <w:rPr>
          <w:rFonts w:hint="eastAsia" w:ascii="宋体" w:hAnsi="宋体" w:cs="宋体"/>
          <w:szCs w:val="21"/>
        </w:rPr>
        <w:t>4.甲方、产权持有人或其他相关当事人发现评估报告并非由承办该项业务的资产评估师签名的，视为乙方虚假提供评估报告，甲方有权拒收评估报告并拒绝支付合同款项，且保留向有关行政管理部门或行业协会举报和投诉的权利。</w:t>
      </w:r>
    </w:p>
    <w:p>
      <w:pPr>
        <w:snapToGrid w:val="0"/>
        <w:spacing w:line="360" w:lineRule="auto"/>
        <w:ind w:firstLine="420" w:firstLineChars="200"/>
        <w:rPr>
          <w:rFonts w:ascii="宋体" w:hAnsi="宋体" w:cs="宋体"/>
          <w:szCs w:val="21"/>
        </w:rPr>
      </w:pPr>
      <w:r>
        <w:rPr>
          <w:rFonts w:hint="eastAsia" w:ascii="宋体" w:hAnsi="宋体" w:cs="宋体"/>
          <w:szCs w:val="21"/>
        </w:rPr>
        <w:t>5.乙方及其工作人员未经甲方书面许可，将评估报告内容、甲方或被评估单位提供的有关文件资料和商业秘密向第三方提供或者公开的，应按合同价的20%向甲方支付违约金，违约金不足以弥补甲方损失的，乙方应当予以补足；情节严重的，甲方还将依法向乙方追究刑事责任。</w:t>
      </w:r>
    </w:p>
    <w:p>
      <w:pPr>
        <w:snapToGrid w:val="0"/>
        <w:spacing w:line="360" w:lineRule="auto"/>
        <w:ind w:firstLine="420" w:firstLineChars="200"/>
        <w:rPr>
          <w:rFonts w:ascii="宋体" w:hAnsi="宋体" w:cs="宋体"/>
          <w:szCs w:val="21"/>
        </w:rPr>
      </w:pPr>
      <w:r>
        <w:rPr>
          <w:rFonts w:hint="eastAsia" w:ascii="宋体" w:hAnsi="宋体" w:cs="宋体"/>
          <w:szCs w:val="21"/>
        </w:rPr>
        <w:t>6.乙方出具的评估报告不符合国家或地方有关资产评估的法律、行政法规和行业协会的有关规定，或存在虚假、重大遗漏的，甲方有权单方解除本合同，乙方应返还已收取的全部费用，按实赔偿因此给甲方造成的经济损失，并承担相应的法律责任。</w:t>
      </w:r>
    </w:p>
    <w:p>
      <w:pPr>
        <w:snapToGrid w:val="0"/>
        <w:spacing w:line="360" w:lineRule="auto"/>
        <w:ind w:firstLine="420" w:firstLineChars="200"/>
        <w:rPr>
          <w:rFonts w:ascii="宋体" w:hAnsi="宋体" w:cs="宋体"/>
          <w:szCs w:val="21"/>
        </w:rPr>
      </w:pPr>
      <w:r>
        <w:rPr>
          <w:rFonts w:hint="eastAsia" w:ascii="宋体" w:hAnsi="宋体" w:cs="宋体"/>
          <w:szCs w:val="21"/>
        </w:rPr>
        <w:t>7.未经甲方书面允许，乙方逾期交付评估报告（包含初评结果与终稿）超过10日历天的，甲方有权解除合同，乙方应将已收款项全部退还甲方，并按合同价的20%向甲方支付违约金，因此造成甲方损失的，乙方应按实赔偿。</w:t>
      </w:r>
    </w:p>
    <w:p>
      <w:pPr>
        <w:snapToGrid w:val="0"/>
        <w:spacing w:line="360" w:lineRule="auto"/>
        <w:ind w:firstLine="422" w:firstLineChars="200"/>
        <w:rPr>
          <w:rFonts w:ascii="宋体" w:hAnsi="宋体" w:cs="宋体"/>
          <w:b/>
          <w:bCs/>
          <w:szCs w:val="21"/>
        </w:rPr>
      </w:pPr>
    </w:p>
    <w:p>
      <w:pPr>
        <w:snapToGrid w:val="0"/>
        <w:spacing w:line="360" w:lineRule="auto"/>
        <w:ind w:firstLine="422" w:firstLineChars="200"/>
        <w:outlineLvl w:val="1"/>
        <w:rPr>
          <w:rFonts w:ascii="宋体" w:hAnsi="宋体" w:cs="宋体"/>
          <w:b/>
          <w:bCs/>
          <w:szCs w:val="21"/>
        </w:rPr>
      </w:pPr>
      <w:bookmarkStart w:id="167" w:name="_Toc22007"/>
      <w:bookmarkStart w:id="168" w:name="_Toc11292"/>
      <w:r>
        <w:rPr>
          <w:rFonts w:hint="eastAsia" w:ascii="宋体" w:hAnsi="宋体" w:cs="宋体"/>
          <w:b/>
          <w:bCs/>
          <w:szCs w:val="21"/>
        </w:rPr>
        <w:t>第十一条 争议解决</w:t>
      </w:r>
      <w:bookmarkEnd w:id="167"/>
      <w:bookmarkEnd w:id="168"/>
    </w:p>
    <w:p>
      <w:pPr>
        <w:snapToGrid w:val="0"/>
        <w:spacing w:line="360" w:lineRule="auto"/>
        <w:ind w:firstLine="420" w:firstLineChars="200"/>
        <w:rPr>
          <w:rFonts w:ascii="宋体" w:hAnsi="宋体" w:cs="宋体"/>
          <w:szCs w:val="21"/>
        </w:rPr>
      </w:pPr>
      <w:r>
        <w:rPr>
          <w:rFonts w:hint="eastAsia" w:ascii="宋体" w:hAnsi="宋体" w:cs="宋体"/>
          <w:szCs w:val="21"/>
        </w:rPr>
        <w:t>甲乙双方因履行本合同产生争议，应友好协商解决。协商不成或任何一方不愿协商的，任何一方均可向甲方所在地有管辖权的人民法院提起诉讼。</w:t>
      </w:r>
    </w:p>
    <w:p>
      <w:pPr>
        <w:snapToGrid w:val="0"/>
        <w:spacing w:line="360" w:lineRule="auto"/>
        <w:ind w:firstLine="420" w:firstLineChars="200"/>
        <w:rPr>
          <w:rFonts w:ascii="宋体" w:hAnsi="宋体" w:cs="宋体"/>
          <w:szCs w:val="21"/>
        </w:rPr>
      </w:pPr>
    </w:p>
    <w:p>
      <w:pPr>
        <w:snapToGrid w:val="0"/>
        <w:spacing w:line="360" w:lineRule="auto"/>
        <w:ind w:firstLine="422" w:firstLineChars="200"/>
        <w:outlineLvl w:val="1"/>
        <w:rPr>
          <w:rFonts w:ascii="宋体" w:hAnsi="宋体" w:cs="宋体"/>
          <w:b/>
          <w:bCs/>
          <w:szCs w:val="21"/>
        </w:rPr>
      </w:pPr>
      <w:bookmarkStart w:id="169" w:name="_Toc27954"/>
      <w:bookmarkStart w:id="170" w:name="_Toc23088"/>
      <w:r>
        <w:rPr>
          <w:rFonts w:hint="eastAsia" w:ascii="宋体" w:hAnsi="宋体" w:cs="宋体"/>
          <w:b/>
          <w:bCs/>
          <w:szCs w:val="21"/>
        </w:rPr>
        <w:t>第十二条 其它</w:t>
      </w:r>
      <w:bookmarkEnd w:id="169"/>
      <w:bookmarkEnd w:id="170"/>
    </w:p>
    <w:p>
      <w:pPr>
        <w:snapToGrid w:val="0"/>
        <w:spacing w:line="360" w:lineRule="auto"/>
        <w:ind w:firstLine="420" w:firstLineChars="200"/>
        <w:rPr>
          <w:rFonts w:ascii="宋体" w:hAnsi="宋体" w:cs="宋体"/>
          <w:szCs w:val="21"/>
        </w:rPr>
      </w:pPr>
      <w:r>
        <w:rPr>
          <w:rFonts w:hint="eastAsia" w:ascii="宋体" w:hAnsi="宋体" w:cs="宋体"/>
          <w:szCs w:val="21"/>
        </w:rPr>
        <w:t>1.由不可抗力因素致使合同无法履行时的，</w:t>
      </w:r>
      <w:bookmarkStart w:id="171" w:name="_Hlk117016114"/>
      <w:r>
        <w:rPr>
          <w:rFonts w:hint="eastAsia" w:ascii="宋体" w:hAnsi="宋体" w:cs="宋体"/>
          <w:szCs w:val="21"/>
        </w:rPr>
        <w:t>受不可抗力影响的一方应立即通知对方，并采取必要措施防止损失扩大，同时</w:t>
      </w:r>
      <w:bookmarkEnd w:id="171"/>
      <w:r>
        <w:rPr>
          <w:rFonts w:hint="eastAsia" w:ascii="宋体" w:hAnsi="宋体" w:cs="宋体"/>
          <w:szCs w:val="21"/>
        </w:rPr>
        <w:t>甲乙双方应及时协商解决。本条所指不可抗力包括因战争、动乱</w:t>
      </w:r>
      <w:bookmarkStart w:id="172" w:name="_Hlk117016124"/>
      <w:r>
        <w:rPr>
          <w:rFonts w:hint="eastAsia" w:ascii="宋体" w:hAnsi="宋体" w:cs="宋体"/>
          <w:szCs w:val="21"/>
        </w:rPr>
        <w:t>、疫情</w:t>
      </w:r>
      <w:bookmarkEnd w:id="172"/>
      <w:r>
        <w:rPr>
          <w:rFonts w:hint="eastAsia" w:ascii="宋体" w:hAnsi="宋体" w:cs="宋体"/>
          <w:szCs w:val="21"/>
        </w:rPr>
        <w:t>或其他非甲乙方责任造成的爆炸、火灾及其他不能预见、不能避免且不能克服的客观情况。</w:t>
      </w:r>
    </w:p>
    <w:p>
      <w:pPr>
        <w:snapToGrid w:val="0"/>
        <w:spacing w:line="360" w:lineRule="auto"/>
        <w:ind w:firstLine="420" w:firstLineChars="200"/>
        <w:rPr>
          <w:rFonts w:ascii="宋体" w:hAnsi="宋体" w:cs="宋体"/>
          <w:szCs w:val="21"/>
        </w:rPr>
      </w:pPr>
      <w:r>
        <w:rPr>
          <w:rFonts w:hint="eastAsia" w:ascii="宋体" w:hAnsi="宋体" w:cs="宋体"/>
          <w:szCs w:val="21"/>
        </w:rPr>
        <w:t>2.本委托合同签订后，评估目的、评估对象、评估基准日发生变化，或者评估范围发生重大变化，双方应签订补充协议或者重新签订委托合同。</w:t>
      </w:r>
    </w:p>
    <w:p>
      <w:pPr>
        <w:snapToGrid w:val="0"/>
        <w:spacing w:line="360" w:lineRule="auto"/>
        <w:ind w:firstLine="420" w:firstLineChars="200"/>
        <w:rPr>
          <w:rFonts w:ascii="宋体" w:hAnsi="宋体" w:cs="宋体"/>
          <w:szCs w:val="21"/>
        </w:rPr>
      </w:pPr>
      <w:r>
        <w:rPr>
          <w:rFonts w:hint="eastAsia" w:ascii="宋体" w:hAnsi="宋体" w:cs="宋体"/>
          <w:szCs w:val="21"/>
        </w:rPr>
        <w:t>3.本合同未尽事宜，甲乙双方可协商并签订补充合同，补充合同与本合同同具法律效力。</w:t>
      </w:r>
    </w:p>
    <w:p>
      <w:pPr>
        <w:snapToGrid w:val="0"/>
        <w:spacing w:line="360" w:lineRule="auto"/>
        <w:ind w:firstLine="420" w:firstLineChars="200"/>
        <w:rPr>
          <w:rFonts w:ascii="宋体" w:hAnsi="宋体" w:cs="宋体"/>
          <w:szCs w:val="21"/>
        </w:rPr>
      </w:pPr>
      <w:bookmarkStart w:id="173" w:name="_Toc10525"/>
      <w:bookmarkStart w:id="174" w:name="_Toc31742"/>
      <w:r>
        <w:rPr>
          <w:rFonts w:hint="eastAsia" w:ascii="宋体" w:hAnsi="宋体" w:cs="宋体"/>
          <w:szCs w:val="21"/>
        </w:rPr>
        <w:t>4.本合同自甲乙双方法定代表人签字并盖章之日起生效。</w:t>
      </w:r>
      <w:bookmarkEnd w:id="173"/>
      <w:bookmarkEnd w:id="174"/>
    </w:p>
    <w:p>
      <w:pPr>
        <w:snapToGrid w:val="0"/>
        <w:spacing w:line="360" w:lineRule="auto"/>
        <w:ind w:firstLine="420" w:firstLineChars="200"/>
        <w:rPr>
          <w:rFonts w:ascii="宋体" w:hAnsi="宋体" w:cs="宋体"/>
          <w:szCs w:val="21"/>
        </w:rPr>
      </w:pPr>
      <w:r>
        <w:rPr>
          <w:rFonts w:hint="eastAsia" w:ascii="宋体" w:hAnsi="宋体" w:cs="宋体"/>
          <w:szCs w:val="21"/>
        </w:rPr>
        <w:t>5.本合同一式【】份，甲方执【】份，乙方执【】份，均具有同等法律效力。</w:t>
      </w:r>
    </w:p>
    <w:p>
      <w:pPr>
        <w:snapToGrid w:val="0"/>
        <w:spacing w:line="360" w:lineRule="auto"/>
        <w:ind w:firstLine="420" w:firstLineChars="200"/>
        <w:rPr>
          <w:rFonts w:ascii="宋体" w:hAnsi="宋体" w:cs="宋体"/>
          <w:szCs w:val="21"/>
        </w:rPr>
      </w:pPr>
      <w:r>
        <w:rPr>
          <w:rFonts w:hint="eastAsia" w:ascii="宋体" w:hAnsi="宋体" w:cs="宋体"/>
          <w:szCs w:val="21"/>
        </w:rPr>
        <w:t>6.本合同附件为本合同不可分割内容，与本合同同时生效、同具法律效力。当本合同附件与本合同内容不一致时，以本合同为准。</w:t>
      </w:r>
    </w:p>
    <w:p>
      <w:pPr>
        <w:tabs>
          <w:tab w:val="left" w:pos="4678"/>
        </w:tabs>
        <w:snapToGrid w:val="0"/>
        <w:spacing w:line="360" w:lineRule="auto"/>
        <w:ind w:firstLine="420" w:firstLineChars="200"/>
        <w:outlineLvl w:val="1"/>
        <w:rPr>
          <w:rFonts w:ascii="宋体" w:hAnsi="宋体" w:cs="宋体"/>
          <w:szCs w:val="21"/>
        </w:rPr>
      </w:pPr>
      <w:bookmarkStart w:id="175" w:name="_Toc13589"/>
      <w:bookmarkStart w:id="176" w:name="_Toc2639"/>
      <w:r>
        <w:rPr>
          <w:rFonts w:hint="eastAsia" w:ascii="宋体" w:hAnsi="宋体" w:cs="宋体"/>
          <w:szCs w:val="21"/>
        </w:rPr>
        <w:t>附件1：</w:t>
      </w:r>
      <w:bookmarkEnd w:id="175"/>
      <w:bookmarkEnd w:id="176"/>
      <w:r>
        <w:rPr>
          <w:rFonts w:hint="eastAsia" w:ascii="宋体" w:hAnsi="宋体" w:cs="宋体"/>
          <w:szCs w:val="21"/>
        </w:rPr>
        <w:t>阳光合作告知函</w:t>
      </w:r>
    </w:p>
    <w:p>
      <w:pPr>
        <w:tabs>
          <w:tab w:val="left" w:pos="4678"/>
        </w:tabs>
        <w:snapToGrid w:val="0"/>
        <w:spacing w:line="360" w:lineRule="auto"/>
        <w:ind w:firstLine="420" w:firstLineChars="200"/>
        <w:rPr>
          <w:rFonts w:ascii="宋体" w:hAnsi="宋体" w:cs="宋体"/>
          <w:szCs w:val="21"/>
        </w:rPr>
      </w:pPr>
      <w:r>
        <w:rPr>
          <w:rFonts w:hint="eastAsia" w:ascii="宋体" w:hAnsi="宋体" w:cs="宋体"/>
          <w:szCs w:val="21"/>
        </w:rPr>
        <w:t>附件2：</w:t>
      </w:r>
      <w:r>
        <w:rPr>
          <w:rFonts w:hint="eastAsia" w:ascii="宋体" w:hAnsi="宋体" w:cs="宋体"/>
          <w:bCs/>
          <w:szCs w:val="21"/>
        </w:rPr>
        <w:t>用户需求书</w:t>
      </w:r>
    </w:p>
    <w:p>
      <w:pPr>
        <w:widowControl/>
        <w:snapToGrid w:val="0"/>
        <w:spacing w:line="360" w:lineRule="auto"/>
        <w:ind w:firstLine="420" w:firstLineChars="200"/>
        <w:jc w:val="left"/>
        <w:rPr>
          <w:rFonts w:ascii="宋体" w:hAnsi="宋体" w:cs="宋体"/>
          <w:szCs w:val="21"/>
        </w:rPr>
      </w:pPr>
      <w:r>
        <w:rPr>
          <w:rFonts w:hint="eastAsia" w:ascii="宋体" w:hAnsi="宋体" w:cs="宋体"/>
          <w:szCs w:val="21"/>
        </w:rPr>
        <w:t>附件3：报价文件（含投入本项目资产评估师人员名单）</w:t>
      </w:r>
    </w:p>
    <w:p>
      <w:pPr>
        <w:snapToGrid w:val="0"/>
        <w:spacing w:line="360" w:lineRule="auto"/>
      </w:pPr>
      <w:r>
        <w:rPr>
          <w:rFonts w:hint="eastAsia" w:ascii="宋体" w:hAnsi="宋体" w:cs="宋体"/>
          <w:szCs w:val="21"/>
        </w:rPr>
        <w:t>（以下无正文，为本合同签署栏）</w:t>
      </w:r>
    </w:p>
    <w:p>
      <w:pPr>
        <w:pStyle w:val="3"/>
        <w:ind w:firstLine="210"/>
      </w:pPr>
    </w:p>
    <w:tbl>
      <w:tblPr>
        <w:tblStyle w:val="17"/>
        <w:tblW w:w="9804" w:type="dxa"/>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240"/>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632" w:type="dxa"/>
            <w:tcBorders>
              <w:tl2br w:val="nil"/>
              <w:tr2bl w:val="nil"/>
            </w:tcBorders>
          </w:tcPr>
          <w:p>
            <w:pPr>
              <w:widowControl/>
              <w:spacing w:line="360" w:lineRule="auto"/>
              <w:jc w:val="left"/>
              <w:rPr>
                <w:rFonts w:ascii="宋体" w:hAnsi="宋体" w:cs="宋体"/>
                <w:szCs w:val="21"/>
              </w:rPr>
            </w:pPr>
            <w:r>
              <w:rPr>
                <w:rFonts w:hint="eastAsia" w:ascii="宋体" w:hAnsi="宋体" w:cs="宋体"/>
                <w:szCs w:val="21"/>
              </w:rPr>
              <w:t>甲方（盖章）：</w:t>
            </w:r>
          </w:p>
        </w:tc>
        <w:tc>
          <w:tcPr>
            <w:tcW w:w="240" w:type="dxa"/>
            <w:tcBorders>
              <w:tl2br w:val="nil"/>
              <w:tr2bl w:val="nil"/>
            </w:tcBorders>
          </w:tcPr>
          <w:p>
            <w:pPr>
              <w:widowControl/>
              <w:spacing w:line="360" w:lineRule="auto"/>
              <w:jc w:val="left"/>
              <w:rPr>
                <w:rFonts w:ascii="宋体" w:hAnsi="宋体" w:cs="宋体"/>
                <w:szCs w:val="21"/>
              </w:rPr>
            </w:pPr>
          </w:p>
        </w:tc>
        <w:tc>
          <w:tcPr>
            <w:tcW w:w="4932" w:type="dxa"/>
            <w:tcBorders>
              <w:tl2br w:val="nil"/>
              <w:tr2bl w:val="nil"/>
            </w:tcBorders>
          </w:tcPr>
          <w:p>
            <w:pPr>
              <w:widowControl/>
              <w:spacing w:line="360" w:lineRule="auto"/>
              <w:jc w:val="left"/>
              <w:rPr>
                <w:rFonts w:ascii="宋体" w:hAnsi="宋体" w:cs="宋体"/>
                <w:szCs w:val="21"/>
              </w:rPr>
            </w:pPr>
            <w:r>
              <w:rPr>
                <w:rFonts w:hint="eastAsia" w:ascii="宋体" w:hAnsi="宋体" w:cs="宋体"/>
                <w:szCs w:val="21"/>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632" w:type="dxa"/>
            <w:tcBorders>
              <w:tl2br w:val="nil"/>
              <w:tr2bl w:val="nil"/>
            </w:tcBorders>
          </w:tcPr>
          <w:p>
            <w:pPr>
              <w:widowControl/>
              <w:spacing w:line="360" w:lineRule="auto"/>
              <w:jc w:val="left"/>
              <w:rPr>
                <w:rFonts w:ascii="宋体" w:hAnsi="宋体" w:cs="宋体"/>
                <w:szCs w:val="21"/>
              </w:rPr>
            </w:pPr>
            <w:r>
              <w:rPr>
                <w:rFonts w:hint="eastAsia" w:ascii="宋体" w:hAnsi="宋体" w:cs="宋体"/>
                <w:szCs w:val="21"/>
              </w:rPr>
              <w:t>法定代表人：</w:t>
            </w:r>
          </w:p>
        </w:tc>
        <w:tc>
          <w:tcPr>
            <w:tcW w:w="240" w:type="dxa"/>
            <w:tcBorders>
              <w:tl2br w:val="nil"/>
              <w:tr2bl w:val="nil"/>
            </w:tcBorders>
          </w:tcPr>
          <w:p>
            <w:pPr>
              <w:widowControl/>
              <w:spacing w:line="360" w:lineRule="auto"/>
              <w:jc w:val="left"/>
              <w:rPr>
                <w:rFonts w:ascii="宋体" w:hAnsi="宋体" w:cs="宋体"/>
                <w:szCs w:val="21"/>
              </w:rPr>
            </w:pPr>
          </w:p>
        </w:tc>
        <w:tc>
          <w:tcPr>
            <w:tcW w:w="4932" w:type="dxa"/>
            <w:tcBorders>
              <w:tl2br w:val="nil"/>
              <w:tr2bl w:val="nil"/>
            </w:tcBorders>
          </w:tcPr>
          <w:p>
            <w:pPr>
              <w:widowControl/>
              <w:spacing w:line="360" w:lineRule="auto"/>
              <w:jc w:val="left"/>
              <w:rPr>
                <w:rFonts w:ascii="宋体" w:hAnsi="宋体" w:cs="宋体"/>
                <w:szCs w:val="21"/>
              </w:rPr>
            </w:pPr>
            <w:r>
              <w:rPr>
                <w:rFonts w:hint="eastAsia" w:ascii="宋体" w:hAnsi="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4632" w:type="dxa"/>
            <w:tcBorders>
              <w:tl2br w:val="nil"/>
              <w:tr2bl w:val="nil"/>
            </w:tcBorders>
          </w:tcPr>
          <w:p>
            <w:pPr>
              <w:widowControl/>
              <w:spacing w:line="360" w:lineRule="auto"/>
              <w:jc w:val="left"/>
              <w:rPr>
                <w:rFonts w:ascii="宋体" w:hAnsi="宋体" w:cs="宋体"/>
                <w:szCs w:val="21"/>
              </w:rPr>
            </w:pPr>
            <w:r>
              <w:rPr>
                <w:rFonts w:hint="eastAsia" w:ascii="宋体" w:hAnsi="宋体" w:cs="宋体"/>
                <w:szCs w:val="21"/>
              </w:rPr>
              <w:t>签订日期：    年  月  日</w:t>
            </w:r>
          </w:p>
        </w:tc>
        <w:tc>
          <w:tcPr>
            <w:tcW w:w="240" w:type="dxa"/>
            <w:tcBorders>
              <w:tl2br w:val="nil"/>
              <w:tr2bl w:val="nil"/>
            </w:tcBorders>
          </w:tcPr>
          <w:p>
            <w:pPr>
              <w:widowControl/>
              <w:spacing w:line="360" w:lineRule="auto"/>
              <w:jc w:val="left"/>
              <w:rPr>
                <w:rFonts w:ascii="宋体" w:hAnsi="宋体" w:cs="宋体"/>
                <w:szCs w:val="21"/>
              </w:rPr>
            </w:pPr>
          </w:p>
        </w:tc>
        <w:tc>
          <w:tcPr>
            <w:tcW w:w="4932" w:type="dxa"/>
            <w:tcBorders>
              <w:tl2br w:val="nil"/>
              <w:tr2bl w:val="nil"/>
            </w:tcBorders>
          </w:tcPr>
          <w:p>
            <w:pPr>
              <w:widowControl/>
              <w:spacing w:line="360" w:lineRule="auto"/>
              <w:jc w:val="left"/>
              <w:rPr>
                <w:rFonts w:ascii="宋体" w:hAnsi="宋体" w:cs="宋体"/>
                <w:szCs w:val="21"/>
              </w:rPr>
            </w:pPr>
            <w:r>
              <w:rPr>
                <w:rFonts w:hint="eastAsia" w:ascii="宋体" w:hAnsi="宋体" w:cs="宋体"/>
                <w:szCs w:val="21"/>
              </w:rPr>
              <w:t>签订日期：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632" w:type="dxa"/>
            <w:tcBorders>
              <w:tl2br w:val="nil"/>
              <w:tr2bl w:val="nil"/>
            </w:tcBorders>
          </w:tcPr>
          <w:p>
            <w:pPr>
              <w:widowControl/>
              <w:spacing w:line="360" w:lineRule="auto"/>
              <w:jc w:val="left"/>
              <w:rPr>
                <w:rFonts w:ascii="宋体" w:hAnsi="宋体" w:cs="宋体"/>
                <w:szCs w:val="21"/>
              </w:rPr>
            </w:pPr>
            <w:r>
              <w:rPr>
                <w:rFonts w:hint="eastAsia" w:ascii="宋体" w:hAnsi="宋体" w:cs="宋体"/>
                <w:szCs w:val="21"/>
              </w:rPr>
              <w:t>签约地点：东莞市南城街道</w:t>
            </w:r>
          </w:p>
        </w:tc>
        <w:tc>
          <w:tcPr>
            <w:tcW w:w="240" w:type="dxa"/>
            <w:tcBorders>
              <w:tl2br w:val="nil"/>
              <w:tr2bl w:val="nil"/>
            </w:tcBorders>
          </w:tcPr>
          <w:p>
            <w:pPr>
              <w:widowControl/>
              <w:spacing w:line="360" w:lineRule="auto"/>
              <w:jc w:val="left"/>
              <w:rPr>
                <w:rFonts w:ascii="宋体" w:hAnsi="宋体" w:cs="宋体"/>
                <w:szCs w:val="21"/>
              </w:rPr>
            </w:pPr>
          </w:p>
        </w:tc>
        <w:tc>
          <w:tcPr>
            <w:tcW w:w="4932" w:type="dxa"/>
            <w:tcBorders>
              <w:tl2br w:val="nil"/>
              <w:tr2bl w:val="nil"/>
            </w:tcBorders>
          </w:tcPr>
          <w:p>
            <w:pPr>
              <w:widowControl/>
              <w:spacing w:line="360" w:lineRule="auto"/>
              <w:jc w:val="left"/>
              <w:rPr>
                <w:rFonts w:ascii="宋体" w:hAnsi="宋体" w:cs="宋体"/>
                <w:szCs w:val="21"/>
              </w:rPr>
            </w:pPr>
          </w:p>
        </w:tc>
      </w:tr>
    </w:tbl>
    <w:p>
      <w:pPr>
        <w:pageBreakBefore/>
        <w:autoSpaceDE w:val="0"/>
        <w:autoSpaceDN w:val="0"/>
        <w:adjustRightInd w:val="0"/>
        <w:spacing w:line="360" w:lineRule="auto"/>
        <w:ind w:left="238"/>
        <w:jc w:val="left"/>
        <w:rPr>
          <w:rFonts w:hint="eastAsia" w:ascii="宋体" w:hAnsi="宋体" w:eastAsia="宋体"/>
          <w:b/>
          <w:color w:val="auto"/>
          <w:kern w:val="0"/>
          <w:sz w:val="24"/>
          <w:highlight w:val="none"/>
        </w:rPr>
      </w:pPr>
      <w:r>
        <w:rPr>
          <w:rFonts w:hint="eastAsia" w:ascii="宋体" w:hAnsi="宋体" w:eastAsia="宋体"/>
          <w:b/>
          <w:color w:val="auto"/>
          <w:kern w:val="0"/>
          <w:sz w:val="24"/>
          <w:highlight w:val="none"/>
        </w:rPr>
        <w:t>附件</w:t>
      </w:r>
      <w:r>
        <w:rPr>
          <w:rFonts w:hint="eastAsia" w:ascii="宋体" w:hAnsi="宋体"/>
          <w:b/>
          <w:color w:val="auto"/>
          <w:kern w:val="0"/>
          <w:sz w:val="24"/>
          <w:highlight w:val="none"/>
          <w:lang w:val="en-US" w:eastAsia="zh-CN"/>
        </w:rPr>
        <w:t>1</w:t>
      </w:r>
      <w:r>
        <w:rPr>
          <w:rFonts w:hint="eastAsia" w:ascii="宋体" w:hAnsi="宋体" w:eastAsia="宋体"/>
          <w:b/>
          <w:color w:val="auto"/>
          <w:kern w:val="0"/>
          <w:sz w:val="24"/>
          <w:highlight w:val="none"/>
        </w:rPr>
        <w:t>：阳光合作告知函</w:t>
      </w:r>
      <w:bookmarkEnd w:id="140"/>
      <w:bookmarkEnd w:id="141"/>
      <w:bookmarkEnd w:id="142"/>
      <w:bookmarkEnd w:id="143"/>
      <w:bookmarkEnd w:id="144"/>
    </w:p>
    <w:p>
      <w:pPr>
        <w:spacing w:line="580" w:lineRule="exact"/>
        <w:jc w:val="center"/>
        <w:rPr>
          <w:rFonts w:eastAsia="方正小标宋简体"/>
          <w:bCs/>
          <w:color w:val="000000"/>
          <w:sz w:val="44"/>
          <w:szCs w:val="44"/>
        </w:rPr>
      </w:pPr>
      <w:r>
        <w:rPr>
          <w:rFonts w:eastAsia="方正小标宋简体"/>
          <w:bCs/>
          <w:color w:val="000000"/>
          <w:sz w:val="44"/>
          <w:szCs w:val="44"/>
        </w:rPr>
        <w:t>阳光合作告知函</w:t>
      </w:r>
    </w:p>
    <w:p>
      <w:pPr>
        <w:spacing w:line="560" w:lineRule="exact"/>
        <w:rPr>
          <w:rFonts w:eastAsia="仿宋_GB2312"/>
          <w:b/>
          <w:bCs/>
          <w:sz w:val="32"/>
          <w:szCs w:val="32"/>
        </w:rPr>
      </w:pPr>
    </w:p>
    <w:p>
      <w:pPr>
        <w:spacing w:line="560" w:lineRule="exact"/>
        <w:rPr>
          <w:rFonts w:ascii="宋体" w:hAnsi="宋体" w:cs="宋体"/>
          <w:szCs w:val="21"/>
        </w:rPr>
      </w:pPr>
      <w:r>
        <w:rPr>
          <w:rFonts w:hint="eastAsia" w:ascii="宋体" w:hAnsi="宋体" w:cs="宋体"/>
          <w:b/>
          <w:bCs/>
          <w:szCs w:val="21"/>
        </w:rPr>
        <w:t>项目名称：</w:t>
      </w:r>
      <w:r>
        <w:rPr>
          <w:rFonts w:hint="eastAsia" w:ascii="宋体" w:hAnsi="宋体" w:cs="宋体"/>
          <w:szCs w:val="21"/>
        </w:rPr>
        <w:t xml:space="preserve">                 （采购编号：</w:t>
      </w:r>
      <w:r>
        <w:rPr>
          <w:rFonts w:hint="eastAsia" w:ascii="宋体" w:hAnsi="宋体" w:cs="宋体"/>
          <w:szCs w:val="21"/>
          <w:u w:val="single"/>
        </w:rPr>
        <w:t xml:space="preserve">            </w:t>
      </w:r>
      <w:r>
        <w:rPr>
          <w:rFonts w:hint="eastAsia" w:ascii="宋体" w:hAnsi="宋体" w:cs="宋体"/>
          <w:szCs w:val="21"/>
        </w:rPr>
        <w:t>）</w:t>
      </w:r>
    </w:p>
    <w:p>
      <w:pPr>
        <w:pStyle w:val="53"/>
        <w:snapToGrid w:val="0"/>
        <w:spacing w:line="580" w:lineRule="exact"/>
        <w:ind w:firstLine="0"/>
        <w:rPr>
          <w:rFonts w:ascii="宋体" w:hAnsi="宋体" w:cs="宋体"/>
          <w:color w:val="000000"/>
          <w:u w:val="single"/>
        </w:rPr>
      </w:pPr>
      <w:r>
        <w:rPr>
          <w:rFonts w:hint="eastAsia" w:ascii="宋体" w:hAnsi="宋体" w:cs="宋体"/>
          <w:color w:val="000000"/>
          <w:u w:val="single"/>
        </w:rPr>
        <w:t xml:space="preserve">                   </w:t>
      </w:r>
      <w:r>
        <w:rPr>
          <w:rFonts w:hint="eastAsia" w:ascii="宋体" w:hAnsi="宋体" w:cs="宋体"/>
          <w:color w:val="000000"/>
        </w:rPr>
        <w:t xml:space="preserve">：                          </w:t>
      </w:r>
    </w:p>
    <w:p>
      <w:pPr>
        <w:pStyle w:val="53"/>
        <w:snapToGrid w:val="0"/>
        <w:spacing w:line="580" w:lineRule="exact"/>
        <w:ind w:firstLine="420" w:firstLineChars="200"/>
        <w:rPr>
          <w:rFonts w:ascii="宋体" w:hAnsi="宋体" w:cs="宋体"/>
        </w:rPr>
      </w:pPr>
      <w:r>
        <w:rPr>
          <w:rFonts w:hint="eastAsia" w:ascii="宋体" w:hAnsi="宋体" w:cs="宋体"/>
        </w:rPr>
        <w:t>为保证我集团人员廉洁从业，规范和鼓励诚信交易行为，防止腐败和商业贿赂发生，推动双方建立阳光合作关系，现将我方推行阳光合作的相关管理规定函告如下：</w:t>
      </w:r>
    </w:p>
    <w:p>
      <w:pPr>
        <w:pStyle w:val="53"/>
        <w:snapToGrid w:val="0"/>
        <w:spacing w:line="580" w:lineRule="exact"/>
        <w:ind w:firstLine="420" w:firstLineChars="200"/>
        <w:rPr>
          <w:rFonts w:ascii="宋体" w:hAnsi="宋体" w:cs="宋体"/>
        </w:rPr>
      </w:pPr>
      <w:r>
        <w:rPr>
          <w:rFonts w:hint="eastAsia" w:ascii="宋体" w:hAnsi="宋体" w:cs="宋体"/>
        </w:rPr>
        <w:t>一、我方负责对本单位有关人员进行阳光合作教育和管理。</w:t>
      </w:r>
    </w:p>
    <w:p>
      <w:pPr>
        <w:pStyle w:val="53"/>
        <w:snapToGrid w:val="0"/>
        <w:spacing w:line="580" w:lineRule="exact"/>
        <w:ind w:firstLine="420" w:firstLineChars="200"/>
        <w:rPr>
          <w:rFonts w:ascii="宋体" w:hAnsi="宋体" w:cs="宋体"/>
        </w:rPr>
      </w:pPr>
      <w:r>
        <w:rPr>
          <w:rFonts w:hint="eastAsia" w:ascii="宋体" w:hAnsi="宋体" w:cs="宋体"/>
        </w:rPr>
        <w:t>二、我方人员有责任向贵方介绍本单位有关阳光合作的相关规定。</w:t>
      </w:r>
    </w:p>
    <w:p>
      <w:pPr>
        <w:pStyle w:val="53"/>
        <w:snapToGrid w:val="0"/>
        <w:spacing w:line="580" w:lineRule="exact"/>
        <w:ind w:firstLine="420" w:firstLineChars="200"/>
        <w:rPr>
          <w:rFonts w:ascii="宋体" w:hAnsi="宋体" w:cs="宋体"/>
        </w:rPr>
      </w:pPr>
      <w:r>
        <w:rPr>
          <w:rFonts w:hint="eastAsia" w:ascii="宋体" w:hAnsi="宋体" w:cs="宋体"/>
        </w:rPr>
        <w:t>三、我方人员应本着诚实守信、公平公开、平等互利原则开展交易合作，遵守国家相关法律法规。</w:t>
      </w:r>
    </w:p>
    <w:p>
      <w:pPr>
        <w:pStyle w:val="53"/>
        <w:snapToGrid w:val="0"/>
        <w:spacing w:line="580" w:lineRule="exact"/>
        <w:ind w:firstLine="420" w:firstLineChars="200"/>
        <w:rPr>
          <w:rFonts w:ascii="宋体" w:hAnsi="宋体" w:cs="宋体"/>
        </w:rPr>
      </w:pPr>
      <w:r>
        <w:rPr>
          <w:rFonts w:hint="eastAsia" w:ascii="宋体" w:hAnsi="宋体" w:cs="宋体"/>
        </w:rPr>
        <w:t>四、我方人员应廉洁从业，自觉抵制商业贿赂及不正当交易行为，在交易业务中涉及本人、亲属或其他相关人员时，应主动提请回避。</w:t>
      </w:r>
    </w:p>
    <w:p>
      <w:pPr>
        <w:pStyle w:val="53"/>
        <w:snapToGrid w:val="0"/>
        <w:spacing w:line="580" w:lineRule="exact"/>
        <w:ind w:firstLine="420" w:firstLineChars="200"/>
        <w:rPr>
          <w:rFonts w:ascii="宋体" w:hAnsi="宋体" w:cs="宋体"/>
        </w:rPr>
      </w:pPr>
      <w:r>
        <w:rPr>
          <w:rFonts w:hint="eastAsia" w:ascii="宋体" w:hAnsi="宋体" w:cs="宋体"/>
        </w:rPr>
        <w:t>五、在业务合作过程中，我方人员不得有以下违法违规行为：</w:t>
      </w:r>
    </w:p>
    <w:p>
      <w:pPr>
        <w:pStyle w:val="53"/>
        <w:snapToGrid w:val="0"/>
        <w:spacing w:line="580" w:lineRule="exact"/>
        <w:ind w:firstLine="420" w:firstLineChars="200"/>
        <w:rPr>
          <w:rFonts w:ascii="宋体" w:hAnsi="宋体" w:cs="宋体"/>
        </w:rPr>
      </w:pPr>
      <w:r>
        <w:rPr>
          <w:rFonts w:hint="eastAsia" w:ascii="宋体" w:hAnsi="宋体" w:cs="宋体"/>
        </w:rPr>
        <w:t xml:space="preserve">（一）合作过程中通过各种方式向贵方索贿、行贿，或为亲属、其他相关人员索取其他协助或服务； </w:t>
      </w:r>
    </w:p>
    <w:p>
      <w:pPr>
        <w:pStyle w:val="53"/>
        <w:snapToGrid w:val="0"/>
        <w:spacing w:line="580" w:lineRule="exact"/>
        <w:ind w:firstLine="420" w:firstLineChars="200"/>
        <w:rPr>
          <w:rFonts w:ascii="宋体" w:hAnsi="宋体" w:cs="宋体"/>
        </w:rPr>
      </w:pPr>
      <w:r>
        <w:rPr>
          <w:rFonts w:hint="eastAsia" w:ascii="宋体" w:hAnsi="宋体" w:cs="宋体"/>
        </w:rPr>
        <w:t>（二）合作过程中通过各种方式收受贵方财物、服务，或为他人谋取不正当利益，包括但不限于：实物、现金、有价证券、礼券等有价物品（以下统称“财物”），不得参加贵方提供的旅游或其他可能影响职务廉洁的活动；</w:t>
      </w:r>
    </w:p>
    <w:p>
      <w:pPr>
        <w:pStyle w:val="53"/>
        <w:snapToGrid w:val="0"/>
        <w:spacing w:line="580" w:lineRule="exact"/>
        <w:ind w:firstLine="420" w:firstLineChars="200"/>
        <w:rPr>
          <w:rFonts w:ascii="宋体" w:hAnsi="宋体" w:cs="宋体"/>
        </w:rPr>
      </w:pPr>
      <w:r>
        <w:rPr>
          <w:rFonts w:hint="eastAsia" w:ascii="宋体" w:hAnsi="宋体" w:cs="宋体"/>
        </w:rPr>
        <w:t xml:space="preserve">（三）擅自截留、挪用或侵占贵方财物； </w:t>
      </w:r>
    </w:p>
    <w:p>
      <w:pPr>
        <w:pStyle w:val="53"/>
        <w:snapToGrid w:val="0"/>
        <w:spacing w:line="580" w:lineRule="exact"/>
        <w:ind w:firstLine="420" w:firstLineChars="200"/>
        <w:rPr>
          <w:rFonts w:ascii="宋体" w:hAnsi="宋体" w:cs="宋体"/>
        </w:rPr>
      </w:pPr>
      <w:r>
        <w:rPr>
          <w:rFonts w:hint="eastAsia" w:ascii="宋体" w:hAnsi="宋体" w:cs="宋体"/>
        </w:rPr>
        <w:t xml:space="preserve">（四）以各种形式参与民间借贷，帮助贵方过桥借贷； </w:t>
      </w:r>
    </w:p>
    <w:p>
      <w:pPr>
        <w:pStyle w:val="53"/>
        <w:snapToGrid w:val="0"/>
        <w:spacing w:line="580" w:lineRule="exact"/>
        <w:ind w:firstLine="420" w:firstLineChars="200"/>
        <w:rPr>
          <w:rFonts w:ascii="宋体" w:hAnsi="宋体" w:cs="宋体"/>
        </w:rPr>
      </w:pPr>
      <w:r>
        <w:rPr>
          <w:rFonts w:hint="eastAsia" w:ascii="宋体" w:hAnsi="宋体" w:cs="宋体"/>
        </w:rPr>
        <w:t>（五）参与黄、赌、毒等违法犯罪活动；</w:t>
      </w:r>
    </w:p>
    <w:p>
      <w:pPr>
        <w:pStyle w:val="53"/>
        <w:snapToGrid w:val="0"/>
        <w:spacing w:line="580" w:lineRule="exact"/>
        <w:ind w:firstLine="420" w:firstLineChars="200"/>
        <w:rPr>
          <w:rFonts w:ascii="宋体" w:hAnsi="宋体" w:cs="宋体"/>
        </w:rPr>
      </w:pPr>
      <w:r>
        <w:rPr>
          <w:rFonts w:hint="eastAsia" w:ascii="宋体" w:hAnsi="宋体" w:cs="宋体"/>
        </w:rPr>
        <w:t xml:space="preserve">（六）其他违反国家法律法规和违反廉洁从业的行为。 </w:t>
      </w:r>
    </w:p>
    <w:p>
      <w:pPr>
        <w:pStyle w:val="53"/>
        <w:snapToGrid w:val="0"/>
        <w:spacing w:line="580" w:lineRule="exact"/>
        <w:ind w:firstLine="420" w:firstLineChars="200"/>
        <w:rPr>
          <w:rFonts w:ascii="宋体" w:hAnsi="宋体" w:cs="宋体"/>
        </w:rPr>
      </w:pPr>
      <w:r>
        <w:rPr>
          <w:rFonts w:hint="eastAsia" w:ascii="宋体" w:hAnsi="宋体" w:cs="宋体"/>
        </w:rPr>
        <w:t>六、在业务合作期间，我方有权通过回访等方式监督阳光合作执行情况。贵方及贵方人员发现我方任何人员任何形式的行贿、索贿、受贿或其他违反阳光合作的行为，可及时向我方举报。</w:t>
      </w:r>
    </w:p>
    <w:p>
      <w:pPr>
        <w:pStyle w:val="53"/>
        <w:snapToGrid w:val="0"/>
        <w:spacing w:line="580" w:lineRule="exact"/>
        <w:ind w:firstLine="420" w:firstLineChars="200"/>
        <w:rPr>
          <w:rFonts w:ascii="宋体" w:hAnsi="宋体" w:cs="宋体"/>
        </w:rPr>
      </w:pPr>
      <w:r>
        <w:rPr>
          <w:rFonts w:hint="eastAsia" w:ascii="宋体" w:hAnsi="宋体" w:cs="宋体"/>
        </w:rPr>
        <w:t>七、烦请贵方及贵方人员在投诉举报时，积极配合我方的相关调查工作，并提供联系方式等，便于我方纪检监察机构联系与调查核实。我方承诺对贵方的投诉举报人进行保密。</w:t>
      </w:r>
    </w:p>
    <w:p>
      <w:pPr>
        <w:pStyle w:val="53"/>
        <w:snapToGrid w:val="0"/>
        <w:spacing w:line="580" w:lineRule="exact"/>
        <w:ind w:firstLine="420" w:firstLineChars="200"/>
        <w:rPr>
          <w:rFonts w:ascii="宋体" w:hAnsi="宋体" w:cs="宋体"/>
        </w:rPr>
      </w:pPr>
      <w:r>
        <w:rPr>
          <w:rFonts w:hint="eastAsia" w:ascii="宋体" w:hAnsi="宋体" w:cs="宋体"/>
        </w:rPr>
        <w:t>八、贵方投诉举报的情况，经查证属实，我方将视情节轻重和影响恶劣程度对相关人员进行内部处理；构成犯罪的，依法移送司法机关处置，并将调查结果及时向贵方反馈。</w:t>
      </w:r>
    </w:p>
    <w:p>
      <w:pPr>
        <w:pStyle w:val="53"/>
        <w:snapToGrid w:val="0"/>
        <w:spacing w:line="580" w:lineRule="exact"/>
        <w:ind w:firstLine="420" w:firstLineChars="200"/>
        <w:rPr>
          <w:rFonts w:ascii="宋体" w:hAnsi="宋体" w:cs="宋体"/>
        </w:rPr>
      </w:pPr>
      <w:r>
        <w:rPr>
          <w:rFonts w:hint="eastAsia" w:ascii="宋体" w:hAnsi="宋体" w:cs="宋体"/>
        </w:rPr>
        <w:t>九、如贵方经办人员或其他相关人员主动诱使我方人员作出本告知函第五点列明的违法违规行为的，我方有权终止双方的合作，由此造成的损失由贵方承担。</w:t>
      </w:r>
    </w:p>
    <w:p>
      <w:pPr>
        <w:pStyle w:val="53"/>
        <w:snapToGrid w:val="0"/>
        <w:spacing w:line="580" w:lineRule="exact"/>
        <w:ind w:firstLine="420" w:firstLineChars="200"/>
        <w:rPr>
          <w:rFonts w:ascii="宋体" w:hAnsi="宋体" w:cs="宋体"/>
        </w:rPr>
      </w:pPr>
      <w:r>
        <w:rPr>
          <w:rFonts w:hint="eastAsia" w:ascii="宋体" w:hAnsi="宋体" w:cs="宋体"/>
        </w:rPr>
        <w:t>十、我方对如实举报和严格遵守阳光合作精神的合作方，在同等条件下给予后续合作的优先权。</w:t>
      </w:r>
    </w:p>
    <w:p>
      <w:pPr>
        <w:pStyle w:val="53"/>
        <w:snapToGrid w:val="0"/>
        <w:spacing w:line="580" w:lineRule="exact"/>
        <w:ind w:firstLine="420" w:firstLineChars="200"/>
        <w:rPr>
          <w:rFonts w:ascii="宋体" w:hAnsi="宋体" w:cs="宋体"/>
        </w:rPr>
      </w:pPr>
      <w:r>
        <w:rPr>
          <w:rFonts w:hint="eastAsia" w:ascii="宋体" w:hAnsi="宋体" w:cs="宋体"/>
        </w:rPr>
        <w:t>十一、</w:t>
      </w:r>
      <w:bookmarkStart w:id="177" w:name="OLE_LINK1"/>
      <w:r>
        <w:rPr>
          <w:rFonts w:hint="eastAsia" w:ascii="宋体" w:hAnsi="宋体" w:cs="宋体"/>
        </w:rPr>
        <w:t>其他</w:t>
      </w:r>
    </w:p>
    <w:p>
      <w:pPr>
        <w:pStyle w:val="53"/>
        <w:snapToGrid w:val="0"/>
        <w:spacing w:line="580" w:lineRule="exact"/>
        <w:ind w:firstLine="420" w:firstLineChars="200"/>
        <w:rPr>
          <w:rFonts w:ascii="宋体" w:hAnsi="宋体" w:cs="宋体"/>
        </w:rPr>
      </w:pPr>
      <w:r>
        <w:rPr>
          <w:rFonts w:hint="eastAsia" w:ascii="宋体" w:hAnsi="宋体" w:cs="宋体"/>
        </w:rPr>
        <w:t>（一）本告知函所言“其他相关人员”是指经办人以外的与合作项目有直接或间接利益关系的人员，包括但不仅限于项目经办人的亲友。</w:t>
      </w:r>
    </w:p>
    <w:bookmarkEnd w:id="177"/>
    <w:p>
      <w:pPr>
        <w:pStyle w:val="53"/>
        <w:snapToGrid w:val="0"/>
        <w:spacing w:line="580" w:lineRule="exact"/>
        <w:ind w:firstLine="420" w:firstLineChars="200"/>
        <w:rPr>
          <w:rFonts w:ascii="宋体" w:hAnsi="宋体" w:cs="宋体"/>
        </w:rPr>
      </w:pPr>
      <w:r>
        <w:rPr>
          <w:rFonts w:hint="eastAsia" w:ascii="宋体" w:hAnsi="宋体" w:cs="宋体"/>
        </w:rPr>
        <w:t xml:space="preserve">（二）我方常设投诉举报受理部门及联系方式： </w:t>
      </w:r>
    </w:p>
    <w:p>
      <w:pPr>
        <w:pStyle w:val="53"/>
        <w:snapToGrid w:val="0"/>
        <w:spacing w:line="580" w:lineRule="exact"/>
        <w:ind w:firstLine="422" w:firstLineChars="200"/>
        <w:rPr>
          <w:rFonts w:ascii="宋体" w:hAnsi="宋体" w:cs="宋体"/>
        </w:rPr>
      </w:pPr>
      <w:r>
        <w:rPr>
          <w:rFonts w:hint="eastAsia" w:ascii="宋体" w:hAnsi="宋体" w:cs="宋体"/>
          <w:b/>
          <w:bCs/>
        </w:rPr>
        <w:t>1.投诉举报受理部门：</w:t>
      </w:r>
      <w:r>
        <w:rPr>
          <w:rFonts w:hint="eastAsia" w:ascii="宋体" w:hAnsi="宋体" w:cs="宋体"/>
        </w:rPr>
        <w:t>东莞市水务集团有限公司纪检监察部；</w:t>
      </w:r>
    </w:p>
    <w:p>
      <w:pPr>
        <w:pStyle w:val="53"/>
        <w:snapToGrid w:val="0"/>
        <w:spacing w:line="580" w:lineRule="exact"/>
        <w:ind w:firstLine="422" w:firstLineChars="200"/>
        <w:rPr>
          <w:rFonts w:ascii="宋体" w:hAnsi="宋体" w:cs="宋体"/>
        </w:rPr>
      </w:pPr>
      <w:r>
        <w:rPr>
          <w:rFonts w:hint="eastAsia" w:ascii="宋体" w:hAnsi="宋体" w:cs="宋体"/>
          <w:b/>
          <w:bCs/>
        </w:rPr>
        <w:t>2.投诉举报电话：</w:t>
      </w:r>
      <w:r>
        <w:rPr>
          <w:rFonts w:hint="eastAsia" w:ascii="宋体" w:hAnsi="宋体" w:cs="宋体"/>
        </w:rPr>
        <w:t>0769–28823293（星期一至星期五：8:30-17:30）；</w:t>
      </w:r>
    </w:p>
    <w:p>
      <w:pPr>
        <w:pStyle w:val="53"/>
        <w:snapToGrid w:val="0"/>
        <w:spacing w:line="580" w:lineRule="exact"/>
        <w:ind w:firstLine="422" w:firstLineChars="200"/>
        <w:rPr>
          <w:rFonts w:ascii="宋体" w:hAnsi="宋体" w:cs="宋体"/>
        </w:rPr>
      </w:pPr>
      <w:r>
        <w:rPr>
          <w:rFonts w:hint="eastAsia" w:ascii="宋体" w:hAnsi="宋体" w:cs="宋体"/>
          <w:b/>
          <w:bCs/>
        </w:rPr>
        <w:t>3.联系地址：</w:t>
      </w:r>
      <w:r>
        <w:rPr>
          <w:rFonts w:hint="eastAsia" w:ascii="宋体" w:hAnsi="宋体" w:cs="宋体"/>
        </w:rPr>
        <w:t>东莞市东城街道育华路1号；</w:t>
      </w:r>
    </w:p>
    <w:p>
      <w:pPr>
        <w:pStyle w:val="53"/>
        <w:snapToGrid w:val="0"/>
        <w:spacing w:line="580" w:lineRule="exact"/>
        <w:ind w:firstLine="422" w:firstLineChars="200"/>
        <w:rPr>
          <w:rFonts w:ascii="宋体" w:hAnsi="宋体" w:cs="宋体"/>
        </w:rPr>
      </w:pPr>
      <w:r>
        <w:rPr>
          <w:rFonts w:hint="eastAsia" w:ascii="宋体" w:hAnsi="宋体" w:cs="宋体"/>
          <w:b/>
          <w:bCs/>
        </w:rPr>
        <w:t>4.邮编：</w:t>
      </w:r>
      <w:r>
        <w:rPr>
          <w:rFonts w:hint="eastAsia" w:ascii="宋体" w:hAnsi="宋体" w:cs="宋体"/>
        </w:rPr>
        <w:t>523000。</w:t>
      </w:r>
    </w:p>
    <w:p>
      <w:pPr>
        <w:pStyle w:val="53"/>
        <w:snapToGrid w:val="0"/>
        <w:spacing w:line="580" w:lineRule="exact"/>
        <w:ind w:firstLine="420" w:firstLineChars="200"/>
        <w:rPr>
          <w:rFonts w:ascii="宋体" w:hAnsi="宋体" w:cs="宋体"/>
        </w:rPr>
      </w:pPr>
      <w:r>
        <w:rPr>
          <w:rFonts w:hint="eastAsia" w:ascii="宋体" w:hAnsi="宋体" w:cs="宋体"/>
        </w:rPr>
        <w:t>让我们共同为建立健康、公平的商业秩序和实现双赢而努力。</w:t>
      </w:r>
    </w:p>
    <w:p>
      <w:pPr>
        <w:pStyle w:val="53"/>
        <w:snapToGrid w:val="0"/>
        <w:spacing w:line="580" w:lineRule="exact"/>
        <w:ind w:firstLine="420" w:firstLineChars="200"/>
        <w:rPr>
          <w:rFonts w:ascii="宋体" w:hAnsi="宋体" w:cs="宋体"/>
        </w:rPr>
      </w:pPr>
      <w:r>
        <w:rPr>
          <w:rFonts w:hint="eastAsia" w:ascii="宋体" w:hAnsi="宋体" w:cs="宋体"/>
        </w:rPr>
        <w:t>特此致函。</w:t>
      </w:r>
    </w:p>
    <w:p>
      <w:pPr>
        <w:pStyle w:val="53"/>
        <w:snapToGrid w:val="0"/>
        <w:spacing w:line="580" w:lineRule="exact"/>
        <w:ind w:firstLine="420" w:firstLineChars="200"/>
        <w:rPr>
          <w:rFonts w:ascii="宋体" w:hAnsi="宋体" w:cs="宋体"/>
        </w:rPr>
      </w:pPr>
    </w:p>
    <w:p>
      <w:pPr>
        <w:pStyle w:val="53"/>
        <w:snapToGrid w:val="0"/>
        <w:spacing w:line="580" w:lineRule="exact"/>
        <w:ind w:firstLine="420" w:firstLineChars="200"/>
        <w:rPr>
          <w:rFonts w:ascii="宋体" w:hAnsi="宋体" w:cs="宋体"/>
        </w:rPr>
      </w:pPr>
    </w:p>
    <w:p>
      <w:pPr>
        <w:pStyle w:val="53"/>
        <w:wordWrap w:val="0"/>
        <w:snapToGrid w:val="0"/>
        <w:spacing w:line="580" w:lineRule="exact"/>
        <w:ind w:firstLine="0"/>
        <w:jc w:val="right"/>
        <w:rPr>
          <w:rFonts w:ascii="宋体" w:hAnsi="宋体" w:cs="宋体"/>
        </w:rPr>
      </w:pPr>
      <w:r>
        <w:rPr>
          <w:rFonts w:hint="eastAsia" w:ascii="宋体" w:hAnsi="宋体" w:cs="宋体"/>
        </w:rPr>
        <w:t>东莞市智汇水务科技有限公司</w:t>
      </w:r>
    </w:p>
    <w:p>
      <w:pPr>
        <w:pStyle w:val="53"/>
        <w:snapToGrid w:val="0"/>
        <w:spacing w:line="580" w:lineRule="exact"/>
        <w:ind w:firstLine="7560" w:firstLineChars="3600"/>
        <w:rPr>
          <w:rFonts w:hint="eastAsia" w:ascii="宋体" w:hAnsi="宋体" w:cs="宋体"/>
        </w:rPr>
      </w:pPr>
      <w:r>
        <w:rPr>
          <w:rFonts w:hint="eastAsia" w:ascii="宋体" w:hAnsi="宋体" w:cs="宋体"/>
        </w:rPr>
        <w:t xml:space="preserve">   年   月  日</w:t>
      </w:r>
      <w:bookmarkStart w:id="178" w:name="设计变更通知单"/>
      <w:bookmarkEnd w:id="178"/>
      <w:bookmarkStart w:id="179" w:name="现场签证通知单"/>
      <w:bookmarkEnd w:id="179"/>
    </w:p>
    <w:p>
      <w:pPr>
        <w:rPr>
          <w:rFonts w:hint="eastAsia" w:ascii="宋体" w:hAnsi="宋体" w:cs="宋体"/>
        </w:rPr>
      </w:pPr>
      <w:r>
        <w:rPr>
          <w:rFonts w:hint="eastAsia" w:ascii="宋体" w:hAnsi="宋体" w:cs="宋体"/>
        </w:rPr>
        <w:br w:type="page"/>
      </w:r>
    </w:p>
    <w:p>
      <w:pPr>
        <w:pStyle w:val="53"/>
        <w:snapToGrid w:val="0"/>
        <w:spacing w:line="580" w:lineRule="exact"/>
        <w:ind w:firstLine="7560" w:firstLineChars="3600"/>
        <w:rPr>
          <w:rFonts w:hint="eastAsia" w:ascii="宋体" w:hAnsi="宋体" w:cs="宋体"/>
        </w:rPr>
      </w:pPr>
    </w:p>
    <w:p>
      <w:pPr>
        <w:pStyle w:val="53"/>
        <w:snapToGrid w:val="0"/>
        <w:spacing w:line="580" w:lineRule="exact"/>
        <w:ind w:firstLine="0"/>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pPr>
        <w:pStyle w:val="53"/>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pStyle w:val="53"/>
        <w:snapToGrid w:val="0"/>
        <w:spacing w:line="580" w:lineRule="exact"/>
        <w:ind w:firstLine="0"/>
        <w:jc w:val="center"/>
        <w:rPr>
          <w:rFonts w:ascii="宋体" w:hAnsi="宋体" w:cs="宋体"/>
        </w:rPr>
      </w:pPr>
      <w:r>
        <w:rPr>
          <w:rFonts w:ascii="Times New Roman" w:hAnsi="Times New Roman" w:eastAsia="仿宋_GB2312"/>
          <w:sz w:val="30"/>
          <w:szCs w:val="30"/>
        </w:rPr>
        <w:t xml:space="preserve">                   </w:t>
      </w:r>
      <w:r>
        <w:rPr>
          <w:rFonts w:hint="eastAsia" w:ascii="宋体" w:hAnsi="宋体" w:cs="宋体"/>
        </w:rPr>
        <w:t xml:space="preserve">               </w:t>
      </w:r>
      <w:r>
        <w:rPr>
          <w:rFonts w:hint="eastAsia" w:ascii="宋体" w:hAnsi="宋体" w:cs="宋体"/>
          <w:lang w:val="zh-CN"/>
        </w:rPr>
        <w:t>编号：</w:t>
      </w:r>
      <w:r>
        <w:rPr>
          <w:rFonts w:hint="eastAsia" w:ascii="宋体" w:hAnsi="宋体" w:cs="宋体"/>
        </w:rPr>
        <w:t xml:space="preserve">   </w:t>
      </w:r>
    </w:p>
    <w:p>
      <w:pPr>
        <w:pStyle w:val="53"/>
        <w:snapToGrid w:val="0"/>
        <w:spacing w:line="580" w:lineRule="exact"/>
        <w:ind w:firstLine="0"/>
        <w:jc w:val="center"/>
        <w:rPr>
          <w:rFonts w:ascii="宋体" w:hAnsi="宋体" w:cs="宋体"/>
          <w:lang w:val="zh-CN"/>
        </w:rPr>
      </w:pPr>
    </w:p>
    <w:p>
      <w:pPr>
        <w:autoSpaceDE w:val="0"/>
        <w:autoSpaceDN w:val="0"/>
        <w:adjustRightInd w:val="0"/>
        <w:spacing w:line="580" w:lineRule="exact"/>
        <w:ind w:firstLine="525" w:firstLineChars="250"/>
        <w:jc w:val="left"/>
        <w:rPr>
          <w:rFonts w:ascii="宋体" w:hAnsi="宋体" w:cs="宋体"/>
          <w:kern w:val="0"/>
          <w:szCs w:val="21"/>
          <w:lang w:val="zh-CN"/>
        </w:rPr>
      </w:pPr>
      <w:r>
        <w:rPr>
          <w:rFonts w:hint="eastAsia" w:ascii="宋体" w:hAnsi="宋体" w:cs="宋体"/>
          <w:szCs w:val="21"/>
          <w:lang w:val="zh-CN"/>
        </w:rPr>
        <w:t>我单位于</w:t>
      </w: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日收到</w:t>
      </w:r>
      <w:r>
        <w:rPr>
          <w:rFonts w:hint="eastAsia" w:ascii="宋体" w:hAnsi="宋体" w:cs="宋体"/>
          <w:szCs w:val="21"/>
          <w:u w:val="single"/>
        </w:rPr>
        <w:t xml:space="preserve">                 </w:t>
      </w:r>
      <w:r>
        <w:rPr>
          <w:rFonts w:hint="eastAsia" w:ascii="宋体" w:hAnsi="宋体" w:cs="宋体"/>
          <w:szCs w:val="21"/>
        </w:rPr>
        <w:t>公司</w:t>
      </w:r>
      <w:r>
        <w:rPr>
          <w:rFonts w:hint="eastAsia" w:ascii="宋体" w:hAnsi="宋体" w:cs="宋体"/>
          <w:szCs w:val="21"/>
          <w:lang w:val="zh-CN"/>
        </w:rPr>
        <w:t>的《阳光合作告知</w:t>
      </w:r>
      <w:r>
        <w:rPr>
          <w:rFonts w:hint="eastAsia" w:ascii="宋体" w:hAnsi="宋体" w:cs="宋体"/>
          <w:kern w:val="0"/>
          <w:szCs w:val="21"/>
          <w:lang w:val="zh-CN"/>
        </w:rPr>
        <w:t>函</w:t>
      </w:r>
      <w:r>
        <w:rPr>
          <w:rFonts w:hint="eastAsia" w:ascii="宋体" w:hAnsi="宋体" w:cs="宋体"/>
          <w:szCs w:val="21"/>
          <w:lang w:val="zh-CN"/>
        </w:rPr>
        <w:t>》</w:t>
      </w:r>
      <w:r>
        <w:rPr>
          <w:rFonts w:hint="eastAsia" w:ascii="宋体" w:hAnsi="宋体" w:cs="宋体"/>
          <w:kern w:val="0"/>
          <w:szCs w:val="21"/>
          <w:lang w:val="zh-CN"/>
        </w:rPr>
        <w:t>，承诺理解函告内容并告知相关人员严格执行其中规定。</w:t>
      </w:r>
    </w:p>
    <w:p>
      <w:pPr>
        <w:autoSpaceDE w:val="0"/>
        <w:autoSpaceDN w:val="0"/>
        <w:adjustRightInd w:val="0"/>
        <w:snapToGrid w:val="0"/>
        <w:spacing w:line="580" w:lineRule="exact"/>
        <w:jc w:val="left"/>
        <w:rPr>
          <w:rFonts w:ascii="宋体" w:hAnsi="宋体" w:cs="宋体"/>
          <w:szCs w:val="21"/>
          <w:lang w:val="zh-CN"/>
        </w:rPr>
      </w:pPr>
    </w:p>
    <w:p>
      <w:pPr>
        <w:autoSpaceDE w:val="0"/>
        <w:autoSpaceDN w:val="0"/>
        <w:adjustRightInd w:val="0"/>
        <w:snapToGrid w:val="0"/>
        <w:spacing w:line="580" w:lineRule="exact"/>
        <w:jc w:val="right"/>
        <w:rPr>
          <w:rFonts w:ascii="宋体" w:hAnsi="宋体" w:cs="宋体"/>
          <w:szCs w:val="21"/>
          <w:lang w:val="zh-CN"/>
        </w:rPr>
      </w:pPr>
      <w:r>
        <w:rPr>
          <w:rFonts w:hint="eastAsia" w:ascii="宋体" w:hAnsi="宋体" w:cs="宋体"/>
          <w:szCs w:val="21"/>
          <w:lang w:val="zh-CN"/>
        </w:rPr>
        <w:t xml:space="preserve">            </w:t>
      </w:r>
      <w:r>
        <w:rPr>
          <w:rFonts w:hint="eastAsia" w:ascii="宋体" w:hAnsi="宋体" w:cs="宋体"/>
          <w:bCs/>
          <w:szCs w:val="21"/>
        </w:rPr>
        <w:t xml:space="preserve">      </w:t>
      </w:r>
      <w:r>
        <w:rPr>
          <w:rFonts w:hint="eastAsia" w:ascii="宋体" w:hAnsi="宋体" w:cs="宋体"/>
          <w:bCs/>
          <w:szCs w:val="21"/>
          <w:u w:val="single"/>
        </w:rPr>
        <w:t xml:space="preserve">            公司</w:t>
      </w:r>
      <w:r>
        <w:rPr>
          <w:rFonts w:hint="eastAsia" w:ascii="宋体" w:hAnsi="宋体" w:cs="宋体"/>
          <w:szCs w:val="21"/>
          <w:lang w:val="zh-CN"/>
        </w:rPr>
        <w:t>（盖章）</w:t>
      </w:r>
    </w:p>
    <w:p>
      <w:pPr>
        <w:autoSpaceDE w:val="0"/>
        <w:autoSpaceDN w:val="0"/>
        <w:adjustRightInd w:val="0"/>
        <w:snapToGrid w:val="0"/>
        <w:spacing w:line="580" w:lineRule="exact"/>
        <w:jc w:val="left"/>
        <w:rPr>
          <w:rFonts w:ascii="宋体" w:hAnsi="宋体" w:cs="宋体"/>
          <w:szCs w:val="21"/>
          <w:lang w:val="zh-CN"/>
        </w:rPr>
      </w:pPr>
    </w:p>
    <w:p>
      <w:pPr>
        <w:autoSpaceDE w:val="0"/>
        <w:autoSpaceDN w:val="0"/>
        <w:adjustRightInd w:val="0"/>
        <w:snapToGrid w:val="0"/>
        <w:spacing w:line="580" w:lineRule="exact"/>
        <w:ind w:right="1280" w:firstLine="6510" w:firstLineChars="3100"/>
        <w:rPr>
          <w:rFonts w:ascii="宋体" w:hAnsi="宋体" w:cs="宋体"/>
          <w:szCs w:val="21"/>
        </w:rPr>
      </w:pPr>
      <w:r>
        <w:rPr>
          <w:rFonts w:hint="eastAsia" w:ascii="宋体" w:hAnsi="宋体" w:cs="宋体"/>
          <w:szCs w:val="21"/>
        </w:rPr>
        <w:t xml:space="preserve">法定代表人：           </w:t>
      </w:r>
    </w:p>
    <w:p>
      <w:pPr>
        <w:autoSpaceDE w:val="0"/>
        <w:autoSpaceDN w:val="0"/>
        <w:adjustRightInd w:val="0"/>
        <w:snapToGrid w:val="0"/>
        <w:spacing w:line="580" w:lineRule="exact"/>
        <w:jc w:val="right"/>
        <w:rPr>
          <w:rFonts w:hint="eastAsia" w:ascii="宋体" w:hAnsi="宋体" w:cs="宋体"/>
          <w:szCs w:val="21"/>
        </w:rPr>
      </w:pPr>
      <w:r>
        <w:rPr>
          <w:rFonts w:hint="eastAsia" w:ascii="宋体" w:hAnsi="宋体" w:cs="宋体"/>
          <w:szCs w:val="21"/>
        </w:rPr>
        <w:t>年    月    日</w:t>
      </w:r>
    </w:p>
    <w:p>
      <w:pPr>
        <w:rPr>
          <w:rFonts w:hint="eastAsia" w:ascii="宋体" w:hAnsi="宋体" w:cs="宋体"/>
          <w:szCs w:val="21"/>
        </w:rPr>
      </w:pPr>
      <w:r>
        <w:rPr>
          <w:rFonts w:hint="eastAsia" w:ascii="宋体" w:hAnsi="宋体" w:cs="宋体"/>
          <w:szCs w:val="21"/>
        </w:rPr>
        <w:br w:type="page"/>
      </w:r>
    </w:p>
    <w:p>
      <w:pPr>
        <w:pStyle w:val="14"/>
        <w:pageBreakBefore/>
        <w:spacing w:before="0" w:after="0" w:line="360" w:lineRule="auto"/>
        <w:jc w:val="center"/>
        <w:rPr>
          <w:rFonts w:hint="eastAsia" w:ascii="宋体" w:hAnsi="宋体" w:eastAsia="宋体"/>
          <w:color w:val="auto"/>
          <w:sz w:val="30"/>
          <w:szCs w:val="30"/>
          <w:highlight w:val="none"/>
          <w:lang w:val="zh-CN"/>
        </w:rPr>
      </w:pPr>
      <w:bookmarkStart w:id="180" w:name="_Toc28227"/>
      <w:bookmarkStart w:id="181" w:name="_Toc23552"/>
      <w:r>
        <w:rPr>
          <w:rFonts w:hint="eastAsia" w:ascii="宋体" w:hAnsi="宋体" w:eastAsia="宋体"/>
          <w:color w:val="auto"/>
          <w:sz w:val="30"/>
          <w:szCs w:val="30"/>
          <w:highlight w:val="none"/>
          <w:lang w:val="zh-CN"/>
        </w:rPr>
        <w:t>第五篇</w:t>
      </w:r>
      <w:r>
        <w:rPr>
          <w:rFonts w:hint="eastAsia" w:ascii="宋体" w:hAnsi="宋体" w:eastAsia="宋体"/>
          <w:color w:val="auto"/>
          <w:sz w:val="30"/>
          <w:szCs w:val="30"/>
          <w:highlight w:val="none"/>
          <w:lang w:val="en-US" w:eastAsia="zh-CN"/>
        </w:rPr>
        <w:t xml:space="preserve"> </w:t>
      </w:r>
      <w:r>
        <w:rPr>
          <w:rFonts w:hint="eastAsia" w:ascii="宋体" w:hAnsi="宋体" w:eastAsia="宋体"/>
          <w:color w:val="auto"/>
          <w:sz w:val="30"/>
          <w:szCs w:val="30"/>
          <w:highlight w:val="none"/>
          <w:lang w:val="zh-CN"/>
        </w:rPr>
        <w:t>报价文件格式</w:t>
      </w:r>
      <w:bookmarkEnd w:id="180"/>
      <w:bookmarkEnd w:id="181"/>
    </w:p>
    <w:p>
      <w:pPr>
        <w:spacing w:line="360" w:lineRule="auto"/>
        <w:rPr>
          <w:rFonts w:hint="eastAsia" w:eastAsia="宋体"/>
          <w:b/>
          <w:bCs/>
          <w:color w:val="auto"/>
          <w:sz w:val="30"/>
          <w:szCs w:val="30"/>
          <w:highlight w:val="none"/>
          <w:shd w:val="clear" w:color="auto" w:fill="FFFFFF"/>
          <w:lang w:val="zh-CN"/>
        </w:rPr>
      </w:pPr>
      <w:bookmarkStart w:id="182" w:name="_Toc51333928"/>
      <w:bookmarkStart w:id="183" w:name="_Toc50572123"/>
      <w:r>
        <w:rPr>
          <w:rFonts w:hint="eastAsia" w:eastAsia="宋体"/>
          <w:b/>
          <w:bCs/>
          <w:color w:val="auto"/>
          <w:sz w:val="30"/>
          <w:szCs w:val="30"/>
          <w:highlight w:val="none"/>
          <w:shd w:val="clear" w:color="auto" w:fill="FFFFFF"/>
          <w:lang w:val="zh-CN"/>
        </w:rPr>
        <w:t>一、纸质盖章版报价文件</w:t>
      </w:r>
      <w:bookmarkEnd w:id="182"/>
      <w:bookmarkEnd w:id="183"/>
    </w:p>
    <w:p>
      <w:pPr>
        <w:spacing w:line="360" w:lineRule="auto"/>
        <w:rPr>
          <w:rFonts w:hint="eastAsia" w:eastAsia="宋体"/>
          <w:b/>
          <w:bCs/>
          <w:color w:val="auto"/>
          <w:sz w:val="30"/>
          <w:szCs w:val="30"/>
          <w:highlight w:val="none"/>
          <w:shd w:val="clear" w:color="auto" w:fill="FFFFFF"/>
          <w:lang w:val="zh-CN"/>
        </w:rPr>
      </w:pPr>
      <w:bookmarkStart w:id="184" w:name="_Toc50572124"/>
      <w:bookmarkStart w:id="185" w:name="_Toc51333929"/>
      <w:r>
        <w:rPr>
          <w:rFonts w:hint="eastAsia" w:eastAsia="宋体"/>
          <w:b/>
          <w:bCs/>
          <w:color w:val="auto"/>
          <w:sz w:val="30"/>
          <w:szCs w:val="30"/>
          <w:highlight w:val="none"/>
          <w:shd w:val="clear" w:color="auto" w:fill="FFFFFF"/>
          <w:lang w:val="zh-CN"/>
        </w:rPr>
        <w:t>二、报价文件电子文档（签字、盖章后的报价文件扫描版PDF格式电子文件，内容与提交纸质盖章版报价文件一致）</w:t>
      </w:r>
      <w:bookmarkEnd w:id="184"/>
      <w:bookmarkEnd w:id="185"/>
    </w:p>
    <w:p>
      <w:pPr>
        <w:rPr>
          <w:color w:val="auto"/>
          <w:highlight w:val="none"/>
          <w:lang w:val="zh-CN"/>
        </w:rPr>
      </w:pPr>
    </w:p>
    <w:p>
      <w:pPr>
        <w:tabs>
          <w:tab w:val="left" w:pos="540"/>
        </w:tabs>
        <w:spacing w:line="280" w:lineRule="exact"/>
        <w:rPr>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left"/>
        <w:rPr>
          <w:b/>
          <w:color w:val="auto"/>
          <w:sz w:val="44"/>
          <w:szCs w:val="44"/>
          <w:highlight w:val="none"/>
        </w:rPr>
      </w:pPr>
      <w:bookmarkStart w:id="186" w:name="_Toc34745985"/>
      <w:bookmarkStart w:id="187" w:name="_Toc34746052"/>
      <w:bookmarkStart w:id="188" w:name="_Toc34746360"/>
      <w:r>
        <w:rPr>
          <w:b/>
          <w:color w:val="auto"/>
          <w:sz w:val="44"/>
          <w:szCs w:val="44"/>
          <w:highlight w:val="none"/>
        </w:rPr>
        <w:br w:type="page"/>
      </w:r>
    </w:p>
    <w:p>
      <w:pPr>
        <w:pStyle w:val="14"/>
        <w:spacing w:line="360" w:lineRule="auto"/>
        <w:jc w:val="left"/>
        <w:outlineLvl w:val="1"/>
        <w:rPr>
          <w:rFonts w:ascii="宋体" w:hAnsi="宋体"/>
          <w:color w:val="auto"/>
          <w:sz w:val="30"/>
          <w:szCs w:val="30"/>
          <w:highlight w:val="none"/>
          <w:lang w:val="zh-CN"/>
        </w:rPr>
      </w:pPr>
      <w:bookmarkStart w:id="189" w:name="_Toc62668964"/>
      <w:bookmarkStart w:id="190" w:name="_Toc20439"/>
      <w:bookmarkStart w:id="191" w:name="_Toc7265"/>
      <w:bookmarkStart w:id="192" w:name="_Toc50572985"/>
      <w:bookmarkStart w:id="193" w:name="_Toc51333930"/>
      <w:r>
        <w:rPr>
          <w:rFonts w:ascii="宋体" w:hAnsi="宋体"/>
          <w:color w:val="auto"/>
          <w:sz w:val="30"/>
          <w:szCs w:val="30"/>
          <w:highlight w:val="none"/>
          <w:lang w:val="zh-CN"/>
        </w:rPr>
        <w:t>一</w:t>
      </w:r>
      <w:r>
        <w:rPr>
          <w:rFonts w:hint="eastAsia" w:ascii="宋体" w:hAnsi="宋体"/>
          <w:color w:val="auto"/>
          <w:sz w:val="30"/>
          <w:szCs w:val="30"/>
          <w:highlight w:val="none"/>
          <w:lang w:val="zh-CN"/>
        </w:rPr>
        <w:t>、</w:t>
      </w:r>
      <w:r>
        <w:rPr>
          <w:rFonts w:ascii="宋体" w:hAnsi="宋体"/>
          <w:color w:val="auto"/>
          <w:sz w:val="30"/>
          <w:szCs w:val="30"/>
          <w:highlight w:val="none"/>
          <w:lang w:val="zh-CN"/>
        </w:rPr>
        <w:t>纸质</w:t>
      </w:r>
      <w:r>
        <w:rPr>
          <w:rFonts w:hint="eastAsia" w:ascii="宋体" w:hAnsi="宋体"/>
          <w:color w:val="auto"/>
          <w:sz w:val="30"/>
          <w:szCs w:val="30"/>
          <w:highlight w:val="none"/>
          <w:lang w:val="zh-CN"/>
        </w:rPr>
        <w:t>盖章版</w:t>
      </w:r>
      <w:r>
        <w:rPr>
          <w:rFonts w:ascii="宋体" w:hAnsi="宋体"/>
          <w:color w:val="auto"/>
          <w:sz w:val="30"/>
          <w:szCs w:val="30"/>
          <w:highlight w:val="none"/>
          <w:lang w:val="zh-CN"/>
        </w:rPr>
        <w:t>报价文件</w:t>
      </w:r>
      <w:bookmarkEnd w:id="189"/>
      <w:bookmarkEnd w:id="190"/>
      <w:bookmarkEnd w:id="191"/>
      <w:bookmarkEnd w:id="192"/>
      <w:bookmarkEnd w:id="193"/>
    </w:p>
    <w:p>
      <w:pPr>
        <w:rPr>
          <w:color w:val="auto"/>
          <w:highlight w:val="none"/>
          <w:lang w:val="zh-CN"/>
        </w:rPr>
      </w:pPr>
    </w:p>
    <w:p>
      <w:pPr>
        <w:pStyle w:val="2"/>
        <w:rPr>
          <w:color w:val="auto"/>
          <w:highlight w:val="none"/>
          <w:lang w:val="zh-CN"/>
        </w:rPr>
      </w:pPr>
    </w:p>
    <w:p>
      <w:pPr>
        <w:pStyle w:val="2"/>
        <w:spacing w:line="360" w:lineRule="auto"/>
        <w:jc w:val="left"/>
        <w:rPr>
          <w:rFonts w:hint="eastAsia" w:eastAsia="宋体"/>
          <w:color w:val="auto"/>
          <w:highlight w:val="none"/>
          <w:lang w:eastAsia="zh-CN"/>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报 价 文 件</w:t>
      </w:r>
    </w:p>
    <w:p>
      <w:pPr>
        <w:pStyle w:val="2"/>
        <w:spacing w:line="360" w:lineRule="auto"/>
        <w:jc w:val="left"/>
        <w:rPr>
          <w:color w:val="auto"/>
          <w:highlight w:val="none"/>
        </w:rPr>
      </w:pPr>
    </w:p>
    <w:p>
      <w:pPr>
        <w:pStyle w:val="2"/>
        <w:spacing w:line="360" w:lineRule="auto"/>
        <w:jc w:val="left"/>
        <w:rPr>
          <w:color w:val="auto"/>
          <w:highlight w:val="none"/>
        </w:rPr>
      </w:pPr>
    </w:p>
    <w:p>
      <w:pPr>
        <w:pStyle w:val="2"/>
        <w:spacing w:line="360" w:lineRule="auto"/>
        <w:jc w:val="left"/>
        <w:rPr>
          <w:color w:val="auto"/>
          <w:highlight w:val="none"/>
        </w:rPr>
      </w:pPr>
    </w:p>
    <w:p>
      <w:pPr>
        <w:pStyle w:val="2"/>
        <w:spacing w:line="360" w:lineRule="auto"/>
        <w:jc w:val="left"/>
        <w:rPr>
          <w:color w:val="auto"/>
          <w:highlight w:val="none"/>
        </w:rPr>
      </w:pPr>
    </w:p>
    <w:p>
      <w:pPr>
        <w:pStyle w:val="2"/>
        <w:spacing w:line="360" w:lineRule="auto"/>
        <w:jc w:val="left"/>
        <w:rPr>
          <w:color w:val="auto"/>
          <w:highlight w:val="none"/>
        </w:rPr>
      </w:pPr>
    </w:p>
    <w:p>
      <w:pPr>
        <w:pStyle w:val="2"/>
        <w:spacing w:line="360" w:lineRule="auto"/>
        <w:jc w:val="left"/>
        <w:rPr>
          <w:b/>
          <w:color w:val="auto"/>
          <w:sz w:val="44"/>
          <w:szCs w:val="44"/>
          <w:highlight w:val="none"/>
        </w:rPr>
      </w:pPr>
    </w:p>
    <w:p>
      <w:pPr>
        <w:spacing w:line="360" w:lineRule="auto"/>
        <w:ind w:left="2246" w:leftChars="403" w:hanging="1400" w:hangingChars="500"/>
        <w:jc w:val="left"/>
        <w:rPr>
          <w:rFonts w:hint="eastAsia" w:eastAsia="宋体"/>
          <w:color w:val="auto"/>
          <w:sz w:val="28"/>
          <w:szCs w:val="28"/>
          <w:highlight w:val="none"/>
          <w:u w:val="single"/>
          <w:lang w:eastAsia="zh-CN"/>
        </w:rPr>
      </w:pPr>
      <w:r>
        <w:rPr>
          <w:color w:val="auto"/>
          <w:sz w:val="28"/>
          <w:szCs w:val="28"/>
          <w:highlight w:val="none"/>
        </w:rPr>
        <w:t>项目名称：</w:t>
      </w:r>
      <w:r>
        <w:rPr>
          <w:rFonts w:hint="eastAsia"/>
          <w:color w:val="auto"/>
          <w:sz w:val="28"/>
          <w:szCs w:val="28"/>
          <w:highlight w:val="none"/>
          <w:u w:val="single"/>
          <w:lang w:val="en-US" w:eastAsia="zh-CN"/>
        </w:rPr>
        <w:t>东莞市智汇水务科技有限公司2024年股权、设备资产价值评估单位采购项目</w:t>
      </w:r>
    </w:p>
    <w:p>
      <w:pPr>
        <w:spacing w:line="360" w:lineRule="auto"/>
        <w:ind w:left="1966" w:leftChars="403" w:hanging="1120" w:hangingChars="400"/>
        <w:jc w:val="left"/>
        <w:rPr>
          <w:color w:val="auto"/>
          <w:sz w:val="28"/>
          <w:szCs w:val="21"/>
          <w:highlight w:val="none"/>
          <w:u w:val="single"/>
        </w:rPr>
      </w:pPr>
      <w:r>
        <w:rPr>
          <w:color w:val="auto"/>
          <w:sz w:val="28"/>
          <w:szCs w:val="21"/>
          <w:highlight w:val="none"/>
        </w:rPr>
        <w:t>联</w:t>
      </w:r>
      <w:r>
        <w:rPr>
          <w:rFonts w:hint="eastAsia"/>
          <w:color w:val="auto"/>
          <w:sz w:val="28"/>
          <w:szCs w:val="21"/>
          <w:highlight w:val="none"/>
        </w:rPr>
        <w:t xml:space="preserve"> </w:t>
      </w:r>
      <w:r>
        <w:rPr>
          <w:color w:val="auto"/>
          <w:sz w:val="28"/>
          <w:szCs w:val="21"/>
          <w:highlight w:val="none"/>
        </w:rPr>
        <w:t>系</w:t>
      </w:r>
      <w:r>
        <w:rPr>
          <w:rFonts w:hint="eastAsia"/>
          <w:color w:val="auto"/>
          <w:sz w:val="28"/>
          <w:szCs w:val="21"/>
          <w:highlight w:val="none"/>
        </w:rPr>
        <w:t xml:space="preserve"> </w:t>
      </w:r>
      <w:r>
        <w:rPr>
          <w:color w:val="auto"/>
          <w:sz w:val="28"/>
          <w:szCs w:val="21"/>
          <w:highlight w:val="none"/>
        </w:rPr>
        <w:t>人：</w:t>
      </w:r>
      <w:r>
        <w:rPr>
          <w:rFonts w:hint="eastAsia"/>
          <w:color w:val="auto"/>
          <w:sz w:val="28"/>
          <w:szCs w:val="21"/>
          <w:highlight w:val="none"/>
          <w:u w:val="single"/>
        </w:rPr>
        <w:t xml:space="preserve"> </w:t>
      </w:r>
      <w:r>
        <w:rPr>
          <w:color w:val="auto"/>
          <w:sz w:val="28"/>
          <w:szCs w:val="21"/>
          <w:highlight w:val="none"/>
          <w:u w:val="single"/>
        </w:rPr>
        <w:t xml:space="preserve">                                     </w:t>
      </w:r>
    </w:p>
    <w:p>
      <w:pPr>
        <w:spacing w:line="360" w:lineRule="auto"/>
        <w:ind w:firstLine="848" w:firstLineChars="303"/>
        <w:jc w:val="left"/>
        <w:rPr>
          <w:color w:val="auto"/>
          <w:sz w:val="28"/>
          <w:szCs w:val="21"/>
          <w:highlight w:val="none"/>
        </w:rPr>
      </w:pPr>
      <w:r>
        <w:rPr>
          <w:color w:val="auto"/>
          <w:sz w:val="28"/>
          <w:szCs w:val="21"/>
          <w:highlight w:val="none"/>
        </w:rPr>
        <w:t>固定电话：</w:t>
      </w:r>
      <w:r>
        <w:rPr>
          <w:rFonts w:hint="eastAsia"/>
          <w:color w:val="auto"/>
          <w:sz w:val="28"/>
          <w:szCs w:val="21"/>
          <w:highlight w:val="none"/>
          <w:u w:val="single"/>
        </w:rPr>
        <w:t xml:space="preserve"> </w:t>
      </w:r>
      <w:r>
        <w:rPr>
          <w:color w:val="auto"/>
          <w:sz w:val="28"/>
          <w:szCs w:val="21"/>
          <w:highlight w:val="none"/>
          <w:u w:val="single"/>
        </w:rPr>
        <w:t xml:space="preserve">                                     </w:t>
      </w:r>
    </w:p>
    <w:p>
      <w:pPr>
        <w:spacing w:line="360" w:lineRule="auto"/>
        <w:ind w:firstLine="848" w:firstLineChars="303"/>
        <w:jc w:val="left"/>
        <w:rPr>
          <w:color w:val="auto"/>
          <w:sz w:val="28"/>
          <w:szCs w:val="21"/>
          <w:highlight w:val="none"/>
        </w:rPr>
      </w:pPr>
      <w:r>
        <w:rPr>
          <w:color w:val="auto"/>
          <w:sz w:val="28"/>
          <w:szCs w:val="21"/>
          <w:highlight w:val="none"/>
        </w:rPr>
        <w:t>手机号码：</w:t>
      </w:r>
      <w:r>
        <w:rPr>
          <w:rFonts w:hint="eastAsia"/>
          <w:color w:val="auto"/>
          <w:sz w:val="28"/>
          <w:szCs w:val="21"/>
          <w:highlight w:val="none"/>
          <w:u w:val="single"/>
        </w:rPr>
        <w:t xml:space="preserve"> </w:t>
      </w:r>
      <w:r>
        <w:rPr>
          <w:color w:val="auto"/>
          <w:sz w:val="28"/>
          <w:szCs w:val="21"/>
          <w:highlight w:val="none"/>
          <w:u w:val="single"/>
        </w:rPr>
        <w:t xml:space="preserve">                                     </w:t>
      </w:r>
    </w:p>
    <w:p>
      <w:pPr>
        <w:spacing w:line="360" w:lineRule="auto"/>
        <w:ind w:firstLine="848" w:firstLineChars="303"/>
        <w:jc w:val="left"/>
        <w:rPr>
          <w:color w:val="auto"/>
          <w:sz w:val="28"/>
          <w:szCs w:val="21"/>
          <w:highlight w:val="none"/>
          <w:u w:val="single"/>
        </w:rPr>
      </w:pPr>
      <w:r>
        <w:rPr>
          <w:color w:val="auto"/>
          <w:sz w:val="28"/>
          <w:szCs w:val="21"/>
          <w:highlight w:val="none"/>
        </w:rPr>
        <w:t>邮</w:t>
      </w:r>
      <w:r>
        <w:rPr>
          <w:rFonts w:hint="eastAsia"/>
          <w:color w:val="auto"/>
          <w:sz w:val="28"/>
          <w:szCs w:val="21"/>
          <w:highlight w:val="none"/>
        </w:rPr>
        <w:t xml:space="preserve"> </w:t>
      </w:r>
      <w:r>
        <w:rPr>
          <w:color w:val="auto"/>
          <w:sz w:val="28"/>
          <w:szCs w:val="21"/>
          <w:highlight w:val="none"/>
        </w:rPr>
        <w:t xml:space="preserve">   箱：</w:t>
      </w:r>
      <w:r>
        <w:rPr>
          <w:rFonts w:hint="eastAsia"/>
          <w:color w:val="auto"/>
          <w:sz w:val="28"/>
          <w:szCs w:val="21"/>
          <w:highlight w:val="none"/>
          <w:u w:val="single"/>
        </w:rPr>
        <w:t xml:space="preserve"> </w:t>
      </w:r>
      <w:r>
        <w:rPr>
          <w:color w:val="auto"/>
          <w:sz w:val="28"/>
          <w:szCs w:val="21"/>
          <w:highlight w:val="none"/>
          <w:u w:val="single"/>
        </w:rPr>
        <w:t xml:space="preserve">                                     </w:t>
      </w:r>
    </w:p>
    <w:p>
      <w:pPr>
        <w:spacing w:line="360" w:lineRule="auto"/>
        <w:ind w:firstLine="848" w:firstLineChars="303"/>
        <w:jc w:val="left"/>
        <w:rPr>
          <w:color w:val="auto"/>
          <w:sz w:val="28"/>
          <w:szCs w:val="21"/>
          <w:highlight w:val="none"/>
        </w:rPr>
      </w:pPr>
      <w:r>
        <w:rPr>
          <w:color w:val="auto"/>
          <w:sz w:val="28"/>
          <w:szCs w:val="21"/>
          <w:highlight w:val="none"/>
        </w:rPr>
        <w:t>联系地址：</w:t>
      </w:r>
      <w:r>
        <w:rPr>
          <w:rFonts w:hint="eastAsia"/>
          <w:color w:val="auto"/>
          <w:sz w:val="28"/>
          <w:szCs w:val="21"/>
          <w:highlight w:val="none"/>
          <w:u w:val="single"/>
        </w:rPr>
        <w:t xml:space="preserve"> </w:t>
      </w:r>
      <w:r>
        <w:rPr>
          <w:color w:val="auto"/>
          <w:sz w:val="28"/>
          <w:szCs w:val="21"/>
          <w:highlight w:val="none"/>
          <w:u w:val="single"/>
        </w:rPr>
        <w:t xml:space="preserve">                                     </w:t>
      </w:r>
    </w:p>
    <w:p>
      <w:pPr>
        <w:spacing w:line="360" w:lineRule="auto"/>
        <w:ind w:firstLine="1338" w:firstLineChars="303"/>
        <w:jc w:val="left"/>
        <w:rPr>
          <w:b/>
          <w:color w:val="auto"/>
          <w:sz w:val="44"/>
          <w:szCs w:val="44"/>
          <w:highlight w:val="none"/>
        </w:rPr>
      </w:pPr>
    </w:p>
    <w:p>
      <w:pPr>
        <w:spacing w:line="360" w:lineRule="auto"/>
        <w:jc w:val="center"/>
        <w:rPr>
          <w:b/>
          <w:color w:val="auto"/>
          <w:sz w:val="28"/>
          <w:szCs w:val="28"/>
          <w:highlight w:val="none"/>
        </w:rPr>
      </w:pPr>
      <w:r>
        <w:rPr>
          <w:b/>
          <w:color w:val="auto"/>
          <w:sz w:val="28"/>
          <w:szCs w:val="28"/>
          <w:highlight w:val="none"/>
        </w:rPr>
        <w:t>报价人：</w:t>
      </w:r>
      <w:r>
        <w:rPr>
          <w:color w:val="auto"/>
          <w:sz w:val="28"/>
          <w:szCs w:val="28"/>
          <w:highlight w:val="none"/>
          <w:u w:val="single"/>
        </w:rPr>
        <w:t>（填写名称）</w:t>
      </w:r>
      <w:r>
        <w:rPr>
          <w:color w:val="auto"/>
          <w:sz w:val="28"/>
          <w:szCs w:val="28"/>
          <w:highlight w:val="none"/>
        </w:rPr>
        <w:t>（</w:t>
      </w:r>
      <w:r>
        <w:rPr>
          <w:b/>
          <w:color w:val="auto"/>
          <w:sz w:val="28"/>
          <w:szCs w:val="28"/>
          <w:highlight w:val="none"/>
        </w:rPr>
        <w:t>并加盖报价人法人公章）</w:t>
      </w:r>
    </w:p>
    <w:p>
      <w:pPr>
        <w:spacing w:line="360" w:lineRule="auto"/>
        <w:ind w:firstLine="852" w:firstLineChars="303"/>
        <w:jc w:val="left"/>
        <w:rPr>
          <w:b/>
          <w:color w:val="auto"/>
          <w:sz w:val="28"/>
          <w:szCs w:val="28"/>
          <w:highlight w:val="none"/>
        </w:rPr>
      </w:pPr>
    </w:p>
    <w:p>
      <w:pPr>
        <w:spacing w:line="360" w:lineRule="auto"/>
        <w:ind w:firstLine="3233" w:firstLineChars="11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w:t>
      </w:r>
      <w:r>
        <w:rPr>
          <w:rFonts w:hint="eastAsia" w:ascii="宋体" w:hAnsi="宋体" w:cs="宋体"/>
          <w:b/>
          <w:color w:val="auto"/>
          <w:sz w:val="28"/>
          <w:szCs w:val="28"/>
          <w:highlight w:val="none"/>
          <w:lang w:val="en-US" w:eastAsia="zh-CN"/>
        </w:rPr>
        <w:t>24</w:t>
      </w:r>
      <w:r>
        <w:rPr>
          <w:rFonts w:hint="eastAsia" w:ascii="宋体" w:hAnsi="宋体" w:eastAsia="宋体" w:cs="宋体"/>
          <w:b/>
          <w:color w:val="auto"/>
          <w:sz w:val="28"/>
          <w:szCs w:val="28"/>
          <w:highlight w:val="none"/>
        </w:rPr>
        <w:t xml:space="preserve">年 </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月</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日</w:t>
      </w:r>
    </w:p>
    <w:p>
      <w:pPr>
        <w:jc w:val="center"/>
        <w:outlineLvl w:val="9"/>
        <w:rPr>
          <w:rFonts w:ascii="Times New Roman" w:hAnsi="Times New Roman" w:eastAsia="宋体"/>
          <w:color w:val="auto"/>
          <w:sz w:val="30"/>
          <w:szCs w:val="30"/>
          <w:highlight w:val="none"/>
        </w:rPr>
      </w:pPr>
      <w:r>
        <w:rPr>
          <w:rFonts w:ascii="Times New Roman" w:hAnsi="Times New Roman" w:eastAsia="宋体"/>
          <w:color w:val="auto"/>
          <w:sz w:val="36"/>
          <w:szCs w:val="36"/>
          <w:highlight w:val="none"/>
        </w:rPr>
        <w:br w:type="page"/>
      </w:r>
      <w:bookmarkStart w:id="194" w:name="_Toc34752515"/>
      <w:r>
        <w:rPr>
          <w:rFonts w:ascii="Times New Roman" w:hAnsi="Times New Roman" w:eastAsia="宋体"/>
          <w:color w:val="auto"/>
          <w:sz w:val="30"/>
          <w:szCs w:val="30"/>
          <w:highlight w:val="none"/>
        </w:rPr>
        <w:t>目录</w:t>
      </w:r>
    </w:p>
    <w:p>
      <w:pPr>
        <w:rPr>
          <w:color w:val="auto"/>
          <w:sz w:val="28"/>
          <w:szCs w:val="28"/>
          <w:highlight w:val="none"/>
        </w:rPr>
      </w:pPr>
    </w:p>
    <w:p>
      <w:pPr>
        <w:snapToGrid w:val="0"/>
        <w:spacing w:line="360" w:lineRule="auto"/>
        <w:rPr>
          <w:color w:val="auto"/>
          <w:sz w:val="28"/>
          <w:szCs w:val="28"/>
          <w:highlight w:val="none"/>
        </w:rPr>
      </w:pPr>
      <w:r>
        <w:rPr>
          <w:rFonts w:hint="eastAsia"/>
          <w:color w:val="auto"/>
          <w:sz w:val="28"/>
          <w:szCs w:val="28"/>
          <w:highlight w:val="none"/>
          <w:lang w:val="en-US" w:eastAsia="zh-CN"/>
        </w:rPr>
        <w:t>（一）</w:t>
      </w:r>
      <w:r>
        <w:rPr>
          <w:color w:val="auto"/>
          <w:sz w:val="28"/>
          <w:szCs w:val="28"/>
          <w:highlight w:val="none"/>
        </w:rPr>
        <w:t xml:space="preserve"> 报价表……………………………………………（报价人填写页码）</w:t>
      </w:r>
    </w:p>
    <w:p>
      <w:pPr>
        <w:pStyle w:val="2"/>
        <w:snapToGrid w:val="0"/>
        <w:spacing w:after="0" w:line="360" w:lineRule="auto"/>
        <w:rPr>
          <w:color w:val="auto"/>
          <w:sz w:val="28"/>
          <w:szCs w:val="28"/>
          <w:highlight w:val="none"/>
        </w:rPr>
      </w:pPr>
    </w:p>
    <w:p>
      <w:pPr>
        <w:snapToGrid w:val="0"/>
        <w:spacing w:line="360" w:lineRule="auto"/>
        <w:rPr>
          <w:rFonts w:hint="eastAsia" w:eastAsia="宋体"/>
          <w:color w:val="auto"/>
          <w:sz w:val="28"/>
          <w:szCs w:val="28"/>
          <w:highlight w:val="none"/>
          <w:lang w:val="en-US" w:eastAsia="zh-CN"/>
        </w:rPr>
      </w:pPr>
      <w:r>
        <w:rPr>
          <w:rFonts w:hint="eastAsia"/>
          <w:color w:val="auto"/>
          <w:sz w:val="28"/>
          <w:szCs w:val="28"/>
          <w:highlight w:val="none"/>
          <w:lang w:val="en-US" w:eastAsia="zh-CN"/>
        </w:rPr>
        <w:t>（二）报价人</w:t>
      </w:r>
      <w:r>
        <w:rPr>
          <w:rFonts w:hint="eastAsia"/>
          <w:color w:val="auto"/>
          <w:sz w:val="28"/>
          <w:szCs w:val="28"/>
          <w:highlight w:val="none"/>
        </w:rPr>
        <w:t>资格证明文件</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……………（报价人填写页码）</w:t>
      </w:r>
    </w:p>
    <w:p>
      <w:pPr>
        <w:snapToGrid w:val="0"/>
        <w:spacing w:line="360" w:lineRule="auto"/>
        <w:rPr>
          <w:color w:val="auto"/>
          <w:sz w:val="28"/>
          <w:szCs w:val="28"/>
          <w:highlight w:val="none"/>
        </w:rPr>
      </w:pPr>
    </w:p>
    <w:p>
      <w:pPr>
        <w:snapToGrid w:val="0"/>
        <w:spacing w:line="360" w:lineRule="auto"/>
        <w:rPr>
          <w:color w:val="auto"/>
          <w:sz w:val="28"/>
          <w:szCs w:val="28"/>
          <w:highlight w:val="none"/>
        </w:rPr>
      </w:pPr>
      <w:r>
        <w:rPr>
          <w:rFonts w:hint="eastAsia"/>
          <w:color w:val="auto"/>
          <w:sz w:val="28"/>
          <w:szCs w:val="28"/>
          <w:highlight w:val="none"/>
          <w:lang w:val="en-US" w:eastAsia="zh-CN"/>
        </w:rPr>
        <w:t>（三）报价人</w:t>
      </w:r>
      <w:r>
        <w:rPr>
          <w:rFonts w:hint="eastAsia"/>
          <w:color w:val="auto"/>
          <w:sz w:val="28"/>
          <w:szCs w:val="28"/>
          <w:highlight w:val="none"/>
        </w:rPr>
        <w:t>基本情况一览表</w:t>
      </w:r>
      <w:r>
        <w:rPr>
          <w:rFonts w:hint="eastAsia"/>
          <w:color w:val="auto"/>
          <w:sz w:val="28"/>
          <w:szCs w:val="28"/>
          <w:highlight w:val="none"/>
          <w:lang w:val="en-US" w:eastAsia="zh-CN"/>
        </w:rPr>
        <w:t>格式</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……（报价人填写页码）</w:t>
      </w:r>
    </w:p>
    <w:p>
      <w:pPr>
        <w:pStyle w:val="2"/>
        <w:snapToGrid w:val="0"/>
        <w:spacing w:after="0" w:line="360" w:lineRule="auto"/>
        <w:rPr>
          <w:color w:val="auto"/>
          <w:sz w:val="28"/>
          <w:szCs w:val="28"/>
          <w:highlight w:val="none"/>
        </w:rPr>
      </w:pPr>
    </w:p>
    <w:p>
      <w:pPr>
        <w:pStyle w:val="2"/>
        <w:numPr>
          <w:ilvl w:val="-1"/>
          <w:numId w:val="0"/>
        </w:numPr>
        <w:snapToGrid w:val="0"/>
        <w:spacing w:after="0" w:line="360" w:lineRule="auto"/>
        <w:rPr>
          <w:rFonts w:hint="eastAsia"/>
          <w:color w:val="auto"/>
          <w:sz w:val="28"/>
          <w:szCs w:val="28"/>
          <w:highlight w:val="none"/>
          <w:lang w:val="en-US" w:eastAsia="zh-CN"/>
        </w:rPr>
      </w:pPr>
      <w:r>
        <w:rPr>
          <w:rFonts w:hint="eastAsia"/>
          <w:color w:val="auto"/>
          <w:sz w:val="28"/>
          <w:szCs w:val="28"/>
          <w:highlight w:val="none"/>
          <w:lang w:val="en-US" w:eastAsia="zh-CN"/>
        </w:rPr>
        <w:t>（四）</w:t>
      </w:r>
      <w:r>
        <w:rPr>
          <w:rFonts w:hint="eastAsia"/>
          <w:color w:val="auto"/>
          <w:sz w:val="28"/>
          <w:szCs w:val="28"/>
          <w:highlight w:val="none"/>
        </w:rPr>
        <w:t>用户需求响应情况</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…（报价人填写页码）</w:t>
      </w:r>
    </w:p>
    <w:p>
      <w:pPr>
        <w:pStyle w:val="2"/>
        <w:numPr>
          <w:ilvl w:val="-1"/>
          <w:numId w:val="0"/>
        </w:numPr>
        <w:snapToGrid w:val="0"/>
        <w:spacing w:after="0" w:line="360" w:lineRule="auto"/>
        <w:rPr>
          <w:rFonts w:hint="eastAsia"/>
          <w:color w:val="auto"/>
          <w:sz w:val="28"/>
          <w:szCs w:val="28"/>
          <w:highlight w:val="none"/>
          <w:lang w:val="en-US" w:eastAsia="zh-CN"/>
        </w:rPr>
      </w:pPr>
    </w:p>
    <w:p>
      <w:pPr>
        <w:pStyle w:val="2"/>
        <w:numPr>
          <w:ilvl w:val="-1"/>
          <w:numId w:val="0"/>
        </w:numPr>
        <w:snapToGrid w:val="0"/>
        <w:spacing w:after="0" w:line="360" w:lineRule="auto"/>
        <w:rPr>
          <w:rFonts w:hint="default"/>
          <w:color w:val="auto"/>
          <w:sz w:val="28"/>
          <w:szCs w:val="28"/>
          <w:highlight w:val="none"/>
          <w:lang w:val="en-US" w:eastAsia="zh-CN"/>
        </w:rPr>
      </w:pPr>
      <w:r>
        <w:rPr>
          <w:rFonts w:hint="eastAsia"/>
          <w:color w:val="auto"/>
          <w:sz w:val="28"/>
          <w:szCs w:val="28"/>
          <w:highlight w:val="none"/>
          <w:lang w:val="en-US" w:eastAsia="zh-CN"/>
        </w:rPr>
        <w:t>（五）合同条款响应情况</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…（报价人填写页码）</w:t>
      </w:r>
    </w:p>
    <w:p>
      <w:pPr>
        <w:pStyle w:val="2"/>
        <w:numPr>
          <w:ilvl w:val="-1"/>
          <w:numId w:val="0"/>
        </w:numPr>
        <w:snapToGrid w:val="0"/>
        <w:spacing w:after="0" w:line="360" w:lineRule="auto"/>
        <w:rPr>
          <w:rFonts w:hint="eastAsia"/>
          <w:color w:val="auto"/>
          <w:sz w:val="28"/>
          <w:szCs w:val="28"/>
          <w:highlight w:val="none"/>
          <w:lang w:val="en-US" w:eastAsia="zh-CN"/>
        </w:rPr>
      </w:pPr>
    </w:p>
    <w:p>
      <w:pPr>
        <w:pStyle w:val="2"/>
        <w:numPr>
          <w:ilvl w:val="-1"/>
          <w:numId w:val="0"/>
        </w:numPr>
        <w:snapToGrid w:val="0"/>
        <w:spacing w:after="0" w:line="360" w:lineRule="auto"/>
        <w:rPr>
          <w:rFonts w:hint="eastAsia"/>
          <w:color w:val="auto"/>
          <w:sz w:val="28"/>
          <w:szCs w:val="28"/>
          <w:highlight w:val="none"/>
          <w:lang w:val="en-US" w:eastAsia="zh-CN"/>
        </w:rPr>
      </w:pPr>
      <w:r>
        <w:rPr>
          <w:rFonts w:hint="eastAsia"/>
          <w:color w:val="auto"/>
          <w:sz w:val="28"/>
          <w:szCs w:val="28"/>
          <w:highlight w:val="none"/>
          <w:lang w:val="en-US" w:eastAsia="zh-CN"/>
        </w:rPr>
        <w:t>（六）拟投入本项目的服务人员清单表</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…（报价人填写页码）</w:t>
      </w:r>
    </w:p>
    <w:p>
      <w:pPr>
        <w:pStyle w:val="2"/>
        <w:numPr>
          <w:ilvl w:val="-1"/>
          <w:numId w:val="0"/>
        </w:numPr>
        <w:snapToGrid w:val="0"/>
        <w:spacing w:after="0" w:line="360" w:lineRule="auto"/>
        <w:rPr>
          <w:rFonts w:hint="eastAsia"/>
          <w:color w:val="auto"/>
          <w:sz w:val="28"/>
          <w:szCs w:val="28"/>
          <w:highlight w:val="none"/>
          <w:lang w:val="en-US" w:eastAsia="zh-CN"/>
        </w:rPr>
      </w:pPr>
    </w:p>
    <w:p>
      <w:pPr>
        <w:pStyle w:val="2"/>
        <w:numPr>
          <w:ilvl w:val="-1"/>
          <w:numId w:val="0"/>
        </w:numPr>
        <w:snapToGrid w:val="0"/>
        <w:spacing w:after="0" w:line="360" w:lineRule="auto"/>
        <w:rPr>
          <w:color w:val="auto"/>
          <w:sz w:val="21"/>
          <w:szCs w:val="24"/>
          <w:highlight w:val="none"/>
        </w:rPr>
      </w:pPr>
      <w:r>
        <w:rPr>
          <w:rFonts w:hint="eastAsia"/>
          <w:color w:val="auto"/>
          <w:sz w:val="28"/>
          <w:szCs w:val="28"/>
          <w:highlight w:val="none"/>
          <w:lang w:val="en-US" w:eastAsia="zh-CN"/>
        </w:rPr>
        <w:t>（七）报价人认为需要提供的其他证明材料</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…（报价人填写页码）</w:t>
      </w:r>
    </w:p>
    <w:p>
      <w:pPr>
        <w:pStyle w:val="2"/>
        <w:snapToGrid w:val="0"/>
        <w:spacing w:after="0" w:line="360" w:lineRule="auto"/>
        <w:rPr>
          <w:color w:val="auto"/>
          <w:sz w:val="28"/>
          <w:szCs w:val="28"/>
          <w:highlight w:val="none"/>
        </w:rPr>
      </w:pPr>
    </w:p>
    <w:p>
      <w:pPr>
        <w:pStyle w:val="3"/>
        <w:rPr>
          <w:color w:val="auto"/>
          <w:sz w:val="21"/>
          <w:szCs w:val="24"/>
          <w:highlight w:val="none"/>
        </w:rPr>
      </w:pPr>
    </w:p>
    <w:p>
      <w:pPr>
        <w:pStyle w:val="2"/>
        <w:rPr>
          <w:color w:val="auto"/>
          <w:highlight w:val="none"/>
        </w:rPr>
      </w:pPr>
    </w:p>
    <w:p>
      <w:pPr>
        <w:pStyle w:val="2"/>
        <w:rPr>
          <w:color w:val="auto"/>
          <w:highlight w:val="none"/>
        </w:rPr>
      </w:pPr>
    </w:p>
    <w:p>
      <w:pPr>
        <w:pStyle w:val="5"/>
        <w:pageBreakBefore/>
        <w:spacing w:before="0" w:after="0" w:line="360" w:lineRule="auto"/>
        <w:jc w:val="center"/>
        <w:rPr>
          <w:rFonts w:ascii="Times New Roman" w:hAnsi="Times New Roman" w:eastAsia="宋体"/>
          <w:color w:val="auto"/>
          <w:sz w:val="36"/>
          <w:szCs w:val="36"/>
          <w:highlight w:val="none"/>
        </w:rPr>
      </w:pPr>
      <w:bookmarkStart w:id="195" w:name="_Toc13364"/>
      <w:bookmarkStart w:id="196" w:name="_Toc4723"/>
      <w:r>
        <w:rPr>
          <w:rFonts w:hint="eastAsia" w:ascii="Times New Roman" w:hAnsi="Times New Roman" w:eastAsia="宋体"/>
          <w:color w:val="auto"/>
          <w:sz w:val="36"/>
          <w:szCs w:val="36"/>
          <w:highlight w:val="none"/>
          <w:lang w:eastAsia="zh-CN"/>
        </w:rPr>
        <w:t>（</w:t>
      </w:r>
      <w:r>
        <w:rPr>
          <w:rFonts w:hint="eastAsia" w:ascii="Times New Roman" w:hAnsi="Times New Roman" w:eastAsia="宋体"/>
          <w:color w:val="auto"/>
          <w:sz w:val="36"/>
          <w:szCs w:val="36"/>
          <w:highlight w:val="none"/>
          <w:lang w:val="en-US" w:eastAsia="zh-CN"/>
        </w:rPr>
        <w:t>一</w:t>
      </w:r>
      <w:r>
        <w:rPr>
          <w:rFonts w:hint="eastAsia" w:ascii="Times New Roman" w:hAnsi="Times New Roman" w:eastAsia="宋体"/>
          <w:color w:val="auto"/>
          <w:sz w:val="36"/>
          <w:szCs w:val="36"/>
          <w:highlight w:val="none"/>
          <w:lang w:eastAsia="zh-CN"/>
        </w:rPr>
        <w:t>）</w:t>
      </w:r>
      <w:r>
        <w:rPr>
          <w:rFonts w:ascii="Times New Roman" w:hAnsi="Times New Roman" w:eastAsia="宋体"/>
          <w:color w:val="auto"/>
          <w:sz w:val="36"/>
          <w:szCs w:val="36"/>
          <w:highlight w:val="none"/>
        </w:rPr>
        <w:t>报价表</w:t>
      </w:r>
      <w:bookmarkEnd w:id="186"/>
      <w:bookmarkEnd w:id="187"/>
      <w:bookmarkEnd w:id="188"/>
      <w:bookmarkEnd w:id="194"/>
      <w:bookmarkEnd w:id="195"/>
      <w:bookmarkEnd w:id="196"/>
    </w:p>
    <w:p>
      <w:pPr>
        <w:spacing w:line="360" w:lineRule="auto"/>
        <w:ind w:firstLine="5040" w:firstLineChars="2400"/>
        <w:jc w:val="right"/>
        <w:rPr>
          <w:color w:val="auto"/>
          <w:szCs w:val="21"/>
          <w:highlight w:val="none"/>
          <w:lang w:val="zh-CN"/>
        </w:rPr>
      </w:pPr>
    </w:p>
    <w:p>
      <w:pPr>
        <w:pStyle w:val="2"/>
        <w:rPr>
          <w:rFonts w:ascii="宋体" w:hAnsi="宋体" w:eastAsia="宋体"/>
          <w:b/>
          <w:color w:val="auto"/>
          <w:sz w:val="28"/>
          <w:highlight w:val="none"/>
          <w:lang w:val="zh-CN"/>
        </w:rPr>
      </w:pPr>
      <w:r>
        <w:rPr>
          <w:rFonts w:ascii="宋体" w:hAnsi="宋体" w:eastAsia="宋体"/>
          <w:b/>
          <w:color w:val="auto"/>
          <w:sz w:val="28"/>
          <w:highlight w:val="none"/>
          <w:lang w:val="zh-CN"/>
        </w:rPr>
        <w:t>1.1报价表</w:t>
      </w:r>
    </w:p>
    <w:tbl>
      <w:tblPr>
        <w:tblStyle w:val="16"/>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317" w:type="dxa"/>
            <w:vAlign w:val="center"/>
          </w:tcPr>
          <w:p>
            <w:pPr>
              <w:jc w:val="center"/>
              <w:rPr>
                <w:color w:val="auto"/>
                <w:szCs w:val="21"/>
                <w:highlight w:val="none"/>
              </w:rPr>
            </w:pPr>
            <w:r>
              <w:rPr>
                <w:color w:val="auto"/>
                <w:szCs w:val="21"/>
                <w:highlight w:val="none"/>
              </w:rPr>
              <w:t>项目名称</w:t>
            </w:r>
          </w:p>
        </w:tc>
        <w:tc>
          <w:tcPr>
            <w:tcW w:w="6922" w:type="dxa"/>
            <w:vAlign w:val="center"/>
          </w:tcPr>
          <w:p>
            <w:pPr>
              <w:rPr>
                <w:rFonts w:hint="eastAsia" w:eastAsia="宋体"/>
                <w:color w:val="auto"/>
                <w:szCs w:val="21"/>
                <w:highlight w:val="none"/>
                <w:lang w:eastAsia="zh-CN"/>
              </w:rPr>
            </w:pPr>
            <w:r>
              <w:rPr>
                <w:rFonts w:hint="eastAsia"/>
                <w:color w:val="auto"/>
                <w:szCs w:val="21"/>
                <w:highlight w:val="none"/>
                <w:lang w:val="en-US" w:eastAsia="zh-CN"/>
              </w:rPr>
              <w:t>东莞市智汇水务科技有限公司2024年股权、设备资产价值评估单位采购项目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317" w:type="dxa"/>
            <w:vAlign w:val="center"/>
          </w:tcPr>
          <w:p>
            <w:pPr>
              <w:jc w:val="center"/>
              <w:rPr>
                <w:color w:val="auto"/>
                <w:highlight w:val="none"/>
              </w:rPr>
            </w:pPr>
            <w:r>
              <w:rPr>
                <w:color w:val="auto"/>
                <w:highlight w:val="none"/>
              </w:rPr>
              <w:t>不含税报价</w:t>
            </w:r>
          </w:p>
          <w:p>
            <w:pPr>
              <w:pStyle w:val="2"/>
              <w:jc w:val="center"/>
              <w:rPr>
                <w:rFonts w:hint="default" w:eastAsia="宋体"/>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总价</w:t>
            </w:r>
            <w:r>
              <w:rPr>
                <w:rFonts w:hint="eastAsia"/>
                <w:color w:val="auto"/>
                <w:szCs w:val="21"/>
                <w:highlight w:val="none"/>
                <w:lang w:eastAsia="zh-CN"/>
              </w:rPr>
              <w:t>）</w:t>
            </w:r>
          </w:p>
        </w:tc>
        <w:tc>
          <w:tcPr>
            <w:tcW w:w="6922" w:type="dxa"/>
            <w:vAlign w:val="center"/>
          </w:tcPr>
          <w:p>
            <w:pPr>
              <w:pStyle w:val="7"/>
              <w:spacing w:line="360" w:lineRule="auto"/>
              <w:jc w:val="left"/>
              <w:rPr>
                <w:rFonts w:hint="eastAsia" w:ascii="Times New Roman" w:hAnsi="Times New Roman"/>
                <w:bCs/>
                <w:color w:val="auto"/>
                <w:szCs w:val="21"/>
                <w:highlight w:val="none"/>
                <w:lang w:val="en-US" w:eastAsia="zh-CN"/>
              </w:rPr>
            </w:pPr>
            <w:r>
              <w:rPr>
                <w:rFonts w:ascii="Times New Roman" w:hAnsi="Times New Roman"/>
                <w:bCs/>
                <w:color w:val="auto"/>
                <w:szCs w:val="21"/>
                <w:highlight w:val="none"/>
                <w:u w:val="single"/>
                <w:lang w:val="zh-CN"/>
              </w:rPr>
              <w:t xml:space="preserve">             </w:t>
            </w:r>
            <w:r>
              <w:rPr>
                <w:rFonts w:ascii="Times New Roman" w:hAnsi="Times New Roman"/>
                <w:bCs/>
                <w:color w:val="auto"/>
                <w:szCs w:val="21"/>
                <w:highlight w:val="none"/>
                <w:u w:val="none"/>
                <w:lang w:val="zh-CN"/>
              </w:rPr>
              <w:t>元</w:t>
            </w:r>
            <w:r>
              <w:rPr>
                <w:rFonts w:hint="eastAsia" w:ascii="Times New Roman" w:hAnsi="Times New Roman"/>
                <w:bCs/>
                <w:color w:val="auto"/>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317" w:type="dxa"/>
            <w:vAlign w:val="center"/>
          </w:tcPr>
          <w:p>
            <w:pPr>
              <w:jc w:val="center"/>
              <w:rPr>
                <w:color w:val="auto"/>
                <w:szCs w:val="21"/>
                <w:highlight w:val="none"/>
              </w:rPr>
            </w:pPr>
            <w:r>
              <w:rPr>
                <w:color w:val="auto"/>
                <w:szCs w:val="21"/>
                <w:highlight w:val="none"/>
              </w:rPr>
              <w:t>报价人纳税类型</w:t>
            </w:r>
          </w:p>
        </w:tc>
        <w:tc>
          <w:tcPr>
            <w:tcW w:w="6922" w:type="dxa"/>
            <w:vAlign w:val="center"/>
          </w:tcPr>
          <w:p>
            <w:pPr>
              <w:pStyle w:val="7"/>
              <w:spacing w:line="360" w:lineRule="auto"/>
              <w:rPr>
                <w:rFonts w:ascii="Times New Roman" w:hAnsi="Times New Roman"/>
                <w:color w:val="auto"/>
                <w:szCs w:val="21"/>
                <w:highlight w:val="none"/>
                <w:u w:val="single"/>
              </w:rPr>
            </w:pPr>
            <w:r>
              <w:rPr>
                <w:rFonts w:ascii="Times New Roman" w:hAnsi="Times New Roman"/>
                <w:color w:val="auto"/>
                <w:szCs w:val="21"/>
                <w:highlight w:val="none"/>
              </w:rPr>
              <w:sym w:font="Wingdings 2" w:char="00A3"/>
            </w:r>
            <w:r>
              <w:rPr>
                <w:rFonts w:ascii="Times New Roman" w:hAnsi="Times New Roman"/>
                <w:color w:val="auto"/>
                <w:szCs w:val="21"/>
                <w:highlight w:val="none"/>
              </w:rPr>
              <w:t>一般纳税人，增值税税率</w:t>
            </w:r>
            <w:r>
              <w:rPr>
                <w:rFonts w:ascii="Times New Roman" w:hAnsi="Times New Roman"/>
                <w:bCs/>
                <w:color w:val="auto"/>
                <w:szCs w:val="21"/>
                <w:highlight w:val="none"/>
                <w:u w:val="single"/>
                <w:lang w:val="zh-CN"/>
              </w:rPr>
              <w:t xml:space="preserve">          </w:t>
            </w:r>
            <w:r>
              <w:rPr>
                <w:rFonts w:ascii="Times New Roman" w:hAnsi="Times New Roman"/>
                <w:color w:val="auto"/>
                <w:szCs w:val="21"/>
                <w:highlight w:val="none"/>
              </w:rPr>
              <w:t>。</w:t>
            </w:r>
          </w:p>
          <w:p>
            <w:pPr>
              <w:pStyle w:val="7"/>
              <w:spacing w:line="360" w:lineRule="auto"/>
              <w:rPr>
                <w:rFonts w:ascii="Times New Roman" w:hAnsi="Times New Roman"/>
                <w:color w:val="auto"/>
                <w:szCs w:val="21"/>
                <w:highlight w:val="none"/>
                <w:u w:val="single"/>
              </w:rPr>
            </w:pPr>
            <w:r>
              <w:rPr>
                <w:rFonts w:ascii="Times New Roman" w:hAnsi="Times New Roman"/>
                <w:color w:val="auto"/>
                <w:szCs w:val="21"/>
                <w:highlight w:val="none"/>
              </w:rPr>
              <w:sym w:font="Wingdings 2" w:char="00A3"/>
            </w:r>
            <w:r>
              <w:rPr>
                <w:rFonts w:ascii="Times New Roman" w:hAnsi="Times New Roman"/>
                <w:color w:val="auto"/>
                <w:szCs w:val="21"/>
                <w:highlight w:val="none"/>
              </w:rPr>
              <w:t>小规模纳税人，增值税税率</w:t>
            </w:r>
            <w:r>
              <w:rPr>
                <w:rFonts w:ascii="Times New Roman" w:hAnsi="Times New Roman"/>
                <w:bCs/>
                <w:color w:val="auto"/>
                <w:szCs w:val="21"/>
                <w:highlight w:val="none"/>
                <w:u w:val="single"/>
                <w:lang w:val="zh-CN"/>
              </w:rPr>
              <w:t xml:space="preserve">          </w:t>
            </w:r>
            <w:r>
              <w:rPr>
                <w:rFonts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231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922" w:type="dxa"/>
            <w:vAlign w:val="center"/>
          </w:tcPr>
          <w:p>
            <w:pPr>
              <w:snapToGrid w:val="0"/>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上述不含税报价</w:t>
            </w:r>
            <w:r>
              <w:rPr>
                <w:rFonts w:hint="eastAsia" w:ascii="宋体" w:hAnsi="宋体" w:eastAsia="宋体" w:cs="宋体"/>
                <w:color w:val="auto"/>
                <w:szCs w:val="21"/>
                <w:highlight w:val="none"/>
                <w:lang w:val="en-US" w:eastAsia="zh-CN"/>
              </w:rPr>
              <w:t xml:space="preserve">为乙方完成应承担合同义务的全部费用，包括但不限于： </w:t>
            </w:r>
          </w:p>
          <w:p>
            <w:pPr>
              <w:snapToGrid w:val="0"/>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eastAsia="zh-CN"/>
              </w:rPr>
              <w:t>）</w:t>
            </w:r>
            <w:r>
              <w:rPr>
                <w:rFonts w:hint="eastAsia" w:ascii="宋体" w:hAnsi="宋体" w:eastAsia="宋体" w:cs="宋体"/>
                <w:color w:val="auto"/>
                <w:szCs w:val="21"/>
                <w:highlight w:val="none"/>
                <w:lang w:val="zh-CN" w:eastAsia="zh-CN"/>
              </w:rPr>
              <w:t>实地查勘、资料收集/核实/分析、编写评估报告（含初评/</w:t>
            </w:r>
            <w:r>
              <w:rPr>
                <w:rFonts w:hint="eastAsia" w:ascii="宋体" w:hAnsi="宋体" w:cs="宋体"/>
                <w:color w:val="auto"/>
                <w:szCs w:val="21"/>
                <w:highlight w:val="none"/>
                <w:lang w:val="en-US" w:eastAsia="zh-CN"/>
              </w:rPr>
              <w:t>过程</w:t>
            </w:r>
            <w:r>
              <w:rPr>
                <w:rFonts w:hint="eastAsia" w:ascii="宋体" w:hAnsi="宋体" w:eastAsia="宋体" w:cs="宋体"/>
                <w:color w:val="auto"/>
                <w:szCs w:val="21"/>
                <w:highlight w:val="none"/>
                <w:lang w:val="zh-CN" w:eastAsia="zh-CN"/>
              </w:rPr>
              <w:t>修改/正式版等）；</w:t>
            </w:r>
          </w:p>
          <w:p>
            <w:pPr>
              <w:snapToGrid w:val="0"/>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）服务期间</w:t>
            </w:r>
            <w:r>
              <w:rPr>
                <w:rFonts w:hint="eastAsia" w:ascii="宋体" w:hAnsi="宋体" w:eastAsia="宋体" w:cs="宋体"/>
                <w:color w:val="auto"/>
                <w:szCs w:val="21"/>
                <w:highlight w:val="none"/>
                <w:lang w:val="en-US" w:eastAsia="zh-CN"/>
              </w:rPr>
              <w:t>人员</w:t>
            </w:r>
            <w:r>
              <w:rPr>
                <w:rFonts w:hint="eastAsia" w:ascii="宋体" w:hAnsi="宋体" w:eastAsia="宋体" w:cs="宋体"/>
                <w:color w:val="auto"/>
                <w:szCs w:val="21"/>
                <w:highlight w:val="none"/>
                <w:lang w:val="zh-CN" w:eastAsia="zh-CN"/>
              </w:rPr>
              <w:t>工资、管理费、交通费、通讯费、</w:t>
            </w:r>
            <w:r>
              <w:rPr>
                <w:rFonts w:hint="eastAsia" w:ascii="宋体" w:hAnsi="宋体" w:eastAsia="宋体" w:cs="宋体"/>
                <w:color w:val="auto"/>
                <w:szCs w:val="21"/>
                <w:highlight w:val="none"/>
                <w:lang w:val="en-US" w:eastAsia="zh-CN"/>
              </w:rPr>
              <w:t>餐费、差旅费、保险费</w:t>
            </w:r>
            <w:r>
              <w:rPr>
                <w:rFonts w:hint="eastAsia" w:ascii="宋体" w:hAnsi="宋体" w:eastAsia="宋体" w:cs="宋体"/>
                <w:color w:val="auto"/>
                <w:szCs w:val="21"/>
                <w:highlight w:val="none"/>
                <w:lang w:val="zh-CN" w:eastAsia="zh-CN"/>
              </w:rPr>
              <w:t>等一切费用；</w:t>
            </w:r>
          </w:p>
          <w:p>
            <w:pPr>
              <w:snapToGrid w:val="0"/>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）合理利润、</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val="zh-CN" w:eastAsia="zh-CN"/>
              </w:rPr>
              <w:t>销项税额以外的税费等；</w:t>
            </w:r>
          </w:p>
          <w:p>
            <w:pPr>
              <w:snapToGrid w:val="0"/>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eastAsia="zh-CN"/>
              </w:rPr>
              <w:t>）法律法规、商业公认、</w:t>
            </w:r>
            <w:r>
              <w:rPr>
                <w:rFonts w:hint="eastAsia" w:ascii="宋体" w:hAnsi="宋体" w:eastAsia="宋体" w:cs="宋体"/>
                <w:color w:val="auto"/>
                <w:szCs w:val="21"/>
                <w:highlight w:val="none"/>
                <w:lang w:val="en-US" w:eastAsia="zh-CN"/>
              </w:rPr>
              <w:t>询价</w:t>
            </w:r>
            <w:r>
              <w:rPr>
                <w:rFonts w:hint="eastAsia" w:ascii="宋体" w:hAnsi="宋体" w:eastAsia="宋体" w:cs="宋体"/>
                <w:color w:val="auto"/>
                <w:szCs w:val="21"/>
                <w:highlight w:val="none"/>
                <w:lang w:val="zh-CN" w:eastAsia="zh-CN"/>
              </w:rPr>
              <w:t>文件规定由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val="zh-CN" w:eastAsia="zh-CN"/>
              </w:rPr>
              <w:t>承担的其他费用。</w:t>
            </w:r>
          </w:p>
          <w:p>
            <w:pPr>
              <w:spacing w:line="240" w:lineRule="auto"/>
              <w:rPr>
                <w:rFonts w:hint="eastAsia"/>
                <w:color w:val="auto"/>
                <w:highlight w:val="none"/>
                <w:lang w:val="zh-CN"/>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依法计算的报价人的销项税额由采购人承担，不计入报价。</w:t>
            </w:r>
          </w:p>
        </w:tc>
      </w:tr>
    </w:tbl>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400"/>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400"/>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400"/>
        <w:jc w:val="right"/>
        <w:textAlignment w:val="auto"/>
        <w:rPr>
          <w:color w:val="auto"/>
          <w:szCs w:val="21"/>
          <w:highlight w:val="none"/>
          <w:lang w:val="zh-CN"/>
        </w:rPr>
      </w:pPr>
      <w:r>
        <w:rPr>
          <w:color w:val="auto"/>
          <w:szCs w:val="21"/>
          <w:highlight w:val="none"/>
          <w:lang w:val="zh-CN"/>
        </w:rPr>
        <w:t>报价人：（加盖报价人法人公章）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r>
        <w:rPr>
          <w:color w:val="auto"/>
          <w:szCs w:val="21"/>
          <w:highlight w:val="none"/>
          <w:lang w:val="zh-CN"/>
        </w:rPr>
        <w:t>日期：</w:t>
      </w:r>
      <w:r>
        <w:rPr>
          <w:rFonts w:hint="eastAsia"/>
          <w:color w:val="auto"/>
          <w:szCs w:val="21"/>
          <w:highlight w:val="none"/>
          <w:lang w:val="en-US" w:eastAsia="zh-CN"/>
        </w:rPr>
        <w:t xml:space="preserve">  </w:t>
      </w:r>
      <w:r>
        <w:rPr>
          <w:rFonts w:hint="eastAsia"/>
          <w:color w:val="auto"/>
          <w:szCs w:val="21"/>
          <w:highlight w:val="none"/>
          <w:lang w:val="zh-CN"/>
        </w:rPr>
        <w:t xml:space="preserve"> </w:t>
      </w:r>
      <w:r>
        <w:rPr>
          <w:color w:val="auto"/>
          <w:szCs w:val="21"/>
          <w:highlight w:val="none"/>
          <w:lang w:val="zh-CN"/>
        </w:rPr>
        <w:t>年</w:t>
      </w:r>
      <w:r>
        <w:rPr>
          <w:rFonts w:hint="eastAsia"/>
          <w:color w:val="auto"/>
          <w:szCs w:val="21"/>
          <w:highlight w:val="none"/>
          <w:lang w:val="en-US" w:eastAsia="zh-CN"/>
        </w:rPr>
        <w:t xml:space="preserve"> </w:t>
      </w:r>
      <w:r>
        <w:rPr>
          <w:rFonts w:hint="eastAsia"/>
          <w:color w:val="auto"/>
          <w:szCs w:val="21"/>
          <w:highlight w:val="none"/>
          <w:lang w:val="zh-CN"/>
        </w:rPr>
        <w:t xml:space="preserve"> </w:t>
      </w:r>
      <w:r>
        <w:rPr>
          <w:color w:val="auto"/>
          <w:szCs w:val="21"/>
          <w:highlight w:val="none"/>
          <w:lang w:val="zh-CN"/>
        </w:rPr>
        <w:t>月</w:t>
      </w:r>
      <w:r>
        <w:rPr>
          <w:rFonts w:hint="eastAsia"/>
          <w:color w:val="auto"/>
          <w:szCs w:val="21"/>
          <w:highlight w:val="none"/>
          <w:lang w:val="zh-CN"/>
        </w:rPr>
        <w:t xml:space="preserve"> </w:t>
      </w:r>
      <w:r>
        <w:rPr>
          <w:rFonts w:hint="eastAsia"/>
          <w:color w:val="auto"/>
          <w:szCs w:val="21"/>
          <w:highlight w:val="none"/>
          <w:lang w:val="en-US" w:eastAsia="zh-CN"/>
        </w:rPr>
        <w:t xml:space="preserve"> </w:t>
      </w:r>
      <w:r>
        <w:rPr>
          <w:color w:val="auto"/>
          <w:szCs w:val="21"/>
          <w:highlight w:val="none"/>
          <w:lang w:val="zh-CN"/>
        </w:rPr>
        <w:t>日</w:t>
      </w:r>
      <w:bookmarkStart w:id="197" w:name="_Toc34745986"/>
      <w:bookmarkStart w:id="198" w:name="_Toc34746361"/>
      <w:bookmarkStart w:id="199" w:name="_Toc34746053"/>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Cs w:val="21"/>
          <w:highlight w:val="none"/>
          <w:lang w:val="zh-CN"/>
        </w:rPr>
      </w:pPr>
    </w:p>
    <w:p>
      <w:pPr>
        <w:spacing w:after="0"/>
        <w:rPr>
          <w:rFonts w:ascii="宋体" w:hAnsi="宋体" w:eastAsia="宋体" w:cs="Times New Roman"/>
          <w:b/>
          <w:color w:val="auto"/>
          <w:kern w:val="2"/>
          <w:sz w:val="28"/>
          <w:szCs w:val="24"/>
          <w:highlight w:val="none"/>
          <w:lang w:val="zh-CN" w:eastAsia="zh-CN" w:bidi="ar-SA"/>
        </w:rPr>
      </w:pPr>
      <w:r>
        <w:rPr>
          <w:rFonts w:ascii="宋体" w:hAnsi="宋体" w:eastAsia="宋体" w:cs="Times New Roman"/>
          <w:b/>
          <w:color w:val="auto"/>
          <w:kern w:val="2"/>
          <w:sz w:val="28"/>
          <w:szCs w:val="24"/>
          <w:highlight w:val="none"/>
          <w:lang w:val="zh-CN" w:eastAsia="zh-CN" w:bidi="ar-SA"/>
        </w:rPr>
        <w:br w:type="page"/>
      </w:r>
    </w:p>
    <w:p>
      <w:pPr>
        <w:spacing w:after="120"/>
        <w:rPr>
          <w:rFonts w:hint="eastAsia" w:ascii="宋体" w:hAnsi="宋体" w:cs="Times New Roman"/>
          <w:b w:val="0"/>
          <w:bCs/>
          <w:color w:val="auto"/>
          <w:kern w:val="2"/>
          <w:sz w:val="28"/>
          <w:szCs w:val="24"/>
          <w:highlight w:val="none"/>
          <w:lang w:val="en-US" w:eastAsia="zh-CN" w:bidi="ar-SA"/>
        </w:rPr>
      </w:pPr>
      <w:r>
        <w:rPr>
          <w:rFonts w:ascii="宋体" w:hAnsi="宋体" w:eastAsia="宋体" w:cs="Times New Roman"/>
          <w:b/>
          <w:color w:val="auto"/>
          <w:kern w:val="2"/>
          <w:sz w:val="28"/>
          <w:szCs w:val="24"/>
          <w:highlight w:val="none"/>
          <w:lang w:val="zh-CN" w:eastAsia="zh-CN" w:bidi="ar-SA"/>
        </w:rPr>
        <w:t>1.2 分项报价明细表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592"/>
        <w:gridCol w:w="2508"/>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 w:type="dxa"/>
            <w:vAlign w:val="center"/>
          </w:tcPr>
          <w:p>
            <w:pPr>
              <w:spacing w:line="240" w:lineRule="auto"/>
              <w:jc w:val="center"/>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序号</w:t>
            </w:r>
          </w:p>
        </w:tc>
        <w:tc>
          <w:tcPr>
            <w:tcW w:w="2592" w:type="dxa"/>
            <w:vAlign w:val="center"/>
          </w:tcPr>
          <w:p>
            <w:pPr>
              <w:spacing w:line="240" w:lineRule="auto"/>
              <w:jc w:val="center"/>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报价项目</w:t>
            </w:r>
          </w:p>
        </w:tc>
        <w:tc>
          <w:tcPr>
            <w:tcW w:w="2508" w:type="dxa"/>
            <w:vAlign w:val="center"/>
          </w:tcPr>
          <w:p>
            <w:pPr>
              <w:spacing w:line="240" w:lineRule="auto"/>
              <w:jc w:val="center"/>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不含税报价（元）</w:t>
            </w:r>
          </w:p>
        </w:tc>
        <w:tc>
          <w:tcPr>
            <w:tcW w:w="2453" w:type="dxa"/>
            <w:vAlign w:val="center"/>
          </w:tcPr>
          <w:p>
            <w:pPr>
              <w:spacing w:line="240" w:lineRule="auto"/>
              <w:jc w:val="center"/>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 w:type="dxa"/>
            <w:vAlign w:val="center"/>
          </w:tcPr>
          <w:p>
            <w:pPr>
              <w:spacing w:line="240" w:lineRule="auto"/>
              <w:jc w:val="center"/>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1</w:t>
            </w:r>
          </w:p>
        </w:tc>
        <w:tc>
          <w:tcPr>
            <w:tcW w:w="2592" w:type="dxa"/>
            <w:vAlign w:val="center"/>
          </w:tcPr>
          <w:p>
            <w:pPr>
              <w:spacing w:line="240" w:lineRule="auto"/>
              <w:jc w:val="center"/>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股权价值评估</w:t>
            </w:r>
          </w:p>
        </w:tc>
        <w:tc>
          <w:tcPr>
            <w:tcW w:w="2508" w:type="dxa"/>
            <w:vAlign w:val="center"/>
          </w:tcPr>
          <w:p>
            <w:pPr>
              <w:spacing w:line="240" w:lineRule="auto"/>
              <w:jc w:val="center"/>
              <w:rPr>
                <w:color w:val="auto"/>
                <w:szCs w:val="21"/>
                <w:highlight w:val="none"/>
                <w:vertAlign w:val="baseline"/>
              </w:rPr>
            </w:pPr>
          </w:p>
        </w:tc>
        <w:tc>
          <w:tcPr>
            <w:tcW w:w="2453" w:type="dxa"/>
            <w:vAlign w:val="center"/>
          </w:tcPr>
          <w:p>
            <w:pPr>
              <w:spacing w:line="240" w:lineRule="auto"/>
              <w:jc w:val="center"/>
              <w:rPr>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 w:type="dxa"/>
            <w:vAlign w:val="center"/>
          </w:tcPr>
          <w:p>
            <w:pPr>
              <w:spacing w:line="240" w:lineRule="auto"/>
              <w:jc w:val="center"/>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2</w:t>
            </w:r>
          </w:p>
        </w:tc>
        <w:tc>
          <w:tcPr>
            <w:tcW w:w="2592" w:type="dxa"/>
            <w:vAlign w:val="center"/>
          </w:tcPr>
          <w:p>
            <w:pPr>
              <w:spacing w:line="240" w:lineRule="auto"/>
              <w:jc w:val="center"/>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设备资产价值评估</w:t>
            </w:r>
          </w:p>
        </w:tc>
        <w:tc>
          <w:tcPr>
            <w:tcW w:w="2508" w:type="dxa"/>
            <w:vAlign w:val="center"/>
          </w:tcPr>
          <w:p>
            <w:pPr>
              <w:spacing w:line="240" w:lineRule="auto"/>
              <w:jc w:val="center"/>
              <w:rPr>
                <w:color w:val="auto"/>
                <w:szCs w:val="21"/>
                <w:highlight w:val="none"/>
                <w:vertAlign w:val="baseline"/>
              </w:rPr>
            </w:pPr>
          </w:p>
        </w:tc>
        <w:tc>
          <w:tcPr>
            <w:tcW w:w="2453" w:type="dxa"/>
            <w:vAlign w:val="center"/>
          </w:tcPr>
          <w:p>
            <w:pPr>
              <w:spacing w:line="240" w:lineRule="auto"/>
              <w:jc w:val="center"/>
              <w:rPr>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58" w:type="dxa"/>
            <w:gridSpan w:val="2"/>
            <w:vAlign w:val="center"/>
          </w:tcPr>
          <w:p>
            <w:pPr>
              <w:spacing w:line="240" w:lineRule="auto"/>
              <w:jc w:val="center"/>
              <w:rPr>
                <w:rFonts w:hint="eastAsia" w:eastAsia="宋体"/>
                <w:b/>
                <w:bCs/>
                <w:color w:val="auto"/>
                <w:szCs w:val="21"/>
                <w:highlight w:val="none"/>
                <w:vertAlign w:val="baseline"/>
                <w:lang w:val="en-US" w:eastAsia="zh-CN"/>
              </w:rPr>
            </w:pPr>
            <w:r>
              <w:rPr>
                <w:rFonts w:hint="eastAsia"/>
                <w:b/>
                <w:bCs/>
                <w:color w:val="auto"/>
                <w:szCs w:val="21"/>
                <w:highlight w:val="none"/>
                <w:vertAlign w:val="baseline"/>
                <w:lang w:val="en-US" w:eastAsia="zh-CN"/>
              </w:rPr>
              <w:t>合计</w:t>
            </w:r>
          </w:p>
        </w:tc>
        <w:tc>
          <w:tcPr>
            <w:tcW w:w="2508" w:type="dxa"/>
            <w:vAlign w:val="center"/>
          </w:tcPr>
          <w:p>
            <w:pPr>
              <w:spacing w:line="240" w:lineRule="auto"/>
              <w:jc w:val="center"/>
              <w:rPr>
                <w:b/>
                <w:bCs/>
                <w:color w:val="auto"/>
                <w:szCs w:val="21"/>
                <w:highlight w:val="none"/>
                <w:vertAlign w:val="baseline"/>
              </w:rPr>
            </w:pPr>
          </w:p>
        </w:tc>
        <w:tc>
          <w:tcPr>
            <w:tcW w:w="2453" w:type="dxa"/>
            <w:vAlign w:val="center"/>
          </w:tcPr>
          <w:p>
            <w:pPr>
              <w:spacing w:line="240" w:lineRule="auto"/>
              <w:jc w:val="center"/>
              <w:rPr>
                <w:b/>
                <w:bCs/>
                <w:color w:val="auto"/>
                <w:szCs w:val="21"/>
                <w:highlight w:val="none"/>
                <w:vertAlign w:val="baseline"/>
              </w:rPr>
            </w:pPr>
          </w:p>
        </w:tc>
      </w:tr>
    </w:tbl>
    <w:p>
      <w:pPr>
        <w:spacing w:line="360" w:lineRule="auto"/>
        <w:rPr>
          <w:color w:val="auto"/>
          <w:szCs w:val="21"/>
          <w:highlight w:val="none"/>
        </w:rPr>
      </w:pPr>
    </w:p>
    <w:p>
      <w:pPr>
        <w:spacing w:line="360" w:lineRule="auto"/>
        <w:rPr>
          <w:color w:val="auto"/>
          <w:szCs w:val="21"/>
          <w:highlight w:val="none"/>
        </w:rPr>
      </w:pPr>
      <w:r>
        <w:rPr>
          <w:color w:val="auto"/>
          <w:szCs w:val="21"/>
          <w:highlight w:val="none"/>
        </w:rPr>
        <w:t>备注：</w:t>
      </w:r>
    </w:p>
    <w:p>
      <w:pPr>
        <w:numPr>
          <w:ilvl w:val="0"/>
          <w:numId w:val="3"/>
        </w:numPr>
        <w:spacing w:line="360" w:lineRule="auto"/>
        <w:rPr>
          <w:color w:val="auto"/>
          <w:szCs w:val="21"/>
          <w:highlight w:val="none"/>
        </w:rPr>
      </w:pPr>
      <w:r>
        <w:rPr>
          <w:color w:val="auto"/>
          <w:szCs w:val="21"/>
          <w:highlight w:val="none"/>
        </w:rPr>
        <w:t>此表为报价表之明细表，如果本分项报价明细累计与报价表内报价不符时，以报价表为准，修正本分项报价明细报价。</w:t>
      </w:r>
    </w:p>
    <w:p>
      <w:pPr>
        <w:pStyle w:val="2"/>
        <w:rPr>
          <w:color w:val="auto"/>
          <w:szCs w:val="21"/>
          <w:highlight w:val="none"/>
        </w:rPr>
      </w:pPr>
    </w:p>
    <w:p>
      <w:pPr>
        <w:pStyle w:val="3"/>
        <w:rPr>
          <w:color w:val="auto"/>
          <w:highlight w:val="none"/>
        </w:rPr>
      </w:pPr>
    </w:p>
    <w:p>
      <w:pPr>
        <w:spacing w:line="360" w:lineRule="auto"/>
        <w:ind w:firstLine="5040" w:firstLineChars="2400"/>
        <w:jc w:val="right"/>
        <w:rPr>
          <w:color w:val="auto"/>
          <w:szCs w:val="21"/>
          <w:highlight w:val="none"/>
          <w:lang w:val="zh-CN"/>
        </w:rPr>
      </w:pPr>
      <w:r>
        <w:rPr>
          <w:color w:val="auto"/>
          <w:szCs w:val="21"/>
          <w:highlight w:val="none"/>
          <w:lang w:val="zh-CN"/>
        </w:rPr>
        <w:t>报价人：（加盖报价人法人公章）</w:t>
      </w:r>
    </w:p>
    <w:p>
      <w:pPr>
        <w:spacing w:line="360" w:lineRule="auto"/>
        <w:jc w:val="right"/>
        <w:rPr>
          <w:color w:val="auto"/>
          <w:szCs w:val="21"/>
          <w:highlight w:val="none"/>
          <w:lang w:val="zh-CN"/>
        </w:rPr>
      </w:pPr>
      <w:r>
        <w:rPr>
          <w:color w:val="auto"/>
          <w:szCs w:val="21"/>
          <w:highlight w:val="none"/>
          <w:lang w:val="zh-CN"/>
        </w:rPr>
        <w:t>日期：</w:t>
      </w:r>
      <w:r>
        <w:rPr>
          <w:rFonts w:hint="eastAsia"/>
          <w:color w:val="auto"/>
          <w:szCs w:val="21"/>
          <w:highlight w:val="none"/>
          <w:lang w:val="zh-CN"/>
        </w:rPr>
        <w:t xml:space="preserve"> </w:t>
      </w:r>
      <w:r>
        <w:rPr>
          <w:rFonts w:hint="eastAsia"/>
          <w:color w:val="auto"/>
          <w:szCs w:val="21"/>
          <w:highlight w:val="none"/>
          <w:lang w:val="en-US" w:eastAsia="zh-CN"/>
        </w:rPr>
        <w:t xml:space="preserve">  </w:t>
      </w:r>
      <w:r>
        <w:rPr>
          <w:color w:val="auto"/>
          <w:szCs w:val="21"/>
          <w:highlight w:val="none"/>
          <w:lang w:val="zh-CN"/>
        </w:rPr>
        <w:t>年</w:t>
      </w:r>
      <w:r>
        <w:rPr>
          <w:rFonts w:hint="eastAsia"/>
          <w:color w:val="auto"/>
          <w:szCs w:val="21"/>
          <w:highlight w:val="none"/>
          <w:lang w:val="zh-CN"/>
        </w:rPr>
        <w:t xml:space="preserve"> </w:t>
      </w:r>
      <w:r>
        <w:rPr>
          <w:color w:val="auto"/>
          <w:szCs w:val="21"/>
          <w:highlight w:val="none"/>
          <w:lang w:val="zh-CN"/>
        </w:rPr>
        <w:t xml:space="preserve"> 月</w:t>
      </w:r>
      <w:r>
        <w:rPr>
          <w:rFonts w:hint="eastAsia"/>
          <w:color w:val="auto"/>
          <w:szCs w:val="21"/>
          <w:highlight w:val="none"/>
          <w:lang w:val="zh-CN"/>
        </w:rPr>
        <w:t xml:space="preserve"> </w:t>
      </w:r>
      <w:r>
        <w:rPr>
          <w:color w:val="auto"/>
          <w:szCs w:val="21"/>
          <w:highlight w:val="none"/>
          <w:lang w:val="zh-CN"/>
        </w:rPr>
        <w:t xml:space="preserve"> 日</w:t>
      </w:r>
    </w:p>
    <w:p>
      <w:pPr>
        <w:pStyle w:val="2"/>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pStyle w:val="3"/>
        <w:rPr>
          <w:color w:val="auto"/>
          <w:szCs w:val="21"/>
          <w:highlight w:val="none"/>
          <w:lang w:val="zh-CN"/>
        </w:rPr>
      </w:pPr>
    </w:p>
    <w:p>
      <w:pPr>
        <w:rPr>
          <w:rFonts w:hint="eastAsia" w:ascii="宋体" w:hAnsi="宋体" w:eastAsia="宋体" w:cs="Times New Roman"/>
          <w:b/>
          <w:color w:val="auto"/>
          <w:sz w:val="32"/>
          <w:szCs w:val="32"/>
          <w:highlight w:val="none"/>
          <w:lang w:val="en-US" w:eastAsia="zh-CN"/>
        </w:rPr>
      </w:pPr>
      <w:bookmarkStart w:id="200" w:name="_Toc19240"/>
      <w:bookmarkStart w:id="201" w:name="_Toc3267"/>
      <w:r>
        <w:rPr>
          <w:rFonts w:hint="eastAsia" w:ascii="宋体" w:hAnsi="宋体" w:eastAsia="宋体" w:cs="Times New Roman"/>
          <w:b/>
          <w:color w:val="auto"/>
          <w:sz w:val="32"/>
          <w:szCs w:val="32"/>
          <w:highlight w:val="none"/>
          <w:lang w:val="en-US" w:eastAsia="zh-CN"/>
        </w:rPr>
        <w:br w:type="page"/>
      </w:r>
    </w:p>
    <w:p>
      <w:pPr>
        <w:pStyle w:val="5"/>
        <w:jc w:val="center"/>
        <w:rPr>
          <w:rFonts w:hint="eastAsia" w:ascii="宋体" w:hAnsi="宋体" w:eastAsia="宋体"/>
          <w:b/>
          <w:color w:val="auto"/>
          <w:sz w:val="32"/>
          <w:szCs w:val="32"/>
          <w:highlight w:val="none"/>
        </w:rPr>
      </w:pPr>
      <w:bookmarkStart w:id="202" w:name="_Toc24746"/>
      <w:bookmarkStart w:id="203" w:name="_Toc12578"/>
      <w:r>
        <w:rPr>
          <w:rFonts w:hint="eastAsia" w:ascii="宋体" w:hAnsi="宋体" w:eastAsia="宋体" w:cs="Times New Roman"/>
          <w:b/>
          <w:color w:val="auto"/>
          <w:sz w:val="32"/>
          <w:szCs w:val="32"/>
          <w:highlight w:val="none"/>
          <w:lang w:val="en-US" w:eastAsia="zh-CN"/>
        </w:rPr>
        <w:t>（二）</w:t>
      </w:r>
      <w:r>
        <w:rPr>
          <w:rFonts w:hint="eastAsia" w:ascii="宋体" w:hAnsi="宋体" w:eastAsia="宋体"/>
          <w:b/>
          <w:color w:val="auto"/>
          <w:sz w:val="32"/>
          <w:szCs w:val="32"/>
          <w:highlight w:val="none"/>
          <w:lang w:val="en-US" w:eastAsia="zh-CN"/>
        </w:rPr>
        <w:t>报价人</w:t>
      </w:r>
      <w:r>
        <w:rPr>
          <w:rFonts w:hint="eastAsia" w:ascii="宋体" w:hAnsi="宋体" w:eastAsia="宋体"/>
          <w:b/>
          <w:color w:val="auto"/>
          <w:sz w:val="32"/>
          <w:szCs w:val="32"/>
          <w:highlight w:val="none"/>
        </w:rPr>
        <w:t>资格证明文件</w:t>
      </w:r>
      <w:bookmarkEnd w:id="202"/>
      <w:bookmarkEnd w:id="203"/>
    </w:p>
    <w:p>
      <w:pPr>
        <w:autoSpaceDE/>
        <w:autoSpaceDN/>
        <w:adjustRightInd/>
        <w:spacing w:before="120" w:after="120" w:line="360" w:lineRule="auto"/>
        <w:ind w:left="0" w:firstLine="0" w:firstLineChars="0"/>
        <w:outlineLvl w:val="9"/>
        <w:rPr>
          <w:rFonts w:ascii="宋体" w:hAnsi="宋体"/>
          <w:b/>
          <w:color w:val="auto"/>
          <w:kern w:val="2"/>
          <w:sz w:val="30"/>
          <w:szCs w:val="30"/>
          <w:highlight w:val="none"/>
        </w:rPr>
      </w:pPr>
      <w:bookmarkStart w:id="204" w:name="_Toc519153441"/>
      <w:bookmarkStart w:id="205" w:name="_Toc1123953"/>
      <w:bookmarkStart w:id="206" w:name="_Toc5098071"/>
      <w:bookmarkStart w:id="207" w:name="_Toc532576766"/>
      <w:bookmarkStart w:id="208" w:name="_Toc522047382"/>
      <w:bookmarkStart w:id="209" w:name="_Toc521918123"/>
      <w:bookmarkStart w:id="210" w:name="_Toc521918320"/>
      <w:bookmarkStart w:id="211" w:name="_Toc521576302"/>
      <w:bookmarkStart w:id="212" w:name="_Toc19008826"/>
      <w:bookmarkStart w:id="213" w:name="_Toc38982592"/>
      <w:bookmarkStart w:id="214" w:name="_Toc79146600"/>
      <w:bookmarkStart w:id="215" w:name="_Toc56076626"/>
      <w:bookmarkStart w:id="216" w:name="_Toc40288701"/>
      <w:bookmarkStart w:id="217" w:name="_Toc54334009"/>
      <w:r>
        <w:rPr>
          <w:rFonts w:hint="eastAsia" w:ascii="宋体" w:hAnsi="宋体"/>
          <w:b/>
          <w:color w:val="auto"/>
          <w:kern w:val="2"/>
          <w:sz w:val="30"/>
          <w:szCs w:val="30"/>
          <w:highlight w:val="none"/>
          <w:lang w:val="en-US" w:eastAsia="zh-CN"/>
        </w:rPr>
        <w:t>2</w:t>
      </w:r>
      <w:r>
        <w:rPr>
          <w:rFonts w:hint="eastAsia" w:ascii="宋体" w:hAnsi="宋体"/>
          <w:b/>
          <w:color w:val="auto"/>
          <w:kern w:val="2"/>
          <w:sz w:val="30"/>
          <w:szCs w:val="30"/>
          <w:highlight w:val="none"/>
          <w:lang w:eastAsia="zh-CN"/>
        </w:rPr>
        <w:t>.</w:t>
      </w:r>
      <w:r>
        <w:rPr>
          <w:rFonts w:ascii="宋体" w:hAnsi="宋体"/>
          <w:b/>
          <w:color w:val="auto"/>
          <w:kern w:val="2"/>
          <w:sz w:val="30"/>
          <w:szCs w:val="30"/>
          <w:highlight w:val="none"/>
        </w:rPr>
        <w:t>1 多证合一营业执照（或事业单位法人证书）复印件</w:t>
      </w:r>
    </w:p>
    <w:p>
      <w:r>
        <w:br w:type="page"/>
      </w:r>
    </w:p>
    <w:p>
      <w:pPr>
        <w:autoSpaceDE/>
        <w:autoSpaceDN/>
        <w:adjustRightInd/>
        <w:spacing w:before="120" w:after="120" w:line="360" w:lineRule="auto"/>
        <w:ind w:left="0" w:firstLine="0" w:firstLineChars="0"/>
        <w:outlineLvl w:val="9"/>
        <w:rPr>
          <w:rFonts w:hint="eastAsia" w:ascii="宋体" w:hAnsi="宋体"/>
          <w:b/>
          <w:color w:val="auto"/>
          <w:kern w:val="2"/>
          <w:sz w:val="30"/>
          <w:szCs w:val="30"/>
          <w:highlight w:val="none"/>
          <w:lang w:val="en-US" w:eastAsia="zh-CN"/>
        </w:rPr>
      </w:pPr>
      <w:r>
        <w:rPr>
          <w:rFonts w:hint="eastAsia" w:ascii="宋体" w:hAnsi="宋体"/>
          <w:b/>
          <w:color w:val="auto"/>
          <w:kern w:val="2"/>
          <w:sz w:val="30"/>
          <w:szCs w:val="30"/>
          <w:highlight w:val="none"/>
          <w:lang w:val="en-US" w:eastAsia="zh-CN"/>
        </w:rPr>
        <w:t>2.2 开户许可证复印件（基本存款账户），如报价人企业银行账户开户所在地区已取消企业银行账户许可，报价人应提供基本存款账户开户名称、开户银行、账号、编号等信息及相关备案证明（如有）或其他能证明其为基本存款账户的资料复印件</w:t>
      </w:r>
    </w:p>
    <w:p>
      <w:pPr>
        <w:rPr>
          <w:rFonts w:hint="eastAsia"/>
          <w:lang w:val="en-US" w:eastAsia="zh-CN"/>
        </w:rPr>
      </w:pPr>
      <w:r>
        <w:rPr>
          <w:rFonts w:hint="eastAsia"/>
          <w:lang w:val="en-US" w:eastAsia="zh-CN"/>
        </w:rPr>
        <w:br w:type="page"/>
      </w:r>
    </w:p>
    <w:p>
      <w:pPr>
        <w:autoSpaceDE/>
        <w:autoSpaceDN/>
        <w:adjustRightInd/>
        <w:spacing w:before="120" w:after="120" w:line="360" w:lineRule="auto"/>
        <w:ind w:left="0" w:firstLine="0" w:firstLineChars="0"/>
        <w:outlineLvl w:val="9"/>
        <w:rPr>
          <w:rFonts w:ascii="宋体" w:hAnsi="宋体"/>
          <w:b/>
          <w:color w:val="auto"/>
          <w:kern w:val="2"/>
          <w:sz w:val="30"/>
          <w:szCs w:val="30"/>
          <w:highlight w:val="none"/>
        </w:rPr>
      </w:pPr>
      <w:r>
        <w:rPr>
          <w:rFonts w:hint="eastAsia" w:ascii="宋体" w:hAnsi="宋体"/>
          <w:b/>
          <w:color w:val="auto"/>
          <w:kern w:val="2"/>
          <w:sz w:val="30"/>
          <w:szCs w:val="30"/>
          <w:highlight w:val="none"/>
          <w:lang w:val="en-US" w:eastAsia="zh-CN"/>
        </w:rPr>
        <w:t>2.3</w:t>
      </w:r>
      <w:r>
        <w:rPr>
          <w:rFonts w:ascii="宋体" w:hAnsi="宋体"/>
          <w:b/>
          <w:color w:val="auto"/>
          <w:kern w:val="2"/>
          <w:sz w:val="30"/>
          <w:szCs w:val="30"/>
          <w:highlight w:val="none"/>
        </w:rPr>
        <w:t>法定代表人身份证明书格式</w:t>
      </w:r>
      <w:bookmarkEnd w:id="204"/>
      <w:bookmarkEnd w:id="205"/>
      <w:bookmarkEnd w:id="206"/>
      <w:bookmarkEnd w:id="207"/>
      <w:bookmarkEnd w:id="208"/>
      <w:bookmarkEnd w:id="209"/>
      <w:bookmarkEnd w:id="210"/>
      <w:bookmarkEnd w:id="211"/>
      <w:r>
        <w:rPr>
          <w:rFonts w:ascii="宋体" w:hAnsi="宋体"/>
          <w:b/>
          <w:color w:val="auto"/>
          <w:kern w:val="2"/>
          <w:sz w:val="30"/>
          <w:szCs w:val="30"/>
          <w:highlight w:val="none"/>
        </w:rPr>
        <w:t>和法定代表人授权书格式（法定代表人</w:t>
      </w:r>
      <w:r>
        <w:rPr>
          <w:rFonts w:hint="eastAsia" w:ascii="宋体" w:hAnsi="宋体"/>
          <w:b/>
          <w:color w:val="auto"/>
          <w:kern w:val="2"/>
          <w:sz w:val="30"/>
          <w:szCs w:val="30"/>
          <w:highlight w:val="none"/>
          <w:lang w:val="en-US" w:eastAsia="zh-CN"/>
        </w:rPr>
        <w:t>报价</w:t>
      </w:r>
      <w:r>
        <w:rPr>
          <w:rFonts w:ascii="宋体" w:hAnsi="宋体"/>
          <w:b/>
          <w:color w:val="auto"/>
          <w:kern w:val="2"/>
          <w:sz w:val="30"/>
          <w:szCs w:val="30"/>
          <w:highlight w:val="none"/>
        </w:rPr>
        <w:t>时只提供法定代表人身份证明书，委托他人为</w:t>
      </w:r>
      <w:r>
        <w:rPr>
          <w:rFonts w:hint="eastAsia" w:ascii="宋体" w:hAnsi="宋体"/>
          <w:b/>
          <w:color w:val="auto"/>
          <w:kern w:val="2"/>
          <w:sz w:val="30"/>
          <w:szCs w:val="30"/>
          <w:highlight w:val="none"/>
          <w:lang w:val="en-US" w:eastAsia="zh-CN"/>
        </w:rPr>
        <w:t>报价</w:t>
      </w:r>
      <w:r>
        <w:rPr>
          <w:rFonts w:ascii="宋体" w:hAnsi="宋体"/>
          <w:b/>
          <w:color w:val="auto"/>
          <w:kern w:val="2"/>
          <w:sz w:val="30"/>
          <w:szCs w:val="30"/>
          <w:highlight w:val="none"/>
        </w:rPr>
        <w:t>代表时同时提供法定代表人授权书）</w:t>
      </w:r>
      <w:bookmarkEnd w:id="212"/>
      <w:bookmarkEnd w:id="213"/>
      <w:bookmarkEnd w:id="214"/>
      <w:bookmarkEnd w:id="215"/>
      <w:bookmarkEnd w:id="216"/>
      <w:bookmarkEnd w:id="217"/>
    </w:p>
    <w:p>
      <w:pPr>
        <w:autoSpaceDE/>
        <w:autoSpaceDN/>
        <w:adjustRightInd/>
        <w:spacing w:before="120" w:after="120" w:line="360" w:lineRule="auto"/>
        <w:rPr>
          <w:rFonts w:hint="eastAsia" w:ascii="宋体" w:hAnsi="宋体"/>
          <w:b/>
          <w:color w:val="auto"/>
          <w:kern w:val="2"/>
          <w:sz w:val="21"/>
          <w:szCs w:val="21"/>
          <w:highlight w:val="none"/>
        </w:rPr>
      </w:pPr>
      <w:r>
        <w:rPr>
          <w:rFonts w:hint="eastAsia" w:ascii="宋体" w:hAnsi="宋体"/>
          <w:b/>
          <w:color w:val="auto"/>
          <w:kern w:val="2"/>
          <w:sz w:val="21"/>
          <w:szCs w:val="21"/>
          <w:highlight w:val="none"/>
        </w:rPr>
        <w:t>（1）法定代表人身份证明书格式</w:t>
      </w:r>
    </w:p>
    <w:p>
      <w:pPr>
        <w:autoSpaceDE/>
        <w:autoSpaceDN/>
        <w:adjustRightInd/>
        <w:spacing w:before="120" w:after="120" w:line="360" w:lineRule="auto"/>
        <w:ind w:firstLine="608" w:firstLineChars="202"/>
        <w:jc w:val="center"/>
        <w:rPr>
          <w:rFonts w:ascii="宋体" w:hAnsi="宋体"/>
          <w:b/>
          <w:bCs/>
          <w:color w:val="auto"/>
          <w:kern w:val="2"/>
          <w:sz w:val="30"/>
          <w:szCs w:val="30"/>
          <w:highlight w:val="none"/>
        </w:rPr>
      </w:pPr>
      <w:r>
        <w:rPr>
          <w:rFonts w:ascii="宋体" w:hAnsi="宋体"/>
          <w:b/>
          <w:color w:val="auto"/>
          <w:kern w:val="2"/>
          <w:sz w:val="30"/>
          <w:szCs w:val="30"/>
          <w:highlight w:val="none"/>
        </w:rPr>
        <w:t>法定代</w:t>
      </w:r>
      <w:bookmarkStart w:id="218" w:name="_Toc45995270"/>
      <w:bookmarkStart w:id="219" w:name="_Toc36971359"/>
      <w:r>
        <w:rPr>
          <w:rFonts w:ascii="宋体" w:hAnsi="宋体"/>
          <w:b/>
          <w:color w:val="auto"/>
          <w:kern w:val="2"/>
          <w:sz w:val="30"/>
          <w:szCs w:val="30"/>
          <w:highlight w:val="none"/>
        </w:rPr>
        <w:t>表人身份证明书</w:t>
      </w:r>
    </w:p>
    <w:p>
      <w:pPr>
        <w:autoSpaceDE/>
        <w:autoSpaceDN/>
        <w:adjustRightInd/>
        <w:spacing w:before="120" w:after="120" w:line="360" w:lineRule="auto"/>
        <w:ind w:firstLine="420" w:firstLineChars="200"/>
        <w:jc w:val="both"/>
        <w:rPr>
          <w:rFonts w:ascii="宋体" w:hAnsi="宋体"/>
          <w:color w:val="auto"/>
          <w:kern w:val="2"/>
          <w:sz w:val="21"/>
          <w:highlight w:val="none"/>
        </w:rPr>
      </w:pPr>
      <w:r>
        <w:rPr>
          <w:rFonts w:ascii="宋体" w:hAnsi="宋体"/>
          <w:color w:val="auto"/>
          <w:kern w:val="2"/>
          <w:sz w:val="21"/>
          <w:highlight w:val="none"/>
          <w:u w:val="single"/>
        </w:rPr>
        <w:t xml:space="preserve">            </w:t>
      </w:r>
      <w:r>
        <w:rPr>
          <w:rFonts w:ascii="宋体" w:hAnsi="宋体"/>
          <w:color w:val="auto"/>
          <w:kern w:val="2"/>
          <w:sz w:val="21"/>
          <w:highlight w:val="none"/>
        </w:rPr>
        <w:t>先生</w:t>
      </w:r>
      <w:bookmarkEnd w:id="218"/>
      <w:bookmarkEnd w:id="219"/>
      <w:r>
        <w:rPr>
          <w:rFonts w:ascii="宋体" w:hAnsi="宋体"/>
          <w:color w:val="auto"/>
          <w:kern w:val="2"/>
          <w:sz w:val="21"/>
          <w:highlight w:val="none"/>
        </w:rPr>
        <w:t>／女士：现任我单位</w:t>
      </w:r>
      <w:r>
        <w:rPr>
          <w:rFonts w:ascii="宋体" w:hAnsi="宋体"/>
          <w:color w:val="auto"/>
          <w:kern w:val="2"/>
          <w:sz w:val="21"/>
          <w:highlight w:val="none"/>
          <w:u w:val="single"/>
        </w:rPr>
        <w:t xml:space="preserve">            </w:t>
      </w:r>
      <w:r>
        <w:rPr>
          <w:rFonts w:ascii="宋体" w:hAnsi="宋体"/>
          <w:color w:val="auto"/>
          <w:kern w:val="2"/>
          <w:sz w:val="21"/>
          <w:highlight w:val="none"/>
        </w:rPr>
        <w:t>职务，为法定代表人，特此证明。</w:t>
      </w:r>
    </w:p>
    <w:p>
      <w:pPr>
        <w:autoSpaceDE/>
        <w:autoSpaceDN/>
        <w:adjustRightInd/>
        <w:spacing w:before="120" w:after="120" w:line="360" w:lineRule="auto"/>
        <w:ind w:firstLine="424" w:firstLineChars="202"/>
        <w:jc w:val="both"/>
        <w:rPr>
          <w:rFonts w:ascii="宋体" w:hAnsi="宋体"/>
          <w:color w:val="auto"/>
          <w:kern w:val="2"/>
          <w:sz w:val="21"/>
          <w:highlight w:val="none"/>
        </w:rPr>
      </w:pPr>
      <w:r>
        <w:rPr>
          <w:rFonts w:ascii="宋体" w:hAnsi="宋体"/>
          <w:color w:val="auto"/>
          <w:kern w:val="2"/>
          <w:sz w:val="21"/>
          <w:highlight w:val="none"/>
        </w:rPr>
        <w:t>有效日期：</w:t>
      </w:r>
      <w:r>
        <w:rPr>
          <w:rFonts w:ascii="宋体" w:hAnsi="宋体"/>
          <w:color w:val="auto"/>
          <w:kern w:val="2"/>
          <w:sz w:val="21"/>
          <w:highlight w:val="none"/>
          <w:u w:val="single"/>
        </w:rPr>
        <w:t xml:space="preserve">          </w:t>
      </w:r>
      <w:r>
        <w:rPr>
          <w:rFonts w:ascii="宋体" w:hAnsi="宋体"/>
          <w:color w:val="auto"/>
          <w:kern w:val="2"/>
          <w:sz w:val="21"/>
          <w:highlight w:val="none"/>
        </w:rPr>
        <w:t>签发日期：</w:t>
      </w:r>
      <w:r>
        <w:rPr>
          <w:rFonts w:ascii="宋体" w:hAnsi="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ascii="宋体" w:hAnsi="宋体"/>
          <w:color w:val="auto"/>
          <w:kern w:val="2"/>
          <w:sz w:val="21"/>
          <w:highlight w:val="none"/>
          <w:u w:val="none"/>
        </w:rPr>
      </w:pPr>
      <w:r>
        <w:rPr>
          <w:rFonts w:ascii="宋体" w:hAnsi="宋体"/>
          <w:color w:val="auto"/>
          <w:kern w:val="2"/>
          <w:sz w:val="21"/>
          <w:highlight w:val="none"/>
        </w:rPr>
        <w:t>附：代表人性别：</w:t>
      </w:r>
      <w:r>
        <w:rPr>
          <w:rFonts w:ascii="宋体" w:hAnsi="宋体"/>
          <w:color w:val="auto"/>
          <w:kern w:val="2"/>
          <w:sz w:val="21"/>
          <w:highlight w:val="none"/>
          <w:u w:val="single"/>
        </w:rPr>
        <w:t xml:space="preserve">      </w:t>
      </w:r>
      <w:r>
        <w:rPr>
          <w:rFonts w:ascii="宋体" w:hAnsi="宋体"/>
          <w:color w:val="auto"/>
          <w:kern w:val="2"/>
          <w:sz w:val="21"/>
          <w:highlight w:val="none"/>
        </w:rPr>
        <w:t xml:space="preserve"> 年龄：</w:t>
      </w:r>
      <w:r>
        <w:rPr>
          <w:rFonts w:ascii="宋体" w:hAnsi="宋体"/>
          <w:color w:val="auto"/>
          <w:kern w:val="2"/>
          <w:sz w:val="21"/>
          <w:highlight w:val="none"/>
          <w:u w:val="single"/>
        </w:rPr>
        <w:t xml:space="preserve">         </w:t>
      </w:r>
      <w:r>
        <w:rPr>
          <w:rFonts w:ascii="宋体" w:hAnsi="宋体"/>
          <w:color w:val="auto"/>
          <w:kern w:val="2"/>
          <w:sz w:val="21"/>
          <w:highlight w:val="none"/>
        </w:rPr>
        <w:t>身份证号码：</w:t>
      </w:r>
      <w:r>
        <w:rPr>
          <w:rFonts w:ascii="宋体" w:hAnsi="宋体"/>
          <w:color w:val="auto"/>
          <w:kern w:val="2"/>
          <w:sz w:val="21"/>
          <w:highlight w:val="none"/>
          <w:u w:val="single"/>
        </w:rPr>
        <w:t xml:space="preserve">            </w:t>
      </w:r>
    </w:p>
    <w:p>
      <w:pPr>
        <w:autoSpaceDE/>
        <w:autoSpaceDN/>
        <w:adjustRightInd/>
        <w:spacing w:before="120" w:after="120" w:line="360" w:lineRule="auto"/>
        <w:ind w:firstLine="424" w:firstLineChars="202"/>
        <w:jc w:val="both"/>
        <w:rPr>
          <w:rFonts w:ascii="宋体" w:hAnsi="宋体"/>
          <w:color w:val="auto"/>
          <w:kern w:val="2"/>
          <w:sz w:val="21"/>
          <w:highlight w:val="none"/>
        </w:rPr>
      </w:pPr>
      <w:r>
        <w:rPr>
          <w:rFonts w:ascii="宋体" w:hAnsi="宋体"/>
          <w:color w:val="auto"/>
          <w:kern w:val="2"/>
          <w:sz w:val="21"/>
          <w:highlight w:val="none"/>
        </w:rPr>
        <w:t>营业执照号码：</w:t>
      </w:r>
      <w:r>
        <w:rPr>
          <w:rFonts w:ascii="宋体" w:hAnsi="宋体"/>
          <w:color w:val="auto"/>
          <w:kern w:val="2"/>
          <w:sz w:val="21"/>
          <w:highlight w:val="none"/>
          <w:u w:val="single"/>
        </w:rPr>
        <w:t xml:space="preserve">           </w:t>
      </w:r>
      <w:r>
        <w:rPr>
          <w:rFonts w:ascii="宋体" w:hAnsi="宋体"/>
          <w:color w:val="auto"/>
          <w:kern w:val="2"/>
          <w:sz w:val="21"/>
          <w:highlight w:val="none"/>
        </w:rPr>
        <w:t xml:space="preserve">经济性质： </w:t>
      </w:r>
    </w:p>
    <w:p>
      <w:pPr>
        <w:autoSpaceDE/>
        <w:autoSpaceDN/>
        <w:adjustRightInd/>
        <w:spacing w:before="120" w:after="120" w:line="360" w:lineRule="auto"/>
        <w:ind w:firstLine="424" w:firstLineChars="202"/>
        <w:jc w:val="both"/>
        <w:rPr>
          <w:rFonts w:ascii="宋体" w:hAnsi="宋体"/>
          <w:color w:val="auto"/>
          <w:kern w:val="2"/>
          <w:sz w:val="21"/>
          <w:highlight w:val="none"/>
          <w:u w:val="single"/>
        </w:rPr>
      </w:pPr>
      <w:r>
        <w:rPr>
          <w:rFonts w:ascii="宋体" w:hAnsi="宋体"/>
          <w:color w:val="auto"/>
          <w:kern w:val="2"/>
          <w:sz w:val="21"/>
          <w:highlight w:val="none"/>
        </w:rPr>
        <w:t>主营（产）：</w:t>
      </w:r>
    </w:p>
    <w:p>
      <w:pPr>
        <w:autoSpaceDE/>
        <w:autoSpaceDN/>
        <w:adjustRightInd/>
        <w:spacing w:before="120" w:after="120" w:line="360" w:lineRule="auto"/>
        <w:ind w:firstLine="424" w:firstLineChars="202"/>
        <w:jc w:val="both"/>
        <w:rPr>
          <w:rFonts w:ascii="宋体" w:hAnsi="宋体"/>
          <w:color w:val="auto"/>
          <w:kern w:val="2"/>
          <w:sz w:val="21"/>
          <w:highlight w:val="none"/>
          <w:u w:val="single"/>
        </w:rPr>
      </w:pPr>
      <w:r>
        <w:rPr>
          <w:rFonts w:ascii="宋体" w:hAnsi="宋体"/>
          <w:color w:val="auto"/>
          <w:kern w:val="2"/>
          <w:sz w:val="21"/>
          <w:highlight w:val="none"/>
        </w:rPr>
        <w:t>兼营（产）：</w:t>
      </w:r>
    </w:p>
    <w:p>
      <w:pPr>
        <w:autoSpaceDE/>
        <w:autoSpaceDN/>
        <w:adjustRightInd/>
        <w:spacing w:before="120" w:after="120" w:line="360" w:lineRule="auto"/>
        <w:ind w:firstLine="424" w:firstLineChars="202"/>
        <w:jc w:val="both"/>
        <w:rPr>
          <w:rFonts w:ascii="宋体" w:hAnsi="宋体"/>
          <w:color w:val="auto"/>
          <w:kern w:val="2"/>
          <w:sz w:val="21"/>
          <w:highlight w:val="none"/>
        </w:rPr>
      </w:pPr>
      <w:r>
        <w:rPr>
          <w:rFonts w:ascii="宋体" w:hAnsi="宋体"/>
          <w:color w:val="auto"/>
          <w:kern w:val="2"/>
          <w:sz w:val="21"/>
          <w:highlight w:val="none"/>
        </w:rPr>
        <w:t xml:space="preserve">附 法定代表人身份证复印件 </w:t>
      </w:r>
    </w:p>
    <w:p>
      <w:pPr>
        <w:autoSpaceDE/>
        <w:autoSpaceDN/>
        <w:adjustRightInd/>
        <w:spacing w:before="120" w:after="120" w:line="360" w:lineRule="auto"/>
        <w:ind w:left="629" w:firstLine="4740"/>
        <w:jc w:val="both"/>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报价人</w:t>
      </w:r>
      <w:r>
        <w:rPr>
          <w:rFonts w:ascii="宋体" w:hAnsi="宋体"/>
          <w:color w:val="auto"/>
          <w:kern w:val="2"/>
          <w:sz w:val="21"/>
          <w:szCs w:val="21"/>
          <w:highlight w:val="none"/>
          <w:lang w:val="zh-CN"/>
        </w:rPr>
        <w:t>：（加盖</w:t>
      </w:r>
      <w:r>
        <w:rPr>
          <w:rFonts w:hint="eastAsia" w:ascii="宋体" w:hAnsi="宋体"/>
          <w:color w:val="auto"/>
          <w:kern w:val="2"/>
          <w:sz w:val="21"/>
          <w:szCs w:val="21"/>
          <w:highlight w:val="none"/>
          <w:lang w:val="en-US" w:eastAsia="zh-CN"/>
        </w:rPr>
        <w:t>报价人</w:t>
      </w:r>
      <w:r>
        <w:rPr>
          <w:rFonts w:hint="eastAsia" w:ascii="宋体" w:hAnsi="宋体"/>
          <w:color w:val="auto"/>
          <w:kern w:val="2"/>
          <w:sz w:val="21"/>
          <w:szCs w:val="21"/>
          <w:highlight w:val="none"/>
          <w:lang w:val="zh-CN"/>
        </w:rPr>
        <w:t>法</w:t>
      </w:r>
      <w:r>
        <w:rPr>
          <w:rFonts w:ascii="宋体" w:hAnsi="宋体"/>
          <w:color w:val="auto"/>
          <w:kern w:val="2"/>
          <w:sz w:val="21"/>
          <w:szCs w:val="21"/>
          <w:highlight w:val="none"/>
          <w:lang w:val="zh-CN"/>
        </w:rPr>
        <w:t>人公章）</w:t>
      </w:r>
    </w:p>
    <w:p>
      <w:pPr>
        <w:tabs>
          <w:tab w:val="left" w:pos="525"/>
        </w:tabs>
        <w:autoSpaceDE/>
        <w:autoSpaceDN/>
        <w:adjustRightInd/>
        <w:spacing w:before="120" w:after="120" w:line="360" w:lineRule="auto"/>
        <w:ind w:left="462" w:leftChars="220" w:firstLine="4857" w:firstLineChars="2313"/>
        <w:jc w:val="both"/>
        <w:rPr>
          <w:rFonts w:ascii="宋体" w:hAnsi="宋体"/>
          <w:b/>
          <w:bCs/>
          <w:color w:val="auto"/>
          <w:kern w:val="2"/>
          <w:sz w:val="21"/>
          <w:szCs w:val="21"/>
          <w:highlight w:val="none"/>
          <w:lang w:val="zh-CN"/>
        </w:rPr>
      </w:pPr>
      <w:r>
        <w:rPr>
          <w:rFonts w:ascii="宋体" w:hAnsi="宋体"/>
          <w:color w:val="auto"/>
          <w:kern w:val="2"/>
          <w:sz w:val="21"/>
          <w:szCs w:val="21"/>
          <w:highlight w:val="none"/>
          <w:lang w:val="zh-CN"/>
        </w:rPr>
        <w:t>日期：</w:t>
      </w:r>
      <w:r>
        <w:rPr>
          <w:rFonts w:ascii="宋体" w:hAnsi="宋体"/>
          <w:color w:val="auto"/>
          <w:kern w:val="2"/>
          <w:sz w:val="21"/>
          <w:szCs w:val="21"/>
          <w:highlight w:val="none"/>
        </w:rPr>
        <w:t xml:space="preserve">  </w:t>
      </w:r>
      <w:r>
        <w:rPr>
          <w:rFonts w:ascii="宋体" w:hAnsi="宋体"/>
          <w:color w:val="auto"/>
          <w:kern w:val="2"/>
          <w:sz w:val="21"/>
          <w:szCs w:val="21"/>
          <w:highlight w:val="none"/>
          <w:lang w:val="zh-CN"/>
        </w:rPr>
        <w:t>年</w:t>
      </w:r>
      <w:r>
        <w:rPr>
          <w:rFonts w:ascii="宋体" w:hAnsi="宋体"/>
          <w:color w:val="auto"/>
          <w:kern w:val="2"/>
          <w:sz w:val="21"/>
          <w:szCs w:val="21"/>
          <w:highlight w:val="none"/>
        </w:rPr>
        <w:t xml:space="preserve">   </w:t>
      </w:r>
      <w:r>
        <w:rPr>
          <w:rFonts w:ascii="宋体" w:hAnsi="宋体"/>
          <w:color w:val="auto"/>
          <w:kern w:val="2"/>
          <w:sz w:val="21"/>
          <w:szCs w:val="21"/>
          <w:highlight w:val="none"/>
          <w:lang w:val="zh-CN"/>
        </w:rPr>
        <w:t>月</w:t>
      </w:r>
      <w:r>
        <w:rPr>
          <w:rFonts w:ascii="宋体" w:hAnsi="宋体"/>
          <w:color w:val="auto"/>
          <w:kern w:val="2"/>
          <w:sz w:val="21"/>
          <w:szCs w:val="21"/>
          <w:highlight w:val="none"/>
        </w:rPr>
        <w:t xml:space="preserve">  </w:t>
      </w:r>
      <w:r>
        <w:rPr>
          <w:rFonts w:ascii="宋体" w:hAnsi="宋体"/>
          <w:color w:val="auto"/>
          <w:kern w:val="2"/>
          <w:sz w:val="21"/>
          <w:szCs w:val="21"/>
          <w:highlight w:val="none"/>
          <w:lang w:val="zh-CN"/>
        </w:rPr>
        <w:t>日</w:t>
      </w:r>
      <w:r>
        <w:rPr>
          <w:rFonts w:ascii="宋体" w:hAnsi="宋体"/>
          <w:b/>
          <w:bCs/>
          <w:color w:val="auto"/>
          <w:kern w:val="2"/>
          <w:sz w:val="21"/>
          <w:szCs w:val="21"/>
          <w:highlight w:val="none"/>
          <w:lang w:val="zh-CN"/>
        </w:rPr>
        <w:t xml:space="preserve"> </w:t>
      </w:r>
    </w:p>
    <w:p>
      <w:pPr>
        <w:rPr>
          <w:rFonts w:ascii="宋体" w:hAnsi="宋体"/>
          <w:color w:val="auto"/>
          <w:kern w:val="2"/>
          <w:highlight w:val="none"/>
          <w:lang w:val="zh-CN"/>
        </w:rPr>
      </w:pPr>
      <w:r>
        <w:rPr>
          <w:rFonts w:ascii="宋体" w:hAnsi="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11430" b="13970"/>
                <wp:wrapNone/>
                <wp:docPr id="1" name="文本框 1"/>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法定代表人身份证反面</w:t>
                            </w:r>
                          </w:p>
                          <w:p>
                            <w:pPr>
                              <w:jc w:val="center"/>
                              <w:rPr>
                                <w:sz w:val="21"/>
                                <w:szCs w:val="21"/>
                              </w:rPr>
                            </w:pPr>
                          </w:p>
                        </w:txbxContent>
                      </wps:txbx>
                      <wps:bodyPr upright="1"/>
                    </wps:wsp>
                  </a:graphicData>
                </a:graphic>
              </wp:anchor>
            </w:drawing>
          </mc:Choice>
          <mc:Fallback>
            <w:pict>
              <v:shape id="_x0000_s1026"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ATE1ZADQIAADcEAAAOAAAAAAAA&#10;AAEAIAAAACg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法定代表人身份证反面</w:t>
                      </w:r>
                    </w:p>
                    <w:p>
                      <w:pPr>
                        <w:jc w:val="center"/>
                        <w:rPr>
                          <w:sz w:val="21"/>
                          <w:szCs w:val="21"/>
                        </w:rPr>
                      </w:pPr>
                    </w:p>
                  </w:txbxContent>
                </v:textbox>
              </v:shape>
            </w:pict>
          </mc:Fallback>
        </mc:AlternateContent>
      </w:r>
      <w:r>
        <w:rPr>
          <w:rFonts w:ascii="宋体" w:hAnsi="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11430" b="13970"/>
                <wp:wrapNone/>
                <wp:docPr id="2"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_x0000_s1026"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jOp/dgAAAAIAQAADwAAAAAAAAABACAA&#10;AAAiAAAAZHJzL2Rvd25yZXYueG1sUEsBAhQAFAAAAAgAh07iQJbyxacNAgAANwQAAA4AAAAAAAAA&#10;AQAgAAAAJwEAAGRycy9lMm9Eb2MueG1sUEsFBgAAAAAGAAYAWQEAAKY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pPr>
        <w:rPr>
          <w:rFonts w:ascii="宋体" w:hAnsi="宋体"/>
          <w:color w:val="auto"/>
          <w:highlight w:val="none"/>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color w:val="auto"/>
          <w:sz w:val="21"/>
          <w:highlight w:val="none"/>
          <w:lang w:val="zh-CN"/>
        </w:rPr>
      </w:pPr>
    </w:p>
    <w:p>
      <w:pPr>
        <w:rPr>
          <w:rFonts w:ascii="宋体" w:hAnsi="宋体"/>
          <w:b/>
          <w:color w:val="auto"/>
          <w:sz w:val="21"/>
          <w:szCs w:val="21"/>
          <w:highlight w:val="none"/>
        </w:rPr>
      </w:pPr>
    </w:p>
    <w:p>
      <w:pPr>
        <w:outlineLvl w:val="9"/>
        <w:rPr>
          <w:rFonts w:hint="eastAsia" w:ascii="宋体" w:hAnsi="宋体" w:eastAsia="宋体" w:cs="Times New Roman"/>
          <w:b/>
          <w:color w:val="auto"/>
          <w:sz w:val="32"/>
          <w:szCs w:val="32"/>
          <w:highlight w:val="none"/>
          <w:lang w:val="zh-CN"/>
        </w:rPr>
      </w:pPr>
      <w:bookmarkStart w:id="220" w:name="_Toc8849"/>
      <w:bookmarkStart w:id="221" w:name="_Toc11352"/>
      <w:r>
        <w:rPr>
          <w:rFonts w:ascii="宋体" w:hAnsi="宋体"/>
          <w:b/>
          <w:color w:val="auto"/>
          <w:sz w:val="21"/>
          <w:szCs w:val="21"/>
          <w:highlight w:val="none"/>
        </w:rPr>
        <w:t>注：法定代表人身份证须在有效期限内。</w:t>
      </w:r>
      <w:r>
        <w:rPr>
          <w:rFonts w:ascii="宋体" w:hAnsi="宋体"/>
          <w:color w:val="auto"/>
          <w:sz w:val="21"/>
          <w:highlight w:val="none"/>
          <w:lang w:val="zh-CN"/>
        </w:rPr>
        <w:br w:type="page"/>
      </w:r>
      <w:bookmarkEnd w:id="220"/>
      <w:bookmarkEnd w:id="221"/>
    </w:p>
    <w:p>
      <w:pPr>
        <w:rPr>
          <w:rFonts w:ascii="宋体" w:hAnsi="宋体"/>
          <w:b/>
          <w:color w:val="auto"/>
          <w:sz w:val="21"/>
          <w:szCs w:val="21"/>
          <w:highlight w:val="none"/>
        </w:rPr>
      </w:pPr>
      <w:bookmarkStart w:id="222" w:name="_Toc522047383"/>
      <w:bookmarkStart w:id="223" w:name="_Toc490169464"/>
      <w:bookmarkStart w:id="224" w:name="_Toc532576767"/>
      <w:bookmarkStart w:id="225" w:name="_Toc497746562"/>
      <w:bookmarkStart w:id="226" w:name="_Toc495907134"/>
      <w:bookmarkStart w:id="227" w:name="_Toc521918321"/>
      <w:bookmarkStart w:id="228" w:name="_Toc519153442"/>
      <w:bookmarkStart w:id="229" w:name="_Toc521576303"/>
      <w:bookmarkStart w:id="230" w:name="_Toc521918124"/>
      <w:r>
        <w:rPr>
          <w:rFonts w:ascii="宋体" w:hAnsi="宋体"/>
          <w:color w:val="auto"/>
          <w:sz w:val="32"/>
          <w:szCs w:val="32"/>
          <w:highlight w:val="none"/>
          <w:lang w:val="zh-CN"/>
        </w:rPr>
        <w:t xml:space="preserve"> </w:t>
      </w:r>
      <w:bookmarkEnd w:id="222"/>
      <w:bookmarkEnd w:id="223"/>
      <w:bookmarkEnd w:id="224"/>
      <w:bookmarkEnd w:id="225"/>
      <w:bookmarkEnd w:id="226"/>
      <w:bookmarkEnd w:id="227"/>
      <w:bookmarkEnd w:id="228"/>
      <w:bookmarkEnd w:id="229"/>
      <w:bookmarkEnd w:id="230"/>
      <w:r>
        <w:rPr>
          <w:rFonts w:ascii="宋体" w:hAnsi="宋体"/>
          <w:b/>
          <w:color w:val="auto"/>
          <w:kern w:val="2"/>
          <w:sz w:val="21"/>
          <w:szCs w:val="21"/>
          <w:highlight w:val="none"/>
          <w:lang w:val="zh-CN"/>
        </w:rPr>
        <w:t>（2）</w:t>
      </w:r>
      <w:r>
        <w:rPr>
          <w:rFonts w:ascii="宋体" w:hAnsi="宋体"/>
          <w:b/>
          <w:bCs/>
          <w:color w:val="auto"/>
          <w:kern w:val="2"/>
          <w:sz w:val="21"/>
          <w:szCs w:val="21"/>
          <w:highlight w:val="none"/>
          <w:lang w:val="zh-CN"/>
        </w:rPr>
        <w:t>法定代表人授权书格式</w:t>
      </w:r>
    </w:p>
    <w:p>
      <w:pPr>
        <w:rPr>
          <w:rFonts w:ascii="宋体" w:hAnsi="宋体"/>
          <w:b/>
          <w:bCs/>
          <w:color w:val="auto"/>
          <w:kern w:val="2"/>
          <w:sz w:val="30"/>
          <w:szCs w:val="30"/>
          <w:highlight w:val="none"/>
          <w:lang w:val="zh-CN"/>
        </w:rPr>
      </w:pPr>
    </w:p>
    <w:p>
      <w:pPr>
        <w:spacing w:line="360" w:lineRule="auto"/>
        <w:jc w:val="center"/>
        <w:rPr>
          <w:rFonts w:ascii="宋体" w:hAnsi="宋体"/>
          <w:b/>
          <w:bCs/>
          <w:color w:val="auto"/>
          <w:kern w:val="2"/>
          <w:sz w:val="30"/>
          <w:szCs w:val="30"/>
          <w:highlight w:val="none"/>
          <w:lang w:val="zh-CN"/>
        </w:rPr>
      </w:pPr>
      <w:r>
        <w:rPr>
          <w:rFonts w:ascii="宋体" w:hAnsi="宋体"/>
          <w:b/>
          <w:bCs/>
          <w:color w:val="auto"/>
          <w:kern w:val="2"/>
          <w:sz w:val="30"/>
          <w:szCs w:val="30"/>
          <w:highlight w:val="none"/>
          <w:lang w:val="zh-CN"/>
        </w:rPr>
        <w:t>法定代表人授权书</w:t>
      </w:r>
    </w:p>
    <w:p>
      <w:pPr>
        <w:spacing w:line="360" w:lineRule="auto"/>
        <w:jc w:val="center"/>
        <w:rPr>
          <w:rFonts w:ascii="宋体" w:hAnsi="宋体"/>
          <w:color w:val="auto"/>
          <w:kern w:val="2"/>
          <w:sz w:val="21"/>
          <w:szCs w:val="28"/>
          <w:highlight w:val="none"/>
          <w:lang w:val="zh-CN"/>
        </w:rPr>
      </w:pPr>
    </w:p>
    <w:p>
      <w:pPr>
        <w:autoSpaceDE/>
        <w:autoSpaceDN/>
        <w:adjustRightInd/>
        <w:spacing w:before="120" w:after="120" w:line="360" w:lineRule="auto"/>
        <w:jc w:val="both"/>
        <w:rPr>
          <w:rFonts w:hint="eastAsia" w:ascii="宋体" w:hAnsi="宋体" w:eastAsia="宋体"/>
          <w:color w:val="auto"/>
          <w:kern w:val="2"/>
          <w:sz w:val="21"/>
          <w:highlight w:val="none"/>
          <w:lang w:val="zh-CN" w:eastAsia="zh-CN"/>
        </w:rPr>
      </w:pPr>
      <w:r>
        <w:rPr>
          <w:rFonts w:ascii="宋体" w:hAnsi="宋体"/>
          <w:color w:val="auto"/>
          <w:kern w:val="2"/>
          <w:sz w:val="21"/>
          <w:highlight w:val="none"/>
          <w:lang w:val="zh-CN"/>
        </w:rPr>
        <w:t>致：</w:t>
      </w:r>
      <w:r>
        <w:rPr>
          <w:rFonts w:hint="eastAsia" w:ascii="宋体" w:hAnsi="宋体"/>
          <w:color w:val="auto"/>
          <w:kern w:val="2"/>
          <w:sz w:val="21"/>
          <w:highlight w:val="none"/>
          <w:lang w:val="zh-CN" w:eastAsia="zh-CN"/>
        </w:rPr>
        <w:t>东莞市智汇水务科技有限公司</w:t>
      </w:r>
    </w:p>
    <w:p>
      <w:pPr>
        <w:widowControl/>
        <w:spacing w:line="360" w:lineRule="auto"/>
        <w:ind w:firstLine="424" w:firstLineChars="202"/>
        <w:rPr>
          <w:rFonts w:ascii="宋体" w:hAnsi="宋体"/>
          <w:color w:val="auto"/>
          <w:kern w:val="2"/>
          <w:sz w:val="21"/>
          <w:szCs w:val="21"/>
          <w:highlight w:val="none"/>
        </w:rPr>
      </w:pPr>
      <w:r>
        <w:rPr>
          <w:rFonts w:ascii="宋体" w:hAnsi="宋体"/>
          <w:color w:val="auto"/>
          <w:kern w:val="2"/>
          <w:sz w:val="21"/>
          <w:highlight w:val="none"/>
          <w:lang w:val="zh-CN"/>
        </w:rPr>
        <w:t>本授权书声明：注册于</w:t>
      </w:r>
      <w:r>
        <w:rPr>
          <w:rFonts w:ascii="宋体" w:hAnsi="宋体"/>
          <w:color w:val="auto"/>
          <w:kern w:val="2"/>
          <w:sz w:val="21"/>
          <w:highlight w:val="none"/>
          <w:u w:val="single"/>
          <w:lang w:val="zh-CN"/>
        </w:rPr>
        <w:t xml:space="preserve">     </w:t>
      </w:r>
      <w:r>
        <w:rPr>
          <w:rFonts w:hint="eastAsia" w:ascii="宋体" w:hAnsi="宋体"/>
          <w:color w:val="auto"/>
          <w:kern w:val="2"/>
          <w:sz w:val="21"/>
          <w:highlight w:val="none"/>
          <w:u w:val="single"/>
          <w:lang w:val="en-US" w:eastAsia="zh-CN"/>
        </w:rPr>
        <w:t xml:space="preserve"> </w:t>
      </w:r>
      <w:r>
        <w:rPr>
          <w:rFonts w:ascii="宋体" w:hAnsi="宋体"/>
          <w:color w:val="auto"/>
          <w:kern w:val="2"/>
          <w:sz w:val="21"/>
          <w:highlight w:val="none"/>
          <w:u w:val="single"/>
          <w:lang w:val="zh-CN"/>
        </w:rPr>
        <w:t xml:space="preserve">  </w:t>
      </w:r>
      <w:r>
        <w:rPr>
          <w:rFonts w:ascii="宋体" w:hAnsi="宋体"/>
          <w:color w:val="auto"/>
          <w:kern w:val="2"/>
          <w:sz w:val="21"/>
          <w:highlight w:val="none"/>
          <w:lang w:val="zh-CN"/>
        </w:rPr>
        <w:t>（</w:t>
      </w:r>
      <w:r>
        <w:rPr>
          <w:rFonts w:hint="eastAsia" w:ascii="宋体" w:hAnsi="宋体"/>
          <w:color w:val="auto"/>
          <w:kern w:val="2"/>
          <w:sz w:val="21"/>
          <w:highlight w:val="none"/>
          <w:lang w:val="en-US" w:eastAsia="zh-CN"/>
        </w:rPr>
        <w:t>报价人</w:t>
      </w:r>
      <w:r>
        <w:rPr>
          <w:rFonts w:ascii="宋体" w:hAnsi="宋体"/>
          <w:color w:val="auto"/>
          <w:kern w:val="2"/>
          <w:sz w:val="21"/>
          <w:highlight w:val="none"/>
          <w:lang w:val="zh-CN"/>
        </w:rPr>
        <w:t>地址）的</w:t>
      </w:r>
      <w:r>
        <w:rPr>
          <w:rFonts w:ascii="宋体" w:hAnsi="宋体"/>
          <w:color w:val="auto"/>
          <w:kern w:val="2"/>
          <w:sz w:val="21"/>
          <w:highlight w:val="none"/>
          <w:u w:val="single"/>
          <w:lang w:val="zh-CN"/>
        </w:rPr>
        <w:t xml:space="preserve">           </w:t>
      </w:r>
      <w:r>
        <w:rPr>
          <w:rFonts w:ascii="宋体" w:hAnsi="宋体"/>
          <w:color w:val="auto"/>
          <w:kern w:val="2"/>
          <w:sz w:val="21"/>
          <w:highlight w:val="none"/>
          <w:lang w:val="zh-CN"/>
        </w:rPr>
        <w:t>（</w:t>
      </w:r>
      <w:r>
        <w:rPr>
          <w:rFonts w:hint="eastAsia" w:ascii="宋体" w:hAnsi="宋体"/>
          <w:color w:val="auto"/>
          <w:kern w:val="2"/>
          <w:sz w:val="21"/>
          <w:highlight w:val="none"/>
          <w:lang w:val="en-US" w:eastAsia="zh-CN"/>
        </w:rPr>
        <w:t>报价人</w:t>
      </w:r>
      <w:r>
        <w:rPr>
          <w:rFonts w:ascii="宋体" w:hAnsi="宋体"/>
          <w:color w:val="auto"/>
          <w:kern w:val="2"/>
          <w:sz w:val="21"/>
          <w:highlight w:val="none"/>
          <w:lang w:val="zh-CN"/>
        </w:rPr>
        <w:t>名称）在下面签字的</w:t>
      </w:r>
      <w:r>
        <w:rPr>
          <w:rFonts w:ascii="宋体" w:hAnsi="宋体"/>
          <w:color w:val="auto"/>
          <w:kern w:val="2"/>
          <w:sz w:val="21"/>
          <w:highlight w:val="none"/>
          <w:u w:val="single"/>
          <w:lang w:val="zh-CN"/>
        </w:rPr>
        <w:t xml:space="preserve">           </w:t>
      </w:r>
      <w:r>
        <w:rPr>
          <w:rFonts w:ascii="宋体" w:hAnsi="宋体"/>
          <w:color w:val="auto"/>
          <w:kern w:val="2"/>
          <w:sz w:val="21"/>
          <w:highlight w:val="none"/>
          <w:lang w:val="zh-CN"/>
        </w:rPr>
        <w:t>（法定代表人姓名、职务、身份证号码）代表本公司授权在下面签字的</w:t>
      </w:r>
      <w:r>
        <w:rPr>
          <w:rFonts w:ascii="宋体" w:hAnsi="宋体"/>
          <w:color w:val="auto"/>
          <w:kern w:val="2"/>
          <w:sz w:val="21"/>
          <w:highlight w:val="none"/>
          <w:u w:val="single"/>
          <w:lang w:val="zh-CN"/>
        </w:rPr>
        <w:t xml:space="preserve">        </w:t>
      </w:r>
      <w:r>
        <w:rPr>
          <w:rFonts w:ascii="宋体" w:hAnsi="宋体"/>
          <w:color w:val="auto"/>
          <w:kern w:val="2"/>
          <w:sz w:val="21"/>
          <w:highlight w:val="none"/>
          <w:lang w:val="zh-CN"/>
        </w:rPr>
        <w:t>（被授权人的姓名、职务、身份证号码）为本公司的合法代表人，签署</w:t>
      </w:r>
      <w:r>
        <w:rPr>
          <w:rFonts w:hint="eastAsia" w:ascii="宋体" w:hAnsi="宋体"/>
          <w:color w:val="auto"/>
          <w:kern w:val="2"/>
          <w:sz w:val="21"/>
          <w:highlight w:val="none"/>
          <w:lang w:val="zh-CN" w:eastAsia="zh-CN"/>
        </w:rPr>
        <w:t>东莞市智汇水务科技有限公司2024年股权、设备资产价值评估单位采购项目</w:t>
      </w:r>
      <w:r>
        <w:rPr>
          <w:rFonts w:ascii="宋体" w:hAnsi="宋体"/>
          <w:color w:val="auto"/>
          <w:kern w:val="2"/>
          <w:sz w:val="21"/>
          <w:szCs w:val="21"/>
          <w:highlight w:val="none"/>
          <w:lang w:val="zh-CN"/>
        </w:rPr>
        <w:t>（</w:t>
      </w:r>
      <w:r>
        <w:rPr>
          <w:rFonts w:hint="eastAsia" w:ascii="宋体" w:hAnsi="宋体"/>
          <w:color w:val="auto"/>
          <w:kern w:val="2"/>
          <w:sz w:val="21"/>
          <w:szCs w:val="21"/>
          <w:highlight w:val="none"/>
          <w:lang w:val="zh-CN"/>
        </w:rPr>
        <w:t>采购编号：2024-007</w:t>
      </w:r>
      <w:r>
        <w:rPr>
          <w:rFonts w:ascii="宋体" w:hAnsi="宋体"/>
          <w:color w:val="auto"/>
          <w:kern w:val="2"/>
          <w:sz w:val="21"/>
          <w:szCs w:val="21"/>
          <w:highlight w:val="none"/>
          <w:lang w:val="zh-CN"/>
        </w:rPr>
        <w:t>）的</w:t>
      </w:r>
      <w:r>
        <w:rPr>
          <w:rFonts w:hint="eastAsia" w:ascii="宋体" w:hAnsi="宋体"/>
          <w:color w:val="auto"/>
          <w:kern w:val="2"/>
          <w:sz w:val="21"/>
          <w:szCs w:val="21"/>
          <w:highlight w:val="none"/>
          <w:lang w:val="en-US" w:eastAsia="zh-CN"/>
        </w:rPr>
        <w:t>报价</w:t>
      </w:r>
      <w:r>
        <w:rPr>
          <w:rFonts w:hint="eastAsia" w:ascii="宋体" w:hAnsi="宋体"/>
          <w:color w:val="auto"/>
          <w:kern w:val="2"/>
          <w:sz w:val="21"/>
          <w:szCs w:val="21"/>
          <w:highlight w:val="none"/>
          <w:lang w:val="zh-CN"/>
        </w:rPr>
        <w:t>文件</w:t>
      </w:r>
      <w:r>
        <w:rPr>
          <w:rFonts w:ascii="宋体" w:hAnsi="宋体"/>
          <w:color w:val="auto"/>
          <w:kern w:val="2"/>
          <w:sz w:val="21"/>
          <w:szCs w:val="21"/>
          <w:highlight w:val="none"/>
          <w:lang w:val="zh-CN"/>
        </w:rPr>
        <w:t>，</w:t>
      </w:r>
      <w:r>
        <w:rPr>
          <w:rFonts w:ascii="宋体" w:hAnsi="宋体"/>
          <w:color w:val="auto"/>
          <w:kern w:val="2"/>
          <w:sz w:val="21"/>
          <w:szCs w:val="21"/>
          <w:highlight w:val="none"/>
        </w:rPr>
        <w:t>代表我公司</w:t>
      </w:r>
      <w:r>
        <w:rPr>
          <w:rFonts w:ascii="宋体" w:hAnsi="宋体"/>
          <w:color w:val="auto"/>
          <w:kern w:val="2"/>
          <w:sz w:val="21"/>
          <w:highlight w:val="none"/>
          <w:lang w:val="zh-CN"/>
        </w:rPr>
        <w:t>递交</w:t>
      </w:r>
      <w:r>
        <w:rPr>
          <w:rFonts w:hint="eastAsia" w:ascii="宋体" w:hAnsi="宋体"/>
          <w:color w:val="auto"/>
          <w:kern w:val="2"/>
          <w:sz w:val="21"/>
          <w:highlight w:val="none"/>
          <w:lang w:val="en-US" w:eastAsia="zh-CN"/>
        </w:rPr>
        <w:t>报价</w:t>
      </w:r>
      <w:r>
        <w:rPr>
          <w:rFonts w:hint="eastAsia" w:ascii="宋体" w:hAnsi="宋体"/>
          <w:color w:val="auto"/>
          <w:kern w:val="2"/>
          <w:sz w:val="21"/>
          <w:highlight w:val="none"/>
          <w:lang w:val="zh-CN"/>
        </w:rPr>
        <w:t>文件</w:t>
      </w:r>
      <w:r>
        <w:rPr>
          <w:rFonts w:ascii="宋体" w:hAnsi="宋体"/>
          <w:color w:val="auto"/>
          <w:kern w:val="2"/>
          <w:sz w:val="21"/>
          <w:highlight w:val="none"/>
          <w:lang w:val="zh-CN"/>
        </w:rPr>
        <w:t>、参与开标会、代表我公司应</w:t>
      </w:r>
      <w:r>
        <w:rPr>
          <w:rFonts w:hint="eastAsia" w:ascii="宋体" w:hAnsi="宋体"/>
          <w:color w:val="auto"/>
          <w:kern w:val="2"/>
          <w:sz w:val="21"/>
          <w:highlight w:val="none"/>
          <w:lang w:val="en-US" w:eastAsia="zh-CN"/>
        </w:rPr>
        <w:t>询价</w:t>
      </w:r>
      <w:r>
        <w:rPr>
          <w:rFonts w:hint="eastAsia" w:ascii="宋体" w:hAnsi="宋体"/>
          <w:color w:val="auto"/>
          <w:kern w:val="2"/>
          <w:sz w:val="21"/>
          <w:highlight w:val="none"/>
          <w:lang w:val="zh-CN"/>
        </w:rPr>
        <w:t>小组</w:t>
      </w:r>
      <w:r>
        <w:rPr>
          <w:rFonts w:ascii="宋体" w:hAnsi="宋体"/>
          <w:color w:val="auto"/>
          <w:kern w:val="2"/>
          <w:sz w:val="21"/>
          <w:highlight w:val="none"/>
          <w:lang w:val="zh-CN"/>
        </w:rPr>
        <w:t>的要求对</w:t>
      </w:r>
      <w:r>
        <w:rPr>
          <w:rFonts w:hint="eastAsia" w:ascii="宋体" w:hAnsi="宋体"/>
          <w:color w:val="auto"/>
          <w:kern w:val="2"/>
          <w:sz w:val="21"/>
          <w:highlight w:val="none"/>
          <w:lang w:val="en-US" w:eastAsia="zh-CN"/>
        </w:rPr>
        <w:t>报价</w:t>
      </w:r>
      <w:r>
        <w:rPr>
          <w:rFonts w:hint="eastAsia" w:ascii="宋体" w:hAnsi="宋体"/>
          <w:color w:val="auto"/>
          <w:kern w:val="2"/>
          <w:sz w:val="21"/>
          <w:highlight w:val="none"/>
          <w:lang w:val="zh-CN"/>
        </w:rPr>
        <w:t>文件</w:t>
      </w:r>
      <w:r>
        <w:rPr>
          <w:rFonts w:ascii="宋体" w:hAnsi="宋体"/>
          <w:color w:val="auto"/>
          <w:kern w:val="2"/>
          <w:sz w:val="21"/>
          <w:highlight w:val="none"/>
          <w:lang w:val="zh-CN"/>
        </w:rPr>
        <w:t>进行澄清</w:t>
      </w:r>
      <w:r>
        <w:rPr>
          <w:rFonts w:hint="eastAsia" w:ascii="宋体" w:hAnsi="宋体"/>
          <w:color w:val="auto"/>
          <w:kern w:val="2"/>
          <w:sz w:val="21"/>
          <w:highlight w:val="none"/>
          <w:lang w:val="en-US" w:eastAsia="zh-CN"/>
        </w:rPr>
        <w:t>和</w:t>
      </w:r>
      <w:r>
        <w:rPr>
          <w:rFonts w:ascii="宋体" w:hAnsi="宋体"/>
          <w:color w:val="auto"/>
          <w:kern w:val="2"/>
          <w:sz w:val="21"/>
          <w:highlight w:val="none"/>
          <w:lang w:val="zh-CN"/>
        </w:rPr>
        <w:t>进行合同谈判，以我公司的名义处理</w:t>
      </w:r>
      <w:r>
        <w:rPr>
          <w:rFonts w:hint="eastAsia" w:ascii="宋体" w:hAnsi="宋体"/>
          <w:color w:val="auto"/>
          <w:kern w:val="2"/>
          <w:sz w:val="21"/>
          <w:highlight w:val="none"/>
          <w:lang w:val="en-US" w:eastAsia="zh-CN"/>
        </w:rPr>
        <w:t>上述</w:t>
      </w:r>
      <w:r>
        <w:rPr>
          <w:rFonts w:ascii="宋体" w:hAnsi="宋体"/>
          <w:color w:val="auto"/>
          <w:kern w:val="2"/>
          <w:sz w:val="21"/>
          <w:highlight w:val="none"/>
          <w:lang w:val="zh-CN"/>
        </w:rPr>
        <w:t>有关的事宜，</w:t>
      </w:r>
      <w:r>
        <w:rPr>
          <w:rFonts w:ascii="宋体" w:hAnsi="宋体"/>
          <w:color w:val="auto"/>
          <w:kern w:val="2"/>
          <w:sz w:val="21"/>
          <w:szCs w:val="21"/>
          <w:highlight w:val="none"/>
        </w:rPr>
        <w:t>我承认代理人全权代表我所签署的本项目</w:t>
      </w:r>
      <w:r>
        <w:rPr>
          <w:rFonts w:hint="eastAsia" w:ascii="宋体" w:hAnsi="宋体"/>
          <w:color w:val="auto"/>
          <w:kern w:val="2"/>
          <w:sz w:val="21"/>
          <w:szCs w:val="21"/>
          <w:highlight w:val="none"/>
          <w:lang w:val="en-US" w:eastAsia="zh-CN"/>
        </w:rPr>
        <w:t>报价</w:t>
      </w:r>
      <w:r>
        <w:rPr>
          <w:rFonts w:hint="eastAsia" w:ascii="宋体" w:hAnsi="宋体"/>
          <w:color w:val="auto"/>
          <w:kern w:val="2"/>
          <w:sz w:val="21"/>
          <w:szCs w:val="21"/>
          <w:highlight w:val="none"/>
        </w:rPr>
        <w:t>文件</w:t>
      </w:r>
      <w:r>
        <w:rPr>
          <w:rFonts w:ascii="宋体" w:hAnsi="宋体"/>
          <w:color w:val="auto"/>
          <w:kern w:val="2"/>
          <w:sz w:val="21"/>
          <w:szCs w:val="21"/>
          <w:highlight w:val="none"/>
        </w:rPr>
        <w:t>的内容及</w:t>
      </w:r>
      <w:r>
        <w:rPr>
          <w:rFonts w:ascii="宋体" w:hAnsi="宋体"/>
          <w:color w:val="auto"/>
          <w:kern w:val="2"/>
          <w:sz w:val="21"/>
          <w:highlight w:val="none"/>
          <w:lang w:val="zh-CN"/>
        </w:rPr>
        <w:t>所进行的上述活动。</w:t>
      </w:r>
    </w:p>
    <w:p>
      <w:pPr>
        <w:autoSpaceDE/>
        <w:autoSpaceDN/>
        <w:adjustRightInd/>
        <w:spacing w:before="120" w:after="120" w:line="360" w:lineRule="auto"/>
        <w:ind w:firstLine="420" w:firstLineChars="200"/>
        <w:jc w:val="both"/>
        <w:rPr>
          <w:rFonts w:ascii="宋体" w:hAnsi="宋体"/>
          <w:color w:val="auto"/>
          <w:kern w:val="2"/>
          <w:sz w:val="21"/>
          <w:szCs w:val="21"/>
          <w:highlight w:val="none"/>
        </w:rPr>
      </w:pPr>
      <w:r>
        <w:rPr>
          <w:rFonts w:ascii="宋体" w:hAnsi="宋体"/>
          <w:color w:val="auto"/>
          <w:kern w:val="2"/>
          <w:sz w:val="21"/>
          <w:highlight w:val="none"/>
          <w:lang w:val="zh-CN"/>
        </w:rPr>
        <w:t>本授权书于</w:t>
      </w:r>
      <w:r>
        <w:rPr>
          <w:rFonts w:ascii="宋体" w:hAnsi="宋体"/>
          <w:color w:val="auto"/>
          <w:kern w:val="2"/>
          <w:sz w:val="21"/>
          <w:highlight w:val="none"/>
          <w:u w:val="single"/>
          <w:lang w:val="zh-CN"/>
        </w:rPr>
        <w:t xml:space="preserve">      </w:t>
      </w:r>
      <w:r>
        <w:rPr>
          <w:rFonts w:ascii="宋体" w:hAnsi="宋体"/>
          <w:color w:val="auto"/>
          <w:kern w:val="2"/>
          <w:sz w:val="21"/>
          <w:highlight w:val="none"/>
          <w:lang w:val="zh-CN"/>
        </w:rPr>
        <w:t>年</w:t>
      </w:r>
      <w:r>
        <w:rPr>
          <w:rFonts w:ascii="宋体" w:hAnsi="宋体"/>
          <w:color w:val="auto"/>
          <w:kern w:val="2"/>
          <w:sz w:val="21"/>
          <w:highlight w:val="none"/>
          <w:u w:val="single"/>
          <w:lang w:val="zh-CN"/>
        </w:rPr>
        <w:t xml:space="preserve">     </w:t>
      </w:r>
      <w:r>
        <w:rPr>
          <w:rFonts w:ascii="宋体" w:hAnsi="宋体"/>
          <w:color w:val="auto"/>
          <w:kern w:val="2"/>
          <w:sz w:val="21"/>
          <w:highlight w:val="none"/>
          <w:lang w:val="zh-CN"/>
        </w:rPr>
        <w:t>月</w:t>
      </w:r>
      <w:r>
        <w:rPr>
          <w:rFonts w:ascii="宋体" w:hAnsi="宋体"/>
          <w:color w:val="auto"/>
          <w:kern w:val="2"/>
          <w:sz w:val="21"/>
          <w:highlight w:val="none"/>
          <w:u w:val="single"/>
          <w:lang w:val="zh-CN"/>
        </w:rPr>
        <w:t xml:space="preserve">     </w:t>
      </w:r>
      <w:r>
        <w:rPr>
          <w:rFonts w:ascii="宋体" w:hAnsi="宋体"/>
          <w:color w:val="auto"/>
          <w:kern w:val="2"/>
          <w:sz w:val="21"/>
          <w:highlight w:val="none"/>
          <w:lang w:val="zh-CN"/>
        </w:rPr>
        <w:t>日签字生效，有效期至</w:t>
      </w:r>
      <w:r>
        <w:rPr>
          <w:rFonts w:hint="eastAsia" w:ascii="宋体" w:hAnsi="宋体"/>
          <w:color w:val="auto"/>
          <w:kern w:val="2"/>
          <w:sz w:val="21"/>
          <w:highlight w:val="none"/>
          <w:lang w:val="en-US" w:eastAsia="zh-CN"/>
        </w:rPr>
        <w:t>报价</w:t>
      </w:r>
      <w:r>
        <w:rPr>
          <w:rFonts w:hint="eastAsia" w:ascii="宋体" w:hAnsi="宋体"/>
          <w:color w:val="auto"/>
          <w:kern w:val="2"/>
          <w:sz w:val="21"/>
          <w:highlight w:val="none"/>
          <w:lang w:val="zh-CN"/>
        </w:rPr>
        <w:t>文件</w:t>
      </w:r>
      <w:r>
        <w:rPr>
          <w:rFonts w:ascii="宋体" w:hAnsi="宋体"/>
          <w:color w:val="auto"/>
          <w:kern w:val="2"/>
          <w:sz w:val="21"/>
          <w:highlight w:val="none"/>
          <w:lang w:val="zh-CN"/>
        </w:rPr>
        <w:t>失效期止，</w:t>
      </w:r>
      <w:r>
        <w:rPr>
          <w:rFonts w:ascii="宋体" w:hAnsi="宋体"/>
          <w:color w:val="auto"/>
          <w:kern w:val="2"/>
          <w:sz w:val="21"/>
          <w:szCs w:val="21"/>
          <w:highlight w:val="none"/>
        </w:rPr>
        <w:t>代理人无转委托权，</w:t>
      </w:r>
      <w:r>
        <w:rPr>
          <w:rFonts w:ascii="宋体" w:hAnsi="宋体"/>
          <w:color w:val="auto"/>
          <w:kern w:val="2"/>
          <w:sz w:val="21"/>
          <w:highlight w:val="none"/>
          <w:lang w:val="zh-CN"/>
        </w:rPr>
        <w:t>特此声明。</w:t>
      </w:r>
    </w:p>
    <w:p>
      <w:pPr>
        <w:autoSpaceDE/>
        <w:autoSpaceDN/>
        <w:adjustRightInd/>
        <w:spacing w:before="120" w:after="120" w:line="360" w:lineRule="auto"/>
        <w:ind w:firstLine="277" w:firstLineChars="132"/>
        <w:rPr>
          <w:rFonts w:ascii="宋体" w:hAnsi="宋体"/>
          <w:color w:val="auto"/>
          <w:kern w:val="2"/>
          <w:sz w:val="21"/>
          <w:highlight w:val="none"/>
          <w:lang w:val="zh-CN"/>
        </w:rPr>
      </w:pPr>
    </w:p>
    <w:p>
      <w:pPr>
        <w:autoSpaceDE/>
        <w:autoSpaceDN/>
        <w:adjustRightInd/>
        <w:spacing w:before="120" w:after="120" w:line="360" w:lineRule="auto"/>
        <w:ind w:left="629" w:firstLine="425"/>
        <w:jc w:val="both"/>
        <w:rPr>
          <w:rFonts w:ascii="宋体" w:hAnsi="宋体"/>
          <w:color w:val="auto"/>
          <w:kern w:val="2"/>
          <w:sz w:val="21"/>
          <w:highlight w:val="none"/>
        </w:rPr>
      </w:pPr>
    </w:p>
    <w:p>
      <w:pPr>
        <w:autoSpaceDE/>
        <w:autoSpaceDN/>
        <w:adjustRightInd/>
        <w:spacing w:before="120" w:after="120" w:line="360" w:lineRule="auto"/>
        <w:ind w:left="5040" w:firstLine="0"/>
        <w:jc w:val="both"/>
        <w:rPr>
          <w:rFonts w:ascii="宋体" w:hAnsi="宋体"/>
          <w:color w:val="auto"/>
          <w:kern w:val="2"/>
          <w:sz w:val="21"/>
          <w:highlight w:val="none"/>
          <w:lang w:val="zh-CN"/>
        </w:rPr>
      </w:pPr>
      <w:r>
        <w:rPr>
          <w:rFonts w:hint="eastAsia" w:ascii="宋体" w:hAnsi="宋体"/>
          <w:color w:val="auto"/>
          <w:kern w:val="2"/>
          <w:sz w:val="21"/>
          <w:highlight w:val="none"/>
          <w:lang w:val="en-US" w:eastAsia="zh-CN"/>
        </w:rPr>
        <w:t>报价人</w:t>
      </w:r>
      <w:r>
        <w:rPr>
          <w:rFonts w:ascii="宋体" w:hAnsi="宋体"/>
          <w:color w:val="auto"/>
          <w:kern w:val="2"/>
          <w:sz w:val="21"/>
          <w:highlight w:val="none"/>
          <w:lang w:val="zh-CN"/>
        </w:rPr>
        <w:t>：（加盖</w:t>
      </w:r>
      <w:r>
        <w:rPr>
          <w:rFonts w:hint="eastAsia" w:ascii="宋体" w:hAnsi="宋体"/>
          <w:color w:val="auto"/>
          <w:kern w:val="2"/>
          <w:sz w:val="21"/>
          <w:highlight w:val="none"/>
          <w:lang w:val="en-US" w:eastAsia="zh-CN"/>
        </w:rPr>
        <w:t>报价人</w:t>
      </w:r>
      <w:r>
        <w:rPr>
          <w:rFonts w:hint="eastAsia" w:ascii="宋体" w:hAnsi="宋体"/>
          <w:color w:val="auto"/>
          <w:kern w:val="2"/>
          <w:sz w:val="21"/>
          <w:highlight w:val="none"/>
          <w:lang w:val="zh-CN"/>
        </w:rPr>
        <w:t>法</w:t>
      </w:r>
      <w:r>
        <w:rPr>
          <w:rFonts w:ascii="宋体" w:hAnsi="宋体"/>
          <w:color w:val="auto"/>
          <w:kern w:val="2"/>
          <w:sz w:val="21"/>
          <w:highlight w:val="none"/>
          <w:lang w:val="zh-CN"/>
        </w:rPr>
        <w:t>人公章）</w:t>
      </w:r>
    </w:p>
    <w:p>
      <w:pPr>
        <w:autoSpaceDE/>
        <w:autoSpaceDN/>
        <w:adjustRightInd/>
        <w:spacing w:before="120" w:after="120" w:line="360" w:lineRule="auto"/>
        <w:ind w:left="0" w:firstLine="5103" w:firstLineChars="2430"/>
        <w:jc w:val="both"/>
        <w:rPr>
          <w:rFonts w:ascii="宋体" w:hAnsi="宋体"/>
          <w:color w:val="auto"/>
          <w:kern w:val="2"/>
          <w:sz w:val="21"/>
          <w:highlight w:val="none"/>
          <w:lang w:val="zh-CN"/>
        </w:rPr>
      </w:pPr>
    </w:p>
    <w:p>
      <w:pPr>
        <w:autoSpaceDE/>
        <w:autoSpaceDN/>
        <w:adjustRightInd/>
        <w:spacing w:before="120" w:after="120" w:line="360" w:lineRule="auto"/>
        <w:ind w:left="0" w:firstLine="5103" w:firstLineChars="2430"/>
        <w:jc w:val="both"/>
        <w:rPr>
          <w:rFonts w:ascii="宋体" w:hAnsi="宋体"/>
          <w:color w:val="auto"/>
          <w:kern w:val="2"/>
          <w:sz w:val="21"/>
          <w:highlight w:val="none"/>
          <w:lang w:val="zh-CN"/>
        </w:rPr>
      </w:pPr>
      <w:r>
        <w:rPr>
          <w:rFonts w:ascii="宋体" w:hAnsi="宋体"/>
          <w:color w:val="auto"/>
          <w:kern w:val="2"/>
          <w:sz w:val="21"/>
          <w:highlight w:val="none"/>
          <w:lang w:val="zh-CN"/>
        </w:rPr>
        <w:t>法定代表人（签名或盖私章）：</w:t>
      </w:r>
    </w:p>
    <w:p>
      <w:pPr>
        <w:autoSpaceDE/>
        <w:autoSpaceDN/>
        <w:adjustRightInd/>
        <w:spacing w:before="120" w:after="120" w:line="360" w:lineRule="auto"/>
        <w:ind w:left="0" w:firstLine="5103" w:firstLineChars="2430"/>
        <w:jc w:val="both"/>
        <w:rPr>
          <w:rFonts w:ascii="宋体" w:hAnsi="宋体"/>
          <w:color w:val="auto"/>
          <w:kern w:val="2"/>
          <w:sz w:val="21"/>
          <w:highlight w:val="none"/>
          <w:lang w:val="zh-CN"/>
        </w:rPr>
      </w:pPr>
      <w:r>
        <w:rPr>
          <w:rFonts w:ascii="宋体" w:hAnsi="宋体"/>
          <w:color w:val="auto"/>
          <w:kern w:val="2"/>
          <w:sz w:val="21"/>
          <w:highlight w:val="none"/>
          <w:lang w:val="zh-CN"/>
        </w:rPr>
        <w:t>职　　　务：</w:t>
      </w:r>
    </w:p>
    <w:p>
      <w:pPr>
        <w:autoSpaceDE/>
        <w:autoSpaceDN/>
        <w:adjustRightInd/>
        <w:spacing w:before="120" w:after="120" w:line="360" w:lineRule="auto"/>
        <w:ind w:left="0" w:firstLine="5103" w:firstLineChars="2430"/>
        <w:jc w:val="both"/>
        <w:rPr>
          <w:rFonts w:ascii="宋体" w:hAnsi="宋体"/>
          <w:color w:val="auto"/>
          <w:kern w:val="2"/>
          <w:sz w:val="21"/>
          <w:highlight w:val="none"/>
          <w:lang w:val="zh-CN"/>
        </w:rPr>
      </w:pPr>
      <w:r>
        <w:rPr>
          <w:rFonts w:ascii="宋体" w:hAnsi="宋体"/>
          <w:color w:val="auto"/>
          <w:kern w:val="2"/>
          <w:sz w:val="21"/>
          <w:highlight w:val="none"/>
          <w:lang w:val="zh-CN"/>
        </w:rPr>
        <w:t>被授权人（签名或盖私章）：</w:t>
      </w:r>
    </w:p>
    <w:p>
      <w:pPr>
        <w:autoSpaceDE/>
        <w:autoSpaceDN/>
        <w:adjustRightInd/>
        <w:spacing w:before="120" w:after="120" w:line="360" w:lineRule="auto"/>
        <w:ind w:left="0" w:firstLine="5103" w:firstLineChars="2430"/>
        <w:jc w:val="both"/>
        <w:rPr>
          <w:rFonts w:ascii="宋体" w:hAnsi="宋体"/>
          <w:color w:val="auto"/>
          <w:kern w:val="2"/>
          <w:sz w:val="21"/>
          <w:highlight w:val="none"/>
          <w:lang w:val="zh-CN"/>
        </w:rPr>
      </w:pPr>
      <w:r>
        <w:rPr>
          <w:rFonts w:ascii="宋体" w:hAnsi="宋体"/>
          <w:color w:val="auto"/>
          <w:kern w:val="2"/>
          <w:sz w:val="21"/>
          <w:highlight w:val="none"/>
          <w:lang w:val="zh-CN"/>
        </w:rPr>
        <w:t>职　　　务：</w:t>
      </w:r>
    </w:p>
    <w:p>
      <w:pPr>
        <w:widowControl/>
        <w:adjustRightInd/>
        <w:spacing w:before="120" w:after="120" w:line="360" w:lineRule="auto"/>
        <w:ind w:right="893" w:firstLine="420" w:firstLineChars="200"/>
        <w:jc w:val="both"/>
        <w:textAlignment w:val="bottom"/>
        <w:rPr>
          <w:rFonts w:ascii="宋体" w:hAnsi="宋体"/>
          <w:color w:val="auto"/>
          <w:kern w:val="2"/>
          <w:sz w:val="21"/>
          <w:highlight w:val="none"/>
        </w:rPr>
      </w:pPr>
      <w:r>
        <w:rPr>
          <w:rFonts w:ascii="宋体" w:hAnsi="宋体"/>
          <w:color w:val="auto"/>
          <w:kern w:val="2"/>
          <w:sz w:val="21"/>
          <w:highlight w:val="none"/>
          <w:lang w:val="zh-CN"/>
        </w:rPr>
        <w:br w:type="page"/>
      </w:r>
      <w:r>
        <w:rPr>
          <w:rFonts w:ascii="宋体" w:hAnsi="宋体"/>
          <w:color w:val="auto"/>
          <w:kern w:val="2"/>
          <w:sz w:val="21"/>
          <w:highlight w:val="none"/>
        </w:rPr>
        <w:t>附 法定代表人、被授权人身份证复印件</w:t>
      </w:r>
    </w:p>
    <w:p>
      <w:pPr>
        <w:widowControl/>
        <w:adjustRightInd/>
        <w:spacing w:before="120" w:after="120" w:line="360" w:lineRule="auto"/>
        <w:ind w:right="893" w:firstLine="420" w:firstLineChars="200"/>
        <w:jc w:val="both"/>
        <w:textAlignment w:val="bottom"/>
        <w:rPr>
          <w:rFonts w:ascii="宋体" w:hAnsi="宋体"/>
          <w:color w:val="auto"/>
          <w:kern w:val="2"/>
          <w:sz w:val="21"/>
          <w:highlight w:val="none"/>
        </w:rPr>
      </w:pPr>
    </w:p>
    <w:p>
      <w:pPr>
        <w:widowControl/>
        <w:adjustRightInd/>
        <w:spacing w:before="120" w:after="120" w:line="360" w:lineRule="auto"/>
        <w:ind w:right="893"/>
        <w:jc w:val="center"/>
        <w:textAlignment w:val="bottom"/>
        <w:rPr>
          <w:rFonts w:ascii="宋体" w:hAnsi="宋体"/>
          <w:color w:val="auto"/>
          <w:kern w:val="2"/>
          <w:sz w:val="21"/>
          <w:highlight w:val="none"/>
        </w:rPr>
      </w:pPr>
      <w:r>
        <w:rPr>
          <w:rFonts w:ascii="宋体" w:hAnsi="宋体"/>
          <w:color w:val="auto"/>
          <w:kern w:val="2"/>
          <w:sz w:val="21"/>
          <w:highlight w:val="none"/>
        </w:rPr>
        <mc:AlternateContent>
          <mc:Choice Requires="wps">
            <w:drawing>
              <wp:anchor distT="0" distB="0" distL="114300" distR="114300" simplePos="0" relativeHeight="251664384" behindDoc="0" locked="0" layoutInCell="1" allowOverlap="1">
                <wp:simplePos x="0" y="0"/>
                <wp:positionH relativeFrom="column">
                  <wp:posOffset>3414395</wp:posOffset>
                </wp:positionH>
                <wp:positionV relativeFrom="paragraph">
                  <wp:posOffset>62865</wp:posOffset>
                </wp:positionV>
                <wp:extent cx="2790825" cy="1762125"/>
                <wp:effectExtent l="4445" t="4445" r="11430" b="11430"/>
                <wp:wrapNone/>
                <wp:docPr id="7" name="文本框 7"/>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_x0000_s1026" o:spid="_x0000_s1026" o:spt="202" type="#_x0000_t202" style="position:absolute;left:0pt;margin-left:268.85pt;margin-top:4.95pt;height:138.75pt;width:219.75pt;z-index:251664384;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4T/A+2QAAAAkBAAAPAAAAAAAAAAEAIAAA&#10;ACIAAABkcnMvZG93bnJldi54bWxQSwECFAAUAAAACACHTuJAWfLPxgsCAAA3BAAADgAAAAAAAAAB&#10;ACAAAAAoAQAAZHJzL2Uyb0RvYy54bWxQSwUGAAAAAAYABgBZAQAAp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ascii="宋体" w:hAnsi="宋体"/>
          <w:color w:val="auto"/>
          <w:kern w:val="2"/>
          <w:sz w:val="21"/>
          <w:highlight w:val="none"/>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62865</wp:posOffset>
                </wp:positionV>
                <wp:extent cx="2790825" cy="1762125"/>
                <wp:effectExtent l="4445" t="4445" r="11430" b="11430"/>
                <wp:wrapNone/>
                <wp:docPr id="5" name="文本框 5"/>
                <wp:cNvGraphicFramePr/>
                <a:graphic xmlns:a="http://schemas.openxmlformats.org/drawingml/2006/main">
                  <a:graphicData uri="http://schemas.microsoft.com/office/word/2010/wordprocessingShape">
                    <wps:wsp>
                      <wps:cNvSpPr txBox="1"/>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_x0000_s1026" o:spid="_x0000_s1026" o:spt="202" type="#_x0000_t202" style="position:absolute;left:0pt;margin-left:16.85pt;margin-top:4.95pt;height:138.75pt;width:219.75pt;z-index:251663360;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JpNDdgAAAAIAQAADwAAAAAAAAABACAAAAAi&#10;AAAAZHJzL2Rvd25yZXYueG1sUEsBAhQAFAAAAAgAh07iQGCx/coKAgAANwQAAA4AAAAAAAAAAQAg&#10;AAAAJwEAAGRycy9lMm9Eb2MueG1sUEsFBgAAAAAGAAYAWQEAAKM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pPr>
        <w:autoSpaceDE/>
        <w:autoSpaceDN/>
        <w:adjustRightInd/>
        <w:spacing w:before="120" w:after="120" w:line="360" w:lineRule="auto"/>
        <w:ind w:left="5040"/>
        <w:jc w:val="center"/>
        <w:rPr>
          <w:rFonts w:ascii="宋体" w:hAnsi="宋体"/>
          <w:color w:val="auto"/>
          <w:kern w:val="2"/>
          <w:sz w:val="21"/>
          <w:highlight w:val="none"/>
        </w:rPr>
      </w:pPr>
    </w:p>
    <w:p>
      <w:pPr>
        <w:jc w:val="center"/>
        <w:rPr>
          <w:rFonts w:ascii="宋体" w:hAnsi="宋体"/>
          <w:color w:val="auto"/>
          <w:kern w:val="2"/>
          <w:highlight w:val="none"/>
        </w:rPr>
      </w:pPr>
      <w:r>
        <w:rPr>
          <w:rFonts w:ascii="宋体" w:hAnsi="宋体"/>
          <w:color w:val="auto"/>
          <w:kern w:val="2"/>
          <w:highlight w:val="none"/>
        </w:rPr>
        <mc:AlternateContent>
          <mc:Choice Requires="wps">
            <w:drawing>
              <wp:anchor distT="0" distB="0" distL="114300" distR="114300" simplePos="0" relativeHeight="251666432" behindDoc="0" locked="0" layoutInCell="1" allowOverlap="1">
                <wp:simplePos x="0" y="0"/>
                <wp:positionH relativeFrom="column">
                  <wp:posOffset>3414395</wp:posOffset>
                </wp:positionH>
                <wp:positionV relativeFrom="paragraph">
                  <wp:posOffset>2688590</wp:posOffset>
                </wp:positionV>
                <wp:extent cx="2743200" cy="1771650"/>
                <wp:effectExtent l="5080" t="4445" r="7620" b="14605"/>
                <wp:wrapNone/>
                <wp:docPr id="6" name="文本框 6"/>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268.85pt;margin-top:211.7pt;height:139.5pt;width:216pt;z-index:251666432;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UOjbAAAACwEAAA8AAAAAAAAA&#10;AQAgAAAAIgAAAGRycy9kb3ducmV2LnhtbFBLAQIUABQAAAAIAIdO4kCAF3C5DgIAADcEAAAOAAAA&#10;AAAAAAEAIAAAACoBAABkcnMvZTJvRG9jLnhtbFBLBQYAAAAABgAGAFkBAACqBQ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被授权人身份证反面</w:t>
                      </w:r>
                    </w:p>
                    <w:p>
                      <w:pPr>
                        <w:rPr>
                          <w:rFonts w:hint="eastAsia"/>
                        </w:rPr>
                      </w:pPr>
                    </w:p>
                    <w:p>
                      <w:pPr>
                        <w:rPr>
                          <w:rFonts w:hint="eastAsia"/>
                        </w:rPr>
                      </w:pPr>
                    </w:p>
                  </w:txbxContent>
                </v:textbox>
              </v:shape>
            </w:pict>
          </mc:Fallback>
        </mc:AlternateContent>
      </w:r>
      <w:r>
        <w:rPr>
          <w:rFonts w:ascii="宋体" w:hAnsi="宋体"/>
          <w:color w:val="auto"/>
          <w:kern w:val="2"/>
          <w:highlight w:val="none"/>
        </w:rPr>
        <mc:AlternateContent>
          <mc:Choice Requires="wps">
            <w:drawing>
              <wp:anchor distT="0" distB="0" distL="114300" distR="114300" simplePos="0" relativeHeight="251665408" behindDoc="0" locked="0" layoutInCell="1" allowOverlap="1">
                <wp:simplePos x="0" y="0"/>
                <wp:positionH relativeFrom="column">
                  <wp:posOffset>213995</wp:posOffset>
                </wp:positionH>
                <wp:positionV relativeFrom="paragraph">
                  <wp:posOffset>2688590</wp:posOffset>
                </wp:positionV>
                <wp:extent cx="2743200" cy="1771650"/>
                <wp:effectExtent l="5080" t="4445" r="7620" b="14605"/>
                <wp:wrapNone/>
                <wp:docPr id="8" name="文本框 8"/>
                <wp:cNvGraphicFramePr/>
                <a:graphic xmlns:a="http://schemas.openxmlformats.org/drawingml/2006/main">
                  <a:graphicData uri="http://schemas.microsoft.com/office/word/2010/wordprocessingShape">
                    <wps:wsp>
                      <wps:cNvSpPr txBox="1"/>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16.85pt;margin-top:211.7pt;height:139.5pt;width:216pt;z-index:251665408;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laN62QAAAAoBAAAPAAAAAAAAAAEA&#10;IAAAACIAAABkcnMvZG93bnJldi54bWxQSwECFAAUAAAACACHTuJAL97vnQ4CAAA3BAAADgAAAAAA&#10;AAABACAAAAAoAQAAZHJzL2Uyb0RvYy54bWxQSwUGAAAAAAYABgBZAQAAqAUAAAAA&#10;">
                <v:fill on="t" focussize="0,0"/>
                <v:stroke color="#000000" joinstyle="miter"/>
                <v:imagedata o:title=""/>
                <o:lock v:ext="edit" aspectratio="f"/>
                <v:textbox>
                  <w:txbxContent>
                    <w:p>
                      <w:pPr>
                        <w:rPr>
                          <w:rFonts w:hint="eastAsia"/>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hint="eastAsia" w:hAnsi="等线 Light"/>
                          <w:color w:val="FF0000"/>
                          <w:kern w:val="2"/>
                          <w:sz w:val="21"/>
                        </w:rPr>
                      </w:pPr>
                    </w:p>
                    <w:p>
                      <w:pPr>
                        <w:jc w:val="center"/>
                        <w:rPr>
                          <w:rFonts w:ascii="宋体" w:hAnsi="宋体"/>
                        </w:rPr>
                      </w:pPr>
                      <w:r>
                        <w:rPr>
                          <w:rFonts w:hint="eastAsia" w:ascii="宋体" w:hAnsi="宋体"/>
                          <w:kern w:val="2"/>
                          <w:sz w:val="21"/>
                        </w:rPr>
                        <w:t>被授权人身份证正面</w:t>
                      </w:r>
                    </w:p>
                    <w:p>
                      <w:pPr>
                        <w:rPr>
                          <w:rFonts w:hint="eastAsia"/>
                        </w:rPr>
                      </w:pPr>
                    </w:p>
                    <w:p>
                      <w:pPr>
                        <w:rPr>
                          <w:rFonts w:hint="eastAsia"/>
                        </w:rPr>
                      </w:pPr>
                    </w:p>
                  </w:txbxContent>
                </v:textbox>
              </v:shape>
            </w:pict>
          </mc:Fallback>
        </mc:AlternateContent>
      </w:r>
    </w:p>
    <w:p>
      <w:pPr>
        <w:jc w:val="center"/>
        <w:rPr>
          <w:rFonts w:ascii="宋体" w:hAnsi="宋体"/>
          <w:color w:val="auto"/>
          <w:sz w:val="21"/>
          <w:szCs w:val="21"/>
          <w:highlight w:val="none"/>
        </w:rPr>
      </w:pPr>
    </w:p>
    <w:p>
      <w:pPr>
        <w:jc w:val="center"/>
        <w:rPr>
          <w:rFonts w:ascii="宋体" w:hAnsi="宋体"/>
          <w:color w:val="auto"/>
          <w:sz w:val="21"/>
          <w:szCs w:val="21"/>
          <w:highlight w:val="none"/>
        </w:rPr>
      </w:pPr>
    </w:p>
    <w:p>
      <w:pPr>
        <w:jc w:val="center"/>
        <w:rPr>
          <w:rFonts w:ascii="宋体" w:hAnsi="宋体"/>
          <w:color w:val="auto"/>
          <w:sz w:val="21"/>
          <w:szCs w:val="21"/>
          <w:highlight w:val="none"/>
        </w:rPr>
      </w:pPr>
    </w:p>
    <w:p>
      <w:pPr>
        <w:jc w:val="center"/>
        <w:rPr>
          <w:rFonts w:ascii="宋体" w:hAnsi="宋体"/>
          <w:color w:val="auto"/>
          <w:sz w:val="21"/>
          <w:szCs w:val="21"/>
          <w:highlight w:val="none"/>
        </w:rPr>
      </w:pPr>
    </w:p>
    <w:p>
      <w:pPr>
        <w:jc w:val="cente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b/>
          <w:color w:val="auto"/>
          <w:sz w:val="21"/>
          <w:szCs w:val="21"/>
          <w:highlight w:val="none"/>
        </w:rPr>
      </w:pPr>
    </w:p>
    <w:p>
      <w:pPr>
        <w:rPr>
          <w:rFonts w:ascii="宋体" w:hAnsi="宋体"/>
          <w:b/>
          <w:color w:val="auto"/>
          <w:sz w:val="21"/>
          <w:szCs w:val="21"/>
          <w:highlight w:val="none"/>
        </w:rPr>
      </w:pPr>
    </w:p>
    <w:p>
      <w:pPr>
        <w:rPr>
          <w:rFonts w:ascii="宋体" w:hAnsi="宋体"/>
          <w:b/>
          <w:color w:val="auto"/>
          <w:sz w:val="21"/>
          <w:szCs w:val="21"/>
          <w:highlight w:val="none"/>
        </w:rPr>
      </w:pPr>
    </w:p>
    <w:p>
      <w:pPr>
        <w:rPr>
          <w:rFonts w:ascii="宋体" w:hAnsi="宋体"/>
          <w:b/>
          <w:color w:val="auto"/>
          <w:sz w:val="21"/>
          <w:szCs w:val="21"/>
          <w:highlight w:val="none"/>
        </w:rPr>
      </w:pPr>
      <w:r>
        <w:rPr>
          <w:rFonts w:ascii="宋体" w:hAnsi="宋体"/>
          <w:b/>
          <w:color w:val="auto"/>
          <w:sz w:val="21"/>
          <w:szCs w:val="21"/>
          <w:highlight w:val="none"/>
        </w:rPr>
        <w:t>注：上述身份证须在有效期限内。</w:t>
      </w:r>
    </w:p>
    <w:p>
      <w:pPr>
        <w:tabs>
          <w:tab w:val="left" w:pos="567"/>
        </w:tabs>
        <w:spacing w:line="360" w:lineRule="auto"/>
        <w:ind w:left="567" w:hanging="567"/>
        <w:outlineLvl w:val="9"/>
        <w:rPr>
          <w:rFonts w:ascii="宋体" w:hAnsi="宋体"/>
          <w:b/>
          <w:color w:val="auto"/>
          <w:sz w:val="21"/>
          <w:szCs w:val="21"/>
          <w:highlight w:val="none"/>
        </w:rPr>
        <w:sectPr>
          <w:footerReference r:id="rId7" w:type="default"/>
          <w:pgSz w:w="11907" w:h="16840"/>
          <w:pgMar w:top="1701" w:right="1418" w:bottom="851" w:left="1418" w:header="720" w:footer="720" w:gutter="0"/>
          <w:pgBorders>
            <w:top w:val="none" w:sz="0" w:space="0"/>
            <w:left w:val="none" w:sz="0" w:space="0"/>
            <w:bottom w:val="none" w:sz="0" w:space="0"/>
            <w:right w:val="none" w:sz="0" w:space="0"/>
          </w:pgBorders>
          <w:cols w:space="720" w:num="1"/>
          <w:titlePg/>
          <w:docGrid w:linePitch="326" w:charSpace="0"/>
        </w:sectPr>
      </w:pPr>
    </w:p>
    <w:p>
      <w:pPr>
        <w:autoSpaceDE/>
        <w:autoSpaceDN/>
        <w:adjustRightInd/>
        <w:spacing w:before="0" w:after="0" w:line="360" w:lineRule="auto"/>
        <w:rPr>
          <w:rFonts w:hint="eastAsia" w:ascii="宋体" w:hAnsi="宋体"/>
          <w:b/>
          <w:color w:val="auto"/>
          <w:kern w:val="2"/>
          <w:sz w:val="30"/>
          <w:szCs w:val="30"/>
          <w:highlight w:val="none"/>
          <w:lang w:val="en-US" w:eastAsia="zh-CN"/>
        </w:rPr>
      </w:pPr>
      <w:bookmarkStart w:id="231" w:name="_Toc19008829"/>
      <w:bookmarkStart w:id="232" w:name="_Toc1123955"/>
      <w:bookmarkStart w:id="233" w:name="_Toc521576305"/>
      <w:bookmarkStart w:id="234" w:name="_Toc56076628"/>
      <w:bookmarkStart w:id="235" w:name="_Toc38982594"/>
      <w:bookmarkStart w:id="236" w:name="_Toc521918323"/>
      <w:bookmarkStart w:id="237" w:name="_Toc532576769"/>
      <w:bookmarkStart w:id="238" w:name="_Toc522047385"/>
      <w:bookmarkStart w:id="239" w:name="_Toc519153444"/>
      <w:bookmarkStart w:id="240" w:name="_Toc5098073"/>
      <w:bookmarkStart w:id="241" w:name="_Toc521918126"/>
      <w:bookmarkStart w:id="242" w:name="_Toc40288703"/>
      <w:bookmarkStart w:id="243" w:name="_Toc54334011"/>
      <w:bookmarkStart w:id="244" w:name="_Toc79146602"/>
      <w:r>
        <w:rPr>
          <w:rFonts w:hint="eastAsia" w:ascii="宋体" w:hAnsi="宋体"/>
          <w:b/>
          <w:color w:val="auto"/>
          <w:kern w:val="2"/>
          <w:sz w:val="30"/>
          <w:szCs w:val="30"/>
          <w:highlight w:val="none"/>
          <w:lang w:val="en-US" w:eastAsia="zh-CN"/>
        </w:rPr>
        <w:t>2.4 省级财政部门资产评估机构登记备案通过的有关材料（包括但不限于省级财政部门政府信息公开平台登记备案公告、中国资产评估协会资产评估机构信息表等相关资料复印件）</w:t>
      </w:r>
    </w:p>
    <w:p>
      <w:pPr>
        <w:autoSpaceDE/>
        <w:autoSpaceDN/>
        <w:adjustRightInd/>
        <w:spacing w:before="120" w:after="120" w:line="360" w:lineRule="auto"/>
        <w:rPr>
          <w:rFonts w:hint="eastAsia" w:ascii="宋体" w:hAnsi="宋体"/>
          <w:b/>
          <w:color w:val="auto"/>
          <w:kern w:val="2"/>
          <w:sz w:val="30"/>
          <w:szCs w:val="30"/>
          <w:highlight w:val="none"/>
          <w:lang w:val="en-US" w:eastAsia="zh-CN"/>
        </w:rPr>
      </w:pPr>
      <w:r>
        <w:rPr>
          <w:rFonts w:hint="eastAsia" w:ascii="宋体" w:hAnsi="宋体"/>
          <w:b/>
          <w:color w:val="auto"/>
          <w:kern w:val="2"/>
          <w:sz w:val="30"/>
          <w:szCs w:val="30"/>
          <w:highlight w:val="none"/>
          <w:lang w:val="en-US" w:eastAsia="zh-CN"/>
        </w:rPr>
        <w:br w:type="page"/>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Start w:id="245" w:name="_Toc1123957"/>
      <w:bookmarkStart w:id="246" w:name="_Toc19008830"/>
      <w:bookmarkStart w:id="247" w:name="_Toc56076629"/>
      <w:bookmarkStart w:id="248" w:name="_Toc532576770"/>
      <w:bookmarkStart w:id="249" w:name="_Toc521918127"/>
      <w:bookmarkStart w:id="250" w:name="_Toc79146603"/>
      <w:bookmarkStart w:id="251" w:name="_Toc40288704"/>
      <w:bookmarkStart w:id="252" w:name="_Toc54334012"/>
      <w:bookmarkStart w:id="253" w:name="_Toc521576306"/>
      <w:bookmarkStart w:id="254" w:name="_Toc521918324"/>
      <w:bookmarkStart w:id="255" w:name="_Toc5098074"/>
      <w:bookmarkStart w:id="256" w:name="_Toc522047386"/>
      <w:bookmarkStart w:id="257" w:name="_Toc38982595"/>
      <w:r>
        <w:rPr>
          <w:rFonts w:hint="eastAsia" w:ascii="宋体" w:hAnsi="宋体"/>
          <w:b/>
          <w:color w:val="auto"/>
          <w:kern w:val="2"/>
          <w:sz w:val="30"/>
          <w:szCs w:val="30"/>
          <w:highlight w:val="none"/>
          <w:lang w:val="en-US" w:eastAsia="zh-CN"/>
        </w:rPr>
        <w:t xml:space="preserve">2.5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【报价人2021年1月1日以来具有二份股权或设备资产价值评估项目业绩（合同签订日期为2021年1月1日或以后）</w:t>
      </w:r>
      <w:r>
        <w:rPr>
          <w:rFonts w:hint="eastAsia" w:ascii="宋体" w:hAnsi="宋体" w:eastAsia="宋体" w:cs="宋体"/>
          <w:b/>
          <w:bCs/>
          <w:color w:val="auto"/>
          <w:sz w:val="32"/>
          <w:szCs w:val="32"/>
          <w:highlight w:val="none"/>
          <w:lang w:eastAsia="zh-CN"/>
        </w:rPr>
        <w:t>】</w:t>
      </w:r>
    </w:p>
    <w:tbl>
      <w:tblPr>
        <w:tblStyle w:val="16"/>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19"/>
        <w:gridCol w:w="1561"/>
        <w:gridCol w:w="1302"/>
        <w:gridCol w:w="1883"/>
        <w:gridCol w:w="1383"/>
        <w:gridCol w:w="99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61" w:hRule="exact"/>
          <w:jc w:val="center"/>
        </w:trPr>
        <w:tc>
          <w:tcPr>
            <w:tcW w:w="1019"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561"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合同项目名称</w:t>
            </w:r>
          </w:p>
        </w:tc>
        <w:tc>
          <w:tcPr>
            <w:tcW w:w="1302"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服务内容</w:t>
            </w:r>
          </w:p>
        </w:tc>
        <w:tc>
          <w:tcPr>
            <w:tcW w:w="1883" w:type="dxa"/>
            <w:noWrap w:val="0"/>
            <w:vAlign w:val="center"/>
          </w:tcPr>
          <w:p>
            <w:pPr>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资产评估类型</w:t>
            </w:r>
          </w:p>
          <w:p>
            <w:pPr>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（股权/设备）</w:t>
            </w:r>
          </w:p>
        </w:tc>
        <w:tc>
          <w:tcPr>
            <w:tcW w:w="1383"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合同服务期</w:t>
            </w:r>
          </w:p>
          <w:p>
            <w:pPr>
              <w:jc w:val="center"/>
              <w:rPr>
                <w:rFonts w:ascii="宋体" w:hAnsi="宋体"/>
                <w:color w:val="auto"/>
                <w:sz w:val="21"/>
                <w:szCs w:val="21"/>
                <w:highlight w:val="none"/>
              </w:rPr>
            </w:pPr>
            <w:r>
              <w:rPr>
                <w:rFonts w:hint="eastAsia" w:ascii="宋体" w:hAnsi="宋体"/>
                <w:color w:val="auto"/>
                <w:sz w:val="21"/>
                <w:szCs w:val="21"/>
                <w:highlight w:val="none"/>
              </w:rPr>
              <w:t>截止时间</w:t>
            </w:r>
          </w:p>
        </w:tc>
        <w:tc>
          <w:tcPr>
            <w:tcW w:w="992" w:type="dxa"/>
            <w:noWrap w:val="0"/>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1598" w:type="dxa"/>
            <w:noWrap w:val="0"/>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rPr>
              <w:t>业主联系人</w:t>
            </w:r>
          </w:p>
          <w:p>
            <w:pPr>
              <w:jc w:val="center"/>
              <w:rPr>
                <w:rFonts w:ascii="宋体" w:hAnsi="宋体"/>
                <w:color w:val="auto"/>
                <w:sz w:val="21"/>
                <w:szCs w:val="21"/>
                <w:highlight w:val="none"/>
              </w:rPr>
            </w:pPr>
            <w:r>
              <w:rPr>
                <w:rFonts w:hint="eastAsia" w:ascii="宋体" w:hAnsi="宋体"/>
                <w:color w:val="auto"/>
                <w:sz w:val="21"/>
                <w:szCs w:val="21"/>
                <w:highlight w:val="none"/>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jc w:val="center"/>
              <w:rPr>
                <w:rFonts w:ascii="宋体" w:hAnsi="宋体"/>
                <w:color w:val="auto"/>
                <w:sz w:val="21"/>
                <w:szCs w:val="21"/>
                <w:highlight w:val="none"/>
              </w:rPr>
            </w:pPr>
          </w:p>
        </w:tc>
        <w:tc>
          <w:tcPr>
            <w:tcW w:w="1561" w:type="dxa"/>
            <w:noWrap w:val="0"/>
            <w:vAlign w:val="center"/>
          </w:tcPr>
          <w:p>
            <w:pPr>
              <w:jc w:val="center"/>
              <w:rPr>
                <w:rFonts w:ascii="宋体" w:hAnsi="宋体"/>
                <w:color w:val="auto"/>
                <w:sz w:val="21"/>
                <w:szCs w:val="21"/>
                <w:highlight w:val="none"/>
              </w:rPr>
            </w:pPr>
          </w:p>
        </w:tc>
        <w:tc>
          <w:tcPr>
            <w:tcW w:w="1302" w:type="dxa"/>
            <w:noWrap w:val="0"/>
            <w:vAlign w:val="center"/>
          </w:tcPr>
          <w:p>
            <w:pPr>
              <w:jc w:val="center"/>
              <w:rPr>
                <w:rFonts w:ascii="宋体" w:hAnsi="宋体"/>
                <w:color w:val="auto"/>
                <w:sz w:val="21"/>
                <w:szCs w:val="21"/>
                <w:highlight w:val="none"/>
              </w:rPr>
            </w:pPr>
          </w:p>
        </w:tc>
        <w:tc>
          <w:tcPr>
            <w:tcW w:w="1883" w:type="dxa"/>
            <w:noWrap w:val="0"/>
            <w:vAlign w:val="center"/>
          </w:tcPr>
          <w:p>
            <w:pPr>
              <w:jc w:val="center"/>
              <w:rPr>
                <w:rFonts w:ascii="宋体" w:hAnsi="宋体"/>
                <w:color w:val="auto"/>
                <w:sz w:val="21"/>
                <w:szCs w:val="21"/>
                <w:highlight w:val="none"/>
              </w:rPr>
            </w:pPr>
          </w:p>
        </w:tc>
        <w:tc>
          <w:tcPr>
            <w:tcW w:w="1383" w:type="dxa"/>
            <w:noWrap w:val="0"/>
            <w:vAlign w:val="center"/>
          </w:tcPr>
          <w:p>
            <w:pPr>
              <w:jc w:val="center"/>
              <w:rPr>
                <w:rFonts w:ascii="宋体" w:hAnsi="宋体"/>
                <w:color w:val="auto"/>
                <w:sz w:val="21"/>
                <w:szCs w:val="21"/>
                <w:highlight w:val="none"/>
              </w:rPr>
            </w:pPr>
          </w:p>
        </w:tc>
        <w:tc>
          <w:tcPr>
            <w:tcW w:w="992" w:type="dxa"/>
            <w:noWrap w:val="0"/>
            <w:vAlign w:val="center"/>
          </w:tcPr>
          <w:p>
            <w:pPr>
              <w:jc w:val="center"/>
              <w:rPr>
                <w:rFonts w:ascii="宋体" w:hAnsi="宋体"/>
                <w:color w:val="auto"/>
                <w:sz w:val="21"/>
                <w:szCs w:val="21"/>
                <w:highlight w:val="none"/>
              </w:rPr>
            </w:pPr>
          </w:p>
        </w:tc>
        <w:tc>
          <w:tcPr>
            <w:tcW w:w="1598" w:type="dxa"/>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58" w:hRule="exact"/>
          <w:jc w:val="center"/>
        </w:trPr>
        <w:tc>
          <w:tcPr>
            <w:tcW w:w="1019" w:type="dxa"/>
            <w:noWrap w:val="0"/>
            <w:vAlign w:val="center"/>
          </w:tcPr>
          <w:p>
            <w:pPr>
              <w:jc w:val="center"/>
              <w:rPr>
                <w:rFonts w:ascii="宋体" w:hAnsi="宋体"/>
                <w:color w:val="auto"/>
                <w:sz w:val="21"/>
                <w:szCs w:val="21"/>
                <w:highlight w:val="none"/>
              </w:rPr>
            </w:pPr>
          </w:p>
        </w:tc>
        <w:tc>
          <w:tcPr>
            <w:tcW w:w="1561" w:type="dxa"/>
            <w:noWrap w:val="0"/>
            <w:vAlign w:val="center"/>
          </w:tcPr>
          <w:p>
            <w:pPr>
              <w:jc w:val="center"/>
              <w:rPr>
                <w:rFonts w:ascii="宋体" w:hAnsi="宋体"/>
                <w:color w:val="auto"/>
                <w:sz w:val="21"/>
                <w:szCs w:val="21"/>
                <w:highlight w:val="none"/>
              </w:rPr>
            </w:pPr>
          </w:p>
        </w:tc>
        <w:tc>
          <w:tcPr>
            <w:tcW w:w="1302" w:type="dxa"/>
            <w:noWrap w:val="0"/>
            <w:vAlign w:val="center"/>
          </w:tcPr>
          <w:p>
            <w:pPr>
              <w:jc w:val="center"/>
              <w:rPr>
                <w:rFonts w:ascii="宋体" w:hAnsi="宋体"/>
                <w:color w:val="auto"/>
                <w:sz w:val="21"/>
                <w:szCs w:val="21"/>
                <w:highlight w:val="none"/>
              </w:rPr>
            </w:pPr>
          </w:p>
        </w:tc>
        <w:tc>
          <w:tcPr>
            <w:tcW w:w="1883" w:type="dxa"/>
            <w:noWrap w:val="0"/>
            <w:vAlign w:val="center"/>
          </w:tcPr>
          <w:p>
            <w:pPr>
              <w:jc w:val="center"/>
              <w:rPr>
                <w:rFonts w:ascii="宋体" w:hAnsi="宋体"/>
                <w:color w:val="auto"/>
                <w:sz w:val="21"/>
                <w:szCs w:val="21"/>
                <w:highlight w:val="none"/>
              </w:rPr>
            </w:pPr>
          </w:p>
        </w:tc>
        <w:tc>
          <w:tcPr>
            <w:tcW w:w="1383" w:type="dxa"/>
            <w:noWrap w:val="0"/>
            <w:vAlign w:val="center"/>
          </w:tcPr>
          <w:p>
            <w:pPr>
              <w:jc w:val="center"/>
              <w:rPr>
                <w:rFonts w:ascii="宋体" w:hAnsi="宋体"/>
                <w:color w:val="auto"/>
                <w:sz w:val="21"/>
                <w:szCs w:val="21"/>
                <w:highlight w:val="none"/>
              </w:rPr>
            </w:pPr>
          </w:p>
        </w:tc>
        <w:tc>
          <w:tcPr>
            <w:tcW w:w="992" w:type="dxa"/>
            <w:noWrap w:val="0"/>
            <w:vAlign w:val="center"/>
          </w:tcPr>
          <w:p>
            <w:pPr>
              <w:jc w:val="center"/>
              <w:rPr>
                <w:rFonts w:ascii="宋体" w:hAnsi="宋体"/>
                <w:color w:val="auto"/>
                <w:sz w:val="21"/>
                <w:szCs w:val="21"/>
                <w:highlight w:val="none"/>
              </w:rPr>
            </w:pPr>
          </w:p>
        </w:tc>
        <w:tc>
          <w:tcPr>
            <w:tcW w:w="1598" w:type="dxa"/>
            <w:noWrap w:val="0"/>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9" w:hRule="exact"/>
          <w:jc w:val="center"/>
        </w:trPr>
        <w:tc>
          <w:tcPr>
            <w:tcW w:w="1019" w:type="dxa"/>
            <w:noWrap w:val="0"/>
            <w:vAlign w:val="center"/>
          </w:tcPr>
          <w:p>
            <w:pPr>
              <w:jc w:val="center"/>
              <w:rPr>
                <w:rFonts w:ascii="宋体" w:hAnsi="宋体"/>
                <w:color w:val="auto"/>
                <w:sz w:val="21"/>
                <w:szCs w:val="21"/>
                <w:highlight w:val="none"/>
              </w:rPr>
            </w:pPr>
          </w:p>
        </w:tc>
        <w:tc>
          <w:tcPr>
            <w:tcW w:w="1561" w:type="dxa"/>
            <w:noWrap w:val="0"/>
            <w:vAlign w:val="center"/>
          </w:tcPr>
          <w:p>
            <w:pPr>
              <w:jc w:val="center"/>
              <w:rPr>
                <w:rFonts w:ascii="宋体" w:hAnsi="宋体"/>
                <w:color w:val="auto"/>
                <w:sz w:val="21"/>
                <w:szCs w:val="21"/>
                <w:highlight w:val="none"/>
              </w:rPr>
            </w:pPr>
          </w:p>
        </w:tc>
        <w:tc>
          <w:tcPr>
            <w:tcW w:w="1302" w:type="dxa"/>
            <w:noWrap w:val="0"/>
            <w:vAlign w:val="center"/>
          </w:tcPr>
          <w:p>
            <w:pPr>
              <w:jc w:val="center"/>
              <w:rPr>
                <w:rFonts w:ascii="宋体" w:hAnsi="宋体"/>
                <w:color w:val="auto"/>
                <w:sz w:val="21"/>
                <w:szCs w:val="21"/>
                <w:highlight w:val="none"/>
              </w:rPr>
            </w:pPr>
          </w:p>
        </w:tc>
        <w:tc>
          <w:tcPr>
            <w:tcW w:w="1883" w:type="dxa"/>
            <w:noWrap w:val="0"/>
            <w:vAlign w:val="center"/>
          </w:tcPr>
          <w:p>
            <w:pPr>
              <w:jc w:val="center"/>
              <w:rPr>
                <w:rFonts w:ascii="宋体" w:hAnsi="宋体"/>
                <w:color w:val="auto"/>
                <w:sz w:val="21"/>
                <w:szCs w:val="21"/>
                <w:highlight w:val="none"/>
              </w:rPr>
            </w:pPr>
          </w:p>
        </w:tc>
        <w:tc>
          <w:tcPr>
            <w:tcW w:w="1383" w:type="dxa"/>
            <w:noWrap w:val="0"/>
            <w:vAlign w:val="center"/>
          </w:tcPr>
          <w:p>
            <w:pPr>
              <w:jc w:val="center"/>
              <w:rPr>
                <w:rFonts w:ascii="宋体" w:hAnsi="宋体"/>
                <w:color w:val="auto"/>
                <w:sz w:val="21"/>
                <w:szCs w:val="21"/>
                <w:highlight w:val="none"/>
              </w:rPr>
            </w:pPr>
          </w:p>
        </w:tc>
        <w:tc>
          <w:tcPr>
            <w:tcW w:w="992" w:type="dxa"/>
            <w:noWrap w:val="0"/>
            <w:vAlign w:val="center"/>
          </w:tcPr>
          <w:p>
            <w:pPr>
              <w:jc w:val="center"/>
              <w:rPr>
                <w:rFonts w:ascii="宋体" w:hAnsi="宋体"/>
                <w:color w:val="auto"/>
                <w:sz w:val="21"/>
                <w:szCs w:val="21"/>
                <w:highlight w:val="none"/>
              </w:rPr>
            </w:pPr>
          </w:p>
        </w:tc>
        <w:tc>
          <w:tcPr>
            <w:tcW w:w="1598" w:type="dxa"/>
            <w:noWrap w:val="0"/>
            <w:vAlign w:val="center"/>
          </w:tcPr>
          <w:p>
            <w:pPr>
              <w:jc w:val="center"/>
              <w:rPr>
                <w:rFonts w:ascii="宋体" w:hAnsi="宋体"/>
                <w:color w:val="auto"/>
                <w:sz w:val="21"/>
                <w:szCs w:val="21"/>
                <w:highlight w:val="none"/>
              </w:rPr>
            </w:pPr>
          </w:p>
        </w:tc>
      </w:tr>
    </w:tbl>
    <w:p>
      <w:pPr>
        <w:tabs>
          <w:tab w:val="left" w:pos="0"/>
        </w:tabs>
        <w:spacing w:line="360" w:lineRule="auto"/>
        <w:ind w:left="124" w:leftChars="59" w:right="-34"/>
        <w:jc w:val="both"/>
        <w:rPr>
          <w:rFonts w:hint="eastAsia" w:ascii="宋体" w:hAnsi="宋体"/>
          <w:color w:val="auto"/>
          <w:sz w:val="21"/>
          <w:szCs w:val="21"/>
          <w:highlight w:val="none"/>
        </w:rPr>
      </w:pPr>
    </w:p>
    <w:p>
      <w:pPr>
        <w:tabs>
          <w:tab w:val="left" w:pos="0"/>
        </w:tabs>
        <w:spacing w:line="360" w:lineRule="auto"/>
        <w:ind w:left="124" w:leftChars="59" w:right="-34"/>
        <w:jc w:val="both"/>
        <w:rPr>
          <w:rFonts w:hint="eastAsia" w:ascii="宋体" w:hAnsi="宋体"/>
          <w:color w:val="auto"/>
          <w:sz w:val="21"/>
          <w:szCs w:val="21"/>
          <w:highlight w:val="none"/>
        </w:rPr>
      </w:pPr>
      <w:r>
        <w:rPr>
          <w:rFonts w:hint="eastAsia" w:ascii="宋体" w:hAnsi="宋体"/>
          <w:color w:val="auto"/>
          <w:sz w:val="21"/>
          <w:szCs w:val="21"/>
          <w:highlight w:val="none"/>
        </w:rPr>
        <w:t>备注：</w:t>
      </w:r>
    </w:p>
    <w:p>
      <w:pPr>
        <w:snapToGrid w:val="0"/>
        <w:spacing w:line="360" w:lineRule="auto"/>
        <w:ind w:left="815" w:leftChars="118" w:hanging="567" w:hangingChars="270"/>
        <w:rPr>
          <w:rFonts w:hint="eastAsia" w:ascii="宋体" w:hAnsi="宋体"/>
          <w:color w:val="auto"/>
          <w:sz w:val="21"/>
          <w:szCs w:val="21"/>
          <w:highlight w:val="none"/>
        </w:rPr>
      </w:pPr>
      <w:r>
        <w:rPr>
          <w:rFonts w:hint="eastAsia" w:ascii="宋体" w:hAnsi="宋体"/>
          <w:color w:val="auto"/>
          <w:kern w:val="2"/>
          <w:sz w:val="21"/>
          <w:szCs w:val="21"/>
          <w:highlight w:val="none"/>
        </w:rPr>
        <w:t>（1）</w:t>
      </w:r>
      <w:r>
        <w:rPr>
          <w:rFonts w:hint="eastAsia" w:ascii="宋体" w:hAnsi="宋体"/>
          <w:b/>
          <w:bCs/>
          <w:color w:val="auto"/>
          <w:sz w:val="21"/>
          <w:szCs w:val="21"/>
          <w:highlight w:val="none"/>
          <w:u w:val="single"/>
          <w:lang w:val="en-US" w:eastAsia="zh-CN"/>
        </w:rPr>
        <w:t>业绩材料需提供合同复印件，相关股权或设备资产价值评估服务项目指合同内对应的服务内容包含但不限于以下其中一项服务内容：股权价值评估、生产设备价值评估，否则视为无效业绩、不符合合格报价人资格要求</w:t>
      </w:r>
      <w:r>
        <w:rPr>
          <w:rFonts w:hint="eastAsia" w:ascii="宋体" w:hAnsi="宋体"/>
          <w:color w:val="auto"/>
          <w:sz w:val="21"/>
          <w:szCs w:val="21"/>
          <w:highlight w:val="none"/>
          <w:lang w:val="en-US" w:eastAsia="zh-CN"/>
        </w:rPr>
        <w:t>。</w:t>
      </w:r>
    </w:p>
    <w:p>
      <w:pPr>
        <w:snapToGrid w:val="0"/>
        <w:spacing w:line="360" w:lineRule="auto"/>
        <w:ind w:left="815" w:leftChars="118" w:hanging="567" w:hangingChars="270"/>
        <w:rPr>
          <w:rFonts w:hint="eastAsia" w:ascii="宋体" w:hAnsi="宋体"/>
          <w:color w:val="auto"/>
          <w:sz w:val="21"/>
          <w:szCs w:val="21"/>
          <w:highlight w:val="none"/>
          <w:lang w:eastAsia="zh-CN"/>
        </w:rPr>
      </w:pPr>
      <w:r>
        <w:rPr>
          <w:rFonts w:hint="eastAsia" w:ascii="宋体" w:hAnsi="宋体" w:cs="等线 Light"/>
          <w:color w:val="auto"/>
          <w:sz w:val="21"/>
          <w:szCs w:val="21"/>
          <w:highlight w:val="none"/>
        </w:rPr>
        <w:t>（</w:t>
      </w:r>
      <w:r>
        <w:rPr>
          <w:rFonts w:hint="eastAsia" w:ascii="宋体" w:hAnsi="宋体" w:cs="等线 Light"/>
          <w:color w:val="auto"/>
          <w:sz w:val="21"/>
          <w:szCs w:val="21"/>
          <w:highlight w:val="none"/>
          <w:lang w:val="en-US" w:eastAsia="zh-CN"/>
        </w:rPr>
        <w:t>2</w:t>
      </w:r>
      <w:r>
        <w:rPr>
          <w:rFonts w:hint="eastAsia" w:ascii="宋体" w:hAnsi="宋体" w:cs="等线 Light"/>
          <w:color w:val="auto"/>
          <w:sz w:val="21"/>
          <w:szCs w:val="21"/>
          <w:highlight w:val="none"/>
        </w:rPr>
        <w:t>）</w:t>
      </w:r>
      <w:r>
        <w:rPr>
          <w:rFonts w:hint="eastAsia" w:ascii="宋体" w:hAnsi="宋体"/>
          <w:b/>
          <w:bCs/>
          <w:i w:val="0"/>
          <w:iCs w:val="0"/>
          <w:color w:val="auto"/>
          <w:sz w:val="21"/>
          <w:szCs w:val="21"/>
          <w:highlight w:val="none"/>
          <w:u w:val="single"/>
          <w:lang w:val="en-US" w:eastAsia="zh-CN"/>
        </w:rPr>
        <w:t>若合同无法反映主要内容（合同签订日期为2021年1月1日或以后、</w:t>
      </w:r>
      <w:r>
        <w:rPr>
          <w:rFonts w:hint="eastAsia" w:ascii="宋体" w:hAnsi="宋体" w:eastAsia="宋体" w:cs="宋体"/>
          <w:b/>
          <w:bCs/>
          <w:color w:val="auto"/>
          <w:sz w:val="21"/>
          <w:szCs w:val="21"/>
          <w:highlight w:val="none"/>
          <w:u w:val="single"/>
          <w:lang w:val="en-US" w:eastAsia="zh-CN"/>
        </w:rPr>
        <w:t>委托方、受托方、服务内容</w:t>
      </w:r>
      <w:r>
        <w:rPr>
          <w:rFonts w:hint="eastAsia" w:ascii="宋体" w:hAnsi="宋体"/>
          <w:b/>
          <w:bCs/>
          <w:i w:val="0"/>
          <w:iCs w:val="0"/>
          <w:color w:val="auto"/>
          <w:sz w:val="21"/>
          <w:szCs w:val="21"/>
          <w:highlight w:val="none"/>
          <w:u w:val="single"/>
          <w:lang w:val="en-US" w:eastAsia="zh-CN"/>
        </w:rPr>
        <w:t>）的，需提供委托方出具的书面补充说明文件复印件作为辅助证明</w:t>
      </w:r>
      <w:r>
        <w:rPr>
          <w:rFonts w:hint="eastAsia" w:ascii="宋体" w:hAnsi="宋体"/>
          <w:b/>
          <w:bCs/>
          <w:i w:val="0"/>
          <w:iCs w:val="0"/>
          <w:color w:val="auto"/>
          <w:sz w:val="21"/>
          <w:szCs w:val="21"/>
          <w:highlight w:val="none"/>
          <w:u w:val="single"/>
        </w:rPr>
        <w:t>，否则视为无效业绩</w:t>
      </w:r>
      <w:r>
        <w:rPr>
          <w:rFonts w:hint="eastAsia" w:ascii="宋体" w:hAnsi="宋体"/>
          <w:b/>
          <w:bCs/>
          <w:color w:val="auto"/>
          <w:sz w:val="21"/>
          <w:szCs w:val="21"/>
          <w:highlight w:val="none"/>
          <w:u w:val="single"/>
          <w:lang w:val="en-US" w:eastAsia="zh-CN"/>
        </w:rPr>
        <w:t>、不符合合格报价人资格要求</w:t>
      </w:r>
      <w:r>
        <w:rPr>
          <w:rFonts w:hint="eastAsia" w:ascii="宋体" w:hAnsi="宋体"/>
          <w:color w:val="auto"/>
          <w:sz w:val="21"/>
          <w:szCs w:val="21"/>
          <w:highlight w:val="none"/>
          <w:lang w:eastAsia="zh-CN"/>
        </w:rPr>
        <w:t>。</w:t>
      </w:r>
    </w:p>
    <w:p>
      <w:pPr>
        <w:snapToGrid w:val="0"/>
        <w:spacing w:line="360" w:lineRule="auto"/>
        <w:ind w:left="815" w:leftChars="118" w:hanging="567" w:hangingChars="27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）采购人有权对</w:t>
      </w:r>
      <w:r>
        <w:rPr>
          <w:rFonts w:hint="eastAsia" w:ascii="宋体" w:hAnsi="宋体"/>
          <w:color w:val="auto"/>
          <w:sz w:val="21"/>
          <w:szCs w:val="21"/>
          <w:highlight w:val="none"/>
          <w:lang w:val="en-US" w:eastAsia="zh-CN"/>
        </w:rPr>
        <w:t>报价人</w:t>
      </w:r>
      <w:r>
        <w:rPr>
          <w:rFonts w:hint="eastAsia" w:ascii="宋体" w:hAnsi="宋体"/>
          <w:color w:val="auto"/>
          <w:sz w:val="21"/>
          <w:szCs w:val="21"/>
          <w:highlight w:val="none"/>
        </w:rPr>
        <w:t>提供的业绩进行核查（包括对全部业绩材料的原件进行核查），若发现弄虚作假，有权取消其</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资格，并将上报监督管理部门，从严处理，列入相应的</w:t>
      </w:r>
      <w:r>
        <w:rPr>
          <w:rFonts w:hint="eastAsia" w:ascii="宋体" w:hAnsi="宋体"/>
          <w:color w:val="auto"/>
          <w:kern w:val="2"/>
          <w:sz w:val="21"/>
          <w:szCs w:val="21"/>
          <w:highlight w:val="none"/>
          <w:lang w:val="zh-CN"/>
        </w:rPr>
        <w:t>‘黑名单’</w:t>
      </w:r>
      <w:r>
        <w:rPr>
          <w:rFonts w:hint="eastAsia" w:ascii="宋体" w:hAnsi="宋体"/>
          <w:color w:val="auto"/>
          <w:sz w:val="21"/>
          <w:szCs w:val="21"/>
          <w:highlight w:val="none"/>
        </w:rPr>
        <w:t>。</w:t>
      </w:r>
    </w:p>
    <w:p>
      <w:pPr>
        <w:pStyle w:val="2"/>
        <w:rPr>
          <w:rFonts w:hint="eastAsia" w:ascii="宋体" w:hAnsi="宋体"/>
          <w:color w:val="auto"/>
          <w:sz w:val="21"/>
          <w:szCs w:val="21"/>
          <w:highlight w:val="none"/>
        </w:rPr>
      </w:pPr>
    </w:p>
    <w:p>
      <w:pPr>
        <w:pStyle w:val="3"/>
        <w:rPr>
          <w:color w:val="auto"/>
          <w:highlight w:val="none"/>
        </w:rPr>
      </w:pPr>
    </w:p>
    <w:p>
      <w:pPr>
        <w:spacing w:line="360" w:lineRule="auto"/>
        <w:ind w:firstLine="5199" w:firstLineChars="2476"/>
        <w:jc w:val="both"/>
        <w:rPr>
          <w:rFonts w:ascii="宋体" w:hAnsi="宋体"/>
          <w:color w:val="auto"/>
          <w:kern w:val="2"/>
          <w:sz w:val="21"/>
          <w:szCs w:val="21"/>
          <w:highlight w:val="none"/>
          <w:u w:val="single"/>
        </w:rPr>
      </w:pPr>
      <w:r>
        <w:rPr>
          <w:rFonts w:hint="eastAsia" w:ascii="宋体" w:hAnsi="宋体"/>
          <w:color w:val="auto"/>
          <w:kern w:val="2"/>
          <w:sz w:val="21"/>
          <w:szCs w:val="21"/>
          <w:highlight w:val="none"/>
          <w:lang w:val="en-US" w:eastAsia="zh-CN"/>
        </w:rPr>
        <w:t>报价人</w:t>
      </w:r>
      <w:r>
        <w:rPr>
          <w:rFonts w:ascii="宋体" w:hAnsi="宋体"/>
          <w:color w:val="auto"/>
          <w:kern w:val="2"/>
          <w:sz w:val="21"/>
          <w:szCs w:val="21"/>
          <w:highlight w:val="none"/>
          <w:lang w:val="zh-CN"/>
        </w:rPr>
        <w:t>：（加盖</w:t>
      </w:r>
      <w:r>
        <w:rPr>
          <w:rFonts w:hint="eastAsia" w:ascii="宋体" w:hAnsi="宋体"/>
          <w:color w:val="auto"/>
          <w:kern w:val="2"/>
          <w:sz w:val="21"/>
          <w:szCs w:val="21"/>
          <w:highlight w:val="none"/>
          <w:lang w:val="en-US" w:eastAsia="zh-CN"/>
        </w:rPr>
        <w:t>报价人</w:t>
      </w:r>
      <w:r>
        <w:rPr>
          <w:rFonts w:hint="eastAsia" w:ascii="宋体" w:hAnsi="宋体"/>
          <w:color w:val="auto"/>
          <w:kern w:val="2"/>
          <w:sz w:val="21"/>
          <w:szCs w:val="21"/>
          <w:highlight w:val="none"/>
          <w:lang w:val="zh-CN"/>
        </w:rPr>
        <w:t>法</w:t>
      </w:r>
      <w:r>
        <w:rPr>
          <w:rFonts w:ascii="宋体" w:hAnsi="宋体"/>
          <w:color w:val="auto"/>
          <w:kern w:val="2"/>
          <w:sz w:val="21"/>
          <w:szCs w:val="21"/>
          <w:highlight w:val="none"/>
          <w:lang w:val="zh-CN"/>
        </w:rPr>
        <w:t>人公章）</w:t>
      </w:r>
      <w:r>
        <w:rPr>
          <w:rFonts w:ascii="宋体" w:hAnsi="宋体"/>
          <w:color w:val="auto"/>
          <w:kern w:val="2"/>
          <w:sz w:val="21"/>
          <w:szCs w:val="21"/>
          <w:highlight w:val="none"/>
          <w:u w:val="single"/>
          <w:lang w:val="zh-CN"/>
        </w:rPr>
        <w:t xml:space="preserve">      </w:t>
      </w:r>
    </w:p>
    <w:p>
      <w:pPr>
        <w:spacing w:line="360" w:lineRule="auto"/>
        <w:ind w:firstLine="5199" w:firstLineChars="2476"/>
        <w:jc w:val="both"/>
        <w:rPr>
          <w:rFonts w:ascii="宋体" w:hAnsi="宋体"/>
          <w:color w:val="auto"/>
          <w:szCs w:val="21"/>
          <w:highlight w:val="none"/>
        </w:rPr>
      </w:pPr>
      <w:r>
        <w:rPr>
          <w:rFonts w:ascii="宋体" w:hAnsi="宋体"/>
          <w:color w:val="auto"/>
          <w:kern w:val="2"/>
          <w:sz w:val="21"/>
          <w:szCs w:val="21"/>
          <w:highlight w:val="none"/>
          <w:lang w:val="zh-CN"/>
        </w:rPr>
        <w:t>日期：   年    月   日</w:t>
      </w:r>
    </w:p>
    <w:p>
      <w:pPr>
        <w:pStyle w:val="3"/>
        <w:rPr>
          <w:color w:val="auto"/>
          <w:szCs w:val="21"/>
          <w:highlight w:val="none"/>
          <w:lang w:val="zh-CN"/>
        </w:rPr>
      </w:pPr>
    </w:p>
    <w:p>
      <w:pPr>
        <w:rPr>
          <w:rFonts w:ascii="宋体" w:hAnsi="宋体"/>
          <w:b/>
          <w:color w:val="auto"/>
          <w:kern w:val="2"/>
          <w:sz w:val="30"/>
          <w:szCs w:val="30"/>
          <w:highlight w:val="none"/>
        </w:rPr>
      </w:pPr>
      <w:r>
        <w:rPr>
          <w:rFonts w:hint="eastAsia" w:ascii="宋体" w:hAnsi="宋体" w:eastAsia="宋体"/>
          <w:color w:val="auto"/>
          <w:sz w:val="36"/>
          <w:szCs w:val="36"/>
          <w:highlight w:val="none"/>
        </w:rPr>
        <w:br w:type="page"/>
      </w:r>
    </w:p>
    <w:p>
      <w:pPr>
        <w:autoSpaceDE/>
        <w:autoSpaceDN/>
        <w:adjustRightInd/>
        <w:spacing w:before="120" w:after="120" w:line="360" w:lineRule="auto"/>
        <w:rPr>
          <w:rFonts w:ascii="宋体" w:hAnsi="宋体"/>
          <w:b/>
          <w:color w:val="auto"/>
          <w:kern w:val="2"/>
          <w:sz w:val="30"/>
          <w:szCs w:val="30"/>
          <w:highlight w:val="none"/>
        </w:rPr>
      </w:pPr>
      <w:r>
        <w:rPr>
          <w:rFonts w:hint="eastAsia" w:ascii="宋体" w:hAnsi="宋体"/>
          <w:b/>
          <w:color w:val="auto"/>
          <w:kern w:val="2"/>
          <w:sz w:val="30"/>
          <w:szCs w:val="30"/>
          <w:highlight w:val="none"/>
          <w:lang w:val="en-US" w:eastAsia="zh-CN"/>
        </w:rPr>
        <w:t>2.6</w:t>
      </w:r>
      <w:r>
        <w:rPr>
          <w:rFonts w:ascii="宋体" w:hAnsi="宋体"/>
          <w:b/>
          <w:color w:val="auto"/>
          <w:kern w:val="2"/>
          <w:sz w:val="30"/>
          <w:szCs w:val="30"/>
          <w:highlight w:val="none"/>
        </w:rPr>
        <w:t xml:space="preserve"> </w:t>
      </w:r>
      <w:bookmarkEnd w:id="245"/>
      <w:bookmarkEnd w:id="246"/>
      <w:bookmarkEnd w:id="247"/>
      <w:bookmarkEnd w:id="248"/>
      <w:bookmarkEnd w:id="249"/>
      <w:bookmarkEnd w:id="250"/>
      <w:bookmarkEnd w:id="251"/>
      <w:bookmarkEnd w:id="252"/>
      <w:bookmarkEnd w:id="253"/>
      <w:bookmarkEnd w:id="254"/>
      <w:bookmarkEnd w:id="255"/>
      <w:bookmarkEnd w:id="256"/>
      <w:bookmarkEnd w:id="257"/>
      <w:r>
        <w:rPr>
          <w:rFonts w:hint="default" w:ascii="宋体" w:hAnsi="宋体" w:eastAsia="宋体" w:cs="Times New Roman"/>
          <w:b/>
          <w:color w:val="auto"/>
          <w:kern w:val="2"/>
          <w:sz w:val="30"/>
          <w:szCs w:val="30"/>
          <w:highlight w:val="none"/>
          <w:lang w:val="zh-CN"/>
        </w:rPr>
        <w:t>关于失信被执行人、重大税收违法失信主体、政府采购严重违法失信行为记录名单情况说明</w:t>
      </w:r>
    </w:p>
    <w:p>
      <w:pPr>
        <w:spacing w:line="360" w:lineRule="auto"/>
        <w:jc w:val="center"/>
        <w:rPr>
          <w:rFonts w:ascii="宋体" w:hAnsi="宋体"/>
          <w:b/>
          <w:color w:val="auto"/>
          <w:sz w:val="30"/>
          <w:szCs w:val="30"/>
          <w:highlight w:val="none"/>
        </w:rPr>
      </w:pPr>
    </w:p>
    <w:p>
      <w:pPr>
        <w:spacing w:line="360" w:lineRule="auto"/>
        <w:jc w:val="center"/>
        <w:rPr>
          <w:rFonts w:ascii="宋体" w:hAnsi="宋体"/>
          <w:color w:val="auto"/>
          <w:highlight w:val="none"/>
        </w:rPr>
      </w:pPr>
      <w:r>
        <w:rPr>
          <w:rFonts w:hint="default" w:ascii="宋体" w:hAnsi="宋体" w:eastAsia="宋体" w:cs="Times New Roman"/>
          <w:b/>
          <w:color w:val="auto"/>
          <w:kern w:val="0"/>
          <w:sz w:val="30"/>
          <w:szCs w:val="30"/>
          <w:highlight w:val="none"/>
          <w:lang w:val="zh-CN"/>
        </w:rPr>
        <w:t>关于失信被执行人、重大税收违法失信主体、政府采购严重违法失信行为记录名单情况说明</w:t>
      </w:r>
      <w:r>
        <w:rPr>
          <w:rFonts w:ascii="宋体" w:hAnsi="宋体"/>
          <w:color w:val="auto"/>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1564"/>
        <w:gridCol w:w="185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967" w:type="dxa"/>
            <w:noWrap w:val="0"/>
            <w:vAlign w:val="center"/>
          </w:tcPr>
          <w:p>
            <w:pPr>
              <w:rPr>
                <w:rFonts w:ascii="宋体" w:hAnsi="宋体"/>
                <w:color w:val="auto"/>
                <w:sz w:val="21"/>
                <w:szCs w:val="21"/>
                <w:highlight w:val="none"/>
                <w:shd w:val="clear" w:color="auto" w:fill="FFFFFF"/>
              </w:rPr>
            </w:pPr>
            <w:r>
              <w:rPr>
                <w:rFonts w:ascii="宋体" w:hAnsi="宋体"/>
                <w:color w:val="auto"/>
                <w:sz w:val="21"/>
                <w:szCs w:val="21"/>
                <w:highlight w:val="none"/>
                <w:shd w:val="clear" w:color="auto" w:fill="FFFFFF"/>
              </w:rPr>
              <w:t xml:space="preserve">         事项名称</w:t>
            </w:r>
          </w:p>
        </w:tc>
        <w:tc>
          <w:tcPr>
            <w:tcW w:w="1564" w:type="dxa"/>
            <w:noWrap w:val="0"/>
            <w:vAlign w:val="center"/>
          </w:tcPr>
          <w:p>
            <w:pPr>
              <w:jc w:val="center"/>
              <w:rPr>
                <w:rFonts w:ascii="宋体" w:hAnsi="宋体"/>
                <w:color w:val="auto"/>
                <w:sz w:val="21"/>
                <w:szCs w:val="21"/>
                <w:highlight w:val="none"/>
                <w:shd w:val="clear" w:color="auto" w:fill="FFFFFF"/>
              </w:rPr>
            </w:pPr>
            <w:r>
              <w:rPr>
                <w:rFonts w:ascii="宋体" w:hAnsi="宋体"/>
                <w:color w:val="auto"/>
                <w:sz w:val="21"/>
                <w:szCs w:val="21"/>
                <w:highlight w:val="none"/>
                <w:shd w:val="clear" w:color="auto" w:fill="FFFFFF"/>
              </w:rPr>
              <w:t>认定时间</w:t>
            </w:r>
          </w:p>
        </w:tc>
        <w:tc>
          <w:tcPr>
            <w:tcW w:w="1854" w:type="dxa"/>
            <w:noWrap w:val="0"/>
            <w:vAlign w:val="center"/>
          </w:tcPr>
          <w:p>
            <w:pPr>
              <w:jc w:val="center"/>
              <w:rPr>
                <w:rFonts w:ascii="宋体" w:hAnsi="宋体"/>
                <w:color w:val="auto"/>
                <w:sz w:val="21"/>
                <w:szCs w:val="21"/>
                <w:highlight w:val="none"/>
                <w:shd w:val="clear" w:color="auto" w:fill="FFFFFF"/>
              </w:rPr>
            </w:pPr>
            <w:r>
              <w:rPr>
                <w:rFonts w:ascii="宋体" w:hAnsi="宋体"/>
                <w:color w:val="auto"/>
                <w:sz w:val="21"/>
                <w:szCs w:val="21"/>
                <w:highlight w:val="none"/>
                <w:shd w:val="clear" w:color="auto" w:fill="FFFFFF"/>
              </w:rPr>
              <w:t>处罚期满时间</w:t>
            </w:r>
            <w:r>
              <w:rPr>
                <w:rFonts w:hint="eastAsia" w:ascii="宋体" w:hAnsi="宋体"/>
                <w:color w:val="auto"/>
                <w:sz w:val="21"/>
                <w:szCs w:val="21"/>
                <w:highlight w:val="none"/>
                <w:shd w:val="clear" w:color="auto" w:fill="FFFFFF"/>
              </w:rPr>
              <w:t>/异常名录信息失效时间</w:t>
            </w:r>
          </w:p>
        </w:tc>
        <w:tc>
          <w:tcPr>
            <w:tcW w:w="1923" w:type="dxa"/>
            <w:noWrap w:val="0"/>
            <w:vAlign w:val="center"/>
          </w:tcPr>
          <w:p>
            <w:pPr>
              <w:jc w:val="center"/>
              <w:rPr>
                <w:rFonts w:ascii="宋体" w:hAnsi="宋体"/>
                <w:color w:val="auto"/>
                <w:sz w:val="21"/>
                <w:szCs w:val="21"/>
                <w:highlight w:val="none"/>
                <w:shd w:val="clear" w:color="auto" w:fill="FFFFFF"/>
              </w:rPr>
            </w:pPr>
            <w:r>
              <w:rPr>
                <w:rFonts w:ascii="宋体" w:hAnsi="宋体"/>
                <w:color w:val="auto"/>
                <w:sz w:val="21"/>
                <w:szCs w:val="21"/>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967" w:type="dxa"/>
            <w:noWrap w:val="0"/>
            <w:vAlign w:val="center"/>
          </w:tcPr>
          <w:p>
            <w:pPr>
              <w:rPr>
                <w:rFonts w:ascii="宋体" w:hAnsi="宋体"/>
                <w:color w:val="auto"/>
                <w:sz w:val="21"/>
                <w:szCs w:val="21"/>
                <w:highlight w:val="none"/>
                <w:shd w:val="clear" w:color="auto" w:fill="FFFFFF"/>
              </w:rPr>
            </w:pPr>
            <w:r>
              <w:rPr>
                <w:rFonts w:ascii="宋体" w:hAnsi="宋体"/>
                <w:color w:val="auto"/>
                <w:sz w:val="21"/>
                <w:szCs w:val="21"/>
                <w:highlight w:val="none"/>
                <w:shd w:val="clear" w:color="auto" w:fill="FFFFFF"/>
              </w:rPr>
              <w:t>是否被认定为失信被执行人</w:t>
            </w:r>
          </w:p>
        </w:tc>
        <w:tc>
          <w:tcPr>
            <w:tcW w:w="1564" w:type="dxa"/>
            <w:noWrap w:val="0"/>
            <w:vAlign w:val="center"/>
          </w:tcPr>
          <w:p>
            <w:pPr>
              <w:jc w:val="center"/>
              <w:rPr>
                <w:rFonts w:ascii="宋体" w:hAnsi="宋体"/>
                <w:color w:val="auto"/>
                <w:sz w:val="21"/>
                <w:szCs w:val="21"/>
                <w:highlight w:val="none"/>
                <w:shd w:val="clear" w:color="auto" w:fill="FFFFFF"/>
              </w:rPr>
            </w:pPr>
          </w:p>
        </w:tc>
        <w:tc>
          <w:tcPr>
            <w:tcW w:w="1854" w:type="dxa"/>
            <w:noWrap w:val="0"/>
            <w:vAlign w:val="center"/>
          </w:tcPr>
          <w:p>
            <w:pPr>
              <w:jc w:val="center"/>
              <w:rPr>
                <w:rFonts w:ascii="宋体" w:hAnsi="宋体"/>
                <w:color w:val="auto"/>
                <w:sz w:val="21"/>
                <w:szCs w:val="21"/>
                <w:highlight w:val="none"/>
                <w:shd w:val="clear" w:color="auto" w:fill="FFFFFF"/>
              </w:rPr>
            </w:pPr>
          </w:p>
        </w:tc>
        <w:tc>
          <w:tcPr>
            <w:tcW w:w="1923" w:type="dxa"/>
            <w:noWrap w:val="0"/>
            <w:vAlign w:val="center"/>
          </w:tcPr>
          <w:p>
            <w:pPr>
              <w:jc w:val="center"/>
              <w:rPr>
                <w:rFonts w:ascii="宋体" w:hAnsi="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67" w:type="dxa"/>
            <w:noWrap w:val="0"/>
            <w:vAlign w:val="center"/>
          </w:tcPr>
          <w:p>
            <w:pPr>
              <w:rPr>
                <w:rFonts w:ascii="宋体" w:hAnsi="宋体"/>
                <w:color w:val="auto"/>
                <w:sz w:val="21"/>
                <w:szCs w:val="21"/>
                <w:highlight w:val="none"/>
                <w:shd w:val="clear" w:color="auto" w:fill="FFFFFF"/>
              </w:rPr>
            </w:pPr>
            <w:r>
              <w:rPr>
                <w:rFonts w:ascii="宋体" w:hAnsi="宋体"/>
                <w:color w:val="auto"/>
                <w:sz w:val="21"/>
                <w:szCs w:val="21"/>
                <w:highlight w:val="none"/>
                <w:shd w:val="clear" w:color="auto" w:fill="FFFFFF"/>
              </w:rPr>
              <w:t>是否被认定为</w:t>
            </w:r>
            <w:r>
              <w:rPr>
                <w:rFonts w:hint="eastAsia" w:ascii="宋体" w:hAnsi="宋体"/>
                <w:color w:val="auto"/>
                <w:sz w:val="21"/>
                <w:szCs w:val="21"/>
                <w:highlight w:val="none"/>
                <w:shd w:val="clear" w:color="auto" w:fill="FFFFFF"/>
                <w:lang w:val="zh-CN"/>
              </w:rPr>
              <w:t>重大税收违法失信主体</w:t>
            </w:r>
          </w:p>
        </w:tc>
        <w:tc>
          <w:tcPr>
            <w:tcW w:w="1564" w:type="dxa"/>
            <w:noWrap w:val="0"/>
            <w:vAlign w:val="center"/>
          </w:tcPr>
          <w:p>
            <w:pPr>
              <w:jc w:val="center"/>
              <w:rPr>
                <w:rFonts w:ascii="宋体" w:hAnsi="宋体"/>
                <w:color w:val="auto"/>
                <w:sz w:val="21"/>
                <w:szCs w:val="21"/>
                <w:highlight w:val="none"/>
                <w:shd w:val="clear" w:color="auto" w:fill="FFFFFF"/>
              </w:rPr>
            </w:pPr>
          </w:p>
        </w:tc>
        <w:tc>
          <w:tcPr>
            <w:tcW w:w="1854" w:type="dxa"/>
            <w:noWrap w:val="0"/>
            <w:vAlign w:val="center"/>
          </w:tcPr>
          <w:p>
            <w:pPr>
              <w:jc w:val="center"/>
              <w:rPr>
                <w:rFonts w:ascii="宋体" w:hAnsi="宋体"/>
                <w:color w:val="auto"/>
                <w:sz w:val="21"/>
                <w:szCs w:val="21"/>
                <w:highlight w:val="none"/>
                <w:shd w:val="clear" w:color="auto" w:fill="FFFFFF"/>
              </w:rPr>
            </w:pPr>
          </w:p>
        </w:tc>
        <w:tc>
          <w:tcPr>
            <w:tcW w:w="1923" w:type="dxa"/>
            <w:noWrap w:val="0"/>
            <w:vAlign w:val="center"/>
          </w:tcPr>
          <w:p>
            <w:pPr>
              <w:jc w:val="center"/>
              <w:rPr>
                <w:rFonts w:ascii="宋体" w:hAnsi="宋体"/>
                <w:color w:val="auto"/>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967" w:type="dxa"/>
            <w:noWrap w:val="0"/>
            <w:vAlign w:val="center"/>
          </w:tcPr>
          <w:p>
            <w:pPr>
              <w:rPr>
                <w:rFonts w:ascii="宋体" w:hAnsi="宋体"/>
                <w:color w:val="auto"/>
                <w:sz w:val="21"/>
                <w:szCs w:val="21"/>
                <w:highlight w:val="none"/>
                <w:shd w:val="clear" w:color="auto" w:fill="FFFFFF"/>
              </w:rPr>
            </w:pPr>
            <w:r>
              <w:rPr>
                <w:rFonts w:ascii="宋体" w:hAnsi="宋体"/>
                <w:color w:val="auto"/>
                <w:sz w:val="21"/>
                <w:szCs w:val="21"/>
                <w:highlight w:val="none"/>
                <w:shd w:val="clear" w:color="auto" w:fill="FFFFFF"/>
              </w:rPr>
              <w:t>是否被认定为</w:t>
            </w:r>
            <w:r>
              <w:rPr>
                <w:rFonts w:hint="eastAsia" w:ascii="宋体" w:hAnsi="宋体" w:eastAsia="宋体" w:cs="宋体"/>
                <w:color w:val="auto"/>
                <w:szCs w:val="21"/>
                <w:highlight w:val="none"/>
                <w:lang w:val="zh-CN"/>
              </w:rPr>
              <w:t>政府采购严重违法失信行为</w:t>
            </w:r>
            <w:r>
              <w:rPr>
                <w:rFonts w:ascii="宋体" w:hAnsi="宋体"/>
                <w:color w:val="auto"/>
                <w:sz w:val="21"/>
                <w:szCs w:val="21"/>
                <w:highlight w:val="none"/>
                <w:shd w:val="clear" w:color="auto" w:fill="FFFFFF"/>
              </w:rPr>
              <w:t>记录名单</w:t>
            </w:r>
          </w:p>
        </w:tc>
        <w:tc>
          <w:tcPr>
            <w:tcW w:w="1564" w:type="dxa"/>
            <w:noWrap w:val="0"/>
            <w:vAlign w:val="center"/>
          </w:tcPr>
          <w:p>
            <w:pPr>
              <w:jc w:val="center"/>
              <w:rPr>
                <w:rFonts w:ascii="宋体" w:hAnsi="宋体"/>
                <w:color w:val="auto"/>
                <w:sz w:val="21"/>
                <w:szCs w:val="21"/>
                <w:highlight w:val="none"/>
                <w:shd w:val="clear" w:color="auto" w:fill="FFFFFF"/>
              </w:rPr>
            </w:pPr>
          </w:p>
        </w:tc>
        <w:tc>
          <w:tcPr>
            <w:tcW w:w="1854" w:type="dxa"/>
            <w:noWrap w:val="0"/>
            <w:vAlign w:val="center"/>
          </w:tcPr>
          <w:p>
            <w:pPr>
              <w:jc w:val="center"/>
              <w:rPr>
                <w:rFonts w:ascii="宋体" w:hAnsi="宋体"/>
                <w:color w:val="auto"/>
                <w:sz w:val="21"/>
                <w:szCs w:val="21"/>
                <w:highlight w:val="none"/>
                <w:shd w:val="clear" w:color="auto" w:fill="FFFFFF"/>
              </w:rPr>
            </w:pPr>
          </w:p>
        </w:tc>
        <w:tc>
          <w:tcPr>
            <w:tcW w:w="1923" w:type="dxa"/>
            <w:noWrap w:val="0"/>
            <w:vAlign w:val="center"/>
          </w:tcPr>
          <w:p>
            <w:pPr>
              <w:jc w:val="center"/>
              <w:rPr>
                <w:rFonts w:ascii="宋体" w:hAnsi="宋体"/>
                <w:color w:val="auto"/>
                <w:sz w:val="21"/>
                <w:szCs w:val="21"/>
                <w:highlight w:val="none"/>
                <w:shd w:val="clear" w:color="auto" w:fill="FFFFFF"/>
              </w:rPr>
            </w:pPr>
          </w:p>
        </w:tc>
      </w:tr>
    </w:tbl>
    <w:p>
      <w:pPr>
        <w:spacing w:line="360" w:lineRule="auto"/>
        <w:rPr>
          <w:rFonts w:ascii="宋体" w:hAnsi="宋体"/>
          <w:color w:val="auto"/>
          <w:sz w:val="21"/>
          <w:szCs w:val="21"/>
          <w:highlight w:val="none"/>
          <w:shd w:val="clear" w:color="auto" w:fill="FFFFFF"/>
        </w:rPr>
      </w:pPr>
    </w:p>
    <w:p>
      <w:pPr>
        <w:spacing w:line="360" w:lineRule="auto"/>
        <w:ind w:firstLine="420" w:firstLineChars="200"/>
        <w:rPr>
          <w:rFonts w:ascii="宋体" w:hAnsi="宋体"/>
          <w:color w:val="auto"/>
          <w:sz w:val="21"/>
          <w:szCs w:val="21"/>
          <w:highlight w:val="none"/>
          <w:shd w:val="clear" w:color="auto" w:fill="FFFFFF"/>
        </w:rPr>
      </w:pPr>
      <w:r>
        <w:rPr>
          <w:rFonts w:hint="eastAsia" w:ascii="宋体" w:hAnsi="宋体"/>
          <w:color w:val="auto"/>
          <w:sz w:val="21"/>
          <w:szCs w:val="21"/>
          <w:highlight w:val="none"/>
          <w:shd w:val="clear" w:color="auto" w:fill="FFFFFF"/>
        </w:rPr>
        <w:t>备</w:t>
      </w:r>
      <w:r>
        <w:rPr>
          <w:rFonts w:ascii="宋体" w:hAnsi="宋体"/>
          <w:color w:val="auto"/>
          <w:sz w:val="21"/>
          <w:szCs w:val="21"/>
          <w:highlight w:val="none"/>
          <w:shd w:val="clear" w:color="auto" w:fill="FFFFFF"/>
        </w:rPr>
        <w:t>注：</w:t>
      </w:r>
    </w:p>
    <w:p>
      <w:pPr>
        <w:spacing w:line="360" w:lineRule="auto"/>
        <w:ind w:firstLine="420" w:firstLineChars="200"/>
        <w:rPr>
          <w:rFonts w:ascii="宋体" w:hAnsi="宋体"/>
          <w:color w:val="auto"/>
          <w:kern w:val="2"/>
          <w:sz w:val="21"/>
          <w:szCs w:val="21"/>
          <w:highlight w:val="none"/>
          <w:lang w:val="zh-CN"/>
        </w:rPr>
      </w:pPr>
      <w:r>
        <w:rPr>
          <w:rFonts w:ascii="宋体" w:hAnsi="宋体"/>
          <w:color w:val="auto"/>
          <w:sz w:val="21"/>
          <w:szCs w:val="21"/>
          <w:highlight w:val="none"/>
          <w:shd w:val="clear" w:color="auto" w:fill="FFFFFF"/>
        </w:rPr>
        <w:t>根据</w:t>
      </w:r>
      <w:r>
        <w:rPr>
          <w:rFonts w:hint="eastAsia" w:ascii="宋体" w:hAnsi="宋体"/>
          <w:color w:val="auto"/>
          <w:sz w:val="21"/>
          <w:szCs w:val="21"/>
          <w:highlight w:val="none"/>
          <w:shd w:val="clear" w:color="auto" w:fill="FFFFFF"/>
          <w:lang w:val="en-US" w:eastAsia="zh-CN"/>
        </w:rPr>
        <w:t>报价人</w:t>
      </w:r>
      <w:r>
        <w:rPr>
          <w:rFonts w:ascii="宋体" w:hAnsi="宋体"/>
          <w:color w:val="auto"/>
          <w:sz w:val="21"/>
          <w:szCs w:val="21"/>
          <w:highlight w:val="none"/>
          <w:shd w:val="clear" w:color="auto" w:fill="FFFFFF"/>
        </w:rPr>
        <w:t>及其不具有独立法人资格的分支机构的实际情况自行编写，无相关事项的，在 “认定时间”列填“无”；若受到相关处罚的应附处罚相关材料复印件</w:t>
      </w:r>
      <w:r>
        <w:rPr>
          <w:rFonts w:hint="eastAsia" w:ascii="宋体" w:hAnsi="宋体"/>
          <w:color w:val="auto"/>
          <w:sz w:val="21"/>
          <w:szCs w:val="21"/>
          <w:highlight w:val="none"/>
          <w:shd w:val="clear" w:color="auto" w:fill="FFFFFF"/>
          <w:lang w:eastAsia="zh-CN"/>
        </w:rPr>
        <w:t>；</w:t>
      </w:r>
      <w:r>
        <w:rPr>
          <w:rFonts w:ascii="宋体" w:hAnsi="宋体"/>
          <w:color w:val="auto"/>
          <w:sz w:val="21"/>
          <w:szCs w:val="21"/>
          <w:highlight w:val="none"/>
          <w:shd w:val="clear" w:color="auto" w:fill="FFFFFF"/>
        </w:rPr>
        <w:t>若出现相关处罚的处罚期满,但处罚公示没有及时更新的情况,</w:t>
      </w:r>
      <w:r>
        <w:rPr>
          <w:rFonts w:hint="eastAsia" w:ascii="宋体" w:hAnsi="宋体"/>
          <w:color w:val="auto"/>
          <w:sz w:val="21"/>
          <w:szCs w:val="21"/>
          <w:highlight w:val="none"/>
          <w:shd w:val="clear" w:color="auto" w:fill="FFFFFF"/>
          <w:lang w:val="en-US" w:eastAsia="zh-CN"/>
        </w:rPr>
        <w:t>报价人</w:t>
      </w:r>
      <w:r>
        <w:rPr>
          <w:rFonts w:ascii="宋体" w:hAnsi="宋体"/>
          <w:color w:val="auto"/>
          <w:sz w:val="21"/>
          <w:szCs w:val="21"/>
          <w:highlight w:val="none"/>
          <w:shd w:val="clear" w:color="auto" w:fill="FFFFFF"/>
        </w:rPr>
        <w:t>须提供相关材料(复印件)佐证,需原件备查</w:t>
      </w:r>
      <w:r>
        <w:rPr>
          <w:rFonts w:ascii="宋体" w:hAnsi="宋体"/>
          <w:color w:val="auto"/>
          <w:kern w:val="2"/>
          <w:sz w:val="21"/>
          <w:szCs w:val="21"/>
          <w:highlight w:val="none"/>
          <w:lang w:val="zh-CN"/>
        </w:rPr>
        <w:t>。</w:t>
      </w:r>
    </w:p>
    <w:p>
      <w:pPr>
        <w:spacing w:line="360" w:lineRule="auto"/>
        <w:rPr>
          <w:rFonts w:ascii="宋体" w:hAnsi="宋体"/>
          <w:color w:val="auto"/>
          <w:kern w:val="2"/>
          <w:sz w:val="21"/>
          <w:szCs w:val="21"/>
          <w:highlight w:val="none"/>
          <w:lang w:val="zh-CN"/>
        </w:rPr>
      </w:pPr>
    </w:p>
    <w:p>
      <w:pPr>
        <w:spacing w:line="360" w:lineRule="auto"/>
        <w:rPr>
          <w:rFonts w:ascii="宋体" w:hAnsi="宋体"/>
          <w:color w:val="auto"/>
          <w:kern w:val="2"/>
          <w:sz w:val="21"/>
          <w:szCs w:val="21"/>
          <w:highlight w:val="none"/>
          <w:lang w:val="zh-CN"/>
        </w:rPr>
      </w:pPr>
    </w:p>
    <w:p>
      <w:pPr>
        <w:spacing w:line="360" w:lineRule="auto"/>
        <w:rPr>
          <w:rFonts w:hint="eastAsia" w:ascii="宋体" w:hAnsi="宋体"/>
          <w:color w:val="auto"/>
          <w:sz w:val="21"/>
          <w:szCs w:val="21"/>
          <w:highlight w:val="none"/>
          <w:shd w:val="clear" w:color="auto" w:fill="FFFFFF"/>
        </w:rPr>
      </w:pPr>
    </w:p>
    <w:p>
      <w:pPr>
        <w:spacing w:line="360" w:lineRule="auto"/>
        <w:jc w:val="center"/>
        <w:rPr>
          <w:rFonts w:ascii="宋体" w:hAnsi="宋体"/>
          <w:color w:val="auto"/>
          <w:highlight w:val="none"/>
        </w:rPr>
      </w:pPr>
    </w:p>
    <w:p>
      <w:pPr>
        <w:autoSpaceDE/>
        <w:autoSpaceDN/>
        <w:adjustRightInd/>
        <w:spacing w:line="360" w:lineRule="auto"/>
        <w:ind w:right="420" w:firstLine="4410" w:firstLineChars="2100"/>
        <w:jc w:val="right"/>
        <w:rPr>
          <w:rFonts w:ascii="宋体" w:hAnsi="宋体"/>
          <w:color w:val="auto"/>
          <w:kern w:val="2"/>
          <w:sz w:val="21"/>
          <w:szCs w:val="21"/>
          <w:highlight w:val="none"/>
          <w:lang w:val="zh-CN"/>
        </w:rPr>
      </w:pPr>
      <w:r>
        <w:rPr>
          <w:rFonts w:hint="eastAsia" w:ascii="宋体" w:hAnsi="宋体"/>
          <w:color w:val="auto"/>
          <w:kern w:val="2"/>
          <w:sz w:val="21"/>
          <w:szCs w:val="21"/>
          <w:highlight w:val="none"/>
          <w:lang w:val="en-US" w:eastAsia="zh-CN"/>
        </w:rPr>
        <w:t>报价人</w:t>
      </w:r>
      <w:r>
        <w:rPr>
          <w:rFonts w:ascii="宋体" w:hAnsi="宋体"/>
          <w:color w:val="auto"/>
          <w:kern w:val="2"/>
          <w:sz w:val="21"/>
          <w:szCs w:val="21"/>
          <w:highlight w:val="none"/>
          <w:lang w:val="zh-CN"/>
        </w:rPr>
        <w:t>：</w:t>
      </w:r>
      <w:r>
        <w:rPr>
          <w:rFonts w:ascii="宋体" w:hAnsi="宋体"/>
          <w:color w:val="auto"/>
          <w:sz w:val="21"/>
          <w:szCs w:val="21"/>
          <w:highlight w:val="none"/>
          <w:lang w:val="zh-CN"/>
        </w:rPr>
        <w:t>（加盖</w:t>
      </w:r>
      <w:r>
        <w:rPr>
          <w:rFonts w:hint="eastAsia" w:ascii="宋体" w:hAnsi="宋体"/>
          <w:color w:val="auto"/>
          <w:sz w:val="21"/>
          <w:szCs w:val="21"/>
          <w:highlight w:val="none"/>
          <w:lang w:val="en-US" w:eastAsia="zh-CN"/>
        </w:rPr>
        <w:t>报价人</w:t>
      </w:r>
      <w:r>
        <w:rPr>
          <w:rFonts w:hint="eastAsia" w:ascii="宋体" w:hAnsi="宋体"/>
          <w:color w:val="auto"/>
          <w:sz w:val="21"/>
          <w:szCs w:val="21"/>
          <w:highlight w:val="none"/>
          <w:lang w:val="zh-CN"/>
        </w:rPr>
        <w:t>法</w:t>
      </w:r>
      <w:r>
        <w:rPr>
          <w:rFonts w:ascii="宋体" w:hAnsi="宋体"/>
          <w:color w:val="auto"/>
          <w:sz w:val="21"/>
          <w:szCs w:val="21"/>
          <w:highlight w:val="none"/>
          <w:lang w:val="zh-CN"/>
        </w:rPr>
        <w:t>人公章）</w:t>
      </w:r>
    </w:p>
    <w:p>
      <w:pPr>
        <w:spacing w:line="360" w:lineRule="auto"/>
        <w:ind w:right="893" w:firstLine="2811" w:firstLineChars="1339"/>
        <w:jc w:val="right"/>
        <w:rPr>
          <w:rFonts w:ascii="宋体" w:hAnsi="宋体"/>
          <w:color w:val="auto"/>
          <w:kern w:val="2"/>
          <w:sz w:val="21"/>
          <w:highlight w:val="none"/>
          <w:lang w:val="zh-CN"/>
        </w:rPr>
      </w:pPr>
      <w:r>
        <w:rPr>
          <w:rFonts w:ascii="宋体" w:hAnsi="宋体"/>
          <w:color w:val="auto"/>
          <w:kern w:val="2"/>
          <w:sz w:val="21"/>
          <w:highlight w:val="none"/>
          <w:u w:val="none"/>
          <w:lang w:val="zh-CN"/>
        </w:rPr>
        <w:t xml:space="preserve">               </w:t>
      </w:r>
      <w:r>
        <w:rPr>
          <w:rFonts w:ascii="宋体" w:hAnsi="宋体"/>
          <w:color w:val="auto"/>
          <w:kern w:val="2"/>
          <w:sz w:val="21"/>
          <w:highlight w:val="none"/>
          <w:lang w:val="zh-CN"/>
        </w:rPr>
        <w:t>日  期：   年  月  日</w:t>
      </w:r>
    </w:p>
    <w:p>
      <w:pPr>
        <w:spacing w:line="360" w:lineRule="auto"/>
        <w:rPr>
          <w:rFonts w:ascii="宋体" w:hAnsi="宋体"/>
          <w:color w:val="auto"/>
          <w:kern w:val="2"/>
          <w:sz w:val="21"/>
          <w:szCs w:val="21"/>
          <w:highlight w:val="none"/>
          <w:lang w:val="zh-CN"/>
        </w:rPr>
      </w:pPr>
    </w:p>
    <w:p>
      <w:pPr>
        <w:spacing w:line="360" w:lineRule="auto"/>
        <w:rPr>
          <w:rFonts w:ascii="宋体" w:hAnsi="宋体"/>
          <w:color w:val="auto"/>
          <w:kern w:val="2"/>
          <w:sz w:val="21"/>
          <w:szCs w:val="21"/>
          <w:highlight w:val="none"/>
          <w:lang w:val="zh-CN"/>
        </w:rPr>
        <w:sectPr>
          <w:pgSz w:w="11907" w:h="16840"/>
          <w:pgMar w:top="1701" w:right="1418" w:bottom="851" w:left="1418" w:header="720" w:footer="720" w:gutter="0"/>
          <w:pgBorders>
            <w:top w:val="none" w:sz="0" w:space="0"/>
            <w:left w:val="none" w:sz="0" w:space="0"/>
            <w:bottom w:val="none" w:sz="0" w:space="0"/>
            <w:right w:val="none" w:sz="0" w:space="0"/>
          </w:pgBorders>
          <w:cols w:space="720" w:num="1"/>
          <w:titlePg/>
          <w:docGrid w:linePitch="326" w:charSpace="0"/>
        </w:sectPr>
      </w:pPr>
    </w:p>
    <w:p>
      <w:pPr>
        <w:pStyle w:val="5"/>
        <w:jc w:val="center"/>
        <w:rPr>
          <w:rFonts w:hint="eastAsia" w:ascii="宋体" w:hAnsi="宋体" w:eastAsia="宋体"/>
          <w:b/>
          <w:color w:val="auto"/>
          <w:sz w:val="32"/>
          <w:szCs w:val="32"/>
          <w:highlight w:val="none"/>
          <w:lang w:val="en-US" w:eastAsia="zh-CN"/>
        </w:rPr>
      </w:pPr>
      <w:bookmarkStart w:id="258" w:name="_Toc79146605"/>
      <w:bookmarkStart w:id="259" w:name="_Toc7538"/>
      <w:bookmarkStart w:id="260" w:name="_Toc54342745"/>
      <w:bookmarkStart w:id="261" w:name="_Toc19238"/>
      <w:bookmarkStart w:id="262" w:name="_Toc13917"/>
      <w:bookmarkStart w:id="263" w:name="_Toc26412"/>
      <w:r>
        <w:rPr>
          <w:rFonts w:hint="eastAsia" w:ascii="宋体" w:hAnsi="宋体" w:eastAsia="宋体"/>
          <w:b/>
          <w:color w:val="auto"/>
          <w:sz w:val="32"/>
          <w:szCs w:val="32"/>
          <w:highlight w:val="none"/>
          <w:lang w:val="en-US" w:eastAsia="zh-CN"/>
        </w:rPr>
        <w:t>（三）报价人</w:t>
      </w:r>
      <w:r>
        <w:rPr>
          <w:rFonts w:hint="eastAsia" w:ascii="宋体" w:hAnsi="宋体" w:eastAsia="宋体"/>
          <w:b/>
          <w:color w:val="auto"/>
          <w:sz w:val="32"/>
          <w:szCs w:val="32"/>
          <w:highlight w:val="none"/>
        </w:rPr>
        <w:t>基本情况一览表</w:t>
      </w:r>
      <w:bookmarkEnd w:id="258"/>
      <w:bookmarkEnd w:id="259"/>
      <w:bookmarkEnd w:id="260"/>
      <w:r>
        <w:rPr>
          <w:rFonts w:hint="eastAsia" w:ascii="宋体" w:hAnsi="宋体" w:eastAsia="宋体"/>
          <w:b/>
          <w:color w:val="auto"/>
          <w:sz w:val="32"/>
          <w:szCs w:val="32"/>
          <w:highlight w:val="none"/>
          <w:lang w:val="en-US" w:eastAsia="zh-CN"/>
        </w:rPr>
        <w:t>格式</w:t>
      </w:r>
      <w:bookmarkEnd w:id="261"/>
      <w:bookmarkEnd w:id="262"/>
      <w:bookmarkEnd w:id="263"/>
    </w:p>
    <w:p>
      <w:pPr>
        <w:rPr>
          <w:rFonts w:hint="eastAsia"/>
          <w:color w:val="auto"/>
          <w:highlight w:val="none"/>
        </w:rPr>
      </w:pPr>
    </w:p>
    <w:p>
      <w:pPr>
        <w:spacing w:line="360" w:lineRule="auto"/>
        <w:jc w:val="center"/>
        <w:outlineLvl w:val="9"/>
        <w:rPr>
          <w:rFonts w:hint="eastAsia" w:hAnsi="宋体" w:cs="宋体"/>
          <w:b/>
          <w:bCs/>
          <w:color w:val="auto"/>
          <w:kern w:val="2"/>
          <w:sz w:val="30"/>
          <w:szCs w:val="30"/>
          <w:highlight w:val="none"/>
        </w:rPr>
      </w:pPr>
      <w:bookmarkStart w:id="264" w:name="_Toc27319"/>
      <w:bookmarkStart w:id="265" w:name="_Toc27131"/>
      <w:r>
        <w:rPr>
          <w:rFonts w:hint="eastAsia" w:hAnsi="宋体" w:cs="宋体"/>
          <w:b/>
          <w:bCs/>
          <w:color w:val="auto"/>
          <w:kern w:val="2"/>
          <w:sz w:val="30"/>
          <w:szCs w:val="30"/>
          <w:highlight w:val="none"/>
          <w:lang w:val="en-US" w:eastAsia="zh-CN"/>
        </w:rPr>
        <w:t>报价人</w:t>
      </w:r>
      <w:r>
        <w:rPr>
          <w:rFonts w:hint="eastAsia" w:hAnsi="宋体" w:cs="宋体"/>
          <w:b/>
          <w:bCs/>
          <w:color w:val="auto"/>
          <w:kern w:val="2"/>
          <w:sz w:val="30"/>
          <w:szCs w:val="30"/>
          <w:highlight w:val="none"/>
          <w:lang w:val="zh-CN"/>
        </w:rPr>
        <w:t>基本情况一览表</w:t>
      </w:r>
      <w:bookmarkEnd w:id="264"/>
      <w:bookmarkEnd w:id="265"/>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outlineLvl w:val="9"/>
        <w:rPr>
          <w:rFonts w:hint="eastAsia" w:hAnsi="宋体" w:cs="宋体"/>
          <w:color w:val="auto"/>
          <w:kern w:val="2"/>
          <w:sz w:val="21"/>
          <w:szCs w:val="21"/>
          <w:highlight w:val="none"/>
        </w:rPr>
      </w:pPr>
      <w:bookmarkStart w:id="266" w:name="_Toc23960"/>
      <w:bookmarkStart w:id="267" w:name="_Toc21386"/>
      <w:r>
        <w:rPr>
          <w:rFonts w:hint="eastAsia" w:hAnsi="宋体" w:cs="宋体"/>
          <w:color w:val="auto"/>
          <w:kern w:val="2"/>
          <w:sz w:val="21"/>
          <w:szCs w:val="21"/>
          <w:highlight w:val="none"/>
          <w:lang w:val="zh-CN"/>
        </w:rPr>
        <w:t>1、名称及概况：</w:t>
      </w:r>
      <w:bookmarkEnd w:id="266"/>
      <w:bookmarkEnd w:id="267"/>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（1）</w:t>
      </w:r>
      <w:r>
        <w:rPr>
          <w:rFonts w:hint="eastAsia" w:hAnsi="宋体" w:cs="宋体"/>
          <w:color w:val="auto"/>
          <w:kern w:val="2"/>
          <w:sz w:val="21"/>
          <w:highlight w:val="none"/>
          <w:lang w:val="en-US" w:eastAsia="zh-CN"/>
        </w:rPr>
        <w:t>报价人</w:t>
      </w:r>
      <w:r>
        <w:rPr>
          <w:rFonts w:hint="eastAsia" w:hAnsi="宋体" w:cs="宋体"/>
          <w:color w:val="auto"/>
          <w:kern w:val="2"/>
          <w:sz w:val="21"/>
          <w:highlight w:val="none"/>
          <w:lang w:val="zh-CN"/>
        </w:rPr>
        <w:t>名称：</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（2）总部地址：</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735" w:firstLineChars="350"/>
        <w:jc w:val="both"/>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邮政编码：</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735" w:firstLineChars="350"/>
        <w:jc w:val="both"/>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电话号码：</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735" w:firstLineChars="350"/>
        <w:jc w:val="both"/>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传真号码：</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（3）成立或注册日期：</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（4）法定代表人：</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hAnsi="宋体" w:cs="宋体"/>
          <w:color w:val="auto"/>
          <w:kern w:val="2"/>
          <w:sz w:val="21"/>
          <w:highlight w:val="none"/>
          <w:lang w:val="zh-CN"/>
        </w:rPr>
      </w:pPr>
      <w:r>
        <w:rPr>
          <w:rFonts w:hint="eastAsia" w:hAnsi="宋体" w:cs="宋体"/>
          <w:color w:val="auto"/>
          <w:kern w:val="2"/>
          <w:sz w:val="21"/>
          <w:highlight w:val="none"/>
          <w:lang w:val="zh-CN"/>
        </w:rPr>
        <w:t xml:space="preserve">（5）开户银行：_________________________________________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hAnsi="宋体" w:cs="宋体"/>
          <w:color w:val="auto"/>
          <w:kern w:val="2"/>
          <w:sz w:val="21"/>
          <w:highlight w:val="none"/>
          <w:lang w:val="zh-CN"/>
        </w:rPr>
      </w:pPr>
      <w:r>
        <w:rPr>
          <w:rFonts w:hint="eastAsia" w:hAnsi="宋体" w:cs="宋体"/>
          <w:color w:val="auto"/>
          <w:kern w:val="2"/>
          <w:sz w:val="21"/>
          <w:highlight w:val="none"/>
          <w:lang w:val="zh-CN"/>
        </w:rPr>
        <w:t xml:space="preserve">（6）开户账号：_________________________________________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hAnsi="宋体" w:cs="宋体"/>
          <w:color w:val="auto"/>
          <w:kern w:val="2"/>
          <w:sz w:val="21"/>
          <w:highlight w:val="none"/>
          <w:lang w:val="zh-CN"/>
        </w:rPr>
      </w:pPr>
      <w:r>
        <w:rPr>
          <w:rFonts w:hint="eastAsia" w:hAnsi="宋体" w:cs="宋体"/>
          <w:color w:val="auto"/>
          <w:kern w:val="2"/>
          <w:sz w:val="21"/>
          <w:highlight w:val="none"/>
          <w:lang w:val="zh-CN"/>
        </w:rPr>
        <w:t xml:space="preserve">（7）注册资本：_________________________________________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hAnsi="宋体" w:eastAsia="宋体" w:cs="宋体"/>
          <w:color w:val="auto"/>
          <w:kern w:val="2"/>
          <w:sz w:val="21"/>
          <w:highlight w:val="none"/>
          <w:u w:val="single"/>
          <w:lang w:val="en-US" w:eastAsia="zh-CN"/>
        </w:rPr>
      </w:pPr>
      <w:r>
        <w:rPr>
          <w:rFonts w:hint="eastAsia" w:hAnsi="宋体" w:cs="宋体"/>
          <w:color w:val="auto"/>
          <w:kern w:val="2"/>
          <w:sz w:val="21"/>
          <w:highlight w:val="none"/>
          <w:lang w:val="zh-CN"/>
        </w:rPr>
        <w:t>（8）主要负责人姓名：</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hAnsi="宋体" w:cs="宋体"/>
          <w:color w:val="auto"/>
          <w:kern w:val="2"/>
          <w:sz w:val="21"/>
          <w:highlight w:val="none"/>
          <w:u w:val="single"/>
          <w:lang w:val="en-US"/>
        </w:rPr>
      </w:pPr>
      <w:r>
        <w:rPr>
          <w:rFonts w:hint="eastAsia" w:hAnsi="宋体" w:cs="宋体"/>
          <w:color w:val="auto"/>
          <w:kern w:val="2"/>
          <w:sz w:val="21"/>
          <w:highlight w:val="none"/>
          <w:lang w:val="zh-CN"/>
        </w:rPr>
        <w:t>（9）项目主要联系人（姓名、职务、</w:t>
      </w:r>
      <w:r>
        <w:rPr>
          <w:rFonts w:hint="eastAsia" w:hAnsi="宋体" w:cs="宋体"/>
          <w:color w:val="auto"/>
          <w:kern w:val="2"/>
          <w:sz w:val="21"/>
          <w:highlight w:val="none"/>
          <w:lang w:val="en-US" w:eastAsia="zh-CN"/>
        </w:rPr>
        <w:t>通讯）：</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（10）在中国的代表的姓名和地址（如有）：</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2、供征询之银行的名称和地址：</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default" w:hAnsi="宋体" w:eastAsia="宋体" w:cs="宋体"/>
          <w:color w:val="auto"/>
          <w:kern w:val="2"/>
          <w:sz w:val="21"/>
          <w:highlight w:val="none"/>
          <w:lang w:val="en-US" w:eastAsia="zh-CN"/>
        </w:rPr>
      </w:pPr>
      <w:r>
        <w:rPr>
          <w:rFonts w:hint="eastAsia" w:hAnsi="宋体" w:cs="宋体"/>
          <w:color w:val="auto"/>
          <w:kern w:val="2"/>
          <w:sz w:val="21"/>
          <w:highlight w:val="none"/>
          <w:lang w:val="zh-CN"/>
        </w:rPr>
        <w:t>3、公司所隶属之国际集团名称（如果是）：</w:t>
      </w:r>
      <w:r>
        <w:rPr>
          <w:rFonts w:hint="eastAsia" w:hAnsi="宋体" w:cs="宋体"/>
          <w:color w:val="auto"/>
          <w:kern w:val="2"/>
          <w:sz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outlineLvl w:val="9"/>
        <w:rPr>
          <w:rFonts w:hint="eastAsia" w:hAnsi="宋体" w:cs="宋体"/>
          <w:color w:val="auto"/>
          <w:kern w:val="2"/>
          <w:sz w:val="21"/>
          <w:highlight w:val="none"/>
        </w:rPr>
      </w:pPr>
      <w:bookmarkStart w:id="268" w:name="_Toc3284"/>
      <w:bookmarkStart w:id="269" w:name="_Toc18480"/>
      <w:r>
        <w:rPr>
          <w:rFonts w:hint="eastAsia" w:hAnsi="宋体" w:cs="宋体"/>
          <w:color w:val="auto"/>
          <w:kern w:val="2"/>
          <w:sz w:val="21"/>
          <w:highlight w:val="none"/>
          <w:lang w:val="zh-CN"/>
        </w:rPr>
        <w:t>4、提交资料（包括但不限于组织架构、公司简介等）：</w:t>
      </w:r>
      <w:bookmarkEnd w:id="268"/>
      <w:bookmarkEnd w:id="269"/>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hAnsi="宋体" w:cs="宋体"/>
          <w:color w:val="auto"/>
          <w:kern w:val="2"/>
          <w:sz w:val="21"/>
          <w:highlight w:val="none"/>
          <w:lang w:val="zh-CN"/>
        </w:rPr>
      </w:pPr>
      <w:bookmarkStart w:id="270" w:name="_Toc9816"/>
      <w:bookmarkStart w:id="271" w:name="_Toc3024"/>
      <w:r>
        <w:rPr>
          <w:rFonts w:hint="eastAsia" w:hAnsi="宋体" w:cs="宋体"/>
          <w:color w:val="auto"/>
          <w:kern w:val="2"/>
          <w:sz w:val="21"/>
          <w:highlight w:val="none"/>
          <w:lang w:val="zh-CN"/>
        </w:rPr>
        <w:t>（1）公司简介；</w:t>
      </w:r>
      <w:bookmarkEnd w:id="270"/>
      <w:bookmarkEnd w:id="271"/>
    </w:p>
    <w:p>
      <w:pPr>
        <w:keepNext w:val="0"/>
        <w:keepLines w:val="0"/>
        <w:pageBreakBefore w:val="0"/>
        <w:widowControl w:val="0"/>
        <w:kinsoku/>
        <w:wordWrap/>
        <w:overflowPunct/>
        <w:topLinePunct w:val="0"/>
        <w:autoSpaceDE/>
        <w:autoSpaceDN/>
        <w:bidi w:val="0"/>
        <w:adjustRightInd w:val="0"/>
        <w:snapToGrid w:val="0"/>
        <w:spacing w:line="360" w:lineRule="auto"/>
        <w:ind w:firstLine="735" w:firstLineChars="350"/>
        <w:jc w:val="both"/>
        <w:textAlignment w:val="auto"/>
        <w:rPr>
          <w:rFonts w:hint="eastAsia" w:hAnsi="宋体" w:cs="宋体"/>
          <w:color w:val="auto"/>
          <w:kern w:val="2"/>
          <w:sz w:val="21"/>
          <w:highlight w:val="none"/>
          <w:lang w:val="zh-CN"/>
        </w:rPr>
      </w:pPr>
      <w:r>
        <w:rPr>
          <w:rFonts w:hint="eastAsia" w:hAnsi="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hAnsi="宋体" w:cs="宋体"/>
          <w:color w:val="auto"/>
          <w:kern w:val="2"/>
          <w:sz w:val="21"/>
          <w:highlight w:val="none"/>
          <w:lang w:val="zh-CN"/>
        </w:rPr>
      </w:pPr>
      <w:bookmarkStart w:id="272" w:name="_Toc21461"/>
      <w:bookmarkStart w:id="273" w:name="_Toc3943"/>
      <w:r>
        <w:rPr>
          <w:rFonts w:hint="eastAsia" w:hAnsi="宋体" w:cs="宋体"/>
          <w:color w:val="auto"/>
          <w:kern w:val="2"/>
          <w:sz w:val="21"/>
          <w:highlight w:val="none"/>
          <w:lang w:val="zh-CN"/>
        </w:rPr>
        <w:t>（2）公司组织架构；</w:t>
      </w:r>
      <w:bookmarkEnd w:id="272"/>
      <w:bookmarkEnd w:id="273"/>
    </w:p>
    <w:p>
      <w:pPr>
        <w:keepNext w:val="0"/>
        <w:keepLines w:val="0"/>
        <w:pageBreakBefore w:val="0"/>
        <w:widowControl w:val="0"/>
        <w:kinsoku/>
        <w:wordWrap/>
        <w:overflowPunct/>
        <w:topLinePunct w:val="0"/>
        <w:autoSpaceDE/>
        <w:autoSpaceDN/>
        <w:bidi w:val="0"/>
        <w:adjustRightInd w:val="0"/>
        <w:snapToGrid w:val="0"/>
        <w:spacing w:line="360" w:lineRule="auto"/>
        <w:ind w:firstLine="735" w:firstLineChars="350"/>
        <w:jc w:val="both"/>
        <w:textAlignment w:val="auto"/>
        <w:rPr>
          <w:rFonts w:hint="eastAsia" w:hAnsi="宋体" w:cs="宋体"/>
          <w:color w:val="auto"/>
          <w:kern w:val="2"/>
          <w:sz w:val="21"/>
          <w:highlight w:val="none"/>
          <w:lang w:val="zh-CN"/>
        </w:rPr>
      </w:pPr>
      <w:r>
        <w:rPr>
          <w:rFonts w:hint="eastAsia" w:hAnsi="宋体" w:cs="宋体"/>
          <w:color w:val="auto"/>
          <w:kern w:val="2"/>
          <w:sz w:val="21"/>
          <w:highlight w:val="none"/>
          <w:lang w:val="zh-CN"/>
        </w:rPr>
        <w:t>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left="710" w:leftChars="88" w:hanging="525" w:hangingChars="250"/>
        <w:textAlignment w:val="auto"/>
        <w:rPr>
          <w:rFonts w:hint="eastAsia" w:hAnsi="宋体" w:cs="宋体"/>
          <w:color w:val="auto"/>
          <w:kern w:val="2"/>
          <w:sz w:val="21"/>
          <w:highlight w:val="none"/>
          <w:lang w:val="zh-CN"/>
        </w:rPr>
      </w:pPr>
      <w:r>
        <w:rPr>
          <w:rFonts w:hint="eastAsia" w:hAnsi="宋体" w:cs="宋体"/>
          <w:color w:val="auto"/>
          <w:kern w:val="2"/>
          <w:sz w:val="21"/>
          <w:highlight w:val="none"/>
          <w:lang w:val="zh-CN"/>
        </w:rPr>
        <w:t>（3）东莞市内设有分支机构情况介绍（应提供该分支机构的多证合一营业执照等证明材料，若无前述分支机构的无需介绍）。</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hAnsi="宋体" w:cs="宋体"/>
          <w:color w:val="auto"/>
          <w:kern w:val="2"/>
          <w:sz w:val="21"/>
          <w:highlight w:val="none"/>
        </w:rPr>
      </w:pPr>
      <w:r>
        <w:rPr>
          <w:rFonts w:hint="eastAsia" w:hAnsi="宋体" w:cs="宋体"/>
          <w:color w:val="auto"/>
          <w:kern w:val="2"/>
          <w:sz w:val="21"/>
          <w:highlight w:val="none"/>
          <w:lang w:val="zh-CN"/>
        </w:rPr>
        <w:t>兹证明上述说明是真实、正确的，并提供了全部能提供的资料和数据，我们同意遵照贵方要求出示有关证明文件。</w:t>
      </w:r>
    </w:p>
    <w:p>
      <w:pPr>
        <w:spacing w:line="360" w:lineRule="auto"/>
        <w:ind w:firstLine="5040"/>
        <w:jc w:val="both"/>
        <w:rPr>
          <w:rFonts w:hint="eastAsia" w:hAnsi="宋体" w:cs="宋体"/>
          <w:color w:val="auto"/>
          <w:kern w:val="2"/>
          <w:sz w:val="21"/>
          <w:highlight w:val="none"/>
          <w:lang w:val="zh-CN"/>
        </w:rPr>
      </w:pPr>
      <w:r>
        <w:rPr>
          <w:rFonts w:hint="eastAsia" w:ascii="宋体" w:hAnsi="宋体"/>
          <w:color w:val="auto"/>
          <w:kern w:val="2"/>
          <w:sz w:val="21"/>
          <w:highlight w:val="none"/>
          <w:lang w:val="en-US" w:eastAsia="zh-CN"/>
        </w:rPr>
        <w:t>报价人</w:t>
      </w:r>
      <w:r>
        <w:rPr>
          <w:rFonts w:hint="eastAsia" w:hAnsi="宋体" w:cs="宋体"/>
          <w:color w:val="auto"/>
          <w:kern w:val="2"/>
          <w:sz w:val="21"/>
          <w:highlight w:val="none"/>
          <w:lang w:val="zh-CN"/>
        </w:rPr>
        <w:t>：（加盖</w:t>
      </w:r>
      <w:r>
        <w:rPr>
          <w:rFonts w:hint="eastAsia" w:ascii="宋体" w:hAnsi="宋体"/>
          <w:color w:val="auto"/>
          <w:kern w:val="2"/>
          <w:sz w:val="21"/>
          <w:highlight w:val="none"/>
          <w:lang w:val="en-US" w:eastAsia="zh-CN"/>
        </w:rPr>
        <w:t>报价人</w:t>
      </w:r>
      <w:r>
        <w:rPr>
          <w:rFonts w:hint="eastAsia" w:hAnsi="宋体" w:cs="宋体"/>
          <w:color w:val="auto"/>
          <w:kern w:val="2"/>
          <w:sz w:val="21"/>
          <w:highlight w:val="none"/>
          <w:lang w:val="zh-CN"/>
        </w:rPr>
        <w:t>法人公章）</w:t>
      </w:r>
    </w:p>
    <w:p>
      <w:pPr>
        <w:spacing w:line="360" w:lineRule="auto"/>
        <w:ind w:firstLine="5040"/>
        <w:jc w:val="both"/>
        <w:rPr>
          <w:rFonts w:hint="eastAsia" w:hAnsi="宋体" w:cs="宋体"/>
          <w:color w:val="auto"/>
          <w:kern w:val="2"/>
          <w:highlight w:val="none"/>
          <w:lang w:val="zh-CN"/>
        </w:rPr>
      </w:pPr>
      <w:r>
        <w:rPr>
          <w:rFonts w:hint="eastAsia" w:hAnsi="宋体" w:cs="宋体"/>
          <w:color w:val="auto"/>
          <w:kern w:val="2"/>
          <w:sz w:val="21"/>
          <w:highlight w:val="none"/>
          <w:lang w:val="zh-CN"/>
        </w:rPr>
        <w:t>日期：   年   月   日</w:t>
      </w:r>
    </w:p>
    <w:p>
      <w:pPr>
        <w:rPr>
          <w:rFonts w:hint="eastAsia" w:ascii="宋体" w:hAnsi="宋体" w:eastAsia="宋体"/>
          <w:color w:val="auto"/>
          <w:sz w:val="36"/>
          <w:szCs w:val="36"/>
          <w:highlight w:val="none"/>
        </w:rPr>
      </w:pPr>
      <w:r>
        <w:rPr>
          <w:rFonts w:hint="eastAsia" w:ascii="宋体" w:hAnsi="宋体" w:eastAsia="宋体"/>
          <w:b/>
          <w:color w:val="auto"/>
          <w:sz w:val="32"/>
          <w:szCs w:val="32"/>
          <w:highlight w:val="none"/>
        </w:rPr>
        <w:br w:type="page"/>
      </w:r>
      <w:bookmarkEnd w:id="197"/>
      <w:bookmarkEnd w:id="198"/>
      <w:bookmarkEnd w:id="199"/>
      <w:bookmarkEnd w:id="200"/>
      <w:bookmarkEnd w:id="201"/>
      <w:bookmarkStart w:id="274" w:name="_Toc34745987"/>
      <w:bookmarkStart w:id="275" w:name="_Toc34752517"/>
      <w:bookmarkStart w:id="276" w:name="_Toc34746054"/>
      <w:bookmarkStart w:id="277" w:name="_Toc34746362"/>
    </w:p>
    <w:p>
      <w:pPr>
        <w:pStyle w:val="5"/>
        <w:pageBreakBefore/>
        <w:spacing w:before="0" w:after="0" w:line="360" w:lineRule="auto"/>
        <w:jc w:val="center"/>
        <w:rPr>
          <w:rFonts w:hint="eastAsia" w:ascii="宋体" w:hAnsi="宋体" w:eastAsia="宋体"/>
          <w:color w:val="auto"/>
          <w:sz w:val="36"/>
          <w:szCs w:val="36"/>
          <w:highlight w:val="none"/>
        </w:rPr>
      </w:pPr>
      <w:bookmarkStart w:id="278" w:name="_Toc19045"/>
      <w:bookmarkStart w:id="279" w:name="_Toc17330"/>
      <w:r>
        <w:rPr>
          <w:rFonts w:hint="eastAsia"/>
          <w:color w:val="auto"/>
          <w:highlight w:val="none"/>
          <w:lang w:val="en-US" w:eastAsia="zh-CN"/>
        </w:rPr>
        <w:t>（四）</w:t>
      </w:r>
      <w:r>
        <w:rPr>
          <w:rFonts w:hint="eastAsia" w:ascii="宋体" w:hAnsi="宋体" w:eastAsia="宋体"/>
          <w:color w:val="auto"/>
          <w:sz w:val="36"/>
          <w:szCs w:val="36"/>
          <w:highlight w:val="none"/>
        </w:rPr>
        <w:t>用户需求响应情况</w:t>
      </w:r>
      <w:bookmarkEnd w:id="274"/>
      <w:bookmarkEnd w:id="275"/>
      <w:bookmarkEnd w:id="276"/>
      <w:bookmarkEnd w:id="277"/>
      <w:bookmarkEnd w:id="278"/>
      <w:bookmarkEnd w:id="279"/>
    </w:p>
    <w:p>
      <w:pPr>
        <w:spacing w:line="360" w:lineRule="auto"/>
        <w:jc w:val="center"/>
        <w:outlineLvl w:val="9"/>
        <w:rPr>
          <w:rFonts w:ascii="宋体" w:hAnsi="宋体" w:eastAsia="宋体"/>
          <w:b/>
          <w:color w:val="auto"/>
          <w:sz w:val="28"/>
          <w:highlight w:val="none"/>
        </w:rPr>
      </w:pPr>
      <w:bookmarkStart w:id="280" w:name="_Toc11719"/>
      <w:bookmarkStart w:id="281" w:name="_Toc12680"/>
      <w:bookmarkStart w:id="282" w:name="_Toc534701786"/>
      <w:bookmarkStart w:id="283" w:name="_Toc513226437"/>
      <w:bookmarkStart w:id="284" w:name="_Toc534278252"/>
      <w:r>
        <w:rPr>
          <w:rFonts w:ascii="宋体" w:hAnsi="宋体" w:eastAsia="宋体"/>
          <w:b/>
          <w:color w:val="auto"/>
          <w:sz w:val="28"/>
          <w:highlight w:val="none"/>
        </w:rPr>
        <w:t>用户需求偏离表格式</w:t>
      </w:r>
      <w:bookmarkEnd w:id="280"/>
      <w:bookmarkEnd w:id="281"/>
    </w:p>
    <w:tbl>
      <w:tblPr>
        <w:tblStyle w:val="16"/>
        <w:tblpPr w:leftFromText="180" w:rightFromText="180" w:vertAnchor="text" w:horzAnchor="page" w:tblpX="1257" w:tblpY="88"/>
        <w:tblOverlap w:val="never"/>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50"/>
        <w:gridCol w:w="1135"/>
        <w:gridCol w:w="198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1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询价文件要求</w:t>
            </w:r>
          </w:p>
        </w:tc>
        <w:tc>
          <w:tcPr>
            <w:tcW w:w="433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r>
              <w:rPr>
                <w:rFonts w:hint="eastAsia" w:ascii="宋体" w:hAnsi="宋体"/>
                <w:color w:val="auto"/>
                <w:szCs w:val="21"/>
                <w:highlight w:val="none"/>
              </w:rPr>
              <w:t>报价文件内容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ind w:firstLine="0" w:firstLineChars="0"/>
              <w:jc w:val="center"/>
              <w:rPr>
                <w:rFonts w:ascii="宋体" w:eastAsia="宋体"/>
                <w:b/>
                <w:color w:val="auto"/>
                <w:sz w:val="21"/>
                <w:szCs w:val="21"/>
                <w:highlight w:val="none"/>
              </w:rPr>
            </w:pPr>
            <w:r>
              <w:rPr>
                <w:rFonts w:hint="eastAsia" w:ascii="宋体" w:eastAsia="宋体"/>
                <w:color w:val="auto"/>
                <w:sz w:val="21"/>
                <w:szCs w:val="21"/>
                <w:highlight w:val="none"/>
              </w:rPr>
              <w:t>简要内容</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19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hAnsi="宋体" w:cs="宋体"/>
                <w:color w:val="auto"/>
                <w:szCs w:val="21"/>
                <w:highlight w:val="none"/>
              </w:rPr>
              <w:t>具体偏离内容</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ind w:firstLine="0" w:firstLineChars="0"/>
              <w:jc w:val="left"/>
              <w:rPr>
                <w:rFonts w:ascii="宋体" w:eastAsia="宋体"/>
                <w:b/>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9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43"/>
              <w:spacing w:line="360" w:lineRule="auto"/>
              <w:ind w:firstLine="0" w:firstLineChars="0"/>
              <w:jc w:val="left"/>
              <w:rPr>
                <w:rFonts w:ascii="宋体" w:eastAsia="宋体"/>
                <w:b/>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9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929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用户需求书</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c>
          <w:tcPr>
            <w:tcW w:w="4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9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c>
          <w:tcPr>
            <w:tcW w:w="42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9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c>
          <w:tcPr>
            <w:tcW w:w="4250"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98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00" w:lineRule="exact"/>
        <w:rPr>
          <w:color w:val="auto"/>
          <w:szCs w:val="21"/>
          <w:highlight w:val="none"/>
        </w:rPr>
      </w:pPr>
      <w:r>
        <w:rPr>
          <w:color w:val="auto"/>
          <w:szCs w:val="21"/>
          <w:highlight w:val="none"/>
        </w:rPr>
        <w:t>备注：</w:t>
      </w:r>
    </w:p>
    <w:p>
      <w:pPr>
        <w:autoSpaceDE w:val="0"/>
        <w:autoSpaceDN w:val="0"/>
        <w:adjustRightInd w:val="0"/>
        <w:spacing w:line="360" w:lineRule="auto"/>
        <w:jc w:val="left"/>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u w:val="single"/>
        </w:rPr>
        <w:t>报价人应对照询价文件用户需求书的响应，如实地填写“偏离情况”</w:t>
      </w:r>
      <w:r>
        <w:rPr>
          <w:rFonts w:hint="eastAsia" w:ascii="宋体" w:hAnsi="宋体" w:eastAsia="宋体" w:cs="宋体"/>
          <w:b/>
          <w:color w:val="auto"/>
          <w:szCs w:val="21"/>
          <w:highlight w:val="none"/>
          <w:u w:val="single"/>
        </w:rPr>
        <w:t>项。</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偏离情况”项为正偏离（或负偏离）的，必须在“具体偏离内容”项内详细说明与询价文件的偏离内容，“偏离情况”项为无偏离的，在“具体偏离内容”项内填“无偏离”</w:t>
      </w:r>
      <w:r>
        <w:rPr>
          <w:rFonts w:hint="eastAsia" w:ascii="宋体" w:hAnsi="宋体" w:eastAsia="宋体" w:cs="宋体"/>
          <w:b/>
          <w:color w:val="auto"/>
          <w:szCs w:val="21"/>
          <w:highlight w:val="none"/>
        </w:rPr>
        <w:t>。</w:t>
      </w:r>
    </w:p>
    <w:p>
      <w:pPr>
        <w:autoSpaceDE w:val="0"/>
        <w:autoSpaceDN w:val="0"/>
        <w:adjustRightInd w:val="0"/>
        <w:spacing w:line="360" w:lineRule="auto"/>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u w:val="single"/>
        </w:rPr>
        <w:t>若发现此表未填写或未逐条填写“★”条款以外的条款的，视为完全满足询价文件要求，但报价文件未实质性满足询价文件提出的实质性要求和条件（“★”条款）的，为无效报价</w:t>
      </w:r>
      <w:r>
        <w:rPr>
          <w:rFonts w:hint="eastAsia" w:ascii="宋体" w:hAnsi="宋体" w:eastAsia="宋体" w:cs="宋体"/>
          <w:b/>
          <w:color w:val="auto"/>
          <w:szCs w:val="21"/>
          <w:highlight w:val="none"/>
        </w:rPr>
        <w:t>。</w:t>
      </w:r>
    </w:p>
    <w:p>
      <w:pPr>
        <w:autoSpaceDE w:val="0"/>
        <w:autoSpaceDN w:val="0"/>
        <w:adjustRightInd w:val="0"/>
        <w:spacing w:line="360" w:lineRule="auto"/>
        <w:jc w:val="left"/>
        <w:outlineLvl w:val="9"/>
        <w:rPr>
          <w:rFonts w:hint="eastAsia" w:ascii="宋体" w:hAnsi="宋体" w:eastAsia="宋体" w:cs="宋体"/>
          <w:b/>
          <w:bCs/>
          <w:color w:val="auto"/>
          <w:szCs w:val="21"/>
          <w:highlight w:val="none"/>
          <w:u w:val="single"/>
        </w:rPr>
      </w:pPr>
      <w:bookmarkStart w:id="285" w:name="_Toc26280"/>
      <w:bookmarkStart w:id="286" w:name="_Toc6267"/>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u w:val="single"/>
        </w:rPr>
        <w:t>若发现虚假填写本表，按无效报价文件处理</w:t>
      </w:r>
      <w:r>
        <w:rPr>
          <w:rFonts w:hint="eastAsia" w:ascii="宋体" w:hAnsi="宋体" w:eastAsia="宋体" w:cs="宋体"/>
          <w:b/>
          <w:color w:val="auto"/>
          <w:szCs w:val="21"/>
          <w:highlight w:val="none"/>
        </w:rPr>
        <w:t>。</w:t>
      </w:r>
      <w:bookmarkEnd w:id="285"/>
      <w:bookmarkEnd w:id="286"/>
    </w:p>
    <w:p>
      <w:pPr>
        <w:autoSpaceDE w:val="0"/>
        <w:autoSpaceDN w:val="0"/>
        <w:adjustRightInd w:val="0"/>
        <w:spacing w:line="360" w:lineRule="auto"/>
        <w:jc w:val="left"/>
        <w:rPr>
          <w:rFonts w:hint="eastAsia" w:ascii="宋体" w:hAnsi="宋体" w:eastAsia="宋体" w:cs="宋体"/>
          <w:b/>
          <w:bCs/>
          <w:color w:val="auto"/>
          <w:szCs w:val="21"/>
          <w:highlight w:val="none"/>
          <w:u w:val="singl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偏离情况分为：正偏离、负偏离、无偏离。正偏离是指报价人提供的货物/服务/工程优于询价文件的要求；负偏离是指报价人提供的货物/服务/工程不满足或不完全满足询价文件的要求；无偏离是指报价人提供的货物/服务/工程完全满足询价文件的要求。</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Cs w:val="21"/>
          <w:highlight w:val="none"/>
          <w:u w:val="single"/>
        </w:rPr>
        <w:t>报价人可将反映报价服务相关资料作为本表的附件，并在本偏离表“具体偏离内容”项内注明其在报价文件中的具体页码</w:t>
      </w:r>
      <w:r>
        <w:rPr>
          <w:rFonts w:hint="eastAsia" w:ascii="宋体" w:hAnsi="宋体" w:eastAsia="宋体" w:cs="宋体"/>
          <w:b/>
          <w:color w:val="auto"/>
          <w:szCs w:val="21"/>
          <w:highlight w:val="none"/>
        </w:rPr>
        <w:t>。</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Cs w:val="21"/>
          <w:highlight w:val="none"/>
          <w:u w:val="single"/>
        </w:rPr>
        <w:t>凡标有“★”的地方均被视为重要的技术指标要求或性能要求。报价人要特别加以注意，必须对此回答并完全满足这些要求，否则若有一项带“★”的指标未响应或不满足，将按无效报价处理</w:t>
      </w:r>
      <w:r>
        <w:rPr>
          <w:rFonts w:hint="eastAsia" w:ascii="宋体" w:hAnsi="宋体" w:eastAsia="宋体" w:cs="宋体"/>
          <w:color w:val="auto"/>
          <w:szCs w:val="21"/>
          <w:highlight w:val="none"/>
        </w:rPr>
        <w:t>。</w:t>
      </w:r>
    </w:p>
    <w:p>
      <w:pPr>
        <w:spacing w:before="120" w:after="120" w:line="360" w:lineRule="auto"/>
        <w:ind w:left="629" w:firstLine="4200" w:firstLineChars="2000"/>
        <w:rPr>
          <w:color w:val="auto"/>
          <w:szCs w:val="21"/>
          <w:highlight w:val="none"/>
        </w:rPr>
      </w:pPr>
      <w:r>
        <w:rPr>
          <w:color w:val="auto"/>
          <w:highlight w:val="none"/>
          <w:lang w:val="zh-CN"/>
        </w:rPr>
        <w:t>报价人：（加盖报价人法人公章）</w:t>
      </w:r>
    </w:p>
    <w:p>
      <w:pPr>
        <w:spacing w:line="360" w:lineRule="auto"/>
        <w:ind w:firstLine="5040" w:firstLineChars="2400"/>
        <w:rPr>
          <w:color w:val="auto"/>
          <w:highlight w:val="none"/>
          <w:lang w:val="zh-CN"/>
        </w:rPr>
      </w:pPr>
      <w:r>
        <w:rPr>
          <w:color w:val="auto"/>
          <w:highlight w:val="none"/>
          <w:lang w:val="zh-CN"/>
        </w:rPr>
        <w:t>日期：</w:t>
      </w:r>
      <w:r>
        <w:rPr>
          <w:rFonts w:hint="eastAsia"/>
          <w:color w:val="auto"/>
          <w:highlight w:val="none"/>
          <w:lang w:val="zh-CN"/>
        </w:rPr>
        <w:t xml:space="preserve"> </w:t>
      </w:r>
      <w:r>
        <w:rPr>
          <w:color w:val="auto"/>
          <w:highlight w:val="none"/>
          <w:lang w:val="zh-CN"/>
        </w:rPr>
        <w:t xml:space="preserve">     年</w:t>
      </w:r>
      <w:r>
        <w:rPr>
          <w:rFonts w:hint="eastAsia"/>
          <w:color w:val="auto"/>
          <w:highlight w:val="none"/>
          <w:lang w:val="zh-CN"/>
        </w:rPr>
        <w:t xml:space="preserve"> </w:t>
      </w:r>
      <w:r>
        <w:rPr>
          <w:color w:val="auto"/>
          <w:highlight w:val="none"/>
          <w:lang w:val="zh-CN"/>
        </w:rPr>
        <w:t xml:space="preserve"> 月</w:t>
      </w:r>
      <w:r>
        <w:rPr>
          <w:rFonts w:hint="eastAsia"/>
          <w:color w:val="auto"/>
          <w:highlight w:val="none"/>
          <w:lang w:val="zh-CN"/>
        </w:rPr>
        <w:t xml:space="preserve"> </w:t>
      </w:r>
      <w:r>
        <w:rPr>
          <w:color w:val="auto"/>
          <w:highlight w:val="none"/>
          <w:lang w:val="zh-CN"/>
        </w:rPr>
        <w:t xml:space="preserve">  日</w:t>
      </w:r>
    </w:p>
    <w:p>
      <w:pPr>
        <w:pStyle w:val="5"/>
        <w:pageBreakBefore/>
        <w:spacing w:before="0" w:after="0" w:line="360" w:lineRule="auto"/>
        <w:jc w:val="center"/>
        <w:rPr>
          <w:rFonts w:hint="eastAsia" w:ascii="宋体" w:hAnsi="宋体" w:eastAsia="宋体"/>
          <w:color w:val="auto"/>
          <w:sz w:val="36"/>
          <w:szCs w:val="36"/>
          <w:highlight w:val="none"/>
        </w:rPr>
      </w:pPr>
      <w:bookmarkStart w:id="287" w:name="_Toc34746055"/>
      <w:bookmarkStart w:id="288" w:name="_Toc34752518"/>
      <w:bookmarkStart w:id="289" w:name="_Toc34746363"/>
      <w:bookmarkStart w:id="290" w:name="_Toc14335"/>
      <w:bookmarkStart w:id="291" w:name="_Toc34745988"/>
      <w:bookmarkStart w:id="292" w:name="_Toc4762"/>
      <w:r>
        <w:rPr>
          <w:rFonts w:hint="eastAsia" w:ascii="宋体" w:hAnsi="宋体" w:eastAsia="宋体"/>
          <w:color w:val="auto"/>
          <w:sz w:val="36"/>
          <w:szCs w:val="36"/>
          <w:highlight w:val="none"/>
          <w:lang w:val="en-US" w:eastAsia="zh-CN"/>
        </w:rPr>
        <w:t>（五）</w:t>
      </w:r>
      <w:r>
        <w:rPr>
          <w:rFonts w:hint="eastAsia" w:ascii="宋体" w:hAnsi="宋体" w:eastAsia="宋体"/>
          <w:color w:val="auto"/>
          <w:sz w:val="36"/>
          <w:szCs w:val="36"/>
          <w:highlight w:val="none"/>
        </w:rPr>
        <w:t>合同条款响应情况</w:t>
      </w:r>
      <w:bookmarkEnd w:id="287"/>
      <w:bookmarkEnd w:id="288"/>
      <w:bookmarkEnd w:id="289"/>
      <w:bookmarkEnd w:id="290"/>
      <w:bookmarkEnd w:id="291"/>
      <w:bookmarkEnd w:id="292"/>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34"/>
        <w:gridCol w:w="2533"/>
        <w:gridCol w:w="1864"/>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06" w:type="dxa"/>
            <w:vMerge w:val="restart"/>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序号</w:t>
            </w:r>
          </w:p>
        </w:tc>
        <w:tc>
          <w:tcPr>
            <w:tcW w:w="3767" w:type="dxa"/>
            <w:gridSpan w:val="2"/>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合同要求</w:t>
            </w:r>
          </w:p>
        </w:tc>
        <w:tc>
          <w:tcPr>
            <w:tcW w:w="4613" w:type="dxa"/>
            <w:gridSpan w:val="2"/>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906" w:type="dxa"/>
            <w:vMerge w:val="continue"/>
            <w:vAlign w:val="center"/>
          </w:tcPr>
          <w:p>
            <w:pPr>
              <w:spacing w:line="360" w:lineRule="auto"/>
              <w:jc w:val="center"/>
              <w:rPr>
                <w:rFonts w:ascii="宋体" w:hAnsi="宋体" w:cs="仿宋_GB2312"/>
                <w:color w:val="auto"/>
                <w:szCs w:val="21"/>
                <w:highlight w:val="none"/>
              </w:rPr>
            </w:pPr>
          </w:p>
        </w:tc>
        <w:tc>
          <w:tcPr>
            <w:tcW w:w="1234"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条款号</w:t>
            </w:r>
          </w:p>
        </w:tc>
        <w:tc>
          <w:tcPr>
            <w:tcW w:w="2533"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简要内容</w:t>
            </w:r>
          </w:p>
        </w:tc>
        <w:tc>
          <w:tcPr>
            <w:tcW w:w="1864"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偏离情况</w:t>
            </w:r>
          </w:p>
        </w:tc>
        <w:tc>
          <w:tcPr>
            <w:tcW w:w="2749"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06"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1234" w:type="dxa"/>
            <w:vAlign w:val="center"/>
          </w:tcPr>
          <w:p>
            <w:pPr>
              <w:spacing w:line="360"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第一条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评估目的</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06"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2</w:t>
            </w:r>
          </w:p>
        </w:tc>
        <w:tc>
          <w:tcPr>
            <w:tcW w:w="1234" w:type="dxa"/>
            <w:vAlign w:val="center"/>
          </w:tcPr>
          <w:p>
            <w:pPr>
              <w:spacing w:line="360"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第二条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评估对象和范围</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6"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3</w:t>
            </w:r>
          </w:p>
        </w:tc>
        <w:tc>
          <w:tcPr>
            <w:tcW w:w="1234" w:type="dxa"/>
            <w:vAlign w:val="center"/>
          </w:tcPr>
          <w:p>
            <w:pPr>
              <w:spacing w:line="360" w:lineRule="auto"/>
              <w:jc w:val="center"/>
              <w:rPr>
                <w:rFonts w:hint="eastAsia"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第三条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评估基准日</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06"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4</w:t>
            </w:r>
          </w:p>
        </w:tc>
        <w:tc>
          <w:tcPr>
            <w:tcW w:w="1234" w:type="dxa"/>
            <w:vAlign w:val="center"/>
          </w:tcPr>
          <w:p>
            <w:pPr>
              <w:spacing w:line="360" w:lineRule="auto"/>
              <w:jc w:val="center"/>
              <w:rPr>
                <w:rFonts w:hint="eastAsia"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第四条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评估报告使用范围</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6"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5</w:t>
            </w:r>
          </w:p>
        </w:tc>
        <w:tc>
          <w:tcPr>
            <w:tcW w:w="1234" w:type="dxa"/>
            <w:vAlign w:val="center"/>
          </w:tcPr>
          <w:p>
            <w:pPr>
              <w:spacing w:line="360" w:lineRule="auto"/>
              <w:jc w:val="center"/>
              <w:rPr>
                <w:rFonts w:hint="eastAsia"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第五条</w:t>
            </w:r>
          </w:p>
        </w:tc>
        <w:tc>
          <w:tcPr>
            <w:tcW w:w="2533" w:type="dxa"/>
            <w:vAlign w:val="center"/>
          </w:tcPr>
          <w:p>
            <w:pPr>
              <w:spacing w:line="360" w:lineRule="auto"/>
              <w:jc w:val="center"/>
              <w:rPr>
                <w:rFonts w:hint="eastAsia" w:ascii="宋体" w:hAnsi="宋体" w:eastAsia="宋体" w:cs="仿宋_GB2312"/>
                <w:color w:val="auto"/>
                <w:szCs w:val="21"/>
                <w:highlight w:val="none"/>
                <w:lang w:eastAsia="zh-CN"/>
              </w:rPr>
            </w:pPr>
            <w:r>
              <w:rPr>
                <w:rFonts w:hint="default" w:ascii="宋体" w:hAnsi="宋体" w:eastAsia="宋体" w:cs="仿宋_GB2312"/>
                <w:color w:val="auto"/>
                <w:szCs w:val="21"/>
                <w:highlight w:val="none"/>
                <w:lang w:val="en-US" w:eastAsia="zh-CN"/>
              </w:rPr>
              <w:t>服务要求</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906" w:type="dxa"/>
            <w:vAlign w:val="center"/>
          </w:tcPr>
          <w:p>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rPr>
              <w:t>6</w:t>
            </w:r>
          </w:p>
        </w:tc>
        <w:tc>
          <w:tcPr>
            <w:tcW w:w="1234" w:type="dxa"/>
            <w:vAlign w:val="center"/>
          </w:tcPr>
          <w:p>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第六条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评估报告提交期限及验收</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906" w:type="dxa"/>
            <w:vAlign w:val="center"/>
          </w:tcPr>
          <w:p>
            <w:pPr>
              <w:spacing w:line="360" w:lineRule="auto"/>
              <w:jc w:val="center"/>
              <w:rPr>
                <w:rFonts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rPr>
              <w:t>7</w:t>
            </w:r>
          </w:p>
        </w:tc>
        <w:tc>
          <w:tcPr>
            <w:tcW w:w="1234" w:type="dxa"/>
            <w:vAlign w:val="center"/>
          </w:tcPr>
          <w:p>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第七条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服务费用及支付方式</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06" w:type="dxa"/>
            <w:vAlign w:val="center"/>
          </w:tcPr>
          <w:p>
            <w:pPr>
              <w:spacing w:line="360" w:lineRule="auto"/>
              <w:jc w:val="center"/>
              <w:rPr>
                <w:rFonts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rPr>
              <w:t>8</w:t>
            </w:r>
          </w:p>
        </w:tc>
        <w:tc>
          <w:tcPr>
            <w:tcW w:w="1234" w:type="dxa"/>
            <w:vAlign w:val="center"/>
          </w:tcPr>
          <w:p>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第八条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甲方的权利与义务</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06" w:type="dxa"/>
            <w:vAlign w:val="center"/>
          </w:tcPr>
          <w:p>
            <w:pPr>
              <w:spacing w:line="360" w:lineRule="auto"/>
              <w:jc w:val="center"/>
              <w:rPr>
                <w:rFonts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rPr>
              <w:t>9</w:t>
            </w:r>
          </w:p>
        </w:tc>
        <w:tc>
          <w:tcPr>
            <w:tcW w:w="1234" w:type="dxa"/>
            <w:vAlign w:val="center"/>
          </w:tcPr>
          <w:p>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第九条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乙方的权利与义务</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6" w:type="dxa"/>
            <w:vAlign w:val="center"/>
          </w:tcPr>
          <w:p>
            <w:pPr>
              <w:spacing w:line="360" w:lineRule="auto"/>
              <w:jc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10</w:t>
            </w:r>
          </w:p>
        </w:tc>
        <w:tc>
          <w:tcPr>
            <w:tcW w:w="1234" w:type="dxa"/>
            <w:vAlign w:val="center"/>
          </w:tcPr>
          <w:p>
            <w:pPr>
              <w:spacing w:line="360" w:lineRule="auto"/>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第十条</w:t>
            </w:r>
          </w:p>
        </w:tc>
        <w:tc>
          <w:tcPr>
            <w:tcW w:w="2533"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default" w:ascii="宋体" w:hAnsi="宋体" w:eastAsia="宋体" w:cs="仿宋_GB2312"/>
                <w:color w:val="auto"/>
                <w:szCs w:val="21"/>
                <w:highlight w:val="none"/>
                <w:lang w:val="en-US" w:eastAsia="zh-CN"/>
              </w:rPr>
              <w:t>违约责任</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06" w:type="dxa"/>
            <w:vAlign w:val="center"/>
          </w:tcPr>
          <w:p>
            <w:pPr>
              <w:spacing w:line="360" w:lineRule="auto"/>
              <w:jc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11</w:t>
            </w:r>
          </w:p>
        </w:tc>
        <w:tc>
          <w:tcPr>
            <w:tcW w:w="1234" w:type="dxa"/>
            <w:vAlign w:val="center"/>
          </w:tcPr>
          <w:p>
            <w:pPr>
              <w:spacing w:line="360" w:lineRule="auto"/>
              <w:jc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第十一条</w:t>
            </w:r>
          </w:p>
        </w:tc>
        <w:tc>
          <w:tcPr>
            <w:tcW w:w="2533" w:type="dxa"/>
            <w:vAlign w:val="center"/>
          </w:tcPr>
          <w:p>
            <w:pPr>
              <w:spacing w:line="360" w:lineRule="auto"/>
              <w:jc w:val="center"/>
              <w:rPr>
                <w:rFonts w:hint="default" w:ascii="宋体" w:hAnsi="宋体" w:cs="仿宋_GB2312"/>
                <w:color w:val="auto"/>
                <w:szCs w:val="21"/>
                <w:highlight w:val="none"/>
                <w:lang w:val="en-US" w:eastAsia="zh-CN"/>
              </w:rPr>
            </w:pPr>
            <w:r>
              <w:rPr>
                <w:rFonts w:hint="default" w:ascii="宋体" w:hAnsi="宋体" w:cs="仿宋_GB2312"/>
                <w:color w:val="auto"/>
                <w:szCs w:val="21"/>
                <w:highlight w:val="none"/>
                <w:lang w:val="en-US" w:eastAsia="zh-CN"/>
              </w:rPr>
              <w:t>争议解决</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06" w:type="dxa"/>
            <w:vAlign w:val="center"/>
          </w:tcPr>
          <w:p>
            <w:pPr>
              <w:spacing w:line="360" w:lineRule="auto"/>
              <w:jc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12</w:t>
            </w:r>
          </w:p>
        </w:tc>
        <w:tc>
          <w:tcPr>
            <w:tcW w:w="1234" w:type="dxa"/>
            <w:vAlign w:val="center"/>
          </w:tcPr>
          <w:p>
            <w:pPr>
              <w:spacing w:line="360" w:lineRule="auto"/>
              <w:jc w:val="center"/>
              <w:rPr>
                <w:rFonts w:hint="default" w:ascii="宋体" w:hAnsi="宋体" w:eastAsia="宋体" w:cs="仿宋_GB2312"/>
                <w:color w:val="auto"/>
                <w:kern w:val="2"/>
                <w:sz w:val="21"/>
                <w:szCs w:val="21"/>
                <w:highlight w:val="none"/>
                <w:lang w:val="en-US" w:eastAsia="zh-CN" w:bidi="ar-SA"/>
              </w:rPr>
            </w:pPr>
            <w:r>
              <w:rPr>
                <w:rFonts w:hint="eastAsia" w:ascii="宋体" w:hAnsi="宋体" w:cs="仿宋_GB2312"/>
                <w:color w:val="auto"/>
                <w:szCs w:val="21"/>
                <w:highlight w:val="none"/>
                <w:lang w:val="en-US" w:eastAsia="zh-CN"/>
              </w:rPr>
              <w:t>第十二条</w:t>
            </w:r>
          </w:p>
        </w:tc>
        <w:tc>
          <w:tcPr>
            <w:tcW w:w="2533" w:type="dxa"/>
            <w:vAlign w:val="center"/>
          </w:tcPr>
          <w:p>
            <w:pPr>
              <w:spacing w:line="360" w:lineRule="auto"/>
              <w:jc w:val="center"/>
              <w:rPr>
                <w:rFonts w:hint="default" w:ascii="宋体" w:hAnsi="宋体" w:cs="仿宋_GB2312"/>
                <w:color w:val="auto"/>
                <w:szCs w:val="21"/>
                <w:highlight w:val="none"/>
                <w:lang w:val="en-US" w:eastAsia="zh-CN"/>
              </w:rPr>
            </w:pPr>
            <w:r>
              <w:rPr>
                <w:rFonts w:hint="default" w:ascii="宋体" w:hAnsi="宋体" w:cs="仿宋_GB2312"/>
                <w:color w:val="auto"/>
                <w:szCs w:val="21"/>
                <w:highlight w:val="none"/>
                <w:lang w:val="en-US" w:eastAsia="zh-CN"/>
              </w:rPr>
              <w:t>其它</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6" w:type="dxa"/>
            <w:vAlign w:val="center"/>
          </w:tcPr>
          <w:p>
            <w:pPr>
              <w:spacing w:line="360" w:lineRule="auto"/>
              <w:jc w:val="center"/>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13</w:t>
            </w:r>
          </w:p>
        </w:tc>
        <w:tc>
          <w:tcPr>
            <w:tcW w:w="1234" w:type="dxa"/>
            <w:vAlign w:val="center"/>
          </w:tcPr>
          <w:p>
            <w:pPr>
              <w:spacing w:line="360"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rPr>
              <w:t>附件</w:t>
            </w:r>
            <w:r>
              <w:rPr>
                <w:rFonts w:hint="eastAsia" w:ascii="宋体" w:hAnsi="宋体" w:cs="仿宋_GB2312"/>
                <w:color w:val="auto"/>
                <w:szCs w:val="21"/>
                <w:highlight w:val="none"/>
                <w:lang w:val="en-US" w:eastAsia="zh-CN"/>
              </w:rPr>
              <w:t>1</w:t>
            </w:r>
          </w:p>
        </w:tc>
        <w:tc>
          <w:tcPr>
            <w:tcW w:w="2533" w:type="dxa"/>
            <w:vAlign w:val="center"/>
          </w:tcPr>
          <w:p>
            <w:pPr>
              <w:spacing w:line="360" w:lineRule="auto"/>
              <w:jc w:val="center"/>
              <w:rPr>
                <w:rFonts w:ascii="宋体" w:hAnsi="宋体" w:cs="仿宋_GB2312"/>
                <w:color w:val="auto"/>
                <w:szCs w:val="21"/>
                <w:highlight w:val="none"/>
              </w:rPr>
            </w:pPr>
            <w:r>
              <w:rPr>
                <w:rFonts w:hint="eastAsia" w:ascii="宋体" w:hAnsi="宋体" w:cs="仿宋_GB2312"/>
                <w:color w:val="auto"/>
                <w:szCs w:val="21"/>
                <w:highlight w:val="none"/>
              </w:rPr>
              <w:t>阳光合作告知函</w:t>
            </w:r>
          </w:p>
        </w:tc>
        <w:tc>
          <w:tcPr>
            <w:tcW w:w="1864" w:type="dxa"/>
            <w:vAlign w:val="center"/>
          </w:tcPr>
          <w:p>
            <w:pPr>
              <w:spacing w:line="360" w:lineRule="auto"/>
              <w:jc w:val="center"/>
              <w:rPr>
                <w:rFonts w:ascii="宋体" w:hAnsi="宋体" w:cs="仿宋_GB2312"/>
                <w:color w:val="auto"/>
                <w:szCs w:val="21"/>
                <w:highlight w:val="none"/>
              </w:rPr>
            </w:pPr>
          </w:p>
        </w:tc>
        <w:tc>
          <w:tcPr>
            <w:tcW w:w="2749" w:type="dxa"/>
            <w:vAlign w:val="center"/>
          </w:tcPr>
          <w:p>
            <w:pPr>
              <w:spacing w:line="360" w:lineRule="auto"/>
              <w:jc w:val="center"/>
              <w:rPr>
                <w:rFonts w:ascii="宋体" w:hAnsi="宋体" w:cs="仿宋_GB2312"/>
                <w:color w:val="auto"/>
                <w:szCs w:val="21"/>
                <w:highlight w:val="none"/>
              </w:rPr>
            </w:pPr>
          </w:p>
        </w:tc>
      </w:tr>
    </w:tbl>
    <w:p>
      <w:pPr>
        <w:spacing w:line="300" w:lineRule="auto"/>
        <w:rPr>
          <w:color w:val="auto"/>
          <w:szCs w:val="21"/>
          <w:highlight w:val="none"/>
        </w:rPr>
      </w:pPr>
      <w:r>
        <w:rPr>
          <w:color w:val="auto"/>
          <w:szCs w:val="21"/>
          <w:highlight w:val="none"/>
        </w:rPr>
        <w:t>备注：</w:t>
      </w:r>
    </w:p>
    <w:bookmarkEnd w:id="282"/>
    <w:bookmarkEnd w:id="283"/>
    <w:bookmarkEnd w:id="284"/>
    <w:p>
      <w:pPr>
        <w:spacing w:line="360" w:lineRule="auto"/>
        <w:rPr>
          <w:rFonts w:hint="eastAsia" w:ascii="宋体" w:hAnsi="宋体" w:eastAsia="宋体" w:cs="宋体"/>
          <w:b/>
          <w:color w:val="auto"/>
          <w:szCs w:val="21"/>
          <w:highlight w:val="none"/>
          <w:u w:val="singl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Cs w:val="21"/>
          <w:highlight w:val="none"/>
          <w:u w:val="single"/>
        </w:rPr>
        <w:t>报价人应对照合同响应，如实地填写“偏离情况”，“偏离情况”项为正偏离（或负偏离）的，必须在“具体偏离内容”项内详细说明与合同的偏离内容，“偏离情况”项为无偏离的，在“具体偏离内容”项内填“无偏离”。若发现此表未逐条填写视为完全满足合同的要求</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Cs w:val="21"/>
          <w:highlight w:val="none"/>
          <w:u w:val="single"/>
        </w:rPr>
        <w:t>若发现虚假填写本表，或伪造、变造证明材料，或对合同及其附件响应有重大的负偏离导致采购人利益无法得到保障、存在采购人无法接受的风险的，按无效响应处理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偏离情况分为：正偏离、负偏离、无偏离。正偏离是指报价人提供的货物/服务/工程优于合同的要求；负偏离是指报价人提供的货物/服务/工程不满足或不完全满足合同的要求；无偏离是指报价人提供的货物/服务/工程完全满足合同的要求。  </w:t>
      </w:r>
    </w:p>
    <w:p>
      <w:pPr>
        <w:spacing w:line="360" w:lineRule="auto"/>
        <w:outlineLvl w:val="9"/>
        <w:rPr>
          <w:rFonts w:hint="eastAsia" w:ascii="宋体" w:hAnsi="宋体" w:eastAsia="宋体" w:cs="宋体"/>
          <w:color w:val="auto"/>
          <w:szCs w:val="21"/>
          <w:highlight w:val="none"/>
        </w:rPr>
      </w:pPr>
      <w:bookmarkStart w:id="293" w:name="_Toc8205"/>
      <w:bookmarkStart w:id="294" w:name="_Toc5941"/>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如报价人差异内容较多可另附页说明。</w:t>
      </w:r>
      <w:bookmarkEnd w:id="293"/>
      <w:bookmarkEnd w:id="294"/>
    </w:p>
    <w:p>
      <w:pPr>
        <w:spacing w:line="360" w:lineRule="auto"/>
        <w:ind w:firstLine="5040" w:firstLineChars="2400"/>
        <w:jc w:val="right"/>
        <w:rPr>
          <w:color w:val="auto"/>
          <w:szCs w:val="21"/>
          <w:highlight w:val="none"/>
          <w:lang w:val="zh-CN"/>
        </w:rPr>
      </w:pPr>
      <w:r>
        <w:rPr>
          <w:color w:val="auto"/>
          <w:szCs w:val="21"/>
          <w:highlight w:val="none"/>
          <w:lang w:val="zh-CN"/>
        </w:rPr>
        <w:t>报价人：（加盖报价人法人公章）</w:t>
      </w:r>
    </w:p>
    <w:p>
      <w:pPr>
        <w:spacing w:line="360" w:lineRule="auto"/>
        <w:ind w:firstLine="5040" w:firstLineChars="2400"/>
        <w:jc w:val="right"/>
        <w:rPr>
          <w:color w:val="auto"/>
          <w:szCs w:val="21"/>
          <w:highlight w:val="none"/>
          <w:lang w:val="zh-CN"/>
        </w:rPr>
      </w:pPr>
      <w:r>
        <w:rPr>
          <w:color w:val="auto"/>
          <w:szCs w:val="21"/>
          <w:highlight w:val="none"/>
          <w:lang w:val="zh-CN"/>
        </w:rPr>
        <w:t>日期：</w:t>
      </w:r>
      <w:r>
        <w:rPr>
          <w:rFonts w:hint="eastAsia"/>
          <w:color w:val="auto"/>
          <w:szCs w:val="21"/>
          <w:highlight w:val="none"/>
          <w:lang w:val="zh-CN"/>
        </w:rPr>
        <w:t xml:space="preserve"> </w:t>
      </w:r>
      <w:r>
        <w:rPr>
          <w:color w:val="auto"/>
          <w:szCs w:val="21"/>
          <w:highlight w:val="none"/>
          <w:lang w:val="zh-CN"/>
        </w:rPr>
        <w:t xml:space="preserve">  年</w:t>
      </w:r>
      <w:r>
        <w:rPr>
          <w:rFonts w:hint="eastAsia"/>
          <w:color w:val="auto"/>
          <w:szCs w:val="21"/>
          <w:highlight w:val="none"/>
          <w:lang w:val="zh-CN"/>
        </w:rPr>
        <w:t xml:space="preserve"> </w:t>
      </w:r>
      <w:r>
        <w:rPr>
          <w:color w:val="auto"/>
          <w:szCs w:val="21"/>
          <w:highlight w:val="none"/>
          <w:lang w:val="zh-CN"/>
        </w:rPr>
        <w:t xml:space="preserve">  月</w:t>
      </w:r>
      <w:r>
        <w:rPr>
          <w:rFonts w:hint="eastAsia"/>
          <w:color w:val="auto"/>
          <w:szCs w:val="21"/>
          <w:highlight w:val="none"/>
          <w:lang w:val="zh-CN"/>
        </w:rPr>
        <w:t xml:space="preserve"> </w:t>
      </w:r>
      <w:r>
        <w:rPr>
          <w:color w:val="auto"/>
          <w:szCs w:val="21"/>
          <w:highlight w:val="none"/>
          <w:lang w:val="zh-CN"/>
        </w:rPr>
        <w:t xml:space="preserve">  日</w:t>
      </w:r>
    </w:p>
    <w:p>
      <w:pPr>
        <w:pStyle w:val="5"/>
        <w:pageBreakBefore/>
        <w:numPr>
          <w:ilvl w:val="-1"/>
          <w:numId w:val="0"/>
        </w:numPr>
        <w:snapToGrid w:val="0"/>
        <w:spacing w:before="0" w:after="313" w:afterLines="100" w:line="360" w:lineRule="auto"/>
        <w:ind w:firstLine="0" w:firstLineChars="0"/>
        <w:jc w:val="center"/>
        <w:rPr>
          <w:rFonts w:hint="eastAsia" w:ascii="宋体" w:hAnsi="宋体" w:eastAsia="宋体"/>
          <w:color w:val="auto"/>
          <w:sz w:val="36"/>
          <w:szCs w:val="36"/>
          <w:highlight w:val="none"/>
        </w:rPr>
      </w:pPr>
      <w:bookmarkStart w:id="295" w:name="_Toc2948"/>
      <w:bookmarkStart w:id="296" w:name="_Toc2313"/>
      <w:bookmarkStart w:id="297" w:name="_Toc34746056"/>
      <w:bookmarkStart w:id="298" w:name="_Toc34746364"/>
      <w:bookmarkStart w:id="299" w:name="_Toc34752519"/>
      <w:bookmarkStart w:id="300" w:name="_Toc34745989"/>
      <w:r>
        <w:rPr>
          <w:rFonts w:hint="eastAsia" w:ascii="宋体" w:hAnsi="宋体" w:eastAsia="宋体"/>
          <w:color w:val="auto"/>
          <w:sz w:val="36"/>
          <w:szCs w:val="36"/>
          <w:highlight w:val="none"/>
          <w:lang w:val="en-US" w:eastAsia="zh-CN"/>
        </w:rPr>
        <w:t>（六）</w:t>
      </w:r>
      <w:r>
        <w:rPr>
          <w:rFonts w:hint="eastAsia" w:ascii="宋体" w:hAnsi="宋体" w:eastAsia="宋体"/>
          <w:color w:val="auto"/>
          <w:sz w:val="36"/>
          <w:szCs w:val="36"/>
          <w:highlight w:val="none"/>
        </w:rPr>
        <w:t>拟投入</w:t>
      </w:r>
      <w:r>
        <w:rPr>
          <w:rFonts w:hint="eastAsia" w:ascii="宋体" w:hAnsi="宋体" w:eastAsia="宋体"/>
          <w:color w:val="auto"/>
          <w:sz w:val="36"/>
          <w:szCs w:val="36"/>
          <w:highlight w:val="none"/>
          <w:lang w:val="en-US" w:eastAsia="zh-CN"/>
        </w:rPr>
        <w:t>本项目的服务</w:t>
      </w:r>
      <w:r>
        <w:rPr>
          <w:rFonts w:hint="eastAsia" w:ascii="宋体" w:hAnsi="宋体" w:eastAsia="宋体"/>
          <w:color w:val="auto"/>
          <w:sz w:val="36"/>
          <w:szCs w:val="36"/>
          <w:highlight w:val="none"/>
        </w:rPr>
        <w:t>人员清单表</w:t>
      </w:r>
      <w:bookmarkEnd w:id="295"/>
      <w:bookmarkEnd w:id="296"/>
    </w:p>
    <w:tbl>
      <w:tblPr>
        <w:tblStyle w:val="1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6"/>
        <w:gridCol w:w="677"/>
        <w:gridCol w:w="677"/>
        <w:gridCol w:w="804"/>
        <w:gridCol w:w="1135"/>
        <w:gridCol w:w="1177"/>
        <w:gridCol w:w="109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资格证书</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现</w:t>
            </w:r>
            <w:r>
              <w:rPr>
                <w:rFonts w:hint="eastAsia" w:ascii="宋体" w:hAnsi="宋体"/>
                <w:color w:val="auto"/>
                <w:sz w:val="21"/>
                <w:szCs w:val="21"/>
                <w:highlight w:val="none"/>
              </w:rPr>
              <w:t>任职务</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从事本行业年限</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bl>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备注：</w:t>
      </w:r>
    </w:p>
    <w:p>
      <w:pPr>
        <w:spacing w:line="360" w:lineRule="auto"/>
        <w:ind w:firstLine="285" w:firstLineChars="135"/>
        <w:rPr>
          <w:rFonts w:hint="default" w:ascii="宋体" w:hAnsi="宋体" w:eastAsia="宋体"/>
          <w:b/>
          <w:bCs/>
          <w:color w:val="auto"/>
          <w:sz w:val="21"/>
          <w:szCs w:val="21"/>
          <w:highlight w:val="none"/>
          <w:u w:val="single"/>
          <w:lang w:val="en-US" w:eastAsia="zh-CN"/>
        </w:rPr>
      </w:pPr>
      <w:r>
        <w:rPr>
          <w:rFonts w:hint="eastAsia" w:ascii="宋体" w:hAnsi="宋体"/>
          <w:b/>
          <w:bCs/>
          <w:color w:val="auto"/>
          <w:sz w:val="21"/>
          <w:szCs w:val="21"/>
          <w:highlight w:val="none"/>
          <w:u w:val="single"/>
        </w:rPr>
        <w:t>（1）</w:t>
      </w:r>
      <w:r>
        <w:rPr>
          <w:rFonts w:hint="eastAsia" w:ascii="宋体" w:hAnsi="宋体"/>
          <w:b/>
          <w:bCs/>
          <w:color w:val="auto"/>
          <w:sz w:val="21"/>
          <w:szCs w:val="21"/>
          <w:highlight w:val="none"/>
          <w:u w:val="single"/>
          <w:lang w:val="en-US" w:eastAsia="zh-CN"/>
        </w:rPr>
        <w:t>该人员清单表为报价人实际投入本项目的服务人员。如需更换人员，新更换的人员履历（如从事本行业年限）须优于被更换人员履历。</w:t>
      </w:r>
    </w:p>
    <w:p>
      <w:pPr>
        <w:spacing w:line="360" w:lineRule="auto"/>
        <w:ind w:firstLine="285" w:firstLineChars="135"/>
        <w:rPr>
          <w:rFonts w:hint="default" w:ascii="宋体" w:hAnsi="宋体"/>
          <w:b/>
          <w:bCs/>
          <w:color w:val="auto"/>
          <w:sz w:val="21"/>
          <w:szCs w:val="21"/>
          <w:highlight w:val="none"/>
          <w:u w:val="single"/>
          <w:lang w:val="en-US" w:eastAsia="zh-CN"/>
        </w:rPr>
      </w:pP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2</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报价人需提供上述人员有效期内的身份证、资格证书、劳动合同（工作经验可以劳动合同关系年限累计，不限于就职报价单位的经验，但当前必须为报价人职工且现任岗位需为</w:t>
      </w:r>
      <w:r>
        <w:rPr>
          <w:rFonts w:hint="eastAsia" w:ascii="宋体" w:hAnsi="宋体" w:eastAsia="宋体" w:cs="宋体"/>
          <w:b/>
          <w:bCs/>
          <w:color w:val="auto"/>
          <w:sz w:val="21"/>
          <w:szCs w:val="21"/>
          <w:highlight w:val="none"/>
          <w:u w:val="single"/>
          <w:lang w:val="zh-CN"/>
        </w:rPr>
        <w:t>资产评估师</w:t>
      </w:r>
      <w:r>
        <w:rPr>
          <w:rFonts w:hint="eastAsia" w:ascii="宋体" w:hAnsi="宋体" w:cs="宋体"/>
          <w:b/>
          <w:bCs/>
          <w:color w:val="auto"/>
          <w:sz w:val="21"/>
          <w:szCs w:val="21"/>
          <w:highlight w:val="none"/>
          <w:u w:val="single"/>
          <w:lang w:val="en-US" w:eastAsia="zh-CN"/>
        </w:rPr>
        <w:t>的人数不低于2名，均具有3年以上的资产评估工作经验</w:t>
      </w:r>
      <w:r>
        <w:rPr>
          <w:rFonts w:hint="eastAsia" w:ascii="宋体" w:hAnsi="宋体"/>
          <w:b/>
          <w:bCs/>
          <w:color w:val="auto"/>
          <w:sz w:val="21"/>
          <w:szCs w:val="21"/>
          <w:highlight w:val="none"/>
          <w:u w:val="single"/>
          <w:lang w:val="en-US" w:eastAsia="zh-CN"/>
        </w:rPr>
        <w:t>），并提供报价人2023年12月、2024年1月、2024年2月为上述人员缴纳的社会保险证明复印件，否则视为报价人未提供该人员资料。</w:t>
      </w:r>
    </w:p>
    <w:p>
      <w:pPr>
        <w:spacing w:line="360" w:lineRule="auto"/>
        <w:ind w:firstLine="283" w:firstLineChars="135"/>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此表格式供参照，</w:t>
      </w:r>
      <w:r>
        <w:rPr>
          <w:rFonts w:hint="eastAsia" w:ascii="宋体" w:hAnsi="宋体"/>
          <w:color w:val="auto"/>
          <w:sz w:val="21"/>
          <w:szCs w:val="21"/>
          <w:highlight w:val="none"/>
          <w:lang w:val="en-US" w:eastAsia="zh-CN"/>
        </w:rPr>
        <w:t>报价人</w:t>
      </w:r>
      <w:r>
        <w:rPr>
          <w:rFonts w:hint="eastAsia" w:ascii="宋体" w:hAnsi="宋体"/>
          <w:color w:val="auto"/>
          <w:sz w:val="21"/>
          <w:szCs w:val="21"/>
          <w:highlight w:val="none"/>
        </w:rPr>
        <w:t>可以根据本表格式内容自行划表填写。</w:t>
      </w:r>
    </w:p>
    <w:p>
      <w:pPr>
        <w:spacing w:line="360" w:lineRule="auto"/>
        <w:ind w:firstLine="283" w:firstLineChars="135"/>
        <w:outlineLvl w:val="9"/>
        <w:rPr>
          <w:rFonts w:hint="eastAsia" w:ascii="宋体" w:hAnsi="宋体"/>
          <w:color w:val="auto"/>
          <w:sz w:val="21"/>
          <w:szCs w:val="21"/>
          <w:highlight w:val="none"/>
        </w:rPr>
      </w:pPr>
      <w:bookmarkStart w:id="301" w:name="_Toc19409"/>
      <w:bookmarkStart w:id="302" w:name="_Toc5607"/>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）拟投入本项目的</w:t>
      </w:r>
      <w:r>
        <w:rPr>
          <w:rFonts w:hint="eastAsia" w:ascii="宋体" w:hAnsi="宋体"/>
          <w:color w:val="auto"/>
          <w:sz w:val="21"/>
          <w:szCs w:val="21"/>
          <w:highlight w:val="none"/>
          <w:lang w:val="en-US" w:eastAsia="zh-CN"/>
        </w:rPr>
        <w:t>资产评估师</w:t>
      </w:r>
      <w:r>
        <w:rPr>
          <w:rFonts w:hint="eastAsia" w:ascii="宋体" w:hAnsi="宋体"/>
          <w:color w:val="auto"/>
          <w:sz w:val="21"/>
          <w:szCs w:val="21"/>
          <w:highlight w:val="none"/>
        </w:rPr>
        <w:t>和关键岗位人员需提供简历表。</w:t>
      </w:r>
      <w:bookmarkEnd w:id="301"/>
      <w:bookmarkEnd w:id="302"/>
    </w:p>
    <w:p>
      <w:pPr>
        <w:pStyle w:val="2"/>
        <w:rPr>
          <w:rFonts w:hint="eastAsia" w:ascii="宋体" w:hAnsi="宋体"/>
          <w:color w:val="auto"/>
          <w:sz w:val="21"/>
          <w:szCs w:val="21"/>
          <w:highlight w:val="none"/>
        </w:rPr>
      </w:pPr>
    </w:p>
    <w:p>
      <w:pPr>
        <w:rPr>
          <w:rFonts w:hint="eastAsia" w:ascii="宋体" w:hAnsi="宋体" w:eastAsia="宋体"/>
          <w:b/>
          <w:color w:val="auto"/>
          <w:sz w:val="30"/>
          <w:szCs w:val="30"/>
          <w:highlight w:val="none"/>
        </w:rPr>
      </w:pPr>
      <w:bookmarkStart w:id="303" w:name="_Toc37323112"/>
      <w:bookmarkStart w:id="304" w:name="_Toc35338204"/>
    </w:p>
    <w:p>
      <w:pPr>
        <w:pStyle w:val="43"/>
        <w:adjustRightInd w:val="0"/>
        <w:snapToGrid w:val="0"/>
        <w:spacing w:after="313" w:afterLines="100"/>
        <w:jc w:val="center"/>
        <w:rPr>
          <w:rFonts w:hint="eastAsia" w:ascii="宋体" w:hAnsi="宋体"/>
          <w:b/>
          <w:color w:val="auto"/>
          <w:sz w:val="30"/>
          <w:szCs w:val="30"/>
          <w:highlight w:val="none"/>
        </w:rPr>
      </w:pPr>
      <w:r>
        <w:rPr>
          <w:rFonts w:hint="eastAsia" w:ascii="宋体" w:hAnsi="宋体" w:eastAsia="宋体"/>
          <w:b/>
          <w:color w:val="auto"/>
          <w:sz w:val="30"/>
          <w:szCs w:val="30"/>
          <w:highlight w:val="none"/>
        </w:rPr>
        <w:t>简历表格式</w:t>
      </w:r>
      <w:bookmarkEnd w:id="303"/>
      <w:bookmarkEnd w:id="304"/>
    </w:p>
    <w:p>
      <w:pPr>
        <w:adjustRightInd w:val="0"/>
        <w:snapToGrid w:val="0"/>
        <w:spacing w:after="157" w:afterLines="50"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拟担任本项目</w:t>
      </w:r>
      <w:r>
        <w:rPr>
          <w:rFonts w:hint="eastAsia" w:ascii="宋体" w:hAnsi="宋体"/>
          <w:b/>
          <w:color w:val="auto"/>
          <w:sz w:val="30"/>
          <w:szCs w:val="30"/>
          <w:highlight w:val="none"/>
          <w:u w:val="single"/>
        </w:rPr>
        <w:t xml:space="preserve">     （职位名称）  </w:t>
      </w:r>
      <w:r>
        <w:rPr>
          <w:rFonts w:hint="eastAsia" w:ascii="宋体" w:hAnsi="宋体"/>
          <w:b/>
          <w:color w:val="auto"/>
          <w:sz w:val="30"/>
          <w:szCs w:val="30"/>
          <w:highlight w:val="none"/>
        </w:rPr>
        <w:t>人员简历表</w:t>
      </w:r>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57"/>
        <w:gridCol w:w="1443"/>
        <w:gridCol w:w="700"/>
        <w:gridCol w:w="1190"/>
        <w:gridCol w:w="1107"/>
        <w:gridCol w:w="353"/>
        <w:gridCol w:w="875"/>
        <w:gridCol w:w="313"/>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性别</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资格或职称</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1"/>
                <w:szCs w:val="21"/>
                <w:highlight w:val="none"/>
              </w:rPr>
            </w:pPr>
          </w:p>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参加工作时间</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3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担任</w:t>
            </w:r>
            <w:r>
              <w:rPr>
                <w:rFonts w:hint="eastAsia" w:ascii="宋体" w:hAnsi="宋体"/>
                <w:b/>
                <w:color w:val="auto"/>
                <w:sz w:val="21"/>
                <w:szCs w:val="21"/>
                <w:highlight w:val="none"/>
                <w:u w:val="single"/>
              </w:rPr>
              <w:t xml:space="preserve"> </w:t>
            </w:r>
            <w:r>
              <w:rPr>
                <w:rFonts w:hint="eastAsia" w:ascii="宋体" w:hAnsi="宋体"/>
                <w:color w:val="auto"/>
                <w:sz w:val="21"/>
                <w:szCs w:val="21"/>
                <w:highlight w:val="none"/>
                <w:u w:val="single"/>
              </w:rPr>
              <w:t xml:space="preserve">    （职位名称）</w:t>
            </w:r>
            <w:r>
              <w:rPr>
                <w:rFonts w:hint="eastAsia" w:ascii="宋体" w:hAnsi="宋体"/>
                <w:color w:val="auto"/>
                <w:sz w:val="21"/>
                <w:szCs w:val="21"/>
                <w:highlight w:val="none"/>
              </w:rPr>
              <w:t>年限</w:t>
            </w: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资格证书编号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3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联系电话</w:t>
            </w:r>
          </w:p>
        </w:tc>
        <w:tc>
          <w:tcPr>
            <w:tcW w:w="16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采购人</w:t>
            </w:r>
          </w:p>
        </w:tc>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项目名称</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服务内容</w:t>
            </w: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所任职务</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54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p>
        </w:tc>
      </w:tr>
    </w:tbl>
    <w:p>
      <w:pPr>
        <w:pStyle w:val="2"/>
        <w:overflowPunct w:val="0"/>
        <w:spacing w:line="360" w:lineRule="exact"/>
        <w:ind w:firstLine="422"/>
        <w:jc w:val="left"/>
        <w:rPr>
          <w:rFonts w:hint="eastAsia" w:ascii="宋体" w:hAnsi="宋体" w:eastAsia="宋体"/>
          <w:color w:val="auto"/>
          <w:sz w:val="21"/>
          <w:szCs w:val="21"/>
          <w:highlight w:val="none"/>
        </w:rPr>
      </w:pPr>
      <w:r>
        <w:rPr>
          <w:rFonts w:hint="eastAsia" w:ascii="宋体" w:hAnsi="宋体" w:eastAsia="宋体"/>
          <w:b w:val="0"/>
          <w:color w:val="auto"/>
          <w:sz w:val="21"/>
          <w:szCs w:val="21"/>
          <w:highlight w:val="none"/>
        </w:rPr>
        <w:t>备注：</w:t>
      </w:r>
    </w:p>
    <w:p>
      <w:pPr>
        <w:spacing w:line="360" w:lineRule="exact"/>
        <w:ind w:left="815" w:leftChars="118" w:hanging="567" w:hangingChars="270"/>
        <w:jc w:val="both"/>
        <w:outlineLvl w:val="9"/>
        <w:rPr>
          <w:rFonts w:hint="eastAsia" w:ascii="宋体" w:hAnsi="宋体"/>
          <w:color w:val="auto"/>
          <w:sz w:val="21"/>
          <w:szCs w:val="21"/>
          <w:highlight w:val="none"/>
        </w:rPr>
      </w:pPr>
      <w:bookmarkStart w:id="305" w:name="_Toc14267"/>
      <w:bookmarkStart w:id="306" w:name="_Toc9908"/>
      <w:r>
        <w:rPr>
          <w:rFonts w:hint="eastAsia" w:ascii="宋体" w:hAnsi="宋体"/>
          <w:color w:val="auto"/>
          <w:sz w:val="21"/>
          <w:szCs w:val="21"/>
          <w:highlight w:val="none"/>
        </w:rPr>
        <w:t>（1）拟投入本项目的</w:t>
      </w:r>
      <w:r>
        <w:rPr>
          <w:rFonts w:hint="eastAsia" w:ascii="宋体" w:hAnsi="宋体"/>
          <w:color w:val="auto"/>
          <w:sz w:val="21"/>
          <w:szCs w:val="21"/>
          <w:highlight w:val="none"/>
          <w:lang w:val="en-US" w:eastAsia="zh-CN"/>
        </w:rPr>
        <w:t>资产评估师和</w:t>
      </w:r>
      <w:r>
        <w:rPr>
          <w:rFonts w:hint="eastAsia" w:ascii="宋体" w:hAnsi="宋体"/>
          <w:color w:val="auto"/>
          <w:sz w:val="21"/>
          <w:szCs w:val="21"/>
          <w:highlight w:val="none"/>
        </w:rPr>
        <w:t>关键岗位人员需提供简历表。</w:t>
      </w:r>
      <w:bookmarkEnd w:id="305"/>
      <w:bookmarkEnd w:id="306"/>
    </w:p>
    <w:p>
      <w:pPr>
        <w:spacing w:line="360" w:lineRule="exact"/>
        <w:ind w:left="815" w:leftChars="118" w:hanging="567" w:hangingChars="270"/>
        <w:jc w:val="both"/>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zh-CN"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val="zh-CN" w:eastAsia="zh-CN"/>
        </w:rPr>
        <w:t>）此表格式供参照，</w:t>
      </w:r>
      <w:r>
        <w:rPr>
          <w:rFonts w:hint="eastAsia" w:ascii="宋体" w:hAnsi="宋体" w:cs="Times New Roman"/>
          <w:color w:val="auto"/>
          <w:sz w:val="21"/>
          <w:szCs w:val="21"/>
          <w:highlight w:val="none"/>
          <w:lang w:val="en-US" w:eastAsia="zh-CN"/>
        </w:rPr>
        <w:t>报价人</w:t>
      </w:r>
      <w:r>
        <w:rPr>
          <w:rFonts w:hint="eastAsia" w:ascii="宋体" w:hAnsi="宋体" w:eastAsia="宋体" w:cs="Times New Roman"/>
          <w:color w:val="auto"/>
          <w:sz w:val="21"/>
          <w:szCs w:val="21"/>
          <w:highlight w:val="none"/>
          <w:lang w:val="zh-CN" w:eastAsia="zh-CN"/>
        </w:rPr>
        <w:t>可以根据本表格式内容自行划表填写。</w:t>
      </w:r>
    </w:p>
    <w:p>
      <w:pPr>
        <w:pStyle w:val="3"/>
        <w:rPr>
          <w:rFonts w:hint="eastAsia" w:ascii="宋体" w:hAnsi="宋体"/>
          <w:color w:val="auto"/>
          <w:sz w:val="21"/>
          <w:szCs w:val="21"/>
          <w:highlight w:val="none"/>
        </w:rPr>
      </w:pPr>
    </w:p>
    <w:p>
      <w:pPr>
        <w:numPr>
          <w:ilvl w:val="-1"/>
          <w:numId w:val="0"/>
        </w:numPr>
        <w:ind w:firstLine="0" w:firstLineChars="0"/>
        <w:rPr>
          <w:rFonts w:hint="eastAsia"/>
          <w:color w:val="auto"/>
          <w:highlight w:val="none"/>
        </w:rPr>
      </w:pPr>
    </w:p>
    <w:p>
      <w:pPr>
        <w:pStyle w:val="5"/>
        <w:pageBreakBefore/>
        <w:spacing w:before="0" w:after="0" w:line="360" w:lineRule="auto"/>
        <w:jc w:val="center"/>
        <w:rPr>
          <w:rFonts w:hint="eastAsia" w:ascii="宋体" w:hAnsi="宋体" w:eastAsia="宋体"/>
          <w:color w:val="auto"/>
          <w:sz w:val="36"/>
          <w:szCs w:val="36"/>
          <w:highlight w:val="none"/>
        </w:rPr>
      </w:pPr>
      <w:bookmarkStart w:id="307" w:name="_Toc27257"/>
      <w:bookmarkStart w:id="308" w:name="_Toc5897"/>
      <w:r>
        <w:rPr>
          <w:rFonts w:hint="eastAsia" w:ascii="宋体" w:hAnsi="宋体" w:eastAsia="宋体"/>
          <w:color w:val="auto"/>
          <w:sz w:val="36"/>
          <w:szCs w:val="36"/>
          <w:highlight w:val="none"/>
          <w:lang w:val="en-US" w:eastAsia="zh-CN"/>
        </w:rPr>
        <w:t>（七）</w:t>
      </w:r>
      <w:r>
        <w:rPr>
          <w:rFonts w:hint="eastAsia" w:ascii="宋体" w:hAnsi="宋体" w:eastAsia="宋体"/>
          <w:color w:val="auto"/>
          <w:sz w:val="36"/>
          <w:szCs w:val="36"/>
          <w:highlight w:val="none"/>
        </w:rPr>
        <w:t>报价人认为需要提供的其他证明材料</w:t>
      </w:r>
      <w:bookmarkEnd w:id="307"/>
      <w:bookmarkEnd w:id="308"/>
    </w:p>
    <w:p>
      <w:pPr>
        <w:pStyle w:val="2"/>
        <w:spacing w:after="0" w:line="360" w:lineRule="auto"/>
        <w:rPr>
          <w:rFonts w:hint="eastAsia" w:eastAsia="宋体"/>
          <w:color w:val="auto"/>
          <w:highlight w:val="none"/>
        </w:rPr>
      </w:pPr>
    </w:p>
    <w:p>
      <w:pPr>
        <w:pStyle w:val="2"/>
        <w:spacing w:after="0" w:line="360" w:lineRule="auto"/>
        <w:rPr>
          <w:rFonts w:hint="eastAsia" w:eastAsia="宋体"/>
          <w:color w:val="auto"/>
          <w:highlight w:val="none"/>
        </w:rPr>
      </w:pPr>
      <w:r>
        <w:rPr>
          <w:rFonts w:hint="eastAsia"/>
          <w:color w:val="auto"/>
          <w:highlight w:val="none"/>
          <w:lang w:val="en-US" w:eastAsia="zh-CN"/>
        </w:rPr>
        <w:t>7.1</w:t>
      </w:r>
      <w:r>
        <w:rPr>
          <w:rFonts w:hint="eastAsia" w:eastAsia="宋体"/>
          <w:color w:val="auto"/>
          <w:highlight w:val="none"/>
          <w:lang w:val="en-US" w:eastAsia="zh-CN"/>
        </w:rPr>
        <w:t xml:space="preserve"> </w:t>
      </w:r>
      <w:r>
        <w:rPr>
          <w:rFonts w:hint="eastAsia" w:eastAsia="宋体"/>
          <w:color w:val="auto"/>
          <w:highlight w:val="none"/>
        </w:rPr>
        <w:t>报价人认为有必要提供证明履约能力的其他材料。</w:t>
      </w:r>
    </w:p>
    <w:p>
      <w:pPr>
        <w:pStyle w:val="2"/>
        <w:spacing w:after="0" w:line="360" w:lineRule="auto"/>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tabs>
          <w:tab w:val="left" w:pos="4810"/>
        </w:tabs>
        <w:rPr>
          <w:color w:val="auto"/>
          <w:highlight w:val="none"/>
        </w:rPr>
      </w:pPr>
      <w:r>
        <w:rPr>
          <w:color w:val="auto"/>
          <w:highlight w:val="none"/>
        </w:rPr>
        <w:tab/>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left"/>
        <w:rPr>
          <w:rFonts w:ascii="宋体" w:hAnsi="宋体"/>
          <w:b/>
          <w:bCs/>
          <w:color w:val="auto"/>
          <w:kern w:val="0"/>
          <w:sz w:val="30"/>
          <w:szCs w:val="30"/>
          <w:highlight w:val="none"/>
          <w:lang w:val="zh-CN"/>
        </w:rPr>
      </w:pPr>
      <w:bookmarkStart w:id="309" w:name="_Toc50572990"/>
      <w:bookmarkStart w:id="310" w:name="_Toc50056873"/>
      <w:bookmarkStart w:id="311" w:name="_Toc51333935"/>
      <w:r>
        <w:rPr>
          <w:rFonts w:ascii="宋体" w:hAnsi="宋体"/>
          <w:color w:val="auto"/>
          <w:sz w:val="30"/>
          <w:szCs w:val="30"/>
          <w:highlight w:val="none"/>
          <w:lang w:val="zh-CN"/>
        </w:rPr>
        <w:br w:type="page"/>
      </w:r>
    </w:p>
    <w:p>
      <w:pPr>
        <w:pStyle w:val="14"/>
        <w:spacing w:line="360" w:lineRule="auto"/>
        <w:jc w:val="left"/>
        <w:outlineLvl w:val="1"/>
        <w:rPr>
          <w:rFonts w:hint="eastAsia" w:ascii="宋体" w:hAnsi="宋体" w:eastAsia="宋体"/>
          <w:color w:val="auto"/>
          <w:sz w:val="30"/>
          <w:szCs w:val="30"/>
          <w:highlight w:val="none"/>
          <w:lang w:val="zh-CN"/>
        </w:rPr>
      </w:pPr>
      <w:bookmarkStart w:id="312" w:name="_Toc14340"/>
      <w:bookmarkStart w:id="313" w:name="_Toc17148"/>
      <w:r>
        <w:rPr>
          <w:rFonts w:hint="eastAsia" w:ascii="宋体" w:hAnsi="宋体" w:eastAsia="宋体"/>
          <w:color w:val="auto"/>
          <w:sz w:val="30"/>
          <w:szCs w:val="30"/>
          <w:highlight w:val="none"/>
          <w:lang w:val="zh-CN"/>
        </w:rPr>
        <w:t>二、报价文件电子文档</w:t>
      </w:r>
      <w:bookmarkEnd w:id="309"/>
      <w:bookmarkEnd w:id="310"/>
      <w:bookmarkEnd w:id="311"/>
      <w:bookmarkEnd w:id="312"/>
      <w:bookmarkEnd w:id="313"/>
    </w:p>
    <w:p>
      <w:pPr>
        <w:pStyle w:val="2"/>
        <w:spacing w:line="360" w:lineRule="auto"/>
        <w:ind w:firstLine="420" w:firstLineChars="200"/>
        <w:rPr>
          <w:color w:val="auto"/>
          <w:highlight w:val="none"/>
        </w:rPr>
      </w:pPr>
      <w:r>
        <w:rPr>
          <w:rFonts w:hint="eastAsia" w:eastAsia="宋体"/>
          <w:color w:val="auto"/>
          <w:highlight w:val="none"/>
        </w:rPr>
        <w:t>报价文件电子文档应为签字、盖章后的报价文件扫描的PDF格式电子文件，应为全套报价文件的有效的、未经压缩处理的电子版本，内容与提交纸质盖章版报价文件一致，</w:t>
      </w:r>
      <w:r>
        <w:rPr>
          <w:rFonts w:hint="eastAsia" w:eastAsia="宋体"/>
          <w:color w:val="auto"/>
          <w:highlight w:val="none"/>
          <w:lang w:val="zh-CN"/>
        </w:rPr>
        <w:t>电子文档不可设置密码，用DVD或CD-R光盘或U盘储存，与报价文件一起密封提交，如用U盘储存，待本项目开标结束后，采购人将电子文档拷贝后将U盘退还报价人。</w:t>
      </w:r>
      <w:bookmarkEnd w:id="297"/>
      <w:bookmarkEnd w:id="298"/>
      <w:bookmarkEnd w:id="299"/>
      <w:bookmarkEnd w:id="300"/>
    </w:p>
    <w:sectPr>
      <w:footerReference r:id="rId10" w:type="first"/>
      <w:footerReference r:id="rId8" w:type="default"/>
      <w:footerReference r:id="rId9" w:type="even"/>
      <w:pgSz w:w="11906" w:h="16838"/>
      <w:pgMar w:top="1440" w:right="1983" w:bottom="1440" w:left="16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PAGE   \* MERGEFORMAT</w:instrText>
                          </w:r>
                          <w:r>
                            <w:fldChar w:fldCharType="separate"/>
                          </w:r>
                          <w:r>
                            <w:rPr>
                              <w:lang w:val="zh-CN"/>
                            </w:rPr>
                            <w:t>20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20</w:t>
                    </w:r>
                    <w:r>
                      <w:rPr>
                        <w:lang w:val="zh-CN"/>
                      </w:rP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9"/>
      </w:rPr>
    </w:pPr>
    <w:r>
      <w:fldChar w:fldCharType="begin"/>
    </w:r>
    <w:r>
      <w:rPr>
        <w:rStyle w:val="19"/>
      </w:rPr>
      <w:instrText xml:space="preserve">PAGE  </w:instrText>
    </w:r>
    <w:r>
      <w:fldChar w:fldCharType="end"/>
    </w:r>
  </w:p>
  <w:p>
    <w:pPr>
      <w:pStyle w:val="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37425688"/>
                            <w:docPartObj>
                              <w:docPartGallery w:val="autotext"/>
                            </w:docPartObj>
                          </w:sdtPr>
                          <w:sdtContent>
                            <w:p>
                              <w:pPr>
                                <w:pStyle w:val="9"/>
                                <w:jc w:val="center"/>
                              </w:pPr>
                              <w:r>
                                <w:fldChar w:fldCharType="begin"/>
                              </w:r>
                              <w:r>
                                <w:instrText xml:space="preserve">PAGE   \* MERGEFORMAT</w:instrText>
                              </w:r>
                              <w:r>
                                <w:fldChar w:fldCharType="separate"/>
                              </w:r>
                              <w:r>
                                <w:rPr>
                                  <w:lang w:val="zh-CN"/>
                                </w:rPr>
                                <w:t>18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037425688"/>
                      <w:docPartObj>
                        <w:docPartGallery w:val="autotext"/>
                      </w:docPartObj>
                    </w:sdtPr>
                    <w:sdtContent>
                      <w:p>
                        <w:pPr>
                          <w:pStyle w:val="9"/>
                          <w:jc w:val="center"/>
                        </w:pPr>
                        <w:r>
                          <w:fldChar w:fldCharType="begin"/>
                        </w:r>
                        <w:r>
                          <w:instrText xml:space="preserve">PAGE   \* MERGEFORMAT</w:instrText>
                        </w:r>
                        <w:r>
                          <w:fldChar w:fldCharType="separate"/>
                        </w:r>
                        <w:r>
                          <w:rPr>
                            <w:lang w:val="zh-CN"/>
                          </w:rPr>
                          <w:t>18</w:t>
                        </w:r>
                        <w:r>
                          <w:fldChar w:fldCharType="end"/>
                        </w:r>
                      </w:p>
                    </w:sdtContent>
                  </w:sdt>
                  <w:p>
                    <w:pPr>
                      <w:pStyle w:val="2"/>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ascii="宋体" w:hAnsi="宋体"/>
        <w:szCs w:val="21"/>
        <w:lang w:val="en-US" w:eastAsia="zh-CN"/>
      </w:rPr>
      <w:t>东莞市智汇水务科技有限公司2024年股权、设备资产价值评估单位采购项目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A0F62"/>
    <w:multiLevelType w:val="singleLevel"/>
    <w:tmpl w:val="CC7A0F62"/>
    <w:lvl w:ilvl="0" w:tentative="0">
      <w:start w:val="1"/>
      <w:numFmt w:val="decimal"/>
      <w:suff w:val="nothing"/>
      <w:lvlText w:val="%1．"/>
      <w:lvlJc w:val="left"/>
    </w:lvl>
  </w:abstractNum>
  <w:abstractNum w:abstractNumId="1">
    <w:nsid w:val="36659A4E"/>
    <w:multiLevelType w:val="singleLevel"/>
    <w:tmpl w:val="36659A4E"/>
    <w:lvl w:ilvl="0" w:tentative="0">
      <w:start w:val="2"/>
      <w:numFmt w:val="chineseCounting"/>
      <w:suff w:val="nothing"/>
      <w:lvlText w:val="%1、"/>
      <w:lvlJc w:val="left"/>
      <w:rPr>
        <w:rFonts w:hint="eastAsia"/>
      </w:rPr>
    </w:lvl>
  </w:abstractNum>
  <w:abstractNum w:abstractNumId="2">
    <w:nsid w:val="7E8B76FF"/>
    <w:multiLevelType w:val="multilevel"/>
    <w:tmpl w:val="7E8B76FF"/>
    <w:lvl w:ilvl="0" w:tentative="0">
      <w:start w:val="1"/>
      <w:numFmt w:val="decimal"/>
      <w:lvlText w:val="%1、"/>
      <w:lvlJc w:val="left"/>
      <w:pPr>
        <w:tabs>
          <w:tab w:val="left" w:pos="360"/>
        </w:tabs>
        <w:ind w:left="340" w:hanging="340"/>
      </w:pPr>
      <w:rPr>
        <w:rFonts w:hint="default"/>
      </w:rPr>
    </w:lvl>
    <w:lvl w:ilvl="1" w:tentative="0">
      <w:start w:val="1"/>
      <w:numFmt w:val="decimal"/>
      <w:lvlText w:val="%2)"/>
      <w:lvlJc w:val="left"/>
      <w:pPr>
        <w:tabs>
          <w:tab w:val="left" w:pos="644"/>
        </w:tabs>
        <w:ind w:left="644" w:hanging="360"/>
      </w:pPr>
      <w:rPr>
        <w:rFonts w:hint="default"/>
      </w:rPr>
    </w:lvl>
    <w:lvl w:ilvl="2" w:tentative="0">
      <w:start w:val="1"/>
      <w:numFmt w:val="decimal"/>
      <w:lvlText w:val="%3）"/>
      <w:lvlJc w:val="left"/>
      <w:pPr>
        <w:tabs>
          <w:tab w:val="left" w:pos="1155"/>
        </w:tabs>
        <w:ind w:left="1155" w:hanging="31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N2Y3NDk2MTE0OGJkODhhODAyZTgzN2I0YTlmMzYifQ=="/>
  </w:docVars>
  <w:rsids>
    <w:rsidRoot w:val="00172A27"/>
    <w:rsid w:val="00002255"/>
    <w:rsid w:val="00002D33"/>
    <w:rsid w:val="00005416"/>
    <w:rsid w:val="000063B8"/>
    <w:rsid w:val="00006E08"/>
    <w:rsid w:val="0001771A"/>
    <w:rsid w:val="000273CE"/>
    <w:rsid w:val="00031998"/>
    <w:rsid w:val="00032993"/>
    <w:rsid w:val="0003577B"/>
    <w:rsid w:val="00037B36"/>
    <w:rsid w:val="00037B60"/>
    <w:rsid w:val="000436EB"/>
    <w:rsid w:val="0004448C"/>
    <w:rsid w:val="00046A5B"/>
    <w:rsid w:val="00046BC0"/>
    <w:rsid w:val="00046BC1"/>
    <w:rsid w:val="00047141"/>
    <w:rsid w:val="00051E24"/>
    <w:rsid w:val="000565B8"/>
    <w:rsid w:val="0006619A"/>
    <w:rsid w:val="0006716D"/>
    <w:rsid w:val="0007043B"/>
    <w:rsid w:val="00077AEF"/>
    <w:rsid w:val="0008180B"/>
    <w:rsid w:val="00082E5D"/>
    <w:rsid w:val="000832C8"/>
    <w:rsid w:val="000839BA"/>
    <w:rsid w:val="000843DF"/>
    <w:rsid w:val="00093EE9"/>
    <w:rsid w:val="000A1B8C"/>
    <w:rsid w:val="000A5FEB"/>
    <w:rsid w:val="000B0D09"/>
    <w:rsid w:val="000B2175"/>
    <w:rsid w:val="000B4A0F"/>
    <w:rsid w:val="000B79CA"/>
    <w:rsid w:val="000C0B21"/>
    <w:rsid w:val="000C1A3C"/>
    <w:rsid w:val="000C1D56"/>
    <w:rsid w:val="000C43BA"/>
    <w:rsid w:val="000D4E1C"/>
    <w:rsid w:val="000E22F0"/>
    <w:rsid w:val="000F098A"/>
    <w:rsid w:val="000F1301"/>
    <w:rsid w:val="000F35EC"/>
    <w:rsid w:val="000F4E12"/>
    <w:rsid w:val="000F7CE1"/>
    <w:rsid w:val="0010351F"/>
    <w:rsid w:val="001050B0"/>
    <w:rsid w:val="00105856"/>
    <w:rsid w:val="00105F36"/>
    <w:rsid w:val="001064C9"/>
    <w:rsid w:val="00110DED"/>
    <w:rsid w:val="00110E36"/>
    <w:rsid w:val="00110E89"/>
    <w:rsid w:val="0011620B"/>
    <w:rsid w:val="00116603"/>
    <w:rsid w:val="00127604"/>
    <w:rsid w:val="00131300"/>
    <w:rsid w:val="00135B4A"/>
    <w:rsid w:val="00137FFD"/>
    <w:rsid w:val="00142750"/>
    <w:rsid w:val="001439FB"/>
    <w:rsid w:val="00144EBA"/>
    <w:rsid w:val="00147AE9"/>
    <w:rsid w:val="00150B83"/>
    <w:rsid w:val="00150CA9"/>
    <w:rsid w:val="00151106"/>
    <w:rsid w:val="001511D6"/>
    <w:rsid w:val="00154242"/>
    <w:rsid w:val="0015563C"/>
    <w:rsid w:val="00160AB1"/>
    <w:rsid w:val="0016634B"/>
    <w:rsid w:val="00167FC1"/>
    <w:rsid w:val="00173CE4"/>
    <w:rsid w:val="00176B0E"/>
    <w:rsid w:val="00180B96"/>
    <w:rsid w:val="001835F5"/>
    <w:rsid w:val="0018529A"/>
    <w:rsid w:val="0018693C"/>
    <w:rsid w:val="00190457"/>
    <w:rsid w:val="00192562"/>
    <w:rsid w:val="00192618"/>
    <w:rsid w:val="001952A2"/>
    <w:rsid w:val="001975E3"/>
    <w:rsid w:val="001A1558"/>
    <w:rsid w:val="001A4842"/>
    <w:rsid w:val="001A7831"/>
    <w:rsid w:val="001B171F"/>
    <w:rsid w:val="001B7F42"/>
    <w:rsid w:val="001C2C37"/>
    <w:rsid w:val="001D05B2"/>
    <w:rsid w:val="001D10DB"/>
    <w:rsid w:val="001D1410"/>
    <w:rsid w:val="001D2388"/>
    <w:rsid w:val="001D5FD7"/>
    <w:rsid w:val="001E105C"/>
    <w:rsid w:val="001E40C6"/>
    <w:rsid w:val="001E71C0"/>
    <w:rsid w:val="001F6E53"/>
    <w:rsid w:val="0020493A"/>
    <w:rsid w:val="00212470"/>
    <w:rsid w:val="002127B1"/>
    <w:rsid w:val="00215185"/>
    <w:rsid w:val="002152DD"/>
    <w:rsid w:val="002177F2"/>
    <w:rsid w:val="00224FC6"/>
    <w:rsid w:val="00226754"/>
    <w:rsid w:val="00231B64"/>
    <w:rsid w:val="0023619A"/>
    <w:rsid w:val="002366FC"/>
    <w:rsid w:val="002376EB"/>
    <w:rsid w:val="00241923"/>
    <w:rsid w:val="00242C7B"/>
    <w:rsid w:val="00267516"/>
    <w:rsid w:val="00280366"/>
    <w:rsid w:val="00286F31"/>
    <w:rsid w:val="0029082E"/>
    <w:rsid w:val="00291F1E"/>
    <w:rsid w:val="0029319C"/>
    <w:rsid w:val="00293E38"/>
    <w:rsid w:val="00297041"/>
    <w:rsid w:val="002A33AA"/>
    <w:rsid w:val="002A3E70"/>
    <w:rsid w:val="002A7C36"/>
    <w:rsid w:val="002B4E99"/>
    <w:rsid w:val="002B59E0"/>
    <w:rsid w:val="002C2180"/>
    <w:rsid w:val="002C41EC"/>
    <w:rsid w:val="002C4A22"/>
    <w:rsid w:val="002C7E37"/>
    <w:rsid w:val="002D53CD"/>
    <w:rsid w:val="002D6CE2"/>
    <w:rsid w:val="002D7C1A"/>
    <w:rsid w:val="002E052C"/>
    <w:rsid w:val="002F04B2"/>
    <w:rsid w:val="002F111C"/>
    <w:rsid w:val="002F3369"/>
    <w:rsid w:val="00301521"/>
    <w:rsid w:val="00313208"/>
    <w:rsid w:val="00314C39"/>
    <w:rsid w:val="00316A50"/>
    <w:rsid w:val="00320CCE"/>
    <w:rsid w:val="00325423"/>
    <w:rsid w:val="0033340B"/>
    <w:rsid w:val="00336A19"/>
    <w:rsid w:val="0034097A"/>
    <w:rsid w:val="00346103"/>
    <w:rsid w:val="003536F9"/>
    <w:rsid w:val="00353C94"/>
    <w:rsid w:val="003540C9"/>
    <w:rsid w:val="00354597"/>
    <w:rsid w:val="0036180D"/>
    <w:rsid w:val="003627AA"/>
    <w:rsid w:val="00365024"/>
    <w:rsid w:val="00367B48"/>
    <w:rsid w:val="00371E2C"/>
    <w:rsid w:val="00372B75"/>
    <w:rsid w:val="0037428F"/>
    <w:rsid w:val="003752FD"/>
    <w:rsid w:val="0037717D"/>
    <w:rsid w:val="003820F6"/>
    <w:rsid w:val="0038440B"/>
    <w:rsid w:val="0038637F"/>
    <w:rsid w:val="00390D6D"/>
    <w:rsid w:val="00391F89"/>
    <w:rsid w:val="00395E87"/>
    <w:rsid w:val="0039692A"/>
    <w:rsid w:val="003A0AF7"/>
    <w:rsid w:val="003A1EA3"/>
    <w:rsid w:val="003A3DF6"/>
    <w:rsid w:val="003A57B4"/>
    <w:rsid w:val="003A750B"/>
    <w:rsid w:val="003A7A25"/>
    <w:rsid w:val="003B1678"/>
    <w:rsid w:val="003B4210"/>
    <w:rsid w:val="003B5861"/>
    <w:rsid w:val="003B5FE2"/>
    <w:rsid w:val="003C018C"/>
    <w:rsid w:val="003C06C9"/>
    <w:rsid w:val="003C14CE"/>
    <w:rsid w:val="003C3EA5"/>
    <w:rsid w:val="003D0EB4"/>
    <w:rsid w:val="003D2A14"/>
    <w:rsid w:val="003D3A30"/>
    <w:rsid w:val="003D59B2"/>
    <w:rsid w:val="003E1671"/>
    <w:rsid w:val="003E75B5"/>
    <w:rsid w:val="003F0057"/>
    <w:rsid w:val="003F17B5"/>
    <w:rsid w:val="003F1839"/>
    <w:rsid w:val="003F40A9"/>
    <w:rsid w:val="00402E0B"/>
    <w:rsid w:val="00412562"/>
    <w:rsid w:val="004173CB"/>
    <w:rsid w:val="00420182"/>
    <w:rsid w:val="0042243F"/>
    <w:rsid w:val="00422947"/>
    <w:rsid w:val="0042725D"/>
    <w:rsid w:val="00431C5E"/>
    <w:rsid w:val="004425C5"/>
    <w:rsid w:val="00442A4B"/>
    <w:rsid w:val="00444BAF"/>
    <w:rsid w:val="00447FFB"/>
    <w:rsid w:val="00460007"/>
    <w:rsid w:val="004613CF"/>
    <w:rsid w:val="00462ADF"/>
    <w:rsid w:val="00470125"/>
    <w:rsid w:val="0047134B"/>
    <w:rsid w:val="00474BDA"/>
    <w:rsid w:val="004809DF"/>
    <w:rsid w:val="004810DE"/>
    <w:rsid w:val="004824B8"/>
    <w:rsid w:val="00482729"/>
    <w:rsid w:val="00485D98"/>
    <w:rsid w:val="00486F50"/>
    <w:rsid w:val="004937CE"/>
    <w:rsid w:val="00494911"/>
    <w:rsid w:val="00495D22"/>
    <w:rsid w:val="00497C56"/>
    <w:rsid w:val="004A077D"/>
    <w:rsid w:val="004A2839"/>
    <w:rsid w:val="004B0C6A"/>
    <w:rsid w:val="004B1720"/>
    <w:rsid w:val="004B1F99"/>
    <w:rsid w:val="004B5F82"/>
    <w:rsid w:val="004C1CEB"/>
    <w:rsid w:val="004C3E15"/>
    <w:rsid w:val="004D0EC0"/>
    <w:rsid w:val="004D2FB5"/>
    <w:rsid w:val="004E3C5F"/>
    <w:rsid w:val="004E5929"/>
    <w:rsid w:val="004F320B"/>
    <w:rsid w:val="004F796B"/>
    <w:rsid w:val="00502289"/>
    <w:rsid w:val="005025BE"/>
    <w:rsid w:val="0050612D"/>
    <w:rsid w:val="00507976"/>
    <w:rsid w:val="005079C1"/>
    <w:rsid w:val="00512D6B"/>
    <w:rsid w:val="0051623A"/>
    <w:rsid w:val="005168B3"/>
    <w:rsid w:val="00525FDF"/>
    <w:rsid w:val="00527101"/>
    <w:rsid w:val="00532AAA"/>
    <w:rsid w:val="00533AA9"/>
    <w:rsid w:val="00535358"/>
    <w:rsid w:val="00536CA9"/>
    <w:rsid w:val="0054338B"/>
    <w:rsid w:val="00543CCF"/>
    <w:rsid w:val="00544AD8"/>
    <w:rsid w:val="00546D42"/>
    <w:rsid w:val="00551536"/>
    <w:rsid w:val="005531A0"/>
    <w:rsid w:val="00554E5B"/>
    <w:rsid w:val="00562C6F"/>
    <w:rsid w:val="00564142"/>
    <w:rsid w:val="00564353"/>
    <w:rsid w:val="005654E7"/>
    <w:rsid w:val="00576B1A"/>
    <w:rsid w:val="00580A1C"/>
    <w:rsid w:val="00582D04"/>
    <w:rsid w:val="00591A72"/>
    <w:rsid w:val="005958F6"/>
    <w:rsid w:val="00596D33"/>
    <w:rsid w:val="005A3D15"/>
    <w:rsid w:val="005B3685"/>
    <w:rsid w:val="005C1D25"/>
    <w:rsid w:val="005C24C1"/>
    <w:rsid w:val="005C31E4"/>
    <w:rsid w:val="005C4D7D"/>
    <w:rsid w:val="005C4E63"/>
    <w:rsid w:val="005C7DAE"/>
    <w:rsid w:val="005D08D9"/>
    <w:rsid w:val="005D26F4"/>
    <w:rsid w:val="005D55C3"/>
    <w:rsid w:val="005D66C5"/>
    <w:rsid w:val="005E0907"/>
    <w:rsid w:val="005E7646"/>
    <w:rsid w:val="005E799E"/>
    <w:rsid w:val="005E7C33"/>
    <w:rsid w:val="005F6B26"/>
    <w:rsid w:val="00604681"/>
    <w:rsid w:val="0061343F"/>
    <w:rsid w:val="00615086"/>
    <w:rsid w:val="00617104"/>
    <w:rsid w:val="00623572"/>
    <w:rsid w:val="006237C5"/>
    <w:rsid w:val="00625ABA"/>
    <w:rsid w:val="0063111D"/>
    <w:rsid w:val="00631862"/>
    <w:rsid w:val="00635440"/>
    <w:rsid w:val="00642D13"/>
    <w:rsid w:val="00643CBD"/>
    <w:rsid w:val="00647F1A"/>
    <w:rsid w:val="0065418F"/>
    <w:rsid w:val="006607EC"/>
    <w:rsid w:val="0066353A"/>
    <w:rsid w:val="00665356"/>
    <w:rsid w:val="00666D42"/>
    <w:rsid w:val="00667ED1"/>
    <w:rsid w:val="00672ACD"/>
    <w:rsid w:val="006821B7"/>
    <w:rsid w:val="00682DCB"/>
    <w:rsid w:val="00685A47"/>
    <w:rsid w:val="00687CF1"/>
    <w:rsid w:val="00690344"/>
    <w:rsid w:val="006909F7"/>
    <w:rsid w:val="0069143A"/>
    <w:rsid w:val="006954F0"/>
    <w:rsid w:val="00695AAB"/>
    <w:rsid w:val="00697BE0"/>
    <w:rsid w:val="006A3442"/>
    <w:rsid w:val="006A7046"/>
    <w:rsid w:val="006B0144"/>
    <w:rsid w:val="006B0637"/>
    <w:rsid w:val="006B1AA2"/>
    <w:rsid w:val="006B1FF4"/>
    <w:rsid w:val="006B22C3"/>
    <w:rsid w:val="006B2BBE"/>
    <w:rsid w:val="006B49D7"/>
    <w:rsid w:val="006B4F5F"/>
    <w:rsid w:val="006B7C97"/>
    <w:rsid w:val="006C0069"/>
    <w:rsid w:val="006C0901"/>
    <w:rsid w:val="006C224A"/>
    <w:rsid w:val="006C3186"/>
    <w:rsid w:val="006C56B4"/>
    <w:rsid w:val="006D06E1"/>
    <w:rsid w:val="006D2E47"/>
    <w:rsid w:val="006D6AB2"/>
    <w:rsid w:val="006E3010"/>
    <w:rsid w:val="006F345F"/>
    <w:rsid w:val="006F3EAD"/>
    <w:rsid w:val="006F5DCC"/>
    <w:rsid w:val="006F6E0B"/>
    <w:rsid w:val="006F742A"/>
    <w:rsid w:val="007012BD"/>
    <w:rsid w:val="0070692E"/>
    <w:rsid w:val="00707D3B"/>
    <w:rsid w:val="00710BFD"/>
    <w:rsid w:val="00722778"/>
    <w:rsid w:val="00722992"/>
    <w:rsid w:val="00722EDE"/>
    <w:rsid w:val="0072738A"/>
    <w:rsid w:val="00727403"/>
    <w:rsid w:val="007338AB"/>
    <w:rsid w:val="00734517"/>
    <w:rsid w:val="00741632"/>
    <w:rsid w:val="00745C4B"/>
    <w:rsid w:val="00752B64"/>
    <w:rsid w:val="00754B9D"/>
    <w:rsid w:val="007618A4"/>
    <w:rsid w:val="007623F1"/>
    <w:rsid w:val="00782C67"/>
    <w:rsid w:val="00786F44"/>
    <w:rsid w:val="0079173C"/>
    <w:rsid w:val="00792815"/>
    <w:rsid w:val="0079419D"/>
    <w:rsid w:val="00795865"/>
    <w:rsid w:val="007A085F"/>
    <w:rsid w:val="007A1E17"/>
    <w:rsid w:val="007A5923"/>
    <w:rsid w:val="007A5DA0"/>
    <w:rsid w:val="007B66D4"/>
    <w:rsid w:val="007C37BE"/>
    <w:rsid w:val="007C3CD9"/>
    <w:rsid w:val="007C3FFA"/>
    <w:rsid w:val="007D120D"/>
    <w:rsid w:val="007D3814"/>
    <w:rsid w:val="007D5274"/>
    <w:rsid w:val="007D6935"/>
    <w:rsid w:val="007F32B3"/>
    <w:rsid w:val="007F3504"/>
    <w:rsid w:val="007F40D9"/>
    <w:rsid w:val="007F585F"/>
    <w:rsid w:val="007F6F4E"/>
    <w:rsid w:val="0080271C"/>
    <w:rsid w:val="0080509D"/>
    <w:rsid w:val="00806201"/>
    <w:rsid w:val="00807F25"/>
    <w:rsid w:val="00811DD0"/>
    <w:rsid w:val="0081437B"/>
    <w:rsid w:val="008219D3"/>
    <w:rsid w:val="00823C97"/>
    <w:rsid w:val="00823EF8"/>
    <w:rsid w:val="00826C9C"/>
    <w:rsid w:val="00826FC1"/>
    <w:rsid w:val="00830286"/>
    <w:rsid w:val="00830F82"/>
    <w:rsid w:val="008324BE"/>
    <w:rsid w:val="008346A4"/>
    <w:rsid w:val="00836D74"/>
    <w:rsid w:val="00837D91"/>
    <w:rsid w:val="00850725"/>
    <w:rsid w:val="00853017"/>
    <w:rsid w:val="008561FC"/>
    <w:rsid w:val="00860CBF"/>
    <w:rsid w:val="00860E1D"/>
    <w:rsid w:val="0086424B"/>
    <w:rsid w:val="0087134E"/>
    <w:rsid w:val="00871BE0"/>
    <w:rsid w:val="00874414"/>
    <w:rsid w:val="00874FFB"/>
    <w:rsid w:val="008752AA"/>
    <w:rsid w:val="008760B0"/>
    <w:rsid w:val="00876421"/>
    <w:rsid w:val="00880479"/>
    <w:rsid w:val="008819D8"/>
    <w:rsid w:val="008831A4"/>
    <w:rsid w:val="00883589"/>
    <w:rsid w:val="0088774B"/>
    <w:rsid w:val="008877F9"/>
    <w:rsid w:val="008A20FE"/>
    <w:rsid w:val="008A43FD"/>
    <w:rsid w:val="008A457D"/>
    <w:rsid w:val="008A5F94"/>
    <w:rsid w:val="008A70DC"/>
    <w:rsid w:val="008B1EFB"/>
    <w:rsid w:val="008B2F01"/>
    <w:rsid w:val="008B60D1"/>
    <w:rsid w:val="008C0E38"/>
    <w:rsid w:val="008C2030"/>
    <w:rsid w:val="008C297B"/>
    <w:rsid w:val="008C4C76"/>
    <w:rsid w:val="008D1F4E"/>
    <w:rsid w:val="008D5472"/>
    <w:rsid w:val="008D5F63"/>
    <w:rsid w:val="008D6E87"/>
    <w:rsid w:val="008E325A"/>
    <w:rsid w:val="008E7F6F"/>
    <w:rsid w:val="008F7040"/>
    <w:rsid w:val="008F73ED"/>
    <w:rsid w:val="009011FF"/>
    <w:rsid w:val="00901A5D"/>
    <w:rsid w:val="009103B4"/>
    <w:rsid w:val="00910429"/>
    <w:rsid w:val="0091056B"/>
    <w:rsid w:val="00915FD4"/>
    <w:rsid w:val="00917357"/>
    <w:rsid w:val="00922827"/>
    <w:rsid w:val="0092417A"/>
    <w:rsid w:val="0092469F"/>
    <w:rsid w:val="00924E02"/>
    <w:rsid w:val="0092513E"/>
    <w:rsid w:val="00936E2D"/>
    <w:rsid w:val="009428B3"/>
    <w:rsid w:val="009451D4"/>
    <w:rsid w:val="009462F6"/>
    <w:rsid w:val="009466F7"/>
    <w:rsid w:val="009566D9"/>
    <w:rsid w:val="0096457A"/>
    <w:rsid w:val="00965280"/>
    <w:rsid w:val="00966050"/>
    <w:rsid w:val="00966947"/>
    <w:rsid w:val="00970393"/>
    <w:rsid w:val="0097156B"/>
    <w:rsid w:val="0097332D"/>
    <w:rsid w:val="009775D1"/>
    <w:rsid w:val="0099161F"/>
    <w:rsid w:val="009939F4"/>
    <w:rsid w:val="00994C73"/>
    <w:rsid w:val="009A0271"/>
    <w:rsid w:val="009A08E1"/>
    <w:rsid w:val="009A188C"/>
    <w:rsid w:val="009A2830"/>
    <w:rsid w:val="009A44B8"/>
    <w:rsid w:val="009A4EB4"/>
    <w:rsid w:val="009B3FFB"/>
    <w:rsid w:val="009B48B0"/>
    <w:rsid w:val="009D67B1"/>
    <w:rsid w:val="009E12B3"/>
    <w:rsid w:val="009E65F6"/>
    <w:rsid w:val="009F2125"/>
    <w:rsid w:val="009F2B02"/>
    <w:rsid w:val="009F6B97"/>
    <w:rsid w:val="00A00ACA"/>
    <w:rsid w:val="00A0464B"/>
    <w:rsid w:val="00A06095"/>
    <w:rsid w:val="00A103A4"/>
    <w:rsid w:val="00A12F98"/>
    <w:rsid w:val="00A15B85"/>
    <w:rsid w:val="00A20919"/>
    <w:rsid w:val="00A2441F"/>
    <w:rsid w:val="00A25D61"/>
    <w:rsid w:val="00A27C63"/>
    <w:rsid w:val="00A31C5D"/>
    <w:rsid w:val="00A36F79"/>
    <w:rsid w:val="00A41676"/>
    <w:rsid w:val="00A440BB"/>
    <w:rsid w:val="00A45674"/>
    <w:rsid w:val="00A47576"/>
    <w:rsid w:val="00A5462A"/>
    <w:rsid w:val="00A5730F"/>
    <w:rsid w:val="00A61F8A"/>
    <w:rsid w:val="00A61F9E"/>
    <w:rsid w:val="00A70B14"/>
    <w:rsid w:val="00A718C7"/>
    <w:rsid w:val="00A72840"/>
    <w:rsid w:val="00A769C0"/>
    <w:rsid w:val="00A779F5"/>
    <w:rsid w:val="00A83222"/>
    <w:rsid w:val="00A83ED0"/>
    <w:rsid w:val="00A90135"/>
    <w:rsid w:val="00A93EF0"/>
    <w:rsid w:val="00AA3514"/>
    <w:rsid w:val="00AA548F"/>
    <w:rsid w:val="00AB103A"/>
    <w:rsid w:val="00AB5251"/>
    <w:rsid w:val="00AC1452"/>
    <w:rsid w:val="00AC2241"/>
    <w:rsid w:val="00AC2A84"/>
    <w:rsid w:val="00AC78C8"/>
    <w:rsid w:val="00AD19B0"/>
    <w:rsid w:val="00AD67CC"/>
    <w:rsid w:val="00AD71C6"/>
    <w:rsid w:val="00AE44D6"/>
    <w:rsid w:val="00AE661C"/>
    <w:rsid w:val="00AF2203"/>
    <w:rsid w:val="00AF4DC3"/>
    <w:rsid w:val="00B05D84"/>
    <w:rsid w:val="00B06E7C"/>
    <w:rsid w:val="00B13693"/>
    <w:rsid w:val="00B14A93"/>
    <w:rsid w:val="00B15996"/>
    <w:rsid w:val="00B24A67"/>
    <w:rsid w:val="00B2572E"/>
    <w:rsid w:val="00B27090"/>
    <w:rsid w:val="00B31DC4"/>
    <w:rsid w:val="00B33F55"/>
    <w:rsid w:val="00B511ED"/>
    <w:rsid w:val="00B529AE"/>
    <w:rsid w:val="00B54A37"/>
    <w:rsid w:val="00B551D9"/>
    <w:rsid w:val="00B567C2"/>
    <w:rsid w:val="00B61CA0"/>
    <w:rsid w:val="00B63233"/>
    <w:rsid w:val="00B661EA"/>
    <w:rsid w:val="00B675D8"/>
    <w:rsid w:val="00B74F31"/>
    <w:rsid w:val="00B77886"/>
    <w:rsid w:val="00B81581"/>
    <w:rsid w:val="00B92E4C"/>
    <w:rsid w:val="00B93888"/>
    <w:rsid w:val="00B94AA2"/>
    <w:rsid w:val="00BA3ED6"/>
    <w:rsid w:val="00BA78FA"/>
    <w:rsid w:val="00BA7B76"/>
    <w:rsid w:val="00BB0757"/>
    <w:rsid w:val="00BB5B13"/>
    <w:rsid w:val="00BB628B"/>
    <w:rsid w:val="00BC64A9"/>
    <w:rsid w:val="00BC70E6"/>
    <w:rsid w:val="00BC769B"/>
    <w:rsid w:val="00BD1568"/>
    <w:rsid w:val="00BD1DF8"/>
    <w:rsid w:val="00BD3BCF"/>
    <w:rsid w:val="00BE1500"/>
    <w:rsid w:val="00BE30CB"/>
    <w:rsid w:val="00BE346F"/>
    <w:rsid w:val="00BE3656"/>
    <w:rsid w:val="00BE4C69"/>
    <w:rsid w:val="00BF52E5"/>
    <w:rsid w:val="00C036C6"/>
    <w:rsid w:val="00C07BBA"/>
    <w:rsid w:val="00C11D6A"/>
    <w:rsid w:val="00C13ED2"/>
    <w:rsid w:val="00C22510"/>
    <w:rsid w:val="00C249DB"/>
    <w:rsid w:val="00C27EDE"/>
    <w:rsid w:val="00C309D9"/>
    <w:rsid w:val="00C30C43"/>
    <w:rsid w:val="00C30D10"/>
    <w:rsid w:val="00C30DB2"/>
    <w:rsid w:val="00C31AF1"/>
    <w:rsid w:val="00C32D93"/>
    <w:rsid w:val="00C358B1"/>
    <w:rsid w:val="00C35CD9"/>
    <w:rsid w:val="00C366FA"/>
    <w:rsid w:val="00C37D2F"/>
    <w:rsid w:val="00C40808"/>
    <w:rsid w:val="00C41200"/>
    <w:rsid w:val="00C44F98"/>
    <w:rsid w:val="00C50DFB"/>
    <w:rsid w:val="00C52664"/>
    <w:rsid w:val="00C54AF3"/>
    <w:rsid w:val="00C70AC7"/>
    <w:rsid w:val="00C74FF0"/>
    <w:rsid w:val="00C7540F"/>
    <w:rsid w:val="00C82DDD"/>
    <w:rsid w:val="00C84490"/>
    <w:rsid w:val="00C87761"/>
    <w:rsid w:val="00CA0E85"/>
    <w:rsid w:val="00CA31E7"/>
    <w:rsid w:val="00CA35AD"/>
    <w:rsid w:val="00CA53F3"/>
    <w:rsid w:val="00CA67EE"/>
    <w:rsid w:val="00CB0289"/>
    <w:rsid w:val="00CB7B9E"/>
    <w:rsid w:val="00CC3008"/>
    <w:rsid w:val="00CC5FC3"/>
    <w:rsid w:val="00CC69B0"/>
    <w:rsid w:val="00CC75CA"/>
    <w:rsid w:val="00CD4043"/>
    <w:rsid w:val="00CD5E14"/>
    <w:rsid w:val="00CD7D9E"/>
    <w:rsid w:val="00CE08B5"/>
    <w:rsid w:val="00CE0B2E"/>
    <w:rsid w:val="00CE2EDF"/>
    <w:rsid w:val="00CE3111"/>
    <w:rsid w:val="00CE7BCF"/>
    <w:rsid w:val="00CF1115"/>
    <w:rsid w:val="00CF44AB"/>
    <w:rsid w:val="00CF6B3D"/>
    <w:rsid w:val="00D00371"/>
    <w:rsid w:val="00D044EB"/>
    <w:rsid w:val="00D04D6C"/>
    <w:rsid w:val="00D1329D"/>
    <w:rsid w:val="00D143AF"/>
    <w:rsid w:val="00D15481"/>
    <w:rsid w:val="00D2466C"/>
    <w:rsid w:val="00D2527F"/>
    <w:rsid w:val="00D31321"/>
    <w:rsid w:val="00D33B37"/>
    <w:rsid w:val="00D33E1E"/>
    <w:rsid w:val="00D33EBE"/>
    <w:rsid w:val="00D33FC6"/>
    <w:rsid w:val="00D41021"/>
    <w:rsid w:val="00D45989"/>
    <w:rsid w:val="00D47D67"/>
    <w:rsid w:val="00D5043C"/>
    <w:rsid w:val="00D51564"/>
    <w:rsid w:val="00D56A62"/>
    <w:rsid w:val="00D56E73"/>
    <w:rsid w:val="00D66E2F"/>
    <w:rsid w:val="00D714E5"/>
    <w:rsid w:val="00D7208B"/>
    <w:rsid w:val="00D73F33"/>
    <w:rsid w:val="00D77B60"/>
    <w:rsid w:val="00D77C2E"/>
    <w:rsid w:val="00D8099B"/>
    <w:rsid w:val="00D8240B"/>
    <w:rsid w:val="00D82B73"/>
    <w:rsid w:val="00D86553"/>
    <w:rsid w:val="00D87419"/>
    <w:rsid w:val="00D94DD0"/>
    <w:rsid w:val="00DA53A6"/>
    <w:rsid w:val="00DA6CAB"/>
    <w:rsid w:val="00DB1AF8"/>
    <w:rsid w:val="00DB2667"/>
    <w:rsid w:val="00DB28A6"/>
    <w:rsid w:val="00DB50BD"/>
    <w:rsid w:val="00DB5410"/>
    <w:rsid w:val="00DB659B"/>
    <w:rsid w:val="00DC368A"/>
    <w:rsid w:val="00DE23BC"/>
    <w:rsid w:val="00DE5FCC"/>
    <w:rsid w:val="00DE628C"/>
    <w:rsid w:val="00DE7353"/>
    <w:rsid w:val="00DF200E"/>
    <w:rsid w:val="00DF549B"/>
    <w:rsid w:val="00E01CDA"/>
    <w:rsid w:val="00E020A2"/>
    <w:rsid w:val="00E03A67"/>
    <w:rsid w:val="00E059A5"/>
    <w:rsid w:val="00E06E0E"/>
    <w:rsid w:val="00E11741"/>
    <w:rsid w:val="00E118BE"/>
    <w:rsid w:val="00E12956"/>
    <w:rsid w:val="00E1490F"/>
    <w:rsid w:val="00E31AD6"/>
    <w:rsid w:val="00E35072"/>
    <w:rsid w:val="00E35AEE"/>
    <w:rsid w:val="00E37AC5"/>
    <w:rsid w:val="00E40435"/>
    <w:rsid w:val="00E42671"/>
    <w:rsid w:val="00E43CFD"/>
    <w:rsid w:val="00E44190"/>
    <w:rsid w:val="00E475B0"/>
    <w:rsid w:val="00E51320"/>
    <w:rsid w:val="00E538AA"/>
    <w:rsid w:val="00E60770"/>
    <w:rsid w:val="00E6339B"/>
    <w:rsid w:val="00E640EB"/>
    <w:rsid w:val="00E65BFA"/>
    <w:rsid w:val="00E83105"/>
    <w:rsid w:val="00E84BBF"/>
    <w:rsid w:val="00E85F95"/>
    <w:rsid w:val="00E8644F"/>
    <w:rsid w:val="00E9226D"/>
    <w:rsid w:val="00E925BE"/>
    <w:rsid w:val="00E95351"/>
    <w:rsid w:val="00E97D35"/>
    <w:rsid w:val="00EA3F5D"/>
    <w:rsid w:val="00EA708B"/>
    <w:rsid w:val="00EA7CA0"/>
    <w:rsid w:val="00EB4D9C"/>
    <w:rsid w:val="00EB524E"/>
    <w:rsid w:val="00EC00F0"/>
    <w:rsid w:val="00EC04B5"/>
    <w:rsid w:val="00EC35D2"/>
    <w:rsid w:val="00EC746C"/>
    <w:rsid w:val="00EC7618"/>
    <w:rsid w:val="00ED2ABD"/>
    <w:rsid w:val="00ED2B8A"/>
    <w:rsid w:val="00EE032A"/>
    <w:rsid w:val="00EE5DAB"/>
    <w:rsid w:val="00EE69B6"/>
    <w:rsid w:val="00EF0590"/>
    <w:rsid w:val="00EF2125"/>
    <w:rsid w:val="00EF4F06"/>
    <w:rsid w:val="00EF6E2E"/>
    <w:rsid w:val="00F07FF2"/>
    <w:rsid w:val="00F10E9F"/>
    <w:rsid w:val="00F13724"/>
    <w:rsid w:val="00F13E68"/>
    <w:rsid w:val="00F17365"/>
    <w:rsid w:val="00F21BE5"/>
    <w:rsid w:val="00F35669"/>
    <w:rsid w:val="00F37E09"/>
    <w:rsid w:val="00F411CE"/>
    <w:rsid w:val="00F51854"/>
    <w:rsid w:val="00F55760"/>
    <w:rsid w:val="00F557FD"/>
    <w:rsid w:val="00F57ADB"/>
    <w:rsid w:val="00F57D26"/>
    <w:rsid w:val="00F60B8B"/>
    <w:rsid w:val="00F61C07"/>
    <w:rsid w:val="00F65073"/>
    <w:rsid w:val="00F71D05"/>
    <w:rsid w:val="00F7420F"/>
    <w:rsid w:val="00F772A5"/>
    <w:rsid w:val="00F87FAF"/>
    <w:rsid w:val="00F90774"/>
    <w:rsid w:val="00F922D5"/>
    <w:rsid w:val="00F95B61"/>
    <w:rsid w:val="00FA1F31"/>
    <w:rsid w:val="00FA2510"/>
    <w:rsid w:val="00FA6E89"/>
    <w:rsid w:val="00FA7800"/>
    <w:rsid w:val="00FB2F6A"/>
    <w:rsid w:val="00FB3872"/>
    <w:rsid w:val="00FC102A"/>
    <w:rsid w:val="00FC18A4"/>
    <w:rsid w:val="00FD1A80"/>
    <w:rsid w:val="00FD1D06"/>
    <w:rsid w:val="00FD3AC2"/>
    <w:rsid w:val="00FD5DA9"/>
    <w:rsid w:val="00FD6130"/>
    <w:rsid w:val="00FD6569"/>
    <w:rsid w:val="00FD7533"/>
    <w:rsid w:val="00FF0B7C"/>
    <w:rsid w:val="00FF1F8D"/>
    <w:rsid w:val="00FF25DA"/>
    <w:rsid w:val="00FF515D"/>
    <w:rsid w:val="00FF53AF"/>
    <w:rsid w:val="00FF5C4E"/>
    <w:rsid w:val="00FF5E6E"/>
    <w:rsid w:val="01061BDE"/>
    <w:rsid w:val="01CE7B75"/>
    <w:rsid w:val="01F33452"/>
    <w:rsid w:val="025A0AEA"/>
    <w:rsid w:val="02971D7D"/>
    <w:rsid w:val="02B32EF5"/>
    <w:rsid w:val="02F0786C"/>
    <w:rsid w:val="03577A2F"/>
    <w:rsid w:val="044579CC"/>
    <w:rsid w:val="05F648D0"/>
    <w:rsid w:val="06196D99"/>
    <w:rsid w:val="06725C6D"/>
    <w:rsid w:val="067B6400"/>
    <w:rsid w:val="06B93898"/>
    <w:rsid w:val="06D267F6"/>
    <w:rsid w:val="06D57629"/>
    <w:rsid w:val="076D017C"/>
    <w:rsid w:val="0784034A"/>
    <w:rsid w:val="07AA071A"/>
    <w:rsid w:val="07C03DF5"/>
    <w:rsid w:val="07D06DE2"/>
    <w:rsid w:val="07E51AAD"/>
    <w:rsid w:val="086905CE"/>
    <w:rsid w:val="08BD0118"/>
    <w:rsid w:val="095740B1"/>
    <w:rsid w:val="09A90C46"/>
    <w:rsid w:val="09B2776D"/>
    <w:rsid w:val="0A44501B"/>
    <w:rsid w:val="0B4C11C8"/>
    <w:rsid w:val="0B7135F8"/>
    <w:rsid w:val="0BB91287"/>
    <w:rsid w:val="0C0B585A"/>
    <w:rsid w:val="0C281F69"/>
    <w:rsid w:val="0C2A5AE8"/>
    <w:rsid w:val="0C6D3B47"/>
    <w:rsid w:val="0C7D1FA4"/>
    <w:rsid w:val="0CB54CFC"/>
    <w:rsid w:val="0CC32E00"/>
    <w:rsid w:val="0CFF7738"/>
    <w:rsid w:val="0D3F7D20"/>
    <w:rsid w:val="0D537207"/>
    <w:rsid w:val="0D5D1755"/>
    <w:rsid w:val="0D7336B7"/>
    <w:rsid w:val="0DD93C01"/>
    <w:rsid w:val="0E0D2847"/>
    <w:rsid w:val="0E9F7FDD"/>
    <w:rsid w:val="0ED5460E"/>
    <w:rsid w:val="0F803740"/>
    <w:rsid w:val="0FF44C07"/>
    <w:rsid w:val="0FFE6BCB"/>
    <w:rsid w:val="100B69E2"/>
    <w:rsid w:val="104A4BA3"/>
    <w:rsid w:val="10780801"/>
    <w:rsid w:val="10880964"/>
    <w:rsid w:val="108829FE"/>
    <w:rsid w:val="113139D2"/>
    <w:rsid w:val="113F6B9E"/>
    <w:rsid w:val="12297D14"/>
    <w:rsid w:val="12657D3E"/>
    <w:rsid w:val="12C07DB2"/>
    <w:rsid w:val="12C93BC8"/>
    <w:rsid w:val="12CF52C1"/>
    <w:rsid w:val="13515C2F"/>
    <w:rsid w:val="135F5C00"/>
    <w:rsid w:val="13760897"/>
    <w:rsid w:val="1462681B"/>
    <w:rsid w:val="147D6BCA"/>
    <w:rsid w:val="14EA6A88"/>
    <w:rsid w:val="15121A08"/>
    <w:rsid w:val="15AA668C"/>
    <w:rsid w:val="160827F0"/>
    <w:rsid w:val="16215760"/>
    <w:rsid w:val="163B03F3"/>
    <w:rsid w:val="16405407"/>
    <w:rsid w:val="164D0185"/>
    <w:rsid w:val="16E56F76"/>
    <w:rsid w:val="16EF3ACB"/>
    <w:rsid w:val="178340D2"/>
    <w:rsid w:val="17935023"/>
    <w:rsid w:val="17FB17F9"/>
    <w:rsid w:val="18134488"/>
    <w:rsid w:val="182273BA"/>
    <w:rsid w:val="185C1D92"/>
    <w:rsid w:val="18A03759"/>
    <w:rsid w:val="19060046"/>
    <w:rsid w:val="19265A82"/>
    <w:rsid w:val="194523AC"/>
    <w:rsid w:val="199E1ABC"/>
    <w:rsid w:val="1AF942F9"/>
    <w:rsid w:val="1B1A593D"/>
    <w:rsid w:val="1B58685C"/>
    <w:rsid w:val="1B6C1519"/>
    <w:rsid w:val="1B90027C"/>
    <w:rsid w:val="1BA03C64"/>
    <w:rsid w:val="1C036ECE"/>
    <w:rsid w:val="1C8E3AB5"/>
    <w:rsid w:val="1CB533A4"/>
    <w:rsid w:val="1CFE7C3F"/>
    <w:rsid w:val="1D7317D4"/>
    <w:rsid w:val="1D9A25D0"/>
    <w:rsid w:val="1E2123EB"/>
    <w:rsid w:val="1E7D6E8E"/>
    <w:rsid w:val="1E9C038B"/>
    <w:rsid w:val="1F407286"/>
    <w:rsid w:val="1F434938"/>
    <w:rsid w:val="1F5E0E7B"/>
    <w:rsid w:val="1F67009B"/>
    <w:rsid w:val="1F91576B"/>
    <w:rsid w:val="1FA90061"/>
    <w:rsid w:val="1FAD2B13"/>
    <w:rsid w:val="1FC002BC"/>
    <w:rsid w:val="1FD52FA0"/>
    <w:rsid w:val="200E1DA4"/>
    <w:rsid w:val="20BF0A8E"/>
    <w:rsid w:val="20C21B7A"/>
    <w:rsid w:val="210D5AE4"/>
    <w:rsid w:val="214170C5"/>
    <w:rsid w:val="21584BDD"/>
    <w:rsid w:val="21690B87"/>
    <w:rsid w:val="21827EA9"/>
    <w:rsid w:val="219634BE"/>
    <w:rsid w:val="21F4102E"/>
    <w:rsid w:val="227724AD"/>
    <w:rsid w:val="22A1628D"/>
    <w:rsid w:val="2334349C"/>
    <w:rsid w:val="23EC4606"/>
    <w:rsid w:val="244008D4"/>
    <w:rsid w:val="24863FA7"/>
    <w:rsid w:val="24A577E6"/>
    <w:rsid w:val="24FA6740"/>
    <w:rsid w:val="25035559"/>
    <w:rsid w:val="25831778"/>
    <w:rsid w:val="25A90237"/>
    <w:rsid w:val="25C603D0"/>
    <w:rsid w:val="25D25E9F"/>
    <w:rsid w:val="25E55C86"/>
    <w:rsid w:val="262911C8"/>
    <w:rsid w:val="26295401"/>
    <w:rsid w:val="272C02D4"/>
    <w:rsid w:val="27342446"/>
    <w:rsid w:val="27885B8A"/>
    <w:rsid w:val="27A40BE5"/>
    <w:rsid w:val="27EC0ED4"/>
    <w:rsid w:val="281F62DF"/>
    <w:rsid w:val="29047F8A"/>
    <w:rsid w:val="291E49C7"/>
    <w:rsid w:val="296A073F"/>
    <w:rsid w:val="296E14AB"/>
    <w:rsid w:val="29A41FA0"/>
    <w:rsid w:val="29D97A27"/>
    <w:rsid w:val="29E60E89"/>
    <w:rsid w:val="2A845808"/>
    <w:rsid w:val="2B404781"/>
    <w:rsid w:val="2B5D02B1"/>
    <w:rsid w:val="2B7F12EF"/>
    <w:rsid w:val="2C30132A"/>
    <w:rsid w:val="2C4B2398"/>
    <w:rsid w:val="2C54021E"/>
    <w:rsid w:val="2DEE6DF5"/>
    <w:rsid w:val="2E7611F2"/>
    <w:rsid w:val="2EC4391B"/>
    <w:rsid w:val="2F061B99"/>
    <w:rsid w:val="2F357847"/>
    <w:rsid w:val="2F37656A"/>
    <w:rsid w:val="2FAF0127"/>
    <w:rsid w:val="2FC31F7F"/>
    <w:rsid w:val="2FD837BF"/>
    <w:rsid w:val="2FE16E99"/>
    <w:rsid w:val="2FE94435"/>
    <w:rsid w:val="2FF65D56"/>
    <w:rsid w:val="306276C9"/>
    <w:rsid w:val="31177046"/>
    <w:rsid w:val="312A0068"/>
    <w:rsid w:val="313663A5"/>
    <w:rsid w:val="31910FA3"/>
    <w:rsid w:val="31F03E5A"/>
    <w:rsid w:val="321E0A85"/>
    <w:rsid w:val="322005AA"/>
    <w:rsid w:val="324733AA"/>
    <w:rsid w:val="32843DCB"/>
    <w:rsid w:val="32D71C06"/>
    <w:rsid w:val="33294694"/>
    <w:rsid w:val="3372191D"/>
    <w:rsid w:val="337567C1"/>
    <w:rsid w:val="337F5943"/>
    <w:rsid w:val="33CA3AD7"/>
    <w:rsid w:val="33DA1991"/>
    <w:rsid w:val="3436769E"/>
    <w:rsid w:val="3458036A"/>
    <w:rsid w:val="34A246FE"/>
    <w:rsid w:val="34BD44E5"/>
    <w:rsid w:val="34C67A32"/>
    <w:rsid w:val="34E52DC4"/>
    <w:rsid w:val="3502424C"/>
    <w:rsid w:val="350A7BE8"/>
    <w:rsid w:val="36194CF7"/>
    <w:rsid w:val="36FC747B"/>
    <w:rsid w:val="374C2700"/>
    <w:rsid w:val="37693943"/>
    <w:rsid w:val="37A36655"/>
    <w:rsid w:val="37D81FE7"/>
    <w:rsid w:val="3814321D"/>
    <w:rsid w:val="383070A8"/>
    <w:rsid w:val="38C2711D"/>
    <w:rsid w:val="38D445C9"/>
    <w:rsid w:val="38DE7278"/>
    <w:rsid w:val="38FE3DDA"/>
    <w:rsid w:val="390B0BBF"/>
    <w:rsid w:val="391D4354"/>
    <w:rsid w:val="39933EB2"/>
    <w:rsid w:val="39994206"/>
    <w:rsid w:val="39C649EB"/>
    <w:rsid w:val="39DA284A"/>
    <w:rsid w:val="39F774FF"/>
    <w:rsid w:val="3A470531"/>
    <w:rsid w:val="3A626FB4"/>
    <w:rsid w:val="3A7316B0"/>
    <w:rsid w:val="3A966D38"/>
    <w:rsid w:val="3ACE0671"/>
    <w:rsid w:val="3B1A01A4"/>
    <w:rsid w:val="3B1D4DBD"/>
    <w:rsid w:val="3BA24FE4"/>
    <w:rsid w:val="3BF84C04"/>
    <w:rsid w:val="3C0E61D6"/>
    <w:rsid w:val="3C205657"/>
    <w:rsid w:val="3C463BC1"/>
    <w:rsid w:val="3C9B7FF5"/>
    <w:rsid w:val="3CDC7A64"/>
    <w:rsid w:val="3CE33A07"/>
    <w:rsid w:val="3D9A694F"/>
    <w:rsid w:val="3DC84437"/>
    <w:rsid w:val="3DFB44E8"/>
    <w:rsid w:val="3E161F67"/>
    <w:rsid w:val="3E2F30E8"/>
    <w:rsid w:val="3E3363C7"/>
    <w:rsid w:val="3EC62D97"/>
    <w:rsid w:val="3F1C17A2"/>
    <w:rsid w:val="3F4A3740"/>
    <w:rsid w:val="3F5230A4"/>
    <w:rsid w:val="401223B7"/>
    <w:rsid w:val="40291677"/>
    <w:rsid w:val="40540C17"/>
    <w:rsid w:val="408832C2"/>
    <w:rsid w:val="40CF0C89"/>
    <w:rsid w:val="41870EC2"/>
    <w:rsid w:val="419251AE"/>
    <w:rsid w:val="419375A8"/>
    <w:rsid w:val="41CD0AE9"/>
    <w:rsid w:val="41CE5077"/>
    <w:rsid w:val="4208164C"/>
    <w:rsid w:val="423D2D84"/>
    <w:rsid w:val="42D9578F"/>
    <w:rsid w:val="43085485"/>
    <w:rsid w:val="430F5667"/>
    <w:rsid w:val="43C05BAB"/>
    <w:rsid w:val="43E808BC"/>
    <w:rsid w:val="44FC13A9"/>
    <w:rsid w:val="45044BF5"/>
    <w:rsid w:val="45116FBA"/>
    <w:rsid w:val="453A003B"/>
    <w:rsid w:val="45BA26D2"/>
    <w:rsid w:val="45E2495B"/>
    <w:rsid w:val="462C1916"/>
    <w:rsid w:val="46340F2E"/>
    <w:rsid w:val="464928DD"/>
    <w:rsid w:val="46B502C1"/>
    <w:rsid w:val="47636527"/>
    <w:rsid w:val="47686A6D"/>
    <w:rsid w:val="476E4984"/>
    <w:rsid w:val="477348C4"/>
    <w:rsid w:val="47A23C1C"/>
    <w:rsid w:val="47C40755"/>
    <w:rsid w:val="47F763B5"/>
    <w:rsid w:val="487B4BF3"/>
    <w:rsid w:val="48C77A46"/>
    <w:rsid w:val="493A5E8D"/>
    <w:rsid w:val="49856D79"/>
    <w:rsid w:val="4A266DE0"/>
    <w:rsid w:val="4A534DFD"/>
    <w:rsid w:val="4A5D5631"/>
    <w:rsid w:val="4B00173A"/>
    <w:rsid w:val="4B0E117D"/>
    <w:rsid w:val="4B441102"/>
    <w:rsid w:val="4B79536D"/>
    <w:rsid w:val="4BDE6826"/>
    <w:rsid w:val="4C485734"/>
    <w:rsid w:val="4C6144CA"/>
    <w:rsid w:val="4C6B7C2C"/>
    <w:rsid w:val="4CAC7262"/>
    <w:rsid w:val="4D874673"/>
    <w:rsid w:val="4D876DA4"/>
    <w:rsid w:val="4DD25152"/>
    <w:rsid w:val="4DF74D1B"/>
    <w:rsid w:val="4E6879C7"/>
    <w:rsid w:val="4E696453"/>
    <w:rsid w:val="4E7C47F7"/>
    <w:rsid w:val="4EC2357B"/>
    <w:rsid w:val="4EC61E4E"/>
    <w:rsid w:val="4EF63225"/>
    <w:rsid w:val="4F1315F7"/>
    <w:rsid w:val="4FA27FD0"/>
    <w:rsid w:val="501F685A"/>
    <w:rsid w:val="504C7129"/>
    <w:rsid w:val="508453FF"/>
    <w:rsid w:val="50945362"/>
    <w:rsid w:val="50DB6FD0"/>
    <w:rsid w:val="511043E8"/>
    <w:rsid w:val="51807129"/>
    <w:rsid w:val="51C911CA"/>
    <w:rsid w:val="522A2712"/>
    <w:rsid w:val="523D3914"/>
    <w:rsid w:val="52575C17"/>
    <w:rsid w:val="5264494A"/>
    <w:rsid w:val="52E35BAC"/>
    <w:rsid w:val="53206EB9"/>
    <w:rsid w:val="533127DD"/>
    <w:rsid w:val="535C6639"/>
    <w:rsid w:val="538C66EE"/>
    <w:rsid w:val="54240FC0"/>
    <w:rsid w:val="54D148DD"/>
    <w:rsid w:val="551869BF"/>
    <w:rsid w:val="55480CDA"/>
    <w:rsid w:val="55674DDF"/>
    <w:rsid w:val="56160CEA"/>
    <w:rsid w:val="565A677F"/>
    <w:rsid w:val="56C12F29"/>
    <w:rsid w:val="56EC2DF6"/>
    <w:rsid w:val="570975C5"/>
    <w:rsid w:val="577B076B"/>
    <w:rsid w:val="57B56C2F"/>
    <w:rsid w:val="57EE3633"/>
    <w:rsid w:val="58B526B5"/>
    <w:rsid w:val="58C92183"/>
    <w:rsid w:val="58D647E8"/>
    <w:rsid w:val="59080725"/>
    <w:rsid w:val="59AD76DB"/>
    <w:rsid w:val="59B14918"/>
    <w:rsid w:val="59C3464B"/>
    <w:rsid w:val="5A401A2B"/>
    <w:rsid w:val="5A934884"/>
    <w:rsid w:val="5AF1331C"/>
    <w:rsid w:val="5B0927CD"/>
    <w:rsid w:val="5B274FF4"/>
    <w:rsid w:val="5B767BC7"/>
    <w:rsid w:val="5BA038FB"/>
    <w:rsid w:val="5BA51D88"/>
    <w:rsid w:val="5BE32D83"/>
    <w:rsid w:val="5C131329"/>
    <w:rsid w:val="5C525545"/>
    <w:rsid w:val="5C593143"/>
    <w:rsid w:val="5C761DAE"/>
    <w:rsid w:val="5D303DA6"/>
    <w:rsid w:val="5D614F88"/>
    <w:rsid w:val="5DF72B16"/>
    <w:rsid w:val="5E521071"/>
    <w:rsid w:val="5E6E460B"/>
    <w:rsid w:val="5EA42844"/>
    <w:rsid w:val="5EBE084E"/>
    <w:rsid w:val="5F11241C"/>
    <w:rsid w:val="5F2D7E73"/>
    <w:rsid w:val="5FA15B20"/>
    <w:rsid w:val="5FD62D9E"/>
    <w:rsid w:val="60503F00"/>
    <w:rsid w:val="605C5A69"/>
    <w:rsid w:val="607E353F"/>
    <w:rsid w:val="60824919"/>
    <w:rsid w:val="60934D78"/>
    <w:rsid w:val="60D128E6"/>
    <w:rsid w:val="60D25DD6"/>
    <w:rsid w:val="60FA4AB1"/>
    <w:rsid w:val="610A65A0"/>
    <w:rsid w:val="610A7D38"/>
    <w:rsid w:val="612321F6"/>
    <w:rsid w:val="61916444"/>
    <w:rsid w:val="61E9673F"/>
    <w:rsid w:val="62071F5C"/>
    <w:rsid w:val="625E0E30"/>
    <w:rsid w:val="6275760F"/>
    <w:rsid w:val="62BD5D31"/>
    <w:rsid w:val="63475D90"/>
    <w:rsid w:val="63713D77"/>
    <w:rsid w:val="63D55DD4"/>
    <w:rsid w:val="63E52275"/>
    <w:rsid w:val="64244F73"/>
    <w:rsid w:val="642B4E43"/>
    <w:rsid w:val="643B30B4"/>
    <w:rsid w:val="64961189"/>
    <w:rsid w:val="64E060B2"/>
    <w:rsid w:val="64F21AAE"/>
    <w:rsid w:val="64FE47B7"/>
    <w:rsid w:val="6554084E"/>
    <w:rsid w:val="65AB61A9"/>
    <w:rsid w:val="65D1260F"/>
    <w:rsid w:val="65DB246E"/>
    <w:rsid w:val="65F04A1A"/>
    <w:rsid w:val="667C62AE"/>
    <w:rsid w:val="66815672"/>
    <w:rsid w:val="66D439F4"/>
    <w:rsid w:val="66FD30AD"/>
    <w:rsid w:val="67022B5F"/>
    <w:rsid w:val="671077C5"/>
    <w:rsid w:val="67EA0BA1"/>
    <w:rsid w:val="68327081"/>
    <w:rsid w:val="686D2912"/>
    <w:rsid w:val="68BA4255"/>
    <w:rsid w:val="69004283"/>
    <w:rsid w:val="693C3AD3"/>
    <w:rsid w:val="693E4350"/>
    <w:rsid w:val="69766D92"/>
    <w:rsid w:val="69857859"/>
    <w:rsid w:val="6A0154E3"/>
    <w:rsid w:val="6A0F02FF"/>
    <w:rsid w:val="6A260A0B"/>
    <w:rsid w:val="6A3532A8"/>
    <w:rsid w:val="6A405252"/>
    <w:rsid w:val="6A881AEF"/>
    <w:rsid w:val="6A891B8B"/>
    <w:rsid w:val="6B054AC4"/>
    <w:rsid w:val="6B8C144E"/>
    <w:rsid w:val="6B987316"/>
    <w:rsid w:val="6BB94D8C"/>
    <w:rsid w:val="6C557385"/>
    <w:rsid w:val="6C6C4E3D"/>
    <w:rsid w:val="6C863B8C"/>
    <w:rsid w:val="6CA51F42"/>
    <w:rsid w:val="6CF65FAA"/>
    <w:rsid w:val="6D206394"/>
    <w:rsid w:val="6D270B52"/>
    <w:rsid w:val="6D30394E"/>
    <w:rsid w:val="6D8E567A"/>
    <w:rsid w:val="6E3631E6"/>
    <w:rsid w:val="6E7109C3"/>
    <w:rsid w:val="6EEE474E"/>
    <w:rsid w:val="6F064D76"/>
    <w:rsid w:val="6F1277AF"/>
    <w:rsid w:val="6F401726"/>
    <w:rsid w:val="6F557F5C"/>
    <w:rsid w:val="6F8D67E0"/>
    <w:rsid w:val="6FF75714"/>
    <w:rsid w:val="70027824"/>
    <w:rsid w:val="702253AE"/>
    <w:rsid w:val="70776C55"/>
    <w:rsid w:val="709462DC"/>
    <w:rsid w:val="70E31D1F"/>
    <w:rsid w:val="710E2360"/>
    <w:rsid w:val="71313F42"/>
    <w:rsid w:val="714C1BED"/>
    <w:rsid w:val="71500A63"/>
    <w:rsid w:val="71712B52"/>
    <w:rsid w:val="71786A55"/>
    <w:rsid w:val="717E112C"/>
    <w:rsid w:val="72143F81"/>
    <w:rsid w:val="725F3212"/>
    <w:rsid w:val="72885852"/>
    <w:rsid w:val="72E12D66"/>
    <w:rsid w:val="73193A1E"/>
    <w:rsid w:val="731C0BFD"/>
    <w:rsid w:val="734D525A"/>
    <w:rsid w:val="734F3BBF"/>
    <w:rsid w:val="7363233B"/>
    <w:rsid w:val="738D38A8"/>
    <w:rsid w:val="73B55F8F"/>
    <w:rsid w:val="741E6BF6"/>
    <w:rsid w:val="745B5239"/>
    <w:rsid w:val="74E90FB2"/>
    <w:rsid w:val="75013F59"/>
    <w:rsid w:val="752D6D0A"/>
    <w:rsid w:val="7587516A"/>
    <w:rsid w:val="758F0BC2"/>
    <w:rsid w:val="76530391"/>
    <w:rsid w:val="7690328C"/>
    <w:rsid w:val="76A74C81"/>
    <w:rsid w:val="76D01188"/>
    <w:rsid w:val="76E238E1"/>
    <w:rsid w:val="770C3485"/>
    <w:rsid w:val="771B3DFC"/>
    <w:rsid w:val="77212177"/>
    <w:rsid w:val="77FE07E1"/>
    <w:rsid w:val="78432AD9"/>
    <w:rsid w:val="7927654D"/>
    <w:rsid w:val="796B643A"/>
    <w:rsid w:val="7976537A"/>
    <w:rsid w:val="79CC2C49"/>
    <w:rsid w:val="79DE4E23"/>
    <w:rsid w:val="7A25720B"/>
    <w:rsid w:val="7A6C160B"/>
    <w:rsid w:val="7AE343DA"/>
    <w:rsid w:val="7B820E42"/>
    <w:rsid w:val="7BA42320"/>
    <w:rsid w:val="7C355816"/>
    <w:rsid w:val="7C485718"/>
    <w:rsid w:val="7C790970"/>
    <w:rsid w:val="7CCB4E33"/>
    <w:rsid w:val="7CE62D75"/>
    <w:rsid w:val="7CE65DD7"/>
    <w:rsid w:val="7CF074E5"/>
    <w:rsid w:val="7D632CF6"/>
    <w:rsid w:val="7DF033B2"/>
    <w:rsid w:val="7E4F11FF"/>
    <w:rsid w:val="7E9B407E"/>
    <w:rsid w:val="7EE26AE6"/>
    <w:rsid w:val="7EE822DB"/>
    <w:rsid w:val="7F09069C"/>
    <w:rsid w:val="7F1C3BEB"/>
    <w:rsid w:val="7F3B6D47"/>
    <w:rsid w:val="7F7D3E25"/>
    <w:rsid w:val="7F823000"/>
    <w:rsid w:val="7FB96D03"/>
    <w:rsid w:val="7FC80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autoRedefine/>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7"/>
    <w:autoRedefine/>
    <w:qFormat/>
    <w:uiPriority w:val="0"/>
    <w:pPr>
      <w:spacing w:after="120"/>
    </w:pPr>
  </w:style>
  <w:style w:type="paragraph" w:styleId="3">
    <w:name w:val="Body Text First Indent"/>
    <w:basedOn w:val="2"/>
    <w:autoRedefine/>
    <w:semiHidden/>
    <w:unhideWhenUsed/>
    <w:qFormat/>
    <w:uiPriority w:val="99"/>
    <w:pPr>
      <w:ind w:firstLine="420" w:firstLineChars="100"/>
    </w:pPr>
  </w:style>
  <w:style w:type="paragraph" w:styleId="6">
    <w:name w:val="annotation text"/>
    <w:basedOn w:val="1"/>
    <w:link w:val="28"/>
    <w:autoRedefine/>
    <w:qFormat/>
    <w:uiPriority w:val="0"/>
    <w:pPr>
      <w:jc w:val="left"/>
    </w:pPr>
  </w:style>
  <w:style w:type="paragraph" w:styleId="7">
    <w:name w:val="Plain Text"/>
    <w:basedOn w:val="1"/>
    <w:link w:val="29"/>
    <w:autoRedefine/>
    <w:qFormat/>
    <w:uiPriority w:val="0"/>
    <w:rPr>
      <w:rFonts w:ascii="宋体" w:hAnsi="Courier New"/>
      <w:szCs w:val="20"/>
    </w:rPr>
  </w:style>
  <w:style w:type="paragraph" w:styleId="8">
    <w:name w:val="Balloon Text"/>
    <w:basedOn w:val="1"/>
    <w:link w:val="35"/>
    <w:autoRedefine/>
    <w:semiHidden/>
    <w:unhideWhenUsed/>
    <w:qFormat/>
    <w:uiPriority w:val="99"/>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autoRedefine/>
    <w:qFormat/>
    <w:uiPriority w:val="39"/>
    <w:pPr>
      <w:tabs>
        <w:tab w:val="left" w:pos="1260"/>
        <w:tab w:val="right" w:leader="dot" w:pos="8722"/>
      </w:tabs>
      <w:adjustRightInd w:val="0"/>
      <w:spacing w:line="480" w:lineRule="auto"/>
      <w:textAlignment w:val="baseline"/>
    </w:pPr>
    <w:rPr>
      <w:b/>
      <w:kern w:val="0"/>
      <w:sz w:val="24"/>
      <w:szCs w:val="20"/>
    </w:rPr>
  </w:style>
  <w:style w:type="paragraph" w:styleId="12">
    <w:name w:val="toc 2"/>
    <w:basedOn w:val="1"/>
    <w:next w:val="1"/>
    <w:autoRedefine/>
    <w:qFormat/>
    <w:uiPriority w:val="39"/>
    <w:pPr>
      <w:tabs>
        <w:tab w:val="right" w:leader="dot" w:pos="8722"/>
      </w:tabs>
      <w:adjustRightInd w:val="0"/>
      <w:spacing w:before="60" w:after="60" w:line="360" w:lineRule="atLeast"/>
      <w:ind w:left="180" w:leftChars="75"/>
      <w:textAlignment w:val="baseline"/>
    </w:pPr>
    <w:rPr>
      <w:kern w:val="0"/>
      <w:sz w:val="24"/>
      <w:szCs w:val="20"/>
    </w:rPr>
  </w:style>
  <w:style w:type="paragraph" w:styleId="13">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Title"/>
    <w:basedOn w:val="1"/>
    <w:next w:val="1"/>
    <w:link w:val="30"/>
    <w:autoRedefine/>
    <w:qFormat/>
    <w:uiPriority w:val="10"/>
    <w:pPr>
      <w:autoSpaceDE w:val="0"/>
      <w:autoSpaceDN w:val="0"/>
      <w:adjustRightInd w:val="0"/>
      <w:spacing w:before="240" w:after="60"/>
      <w:jc w:val="center"/>
      <w:outlineLvl w:val="0"/>
    </w:pPr>
    <w:rPr>
      <w:rFonts w:ascii="Cambria" w:hAnsi="Cambria"/>
      <w:b/>
      <w:bCs/>
      <w:kern w:val="0"/>
      <w:sz w:val="32"/>
      <w:szCs w:val="32"/>
    </w:rPr>
  </w:style>
  <w:style w:type="paragraph" w:styleId="15">
    <w:name w:val="annotation subject"/>
    <w:basedOn w:val="6"/>
    <w:next w:val="6"/>
    <w:link w:val="40"/>
    <w:autoRedefine/>
    <w:semiHidden/>
    <w:unhideWhenUsed/>
    <w:qFormat/>
    <w:uiPriority w:val="99"/>
    <w:rPr>
      <w:b/>
      <w:bCs/>
    </w:r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FollowedHyperlink"/>
    <w:basedOn w:val="18"/>
    <w:autoRedefine/>
    <w:semiHidden/>
    <w:unhideWhenUsed/>
    <w:qFormat/>
    <w:uiPriority w:val="99"/>
    <w:rPr>
      <w:color w:val="800080" w:themeColor="followedHyperlink"/>
      <w:u w:val="single"/>
      <w14:textFill>
        <w14:solidFill>
          <w14:schemeClr w14:val="folHlink"/>
        </w14:solidFill>
      </w14:textFill>
    </w:rPr>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customStyle="1" w:styleId="23">
    <w:name w:val="文档正文"/>
    <w:basedOn w:val="1"/>
    <w:autoRedefine/>
    <w:qFormat/>
    <w:uiPriority w:val="0"/>
    <w:pPr>
      <w:spacing w:line="360" w:lineRule="auto"/>
    </w:pPr>
    <w:rPr>
      <w:rFonts w:cs="Arial"/>
      <w:bCs/>
    </w:rPr>
  </w:style>
  <w:style w:type="character" w:customStyle="1" w:styleId="24">
    <w:name w:val="页眉 字符"/>
    <w:basedOn w:val="18"/>
    <w:link w:val="10"/>
    <w:autoRedefine/>
    <w:qFormat/>
    <w:uiPriority w:val="99"/>
    <w:rPr>
      <w:sz w:val="18"/>
      <w:szCs w:val="18"/>
    </w:rPr>
  </w:style>
  <w:style w:type="character" w:customStyle="1" w:styleId="25">
    <w:name w:val="页脚 字符"/>
    <w:basedOn w:val="18"/>
    <w:link w:val="9"/>
    <w:autoRedefine/>
    <w:qFormat/>
    <w:uiPriority w:val="99"/>
    <w:rPr>
      <w:sz w:val="18"/>
      <w:szCs w:val="18"/>
    </w:rPr>
  </w:style>
  <w:style w:type="character" w:customStyle="1" w:styleId="26">
    <w:name w:val="标题 2 字符"/>
    <w:basedOn w:val="18"/>
    <w:link w:val="5"/>
    <w:autoRedefine/>
    <w:qFormat/>
    <w:uiPriority w:val="0"/>
    <w:rPr>
      <w:rFonts w:ascii="Arial" w:hAnsi="Arial" w:eastAsia="黑体" w:cs="Times New Roman"/>
      <w:b/>
      <w:kern w:val="0"/>
      <w:sz w:val="32"/>
      <w:szCs w:val="20"/>
    </w:rPr>
  </w:style>
  <w:style w:type="character" w:customStyle="1" w:styleId="27">
    <w:name w:val="正文文本 字符"/>
    <w:basedOn w:val="18"/>
    <w:link w:val="2"/>
    <w:autoRedefine/>
    <w:qFormat/>
    <w:uiPriority w:val="0"/>
    <w:rPr>
      <w:rFonts w:ascii="Times New Roman" w:hAnsi="Times New Roman" w:eastAsia="宋体" w:cs="Times New Roman"/>
      <w:szCs w:val="24"/>
    </w:rPr>
  </w:style>
  <w:style w:type="character" w:customStyle="1" w:styleId="28">
    <w:name w:val="批注文字 字符"/>
    <w:basedOn w:val="18"/>
    <w:link w:val="6"/>
    <w:autoRedefine/>
    <w:qFormat/>
    <w:uiPriority w:val="0"/>
    <w:rPr>
      <w:rFonts w:ascii="Times New Roman" w:hAnsi="Times New Roman" w:eastAsia="宋体" w:cs="Times New Roman"/>
      <w:szCs w:val="24"/>
    </w:rPr>
  </w:style>
  <w:style w:type="character" w:customStyle="1" w:styleId="29">
    <w:name w:val="纯文本 字符"/>
    <w:basedOn w:val="18"/>
    <w:link w:val="7"/>
    <w:autoRedefine/>
    <w:qFormat/>
    <w:uiPriority w:val="0"/>
    <w:rPr>
      <w:rFonts w:ascii="宋体" w:hAnsi="Courier New" w:eastAsia="宋体" w:cs="Times New Roman"/>
      <w:szCs w:val="20"/>
    </w:rPr>
  </w:style>
  <w:style w:type="character" w:customStyle="1" w:styleId="30">
    <w:name w:val="标题 字符"/>
    <w:basedOn w:val="18"/>
    <w:link w:val="14"/>
    <w:autoRedefine/>
    <w:qFormat/>
    <w:uiPriority w:val="10"/>
    <w:rPr>
      <w:rFonts w:ascii="Cambria" w:hAnsi="Cambria" w:eastAsia="宋体" w:cs="Times New Roman"/>
      <w:b/>
      <w:bCs/>
      <w:kern w:val="0"/>
      <w:sz w:val="32"/>
      <w:szCs w:val="32"/>
    </w:rPr>
  </w:style>
  <w:style w:type="paragraph" w:customStyle="1" w:styleId="31">
    <w:name w:val="_Style 109"/>
    <w:basedOn w:val="4"/>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2">
    <w:name w:val="页眉 Char1"/>
    <w:autoRedefine/>
    <w:qFormat/>
    <w:uiPriority w:val="0"/>
    <w:rPr>
      <w:kern w:val="2"/>
      <w:sz w:val="18"/>
      <w:szCs w:val="18"/>
    </w:rPr>
  </w:style>
  <w:style w:type="character" w:customStyle="1" w:styleId="33">
    <w:name w:val="页脚 Char1"/>
    <w:autoRedefine/>
    <w:qFormat/>
    <w:uiPriority w:val="0"/>
    <w:rPr>
      <w:kern w:val="2"/>
      <w:sz w:val="18"/>
      <w:szCs w:val="18"/>
    </w:rPr>
  </w:style>
  <w:style w:type="character" w:customStyle="1" w:styleId="34">
    <w:name w:val="标题 1 字符"/>
    <w:basedOn w:val="18"/>
    <w:link w:val="4"/>
    <w:autoRedefine/>
    <w:qFormat/>
    <w:uiPriority w:val="9"/>
    <w:rPr>
      <w:rFonts w:ascii="Times New Roman" w:hAnsi="Times New Roman" w:eastAsia="宋体" w:cs="Times New Roman"/>
      <w:b/>
      <w:bCs/>
      <w:kern w:val="44"/>
      <w:sz w:val="44"/>
      <w:szCs w:val="44"/>
    </w:rPr>
  </w:style>
  <w:style w:type="character" w:customStyle="1" w:styleId="35">
    <w:name w:val="批注框文本 字符"/>
    <w:basedOn w:val="18"/>
    <w:link w:val="8"/>
    <w:autoRedefine/>
    <w:semiHidden/>
    <w:qFormat/>
    <w:uiPriority w:val="99"/>
    <w:rPr>
      <w:rFonts w:ascii="Times New Roman" w:hAnsi="Times New Roman" w:eastAsia="宋体" w:cs="Times New Roman"/>
      <w:sz w:val="18"/>
      <w:szCs w:val="18"/>
    </w:rPr>
  </w:style>
  <w:style w:type="paragraph" w:styleId="36">
    <w:name w:val="List Paragraph"/>
    <w:basedOn w:val="1"/>
    <w:autoRedefine/>
    <w:qFormat/>
    <w:uiPriority w:val="34"/>
    <w:pPr>
      <w:ind w:firstLine="420" w:firstLineChars="200"/>
    </w:pPr>
    <w:rPr>
      <w:rFonts w:ascii="Calibri" w:hAnsi="Calibri"/>
      <w:szCs w:val="22"/>
    </w:rPr>
  </w:style>
  <w:style w:type="paragraph" w:customStyle="1" w:styleId="37">
    <w:name w:val="列出段落1"/>
    <w:basedOn w:val="1"/>
    <w:link w:val="39"/>
    <w:autoRedefine/>
    <w:qFormat/>
    <w:uiPriority w:val="34"/>
    <w:pPr>
      <w:ind w:firstLine="420" w:firstLineChars="200"/>
    </w:pPr>
    <w:rPr>
      <w:rFonts w:ascii="Calibri" w:hAnsi="Calibri"/>
      <w:szCs w:val="22"/>
    </w:rPr>
  </w:style>
  <w:style w:type="paragraph" w:customStyle="1" w:styleId="38">
    <w:name w:val="p0"/>
    <w:basedOn w:val="1"/>
    <w:autoRedefine/>
    <w:qFormat/>
    <w:uiPriority w:val="99"/>
    <w:pPr>
      <w:widowControl/>
    </w:pPr>
    <w:rPr>
      <w:rFonts w:hAnsi="Calibri"/>
      <w:kern w:val="0"/>
      <w:szCs w:val="20"/>
    </w:rPr>
  </w:style>
  <w:style w:type="character" w:customStyle="1" w:styleId="39">
    <w:name w:val="List Paragraph Char"/>
    <w:link w:val="37"/>
    <w:autoRedefine/>
    <w:qFormat/>
    <w:locked/>
    <w:uiPriority w:val="34"/>
    <w:rPr>
      <w:rFonts w:ascii="Calibri" w:hAnsi="Calibri" w:eastAsia="宋体" w:cs="Times New Roman"/>
    </w:rPr>
  </w:style>
  <w:style w:type="character" w:customStyle="1" w:styleId="40">
    <w:name w:val="批注主题 字符"/>
    <w:basedOn w:val="28"/>
    <w:link w:val="15"/>
    <w:autoRedefine/>
    <w:semiHidden/>
    <w:qFormat/>
    <w:uiPriority w:val="99"/>
    <w:rPr>
      <w:rFonts w:ascii="Times New Roman" w:hAnsi="Times New Roman" w:eastAsia="宋体" w:cs="Times New Roman"/>
      <w:b/>
      <w:bCs/>
      <w:szCs w:val="24"/>
    </w:rPr>
  </w:style>
  <w:style w:type="paragraph" w:customStyle="1" w:styleId="4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正文缩进2格 Char"/>
    <w:link w:val="43"/>
    <w:autoRedefine/>
    <w:qFormat/>
    <w:uiPriority w:val="0"/>
    <w:rPr>
      <w:rFonts w:ascii="仿宋_GB2312" w:hAnsi="宋体" w:eastAsia="仿宋_GB2312"/>
      <w:sz w:val="31"/>
      <w:szCs w:val="28"/>
    </w:rPr>
  </w:style>
  <w:style w:type="paragraph" w:customStyle="1" w:styleId="43">
    <w:name w:val="正文缩进2格"/>
    <w:basedOn w:val="1"/>
    <w:link w:val="42"/>
    <w:autoRedefine/>
    <w:qFormat/>
    <w:uiPriority w:val="0"/>
    <w:pPr>
      <w:spacing w:line="600" w:lineRule="exact"/>
      <w:ind w:firstLine="639" w:firstLineChars="206"/>
    </w:pPr>
    <w:rPr>
      <w:rFonts w:ascii="仿宋_GB2312" w:hAnsi="宋体" w:eastAsia="仿宋_GB2312" w:cstheme="minorBidi"/>
      <w:sz w:val="31"/>
      <w:szCs w:val="28"/>
    </w:rPr>
  </w:style>
  <w:style w:type="paragraph" w:customStyle="1" w:styleId="44">
    <w:name w:val="彩色列表 - 强调文字颜色 11"/>
    <w:basedOn w:val="1"/>
    <w:autoRedefine/>
    <w:qFormat/>
    <w:uiPriority w:val="34"/>
    <w:pPr>
      <w:autoSpaceDE w:val="0"/>
      <w:autoSpaceDN w:val="0"/>
      <w:adjustRightInd w:val="0"/>
      <w:ind w:firstLine="420" w:firstLineChars="200"/>
      <w:jc w:val="left"/>
    </w:pPr>
    <w:rPr>
      <w:rFonts w:ascii="宋体"/>
      <w:kern w:val="0"/>
      <w:sz w:val="24"/>
    </w:rPr>
  </w:style>
  <w:style w:type="paragraph" w:customStyle="1" w:styleId="45">
    <w:name w:val="_Style 2"/>
    <w:basedOn w:val="1"/>
    <w:autoRedefine/>
    <w:qFormat/>
    <w:uiPriority w:val="0"/>
    <w:pPr>
      <w:spacing w:line="360" w:lineRule="auto"/>
      <w:ind w:firstLine="420" w:firstLineChars="200"/>
    </w:pPr>
    <w:rPr>
      <w:rFonts w:ascii="Calibri" w:hAnsi="Calibri" w:eastAsiaTheme="minorEastAsia" w:cstheme="minorBidi"/>
      <w:szCs w:val="22"/>
    </w:rPr>
  </w:style>
  <w:style w:type="paragraph" w:customStyle="1" w:styleId="46">
    <w:name w:val="Table Paragraph"/>
    <w:basedOn w:val="1"/>
    <w:autoRedefine/>
    <w:qFormat/>
    <w:uiPriority w:val="1"/>
    <w:pPr>
      <w:autoSpaceDE w:val="0"/>
      <w:autoSpaceDN w:val="0"/>
      <w:adjustRightInd w:val="0"/>
      <w:jc w:val="left"/>
    </w:pPr>
    <w:rPr>
      <w:kern w:val="0"/>
      <w:sz w:val="24"/>
    </w:rPr>
  </w:style>
  <w:style w:type="table" w:customStyle="1" w:styleId="47">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48">
    <w:name w:val="font01"/>
    <w:basedOn w:val="18"/>
    <w:autoRedefine/>
    <w:qFormat/>
    <w:uiPriority w:val="0"/>
    <w:rPr>
      <w:rFonts w:hint="eastAsia" w:ascii="宋体" w:hAnsi="宋体" w:eastAsia="宋体" w:cs="宋体"/>
      <w:color w:val="000000"/>
      <w:sz w:val="21"/>
      <w:szCs w:val="21"/>
      <w:u w:val="none"/>
    </w:rPr>
  </w:style>
  <w:style w:type="paragraph" w:customStyle="1" w:styleId="4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标题 3_0"/>
    <w:basedOn w:val="1"/>
    <w:next w:val="1"/>
    <w:autoRedefine/>
    <w:qFormat/>
    <w:uiPriority w:val="0"/>
    <w:pPr>
      <w:keepNext/>
      <w:keepLines/>
      <w:spacing w:before="260" w:after="260" w:line="416" w:lineRule="auto"/>
      <w:outlineLvl w:val="2"/>
    </w:pPr>
    <w:rPr>
      <w:b/>
      <w:bCs/>
      <w:kern w:val="0"/>
      <w:sz w:val="32"/>
      <w:szCs w:val="32"/>
    </w:rPr>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 w:type="paragraph" w:customStyle="1" w:styleId="52">
    <w:name w:val="WPSOffice手动目录 2"/>
    <w:autoRedefine/>
    <w:qFormat/>
    <w:uiPriority w:val="0"/>
    <w:pPr>
      <w:ind w:leftChars="200"/>
    </w:pPr>
    <w:rPr>
      <w:rFonts w:ascii="Times New Roman" w:hAnsi="Times New Roman" w:eastAsia="宋体" w:cs="Times New Roman"/>
      <w:sz w:val="20"/>
      <w:szCs w:val="20"/>
    </w:rPr>
  </w:style>
  <w:style w:type="paragraph" w:customStyle="1" w:styleId="53">
    <w:name w:val="正文文本缩进 21"/>
    <w:basedOn w:val="1"/>
    <w:autoRedefine/>
    <w:qFormat/>
    <w:uiPriority w:val="0"/>
    <w:pPr>
      <w:adjustRightInd w:val="0"/>
      <w:spacing w:line="480" w:lineRule="auto"/>
      <w:ind w:firstLine="540"/>
      <w:textAlignment w:val="baseline"/>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47BD0-506F-448A-8405-D0F865824312}">
  <ds:schemaRefs/>
</ds:datastoreItem>
</file>

<file path=docProps/app.xml><?xml version="1.0" encoding="utf-8"?>
<Properties xmlns="http://schemas.openxmlformats.org/officeDocument/2006/extended-properties" xmlns:vt="http://schemas.openxmlformats.org/officeDocument/2006/docPropsVTypes">
  <Template>Normal</Template>
  <Pages>47</Pages>
  <Words>23018</Words>
  <Characters>24072</Characters>
  <Lines>174</Lines>
  <Paragraphs>49</Paragraphs>
  <TotalTime>7</TotalTime>
  <ScaleCrop>false</ScaleCrop>
  <LinksUpToDate>false</LinksUpToDate>
  <CharactersWithSpaces>25608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2020-10-21T04:32:00Z</dcterms:created>
  <dc:creator>廖 懿富</dc:creator>
  <cp:lastModifiedBy>卓越</cp:lastModifiedBy>
  <cp:lastPrinted>2022-11-28T01:22:00Z</cp:lastPrinted>
  <dcterms:modified xsi:type="dcterms:W3CDTF">2024-04-07T08:29:47Z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E4F637D083204DAABCB3E35D50424367</vt:lpwstr>
  </property>
</Properties>
</file>