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right="-26"/>
        <w:jc w:val="center"/>
        <w:rPr>
          <w:rFonts w:hAnsi="宋体" w:cs="宋体"/>
          <w:b/>
          <w:bCs/>
          <w:kern w:val="2"/>
          <w:sz w:val="48"/>
          <w:szCs w:val="48"/>
          <w:lang w:val="zh-CN"/>
        </w:rPr>
      </w:pPr>
    </w:p>
    <w:p>
      <w:pPr>
        <w:spacing w:line="360" w:lineRule="auto"/>
        <w:ind w:right="-26"/>
        <w:jc w:val="center"/>
        <w:rPr>
          <w:rFonts w:hAnsi="宋体" w:cs="宋体"/>
          <w:b/>
          <w:bCs/>
          <w:kern w:val="2"/>
          <w:sz w:val="48"/>
          <w:szCs w:val="48"/>
          <w:lang w:val="zh-CN"/>
        </w:rPr>
      </w:pPr>
    </w:p>
    <w:p>
      <w:pPr>
        <w:spacing w:line="360" w:lineRule="auto"/>
        <w:ind w:right="-26"/>
        <w:jc w:val="center"/>
        <w:rPr>
          <w:rFonts w:hAnsi="宋体" w:cs="宋体"/>
          <w:b/>
          <w:bCs/>
          <w:kern w:val="2"/>
          <w:sz w:val="48"/>
          <w:szCs w:val="48"/>
          <w:lang w:val="zh-CN"/>
        </w:rPr>
      </w:pPr>
    </w:p>
    <w:p>
      <w:pPr>
        <w:spacing w:line="360" w:lineRule="auto"/>
        <w:ind w:right="-26"/>
        <w:jc w:val="center"/>
        <w:rPr>
          <w:rFonts w:hAnsi="宋体" w:cs="宋体"/>
          <w:b/>
          <w:bCs/>
          <w:kern w:val="2"/>
          <w:sz w:val="48"/>
          <w:szCs w:val="48"/>
          <w:lang w:val="zh-CN"/>
        </w:rPr>
      </w:pPr>
    </w:p>
    <w:p>
      <w:pPr>
        <w:spacing w:line="360" w:lineRule="auto"/>
        <w:ind w:right="-26"/>
        <w:jc w:val="center"/>
        <w:rPr>
          <w:rFonts w:ascii="Times New Roman" w:cs="宋体"/>
          <w:b/>
          <w:bCs/>
          <w:kern w:val="2"/>
          <w:sz w:val="48"/>
          <w:szCs w:val="48"/>
        </w:rPr>
      </w:pPr>
      <w:r>
        <w:rPr>
          <w:rFonts w:hint="eastAsia" w:ascii="Times New Roman" w:cs="宋体"/>
          <w:b/>
          <w:bCs/>
          <w:kern w:val="2"/>
          <w:sz w:val="48"/>
          <w:szCs w:val="48"/>
        </w:rPr>
        <w:t>东莞市管网运营平台雨污同治升级项目设计服务项目</w:t>
      </w:r>
    </w:p>
    <w:p>
      <w:pPr>
        <w:pStyle w:val="8"/>
        <w:ind w:firstLine="210"/>
      </w:pPr>
    </w:p>
    <w:p>
      <w:pPr>
        <w:pStyle w:val="9"/>
        <w:ind w:left="480" w:firstLine="480"/>
      </w:pPr>
    </w:p>
    <w:p>
      <w:pPr>
        <w:pStyle w:val="8"/>
        <w:ind w:firstLine="210"/>
      </w:pPr>
    </w:p>
    <w:p>
      <w:pPr>
        <w:spacing w:line="360" w:lineRule="auto"/>
        <w:ind w:right="-26"/>
        <w:jc w:val="center"/>
        <w:rPr>
          <w:rFonts w:hAnsi="宋体" w:cs="宋体"/>
          <w:b/>
          <w:bCs/>
          <w:kern w:val="2"/>
          <w:sz w:val="48"/>
          <w:szCs w:val="48"/>
          <w:lang w:val="zh-CN"/>
        </w:rPr>
      </w:pPr>
      <w:r>
        <w:rPr>
          <w:rFonts w:hint="eastAsia" w:hAnsi="宋体" w:cs="宋体"/>
          <w:b/>
          <w:bCs/>
          <w:kern w:val="2"/>
          <w:sz w:val="48"/>
          <w:szCs w:val="48"/>
          <w:lang w:val="zh-CN"/>
        </w:rPr>
        <w:t>询价文件</w:t>
      </w:r>
    </w:p>
    <w:p>
      <w:pPr>
        <w:spacing w:line="360" w:lineRule="auto"/>
        <w:ind w:right="-26"/>
        <w:jc w:val="center"/>
        <w:rPr>
          <w:rFonts w:hAnsi="宋体" w:cs="宋体"/>
          <w:b/>
          <w:bCs/>
          <w:kern w:val="2"/>
          <w:sz w:val="48"/>
          <w:szCs w:val="48"/>
          <w:lang w:val="zh-CN"/>
        </w:rPr>
      </w:pPr>
    </w:p>
    <w:p>
      <w:pPr>
        <w:spacing w:line="360" w:lineRule="auto"/>
        <w:ind w:right="-26"/>
        <w:jc w:val="center"/>
        <w:rPr>
          <w:rFonts w:hAnsi="宋体" w:cs="宋体"/>
          <w:b/>
          <w:bCs/>
          <w:kern w:val="2"/>
          <w:sz w:val="48"/>
          <w:szCs w:val="48"/>
          <w:lang w:val="zh-CN"/>
        </w:rPr>
      </w:pPr>
    </w:p>
    <w:p>
      <w:pPr>
        <w:spacing w:line="360" w:lineRule="auto"/>
        <w:ind w:right="-26"/>
        <w:jc w:val="center"/>
        <w:rPr>
          <w:rFonts w:hAnsi="宋体" w:cs="宋体"/>
          <w:b/>
          <w:bCs/>
          <w:kern w:val="2"/>
          <w:sz w:val="48"/>
          <w:szCs w:val="48"/>
          <w:lang w:val="zh-CN"/>
        </w:rPr>
      </w:pPr>
    </w:p>
    <w:p>
      <w:pPr>
        <w:spacing w:line="360" w:lineRule="auto"/>
        <w:ind w:right="-26"/>
        <w:jc w:val="center"/>
        <w:rPr>
          <w:rFonts w:hAnsi="宋体" w:cs="宋体"/>
          <w:b/>
          <w:bCs/>
          <w:kern w:val="2"/>
          <w:sz w:val="48"/>
          <w:szCs w:val="48"/>
          <w:lang w:val="zh-CN"/>
        </w:rPr>
      </w:pPr>
    </w:p>
    <w:p>
      <w:pPr>
        <w:pStyle w:val="8"/>
        <w:ind w:firstLine="210"/>
      </w:pPr>
    </w:p>
    <w:p>
      <w:pPr>
        <w:spacing w:line="360" w:lineRule="auto"/>
        <w:ind w:right="-26"/>
        <w:jc w:val="center"/>
        <w:rPr>
          <w:rFonts w:hAnsi="宋体" w:cs="宋体"/>
          <w:b/>
          <w:bCs/>
          <w:kern w:val="2"/>
          <w:sz w:val="48"/>
          <w:szCs w:val="48"/>
          <w:lang w:val="zh-CN"/>
        </w:rPr>
      </w:pPr>
    </w:p>
    <w:p>
      <w:pPr>
        <w:spacing w:line="360" w:lineRule="auto"/>
        <w:ind w:right="-26"/>
        <w:jc w:val="center"/>
        <w:rPr>
          <w:rFonts w:hAnsi="宋体" w:cs="宋体"/>
          <w:b/>
          <w:bCs/>
          <w:kern w:val="2"/>
          <w:sz w:val="48"/>
          <w:szCs w:val="48"/>
          <w:lang w:val="zh-CN"/>
        </w:rPr>
      </w:pPr>
    </w:p>
    <w:p>
      <w:pPr>
        <w:spacing w:line="360" w:lineRule="auto"/>
        <w:jc w:val="center"/>
        <w:rPr>
          <w:rFonts w:hAnsi="宋体" w:cs="宋体"/>
          <w:b/>
          <w:bCs/>
          <w:sz w:val="32"/>
          <w:szCs w:val="32"/>
        </w:rPr>
      </w:pPr>
      <w:bookmarkStart w:id="0" w:name="_Hlk26971294"/>
      <w:r>
        <w:rPr>
          <w:rFonts w:hint="eastAsia" w:hAnsi="宋体" w:cs="宋体"/>
          <w:b/>
          <w:bCs/>
          <w:spacing w:val="28"/>
          <w:sz w:val="32"/>
          <w:szCs w:val="32"/>
        </w:rPr>
        <w:t>东莞市水务集团有限公司</w:t>
      </w:r>
    </w:p>
    <w:bookmarkEnd w:id="0"/>
    <w:p>
      <w:pPr>
        <w:spacing w:after="156" w:line="360" w:lineRule="auto"/>
        <w:jc w:val="center"/>
        <w:rPr>
          <w:rFonts w:ascii="Times New Roman"/>
          <w:b/>
          <w:bCs/>
          <w:kern w:val="2"/>
          <w:sz w:val="32"/>
          <w:szCs w:val="32"/>
          <w:lang w:val="zh-CN"/>
        </w:rPr>
      </w:pPr>
      <w:r>
        <w:rPr>
          <w:rFonts w:ascii="Times New Roman"/>
          <w:b/>
          <w:bCs/>
          <w:kern w:val="2"/>
          <w:sz w:val="32"/>
          <w:szCs w:val="32"/>
          <w:lang w:val="zh-CN"/>
        </w:rPr>
        <w:t>202</w:t>
      </w:r>
      <w:r>
        <w:rPr>
          <w:rFonts w:hint="eastAsia" w:ascii="Times New Roman"/>
          <w:b/>
          <w:bCs/>
          <w:kern w:val="2"/>
          <w:sz w:val="32"/>
          <w:szCs w:val="32"/>
        </w:rPr>
        <w:t>4</w:t>
      </w:r>
      <w:r>
        <w:rPr>
          <w:rFonts w:ascii="Times New Roman"/>
          <w:b/>
          <w:bCs/>
          <w:kern w:val="2"/>
          <w:sz w:val="32"/>
          <w:szCs w:val="32"/>
          <w:lang w:val="zh-CN"/>
        </w:rPr>
        <w:t>年</w:t>
      </w:r>
      <w:r>
        <w:rPr>
          <w:rFonts w:hint="eastAsia" w:ascii="Times New Roman"/>
          <w:b/>
          <w:bCs/>
          <w:color w:val="000000" w:themeColor="text1"/>
          <w:kern w:val="2"/>
          <w:sz w:val="32"/>
          <w:szCs w:val="32"/>
          <w14:textFill>
            <w14:solidFill>
              <w14:schemeClr w14:val="tx1"/>
            </w14:solidFill>
          </w14:textFill>
        </w:rPr>
        <w:t>3</w:t>
      </w:r>
      <w:r>
        <w:rPr>
          <w:rFonts w:ascii="Times New Roman"/>
          <w:b/>
          <w:bCs/>
          <w:kern w:val="2"/>
          <w:sz w:val="32"/>
          <w:szCs w:val="32"/>
          <w:lang w:val="zh-CN"/>
        </w:rPr>
        <w:t>月</w:t>
      </w:r>
    </w:p>
    <w:p>
      <w:pPr>
        <w:spacing w:after="156" w:line="360" w:lineRule="auto"/>
        <w:jc w:val="center"/>
        <w:rPr>
          <w:rFonts w:ascii="Times New Roman"/>
          <w:b/>
          <w:bCs/>
          <w:kern w:val="2"/>
          <w:sz w:val="32"/>
          <w:szCs w:val="32"/>
          <w:lang w:val="zh-CN"/>
        </w:rPr>
      </w:pPr>
    </w:p>
    <w:p>
      <w:pPr>
        <w:spacing w:after="156" w:line="360" w:lineRule="auto"/>
        <w:jc w:val="center"/>
        <w:rPr>
          <w:rFonts w:ascii="Times New Roman"/>
          <w:b/>
          <w:bCs/>
          <w:kern w:val="2"/>
          <w:sz w:val="32"/>
          <w:szCs w:val="32"/>
          <w:lang w:val="zh-CN"/>
        </w:rPr>
        <w:sectPr>
          <w:pgSz w:w="11906" w:h="16838"/>
          <w:pgMar w:top="1440" w:right="1800" w:bottom="1440" w:left="1800" w:header="851" w:footer="992" w:gutter="0"/>
          <w:cols w:space="0" w:num="1"/>
          <w:docGrid w:type="lines" w:linePitch="332" w:charSpace="0"/>
        </w:sectPr>
      </w:pPr>
    </w:p>
    <w:sdt>
      <w:sdtPr>
        <w:rPr>
          <w:rFonts w:hint="eastAsia" w:ascii="宋体" w:hAnsi="宋体" w:eastAsia="宋体" w:cs="宋体"/>
          <w:color w:val="auto"/>
          <w:sz w:val="24"/>
          <w:szCs w:val="24"/>
          <w:lang w:val="zh-CN"/>
        </w:rPr>
        <w:id w:val="1797334744"/>
        <w:docPartObj>
          <w:docPartGallery w:val="Table of Contents"/>
          <w:docPartUnique/>
        </w:docPartObj>
      </w:sdtPr>
      <w:sdtEndPr>
        <w:rPr>
          <w:rFonts w:hint="default" w:ascii="Times New Roman" w:hAnsi="Times New Roman" w:eastAsia="宋体" w:cs="Times New Roman"/>
          <w:b/>
          <w:bCs/>
          <w:color w:val="auto"/>
          <w:sz w:val="24"/>
          <w:szCs w:val="24"/>
          <w:highlight w:val="yellow"/>
          <w:lang w:val="zh-CN"/>
        </w:rPr>
      </w:sdtEndPr>
      <w:sdtContent>
        <w:p>
          <w:pPr>
            <w:pStyle w:val="29"/>
            <w:spacing w:before="0" w:line="360" w:lineRule="auto"/>
            <w:jc w:val="center"/>
            <w:rPr>
              <w:rFonts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lang w:val="zh-CN"/>
              <w14:textFill>
                <w14:solidFill>
                  <w14:schemeClr w14:val="tx1"/>
                </w14:solidFill>
              </w14:textFill>
            </w:rPr>
            <w:t>目   录</w:t>
          </w:r>
        </w:p>
        <w:p>
          <w:pPr>
            <w:pStyle w:val="17"/>
            <w:tabs>
              <w:tab w:val="right" w:leader="dot" w:pos="8300"/>
              <w:tab w:val="clear" w:pos="8296"/>
            </w:tabs>
          </w:pPr>
          <w:r>
            <w:rPr>
              <w:rFonts w:ascii="Times New Roman"/>
              <w:sz w:val="40"/>
              <w:szCs w:val="40"/>
            </w:rPr>
            <w:fldChar w:fldCharType="begin"/>
          </w:r>
          <w:r>
            <w:rPr>
              <w:rFonts w:ascii="Times New Roman"/>
              <w:sz w:val="40"/>
              <w:szCs w:val="40"/>
            </w:rPr>
            <w:instrText xml:space="preserve"> TOC \o "1-3" \h \z \u </w:instrText>
          </w:r>
          <w:r>
            <w:rPr>
              <w:rFonts w:ascii="Times New Roman"/>
              <w:sz w:val="40"/>
              <w:szCs w:val="40"/>
            </w:rPr>
            <w:fldChar w:fldCharType="separate"/>
          </w:r>
          <w:r>
            <w:rPr>
              <w:rFonts w:ascii="Times New Roman"/>
              <w:szCs w:val="40"/>
            </w:rPr>
            <w:fldChar w:fldCharType="begin"/>
          </w:r>
          <w:r>
            <w:rPr>
              <w:rFonts w:ascii="Times New Roman"/>
              <w:szCs w:val="40"/>
            </w:rPr>
            <w:instrText xml:space="preserve"> HYPERLINK \l _Toc6953 </w:instrText>
          </w:r>
          <w:r>
            <w:rPr>
              <w:rFonts w:ascii="Times New Roman"/>
              <w:szCs w:val="40"/>
            </w:rPr>
            <w:fldChar w:fldCharType="separate"/>
          </w:r>
          <w:r>
            <w:rPr>
              <w:rFonts w:hint="eastAsia" w:hAnsi="宋体" w:cs="宋体"/>
              <w:szCs w:val="32"/>
            </w:rPr>
            <w:t>第一章 询价邀请函</w:t>
          </w:r>
          <w:r>
            <w:tab/>
          </w:r>
          <w:r>
            <w:fldChar w:fldCharType="begin"/>
          </w:r>
          <w:r>
            <w:instrText xml:space="preserve"> PAGEREF _Toc6953 \h </w:instrText>
          </w:r>
          <w:r>
            <w:fldChar w:fldCharType="separate"/>
          </w:r>
          <w:r>
            <w:t>3</w:t>
          </w:r>
          <w:r>
            <w:fldChar w:fldCharType="end"/>
          </w:r>
          <w:r>
            <w:rPr>
              <w:rFonts w:ascii="Times New Roman"/>
              <w:szCs w:val="40"/>
            </w:rPr>
            <w:fldChar w:fldCharType="end"/>
          </w:r>
        </w:p>
        <w:p>
          <w:pPr>
            <w:pStyle w:val="17"/>
            <w:tabs>
              <w:tab w:val="right" w:leader="dot" w:pos="8300"/>
              <w:tab w:val="clear" w:pos="8296"/>
            </w:tabs>
          </w:pPr>
          <w:r>
            <w:rPr>
              <w:rFonts w:ascii="Times New Roman"/>
              <w:szCs w:val="40"/>
              <w:lang w:val="zh-CN"/>
            </w:rPr>
            <w:fldChar w:fldCharType="begin"/>
          </w:r>
          <w:r>
            <w:rPr>
              <w:rFonts w:ascii="Times New Roman"/>
              <w:szCs w:val="40"/>
              <w:lang w:val="zh-CN"/>
            </w:rPr>
            <w:instrText xml:space="preserve"> HYPERLINK \l _Toc25436 </w:instrText>
          </w:r>
          <w:r>
            <w:rPr>
              <w:rFonts w:ascii="Times New Roman"/>
              <w:szCs w:val="40"/>
              <w:lang w:val="zh-CN"/>
            </w:rPr>
            <w:fldChar w:fldCharType="separate"/>
          </w:r>
          <w:r>
            <w:rPr>
              <w:rFonts w:hint="eastAsia" w:hAnsi="宋体" w:cs="宋体"/>
              <w:szCs w:val="32"/>
            </w:rPr>
            <w:t>第二章 用户需求</w:t>
          </w:r>
          <w:r>
            <w:tab/>
          </w:r>
          <w:r>
            <w:fldChar w:fldCharType="begin"/>
          </w:r>
          <w:r>
            <w:instrText xml:space="preserve"> PAGEREF _Toc25436 \h </w:instrText>
          </w:r>
          <w:r>
            <w:fldChar w:fldCharType="separate"/>
          </w:r>
          <w:r>
            <w:t>5</w:t>
          </w:r>
          <w:r>
            <w:fldChar w:fldCharType="end"/>
          </w:r>
          <w:r>
            <w:rPr>
              <w:rFonts w:ascii="Times New Roman"/>
              <w:szCs w:val="40"/>
              <w:lang w:val="zh-CN"/>
            </w:rPr>
            <w:fldChar w:fldCharType="end"/>
          </w:r>
        </w:p>
        <w:p>
          <w:pPr>
            <w:pStyle w:val="17"/>
            <w:tabs>
              <w:tab w:val="right" w:leader="dot" w:pos="8300"/>
              <w:tab w:val="clear" w:pos="8296"/>
            </w:tabs>
          </w:pPr>
          <w:r>
            <w:rPr>
              <w:rFonts w:ascii="Times New Roman"/>
              <w:szCs w:val="40"/>
              <w:lang w:val="zh-CN"/>
            </w:rPr>
            <w:fldChar w:fldCharType="begin"/>
          </w:r>
          <w:r>
            <w:rPr>
              <w:rFonts w:ascii="Times New Roman"/>
              <w:szCs w:val="40"/>
              <w:lang w:val="zh-CN"/>
            </w:rPr>
            <w:instrText xml:space="preserve"> HYPERLINK \l _Toc5567 </w:instrText>
          </w:r>
          <w:r>
            <w:rPr>
              <w:rFonts w:ascii="Times New Roman"/>
              <w:szCs w:val="40"/>
              <w:lang w:val="zh-CN"/>
            </w:rPr>
            <w:fldChar w:fldCharType="separate"/>
          </w:r>
          <w:r>
            <w:rPr>
              <w:rFonts w:hint="eastAsia" w:hAnsi="宋体" w:cs="宋体"/>
              <w:szCs w:val="32"/>
            </w:rPr>
            <w:t>第三章 合同条款</w:t>
          </w:r>
          <w:r>
            <w:tab/>
          </w:r>
          <w:r>
            <w:fldChar w:fldCharType="begin"/>
          </w:r>
          <w:r>
            <w:instrText xml:space="preserve"> PAGEREF _Toc5567 \h </w:instrText>
          </w:r>
          <w:r>
            <w:fldChar w:fldCharType="separate"/>
          </w:r>
          <w:r>
            <w:t>23</w:t>
          </w:r>
          <w:r>
            <w:fldChar w:fldCharType="end"/>
          </w:r>
          <w:r>
            <w:rPr>
              <w:rFonts w:ascii="Times New Roman"/>
              <w:szCs w:val="40"/>
              <w:lang w:val="zh-CN"/>
            </w:rPr>
            <w:fldChar w:fldCharType="end"/>
          </w:r>
        </w:p>
        <w:p>
          <w:pPr>
            <w:pStyle w:val="17"/>
            <w:tabs>
              <w:tab w:val="right" w:leader="dot" w:pos="8300"/>
              <w:tab w:val="clear" w:pos="8296"/>
            </w:tabs>
          </w:pPr>
          <w:r>
            <w:rPr>
              <w:rFonts w:ascii="Times New Roman"/>
              <w:szCs w:val="40"/>
              <w:lang w:val="zh-CN"/>
            </w:rPr>
            <w:fldChar w:fldCharType="begin"/>
          </w:r>
          <w:r>
            <w:rPr>
              <w:rFonts w:ascii="Times New Roman"/>
              <w:szCs w:val="40"/>
              <w:lang w:val="zh-CN"/>
            </w:rPr>
            <w:instrText xml:space="preserve"> HYPERLINK \l _Toc11628 </w:instrText>
          </w:r>
          <w:r>
            <w:rPr>
              <w:rFonts w:ascii="Times New Roman"/>
              <w:szCs w:val="40"/>
              <w:lang w:val="zh-CN"/>
            </w:rPr>
            <w:fldChar w:fldCharType="separate"/>
          </w:r>
          <w:r>
            <w:rPr>
              <w:rFonts w:hint="eastAsia" w:hAnsi="宋体" w:cs="宋体"/>
              <w:szCs w:val="32"/>
            </w:rPr>
            <w:t>第四章 报价须知</w:t>
          </w:r>
          <w:r>
            <w:tab/>
          </w:r>
          <w:r>
            <w:fldChar w:fldCharType="begin"/>
          </w:r>
          <w:r>
            <w:instrText xml:space="preserve"> PAGEREF _Toc11628 \h </w:instrText>
          </w:r>
          <w:r>
            <w:fldChar w:fldCharType="separate"/>
          </w:r>
          <w:r>
            <w:t>49</w:t>
          </w:r>
          <w:r>
            <w:fldChar w:fldCharType="end"/>
          </w:r>
          <w:r>
            <w:rPr>
              <w:rFonts w:ascii="Times New Roman"/>
              <w:szCs w:val="40"/>
              <w:lang w:val="zh-CN"/>
            </w:rPr>
            <w:fldChar w:fldCharType="end"/>
          </w:r>
        </w:p>
        <w:p>
          <w:pPr>
            <w:pStyle w:val="17"/>
            <w:tabs>
              <w:tab w:val="right" w:leader="dot" w:pos="8300"/>
              <w:tab w:val="clear" w:pos="8296"/>
            </w:tabs>
          </w:pPr>
          <w:r>
            <w:rPr>
              <w:rFonts w:ascii="Times New Roman"/>
              <w:szCs w:val="40"/>
              <w:lang w:val="zh-CN"/>
            </w:rPr>
            <w:fldChar w:fldCharType="begin"/>
          </w:r>
          <w:r>
            <w:rPr>
              <w:rFonts w:ascii="Times New Roman"/>
              <w:szCs w:val="40"/>
              <w:lang w:val="zh-CN"/>
            </w:rPr>
            <w:instrText xml:space="preserve"> HYPERLINK \l _Toc2896 </w:instrText>
          </w:r>
          <w:r>
            <w:rPr>
              <w:rFonts w:ascii="Times New Roman"/>
              <w:szCs w:val="40"/>
              <w:lang w:val="zh-CN"/>
            </w:rPr>
            <w:fldChar w:fldCharType="separate"/>
          </w:r>
          <w:r>
            <w:rPr>
              <w:rFonts w:hint="eastAsia" w:hAnsi="宋体" w:cs="宋体"/>
              <w:szCs w:val="32"/>
            </w:rPr>
            <w:t>第五章 报价文件（格式）</w:t>
          </w:r>
          <w:r>
            <w:tab/>
          </w:r>
          <w:r>
            <w:fldChar w:fldCharType="begin"/>
          </w:r>
          <w:r>
            <w:instrText xml:space="preserve"> PAGEREF _Toc2896 \h </w:instrText>
          </w:r>
          <w:r>
            <w:fldChar w:fldCharType="separate"/>
          </w:r>
          <w:r>
            <w:t>51</w:t>
          </w:r>
          <w:r>
            <w:fldChar w:fldCharType="end"/>
          </w:r>
          <w:r>
            <w:rPr>
              <w:rFonts w:ascii="Times New Roman"/>
              <w:szCs w:val="40"/>
              <w:lang w:val="zh-CN"/>
            </w:rPr>
            <w:fldChar w:fldCharType="end"/>
          </w:r>
        </w:p>
        <w:p>
          <w:pPr>
            <w:spacing w:line="360" w:lineRule="auto"/>
            <w:rPr>
              <w:rFonts w:ascii="Times New Roman"/>
              <w:sz w:val="32"/>
              <w:szCs w:val="32"/>
            </w:rPr>
          </w:pPr>
          <w:r>
            <w:rPr>
              <w:rFonts w:ascii="Times New Roman"/>
              <w:szCs w:val="40"/>
              <w:lang w:val="zh-CN"/>
            </w:rPr>
            <w:fldChar w:fldCharType="end"/>
          </w:r>
        </w:p>
      </w:sdtContent>
    </w:sdt>
    <w:p>
      <w:pPr>
        <w:spacing w:after="156" w:line="360" w:lineRule="auto"/>
        <w:jc w:val="center"/>
        <w:rPr>
          <w:rFonts w:hAnsi="宋体" w:cs="宋体"/>
          <w:b/>
          <w:bCs/>
          <w:spacing w:val="28"/>
          <w:sz w:val="32"/>
          <w:szCs w:val="32"/>
        </w:rPr>
      </w:pPr>
    </w:p>
    <w:p>
      <w:pPr>
        <w:spacing w:line="360" w:lineRule="auto"/>
        <w:rPr>
          <w:rFonts w:hAnsi="宋体" w:cs="宋体"/>
        </w:rPr>
        <w:sectPr>
          <w:footerReference r:id="rId3" w:type="default"/>
          <w:pgSz w:w="11906" w:h="16838"/>
          <w:pgMar w:top="1440" w:right="1803" w:bottom="1440" w:left="1803" w:header="851" w:footer="992" w:gutter="0"/>
          <w:pgNumType w:start="1"/>
          <w:cols w:space="0" w:num="1"/>
          <w:docGrid w:type="lines" w:linePitch="332" w:charSpace="0"/>
        </w:sectPr>
      </w:pPr>
    </w:p>
    <w:p>
      <w:pPr>
        <w:pStyle w:val="2"/>
        <w:spacing w:before="0" w:after="0"/>
        <w:jc w:val="center"/>
        <w:rPr>
          <w:rFonts w:hAnsi="宋体" w:cs="宋体"/>
          <w:b w:val="0"/>
          <w:bCs w:val="0"/>
          <w:szCs w:val="32"/>
        </w:rPr>
      </w:pPr>
      <w:bookmarkStart w:id="1" w:name="_Toc29476690"/>
      <w:bookmarkStart w:id="2" w:name="_Toc6953"/>
      <w:r>
        <w:rPr>
          <w:rFonts w:hint="eastAsia" w:hAnsi="宋体" w:cs="宋体"/>
          <w:szCs w:val="32"/>
        </w:rPr>
        <w:t>第一章 询价邀请函</w:t>
      </w:r>
      <w:bookmarkEnd w:id="1"/>
      <w:bookmarkEnd w:id="2"/>
    </w:p>
    <w:p>
      <w:pPr>
        <w:spacing w:line="360" w:lineRule="auto"/>
        <w:rPr>
          <w:rFonts w:hAnsi="宋体" w:cs="宋体"/>
        </w:rPr>
      </w:pPr>
      <w:r>
        <w:rPr>
          <w:rFonts w:hint="eastAsia" w:hAnsi="宋体" w:cs="宋体"/>
        </w:rPr>
        <w:t>各供应商：</w:t>
      </w:r>
    </w:p>
    <w:p>
      <w:pPr>
        <w:adjustRightInd/>
        <w:spacing w:line="360" w:lineRule="auto"/>
        <w:ind w:firstLine="480" w:firstLineChars="200"/>
        <w:jc w:val="both"/>
        <w:rPr>
          <w:rFonts w:hAnsi="宋体" w:cs="宋体"/>
        </w:rPr>
      </w:pPr>
      <w:r>
        <w:rPr>
          <w:rFonts w:hint="eastAsia" w:hAnsi="宋体" w:cs="宋体"/>
        </w:rPr>
        <w:t>我公司的</w:t>
      </w:r>
      <w:r>
        <w:rPr>
          <w:rFonts w:hint="eastAsia" w:hAnsi="宋体" w:cs="宋体"/>
          <w:u w:val="single"/>
        </w:rPr>
        <w:t>“东莞市管网运营平台雨污同治升级项目设计服务项目”</w:t>
      </w:r>
      <w:r>
        <w:rPr>
          <w:rFonts w:hint="eastAsia" w:hAnsi="宋体" w:cs="宋体"/>
        </w:rPr>
        <w:t>正式开展，现邀请贵司参与本项目的询价采购。具体采购信息如下：</w:t>
      </w:r>
    </w:p>
    <w:p>
      <w:pPr>
        <w:adjustRightInd/>
        <w:spacing w:line="360" w:lineRule="auto"/>
        <w:ind w:firstLine="480" w:firstLineChars="200"/>
        <w:jc w:val="both"/>
        <w:rPr>
          <w:rFonts w:hAnsi="宋体" w:cs="宋体"/>
        </w:rPr>
      </w:pPr>
      <w:r>
        <w:rPr>
          <w:rFonts w:hint="eastAsia" w:hAnsi="宋体" w:cs="宋体"/>
        </w:rPr>
        <w:t>一、采购项目名称：东莞市管网运营平台雨污同治升级项目设计服务项目</w:t>
      </w:r>
    </w:p>
    <w:p>
      <w:pPr>
        <w:adjustRightInd/>
        <w:spacing w:line="360" w:lineRule="auto"/>
        <w:ind w:firstLine="480" w:firstLineChars="200"/>
        <w:jc w:val="both"/>
        <w:rPr>
          <w:rFonts w:hAnsi="宋体" w:cs="宋体"/>
        </w:rPr>
      </w:pPr>
      <w:r>
        <w:rPr>
          <w:rFonts w:hint="eastAsia" w:hAnsi="宋体" w:cs="宋体"/>
        </w:rPr>
        <w:t>二、采购预算：含税最高限价为180,000元</w:t>
      </w:r>
      <w:r>
        <w:rPr>
          <w:rFonts w:hint="eastAsia" w:hAnsi="宋体" w:cs="宋体"/>
          <w:bCs/>
          <w:color w:val="000000"/>
          <w:szCs w:val="21"/>
        </w:rPr>
        <w:t>。</w:t>
      </w:r>
    </w:p>
    <w:p>
      <w:pPr>
        <w:adjustRightInd/>
        <w:spacing w:line="360" w:lineRule="auto"/>
        <w:ind w:firstLine="480" w:firstLineChars="200"/>
        <w:jc w:val="both"/>
        <w:rPr>
          <w:rFonts w:hAnsi="宋体" w:cs="宋体"/>
        </w:rPr>
      </w:pPr>
      <w:r>
        <w:rPr>
          <w:rFonts w:hint="eastAsia" w:hAnsi="宋体" w:cs="宋体"/>
        </w:rPr>
        <w:t>三、采购内容：</w:t>
      </w:r>
      <w:r>
        <w:rPr>
          <w:rFonts w:hint="eastAsia" w:hAnsi="宋体" w:cs="宋体"/>
          <w:u w:val="single"/>
        </w:rPr>
        <w:t>管网运营平台雨污同治升级项目设计</w:t>
      </w:r>
      <w:r>
        <w:rPr>
          <w:rFonts w:hint="eastAsia" w:hAnsi="宋体" w:cs="宋体"/>
        </w:rPr>
        <w:t>（具体详见用户需求）</w:t>
      </w:r>
    </w:p>
    <w:p>
      <w:pPr>
        <w:adjustRightInd/>
        <w:spacing w:line="360" w:lineRule="auto"/>
        <w:ind w:firstLine="480" w:firstLineChars="200"/>
        <w:jc w:val="both"/>
        <w:rPr>
          <w:rFonts w:hAnsi="宋体" w:cs="宋体"/>
        </w:rPr>
      </w:pPr>
      <w:r>
        <w:rPr>
          <w:rFonts w:hint="eastAsia" w:hAnsi="宋体" w:cs="宋体"/>
        </w:rPr>
        <w:t>四、资质要求：</w:t>
      </w:r>
    </w:p>
    <w:p>
      <w:pPr>
        <w:adjustRightInd/>
        <w:spacing w:line="360" w:lineRule="auto"/>
        <w:ind w:firstLine="480" w:firstLineChars="200"/>
        <w:jc w:val="both"/>
        <w:rPr>
          <w:rFonts w:hAnsi="宋体" w:cs="宋体"/>
        </w:rPr>
      </w:pPr>
      <w:r>
        <w:rPr>
          <w:rFonts w:hint="eastAsia" w:hAnsi="宋体" w:cs="宋体"/>
        </w:rPr>
        <w:t>1.报价人需具备《工程设计资质证书》综合或电子通信广电行业甲级或电子通信广电行业（电子系统工程）专业甲级资质；</w:t>
      </w:r>
    </w:p>
    <w:p>
      <w:pPr>
        <w:adjustRightInd/>
        <w:spacing w:line="360" w:lineRule="auto"/>
        <w:ind w:firstLine="480" w:firstLineChars="200"/>
        <w:jc w:val="both"/>
        <w:rPr>
          <w:rFonts w:hAnsi="宋体" w:cs="宋体"/>
        </w:rPr>
      </w:pPr>
      <w:r>
        <w:rPr>
          <w:rFonts w:hint="eastAsia" w:hAnsi="宋体" w:cs="宋体"/>
        </w:rPr>
        <w:t>2.报价人自2019年1月1日以来，至少具备一个污水管网或雨水管网管理相关内容的软件开发类信息化建设项目设计服务业绩（含设计、实施一体的项目</w:t>
      </w:r>
      <w:r>
        <w:rPr>
          <w:rStyle w:val="28"/>
          <w:rFonts w:hint="eastAsia"/>
          <w:lang w:eastAsia="zh-CN"/>
        </w:rPr>
        <w:t>，</w:t>
      </w:r>
      <w:r>
        <w:rPr>
          <w:rStyle w:val="28"/>
          <w:rFonts w:hint="eastAsia"/>
          <w:sz w:val="24"/>
          <w:szCs w:val="24"/>
          <w:lang w:val="zh-CN" w:eastAsia="zh-CN"/>
        </w:rPr>
        <w:t>合同签订日期为</w:t>
      </w:r>
      <w:r>
        <w:rPr>
          <w:rStyle w:val="28"/>
          <w:rFonts w:hint="eastAsia"/>
          <w:sz w:val="24"/>
          <w:szCs w:val="24"/>
          <w:lang w:eastAsia="zh-CN"/>
        </w:rPr>
        <w:t>2019</w:t>
      </w:r>
      <w:r>
        <w:rPr>
          <w:rStyle w:val="28"/>
          <w:rFonts w:hint="eastAsia"/>
          <w:sz w:val="24"/>
          <w:szCs w:val="24"/>
          <w:lang w:val="zh-CN" w:eastAsia="zh-CN"/>
        </w:rPr>
        <w:t>年</w:t>
      </w:r>
      <w:r>
        <w:rPr>
          <w:rStyle w:val="28"/>
          <w:rFonts w:hint="eastAsia"/>
          <w:sz w:val="24"/>
          <w:szCs w:val="24"/>
          <w:lang w:eastAsia="zh-CN"/>
        </w:rPr>
        <w:t>1</w:t>
      </w:r>
      <w:r>
        <w:rPr>
          <w:rStyle w:val="28"/>
          <w:rFonts w:hint="eastAsia"/>
          <w:sz w:val="24"/>
          <w:szCs w:val="24"/>
          <w:lang w:val="zh-CN" w:eastAsia="zh-CN"/>
        </w:rPr>
        <w:t>月</w:t>
      </w:r>
      <w:r>
        <w:rPr>
          <w:rStyle w:val="28"/>
          <w:rFonts w:hint="eastAsia"/>
          <w:sz w:val="24"/>
          <w:szCs w:val="24"/>
          <w:lang w:eastAsia="zh-CN"/>
        </w:rPr>
        <w:t>1</w:t>
      </w:r>
      <w:r>
        <w:rPr>
          <w:rStyle w:val="28"/>
          <w:rFonts w:hint="eastAsia"/>
          <w:sz w:val="24"/>
          <w:szCs w:val="24"/>
          <w:lang w:val="zh-CN" w:eastAsia="zh-CN"/>
        </w:rPr>
        <w:t>日或以后</w:t>
      </w:r>
      <w:r>
        <w:rPr>
          <w:rFonts w:hint="eastAsia" w:hAnsi="宋体" w:cs="宋体"/>
        </w:rPr>
        <w:t>）；</w:t>
      </w:r>
    </w:p>
    <w:p>
      <w:pPr>
        <w:adjustRightInd/>
        <w:spacing w:line="360" w:lineRule="auto"/>
        <w:ind w:firstLine="480" w:firstLineChars="200"/>
        <w:jc w:val="both"/>
        <w:rPr>
          <w:rFonts w:hAnsi="宋体" w:cs="宋体"/>
        </w:rPr>
      </w:pPr>
      <w:r>
        <w:rPr>
          <w:rFonts w:hint="eastAsia" w:hAnsi="宋体" w:cs="宋体"/>
        </w:rPr>
        <w:t>3.报价人未被列入“信用中国”网站（www.creditchina.gov.cn）失信被执行人、重大税收违法失信主体、</w:t>
      </w:r>
      <w:r>
        <w:rPr>
          <w:rFonts w:hint="eastAsia" w:ascii="宋体" w:hAnsi="宋体" w:eastAsia="宋体" w:cs="Times New Roman"/>
          <w:color w:val="auto"/>
          <w:szCs w:val="21"/>
          <w:highlight w:val="none"/>
          <w:lang w:val="en-US" w:eastAsia="zh-CN"/>
        </w:rPr>
        <w:t>政府采购</w:t>
      </w:r>
      <w:r>
        <w:rPr>
          <w:rFonts w:hint="eastAsia" w:ascii="宋体" w:hAnsi="宋体" w:eastAsia="宋体" w:cs="Times New Roman"/>
          <w:color w:val="auto"/>
          <w:szCs w:val="21"/>
          <w:highlight w:val="none"/>
          <w:lang w:val="zh-CN"/>
        </w:rPr>
        <w:t>严</w:t>
      </w:r>
      <w:r>
        <w:rPr>
          <w:rFonts w:hint="eastAsia" w:ascii="宋体" w:hAnsi="宋体" w:eastAsia="宋体" w:cs="Times New Roman"/>
          <w:szCs w:val="21"/>
          <w:highlight w:val="none"/>
          <w:lang w:val="zh-CN"/>
        </w:rPr>
        <w:t>重违法失信行为记录名单</w:t>
      </w:r>
      <w:r>
        <w:rPr>
          <w:rFonts w:hint="eastAsia" w:hAnsi="宋体" w:cs="宋体"/>
        </w:rPr>
        <w:t>（处罚期限届满的除外）。</w:t>
      </w:r>
    </w:p>
    <w:p>
      <w:pPr>
        <w:adjustRightInd/>
        <w:spacing w:line="360" w:lineRule="auto"/>
        <w:ind w:firstLine="480" w:firstLineChars="200"/>
        <w:jc w:val="both"/>
        <w:rPr>
          <w:rFonts w:hAnsi="宋体" w:cs="宋体"/>
          <w:highlight w:val="none"/>
        </w:rPr>
      </w:pPr>
      <w:r>
        <w:rPr>
          <w:rFonts w:hint="eastAsia" w:hAnsi="宋体" w:cs="宋体"/>
        </w:rPr>
        <w:t>五、成交原则：从实质性满足采购需求的供应商中，按含税价最低成交原则确定成交供应商。</w:t>
      </w:r>
    </w:p>
    <w:p>
      <w:pPr>
        <w:adjustRightInd/>
        <w:spacing w:line="360" w:lineRule="auto"/>
        <w:ind w:firstLine="480" w:firstLineChars="200"/>
        <w:jc w:val="both"/>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六、报价文件递交截止时间：</w:t>
      </w:r>
      <w:bookmarkStart w:id="3" w:name="_Hlk27138379"/>
      <w:r>
        <w:rPr>
          <w:rFonts w:hint="eastAsia" w:hAnsi="宋体" w:cs="宋体"/>
          <w:color w:val="000000" w:themeColor="text1"/>
          <w:highlight w:val="none"/>
          <w14:textFill>
            <w14:solidFill>
              <w14:schemeClr w14:val="tx1"/>
            </w14:solidFill>
          </w14:textFill>
        </w:rPr>
        <w:t>2024年</w:t>
      </w:r>
      <w:r>
        <w:rPr>
          <w:rFonts w:hint="eastAsia" w:hAnsi="宋体" w:cs="宋体"/>
          <w:color w:val="000000" w:themeColor="text1"/>
          <w:highlight w:val="none"/>
          <w:lang w:val="en-US" w:eastAsia="zh-CN"/>
          <w14:textFill>
            <w14:solidFill>
              <w14:schemeClr w14:val="tx1"/>
            </w14:solidFill>
          </w14:textFill>
        </w:rPr>
        <w:t>3</w:t>
      </w:r>
      <w:r>
        <w:rPr>
          <w:rFonts w:hint="eastAsia" w:hAnsi="宋体" w:cs="宋体"/>
          <w:color w:val="000000" w:themeColor="text1"/>
          <w:highlight w:val="none"/>
          <w14:textFill>
            <w14:solidFill>
              <w14:schemeClr w14:val="tx1"/>
            </w14:solidFill>
          </w14:textFill>
        </w:rPr>
        <w:t>月</w:t>
      </w:r>
      <w:r>
        <w:rPr>
          <w:rFonts w:hint="eastAsia" w:hAnsi="宋体" w:cs="宋体"/>
          <w:color w:val="000000" w:themeColor="text1"/>
          <w:highlight w:val="none"/>
          <w:lang w:val="en-US" w:eastAsia="zh-CN"/>
          <w14:textFill>
            <w14:solidFill>
              <w14:schemeClr w14:val="tx1"/>
            </w14:solidFill>
          </w14:textFill>
        </w:rPr>
        <w:t>29</w:t>
      </w:r>
      <w:r>
        <w:rPr>
          <w:rFonts w:hint="eastAsia" w:hAnsi="宋体" w:cs="宋体"/>
          <w:color w:val="000000" w:themeColor="text1"/>
          <w:highlight w:val="none"/>
          <w14:textFill>
            <w14:solidFill>
              <w14:schemeClr w14:val="tx1"/>
            </w14:solidFill>
          </w14:textFill>
        </w:rPr>
        <w:t>日</w:t>
      </w:r>
      <w:r>
        <w:rPr>
          <w:rFonts w:hint="eastAsia" w:hAnsi="宋体" w:cs="宋体"/>
          <w:color w:val="000000" w:themeColor="text1"/>
          <w:highlight w:val="none"/>
          <w:lang w:val="en-US" w:eastAsia="zh-CN"/>
          <w14:textFill>
            <w14:solidFill>
              <w14:schemeClr w14:val="tx1"/>
            </w14:solidFill>
          </w14:textFill>
        </w:rPr>
        <w:t>10</w:t>
      </w:r>
      <w:r>
        <w:rPr>
          <w:rFonts w:hint="eastAsia" w:hAnsi="宋体" w:cs="宋体"/>
          <w:color w:val="000000" w:themeColor="text1"/>
          <w:highlight w:val="none"/>
          <w14:textFill>
            <w14:solidFill>
              <w14:schemeClr w14:val="tx1"/>
            </w14:solidFill>
          </w14:textFill>
        </w:rPr>
        <w:t>时</w:t>
      </w:r>
      <w:r>
        <w:rPr>
          <w:rFonts w:hint="eastAsia" w:hAnsi="宋体" w:cs="宋体"/>
          <w:color w:val="000000" w:themeColor="text1"/>
          <w:highlight w:val="none"/>
          <w:lang w:val="en-US" w:eastAsia="zh-CN"/>
          <w14:textFill>
            <w14:solidFill>
              <w14:schemeClr w14:val="tx1"/>
            </w14:solidFill>
          </w14:textFill>
        </w:rPr>
        <w:t>00</w:t>
      </w:r>
      <w:r>
        <w:rPr>
          <w:rFonts w:hint="eastAsia" w:hAnsi="宋体" w:cs="宋体"/>
          <w:color w:val="000000" w:themeColor="text1"/>
          <w:highlight w:val="none"/>
          <w14:textFill>
            <w14:solidFill>
              <w14:schemeClr w14:val="tx1"/>
            </w14:solidFill>
          </w14:textFill>
        </w:rPr>
        <w:t>分</w:t>
      </w:r>
      <w:bookmarkEnd w:id="3"/>
      <w:r>
        <w:rPr>
          <w:rFonts w:hint="eastAsia" w:hAnsi="宋体" w:cs="宋体"/>
          <w:color w:val="000000" w:themeColor="text1"/>
          <w:highlight w:val="none"/>
          <w14:textFill>
            <w14:solidFill>
              <w14:schemeClr w14:val="tx1"/>
            </w14:solidFill>
          </w14:textFill>
        </w:rPr>
        <w:t>。</w:t>
      </w:r>
    </w:p>
    <w:p>
      <w:pPr>
        <w:adjustRightInd/>
        <w:spacing w:line="360" w:lineRule="auto"/>
        <w:ind w:firstLine="480" w:firstLineChars="200"/>
        <w:jc w:val="both"/>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七、报价文件递交地点：东莞市东城街道育华路1号东莞市水务集团有限公司。</w:t>
      </w:r>
    </w:p>
    <w:p>
      <w:pPr>
        <w:adjustRightInd/>
        <w:spacing w:line="360" w:lineRule="auto"/>
        <w:ind w:firstLine="480" w:firstLineChars="200"/>
        <w:jc w:val="both"/>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八、报价文件开封时间：2024年</w:t>
      </w:r>
      <w:r>
        <w:rPr>
          <w:rFonts w:hint="eastAsia" w:hAnsi="宋体" w:cs="宋体"/>
          <w:color w:val="000000" w:themeColor="text1"/>
          <w:highlight w:val="none"/>
          <w:lang w:val="en-US" w:eastAsia="zh-CN"/>
          <w14:textFill>
            <w14:solidFill>
              <w14:schemeClr w14:val="tx1"/>
            </w14:solidFill>
          </w14:textFill>
        </w:rPr>
        <w:t>3</w:t>
      </w:r>
      <w:r>
        <w:rPr>
          <w:rFonts w:hint="eastAsia" w:hAnsi="宋体" w:cs="宋体"/>
          <w:color w:val="000000" w:themeColor="text1"/>
          <w:highlight w:val="none"/>
          <w14:textFill>
            <w14:solidFill>
              <w14:schemeClr w14:val="tx1"/>
            </w14:solidFill>
          </w14:textFill>
        </w:rPr>
        <w:t>月</w:t>
      </w:r>
      <w:r>
        <w:rPr>
          <w:rFonts w:hint="eastAsia" w:hAnsi="宋体" w:cs="宋体"/>
          <w:color w:val="000000" w:themeColor="text1"/>
          <w:highlight w:val="none"/>
          <w:lang w:val="en-US" w:eastAsia="zh-CN"/>
          <w14:textFill>
            <w14:solidFill>
              <w14:schemeClr w14:val="tx1"/>
            </w14:solidFill>
          </w14:textFill>
        </w:rPr>
        <w:t>29</w:t>
      </w:r>
      <w:r>
        <w:rPr>
          <w:rFonts w:hint="eastAsia" w:hAnsi="宋体" w:cs="宋体"/>
          <w:color w:val="000000" w:themeColor="text1"/>
          <w:highlight w:val="none"/>
          <w14:textFill>
            <w14:solidFill>
              <w14:schemeClr w14:val="tx1"/>
            </w14:solidFill>
          </w14:textFill>
        </w:rPr>
        <w:t>日</w:t>
      </w:r>
      <w:r>
        <w:rPr>
          <w:rFonts w:hint="eastAsia" w:hAnsi="宋体" w:cs="宋体"/>
          <w:color w:val="000000" w:themeColor="text1"/>
          <w:highlight w:val="none"/>
          <w:lang w:val="en-US" w:eastAsia="zh-CN"/>
          <w14:textFill>
            <w14:solidFill>
              <w14:schemeClr w14:val="tx1"/>
            </w14:solidFill>
          </w14:textFill>
        </w:rPr>
        <w:t>10</w:t>
      </w:r>
      <w:r>
        <w:rPr>
          <w:rFonts w:hint="eastAsia" w:hAnsi="宋体" w:cs="宋体"/>
          <w:color w:val="000000" w:themeColor="text1"/>
          <w:highlight w:val="none"/>
          <w14:textFill>
            <w14:solidFill>
              <w14:schemeClr w14:val="tx1"/>
            </w14:solidFill>
          </w14:textFill>
        </w:rPr>
        <w:t>时</w:t>
      </w:r>
      <w:r>
        <w:rPr>
          <w:rFonts w:hint="eastAsia" w:hAnsi="宋体" w:cs="宋体"/>
          <w:color w:val="000000" w:themeColor="text1"/>
          <w:highlight w:val="none"/>
          <w:lang w:val="en-US" w:eastAsia="zh-CN"/>
          <w14:textFill>
            <w14:solidFill>
              <w14:schemeClr w14:val="tx1"/>
            </w14:solidFill>
          </w14:textFill>
        </w:rPr>
        <w:t>00</w:t>
      </w:r>
      <w:r>
        <w:rPr>
          <w:rFonts w:hint="eastAsia" w:hAnsi="宋体" w:cs="宋体"/>
          <w:color w:val="000000" w:themeColor="text1"/>
          <w:highlight w:val="none"/>
          <w14:textFill>
            <w14:solidFill>
              <w14:schemeClr w14:val="tx1"/>
            </w14:solidFill>
          </w14:textFill>
        </w:rPr>
        <w:t>分。</w:t>
      </w:r>
    </w:p>
    <w:p>
      <w:pPr>
        <w:adjustRightInd/>
        <w:spacing w:line="360" w:lineRule="auto"/>
        <w:ind w:firstLine="480" w:firstLineChars="200"/>
        <w:jc w:val="both"/>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九、开封地点：东莞市水务集团有限公司会议室。</w:t>
      </w:r>
    </w:p>
    <w:p>
      <w:pPr>
        <w:adjustRightInd/>
        <w:spacing w:line="360" w:lineRule="auto"/>
        <w:ind w:firstLine="480" w:firstLineChars="200"/>
        <w:jc w:val="both"/>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十、采购人联系方式：</w:t>
      </w:r>
    </w:p>
    <w:p>
      <w:pPr>
        <w:adjustRightInd/>
        <w:spacing w:line="360" w:lineRule="auto"/>
        <w:ind w:firstLine="480" w:firstLineChars="200"/>
        <w:jc w:val="both"/>
        <w:rPr>
          <w:rFonts w:hAnsi="宋体" w:cs="宋体"/>
          <w:color w:val="000000" w:themeColor="text1"/>
          <w:highlight w:val="none"/>
          <w14:textFill>
            <w14:solidFill>
              <w14:schemeClr w14:val="tx1"/>
            </w14:solidFill>
          </w14:textFill>
        </w:rPr>
      </w:pPr>
      <w:bookmarkStart w:id="4" w:name="_Hlk27138405"/>
      <w:r>
        <w:rPr>
          <w:rFonts w:hint="eastAsia" w:hAnsi="宋体" w:cs="宋体"/>
          <w:color w:val="000000" w:themeColor="text1"/>
          <w:highlight w:val="none"/>
          <w14:textFill>
            <w14:solidFill>
              <w14:schemeClr w14:val="tx1"/>
            </w14:solidFill>
          </w14:textFill>
        </w:rPr>
        <w:t>采购联系人：陈工</w:t>
      </w:r>
    </w:p>
    <w:p>
      <w:pPr>
        <w:adjustRightInd/>
        <w:spacing w:line="360" w:lineRule="auto"/>
        <w:ind w:firstLine="480" w:firstLineChars="200"/>
        <w:jc w:val="both"/>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联系电话：0769-2232 9626</w:t>
      </w:r>
    </w:p>
    <w:p>
      <w:pPr>
        <w:adjustRightInd/>
        <w:spacing w:line="360" w:lineRule="auto"/>
        <w:ind w:firstLine="480" w:firstLineChars="200"/>
        <w:jc w:val="both"/>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联系地址：广东省东莞市东城街道育华路1号</w:t>
      </w:r>
    </w:p>
    <w:bookmarkEnd w:id="4"/>
    <w:p>
      <w:pPr>
        <w:spacing w:line="360" w:lineRule="auto"/>
        <w:jc w:val="both"/>
        <w:rPr>
          <w:rFonts w:hAnsi="宋体" w:cs="宋体"/>
          <w:color w:val="000000" w:themeColor="text1"/>
          <w:highlight w:val="none"/>
          <w14:textFill>
            <w14:solidFill>
              <w14:schemeClr w14:val="tx1"/>
            </w14:solidFill>
          </w14:textFill>
        </w:rPr>
      </w:pPr>
      <w:bookmarkStart w:id="5" w:name="_Hlk27138410"/>
    </w:p>
    <w:p>
      <w:pPr>
        <w:spacing w:line="360" w:lineRule="auto"/>
        <w:jc w:val="righ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东莞市水务集团有限公司</w:t>
      </w:r>
    </w:p>
    <w:p>
      <w:pPr>
        <w:wordWrap w:val="0"/>
        <w:spacing w:line="360" w:lineRule="auto"/>
        <w:jc w:val="right"/>
        <w:rPr>
          <w:rFonts w:hAnsi="宋体" w:cs="宋体"/>
          <w:highlight w:val="none"/>
        </w:rPr>
      </w:pPr>
      <w:r>
        <w:rPr>
          <w:rFonts w:hint="eastAsia" w:hAnsi="宋体" w:cs="宋体"/>
          <w:color w:val="000000" w:themeColor="text1"/>
          <w:highlight w:val="none"/>
          <w14:textFill>
            <w14:solidFill>
              <w14:schemeClr w14:val="tx1"/>
            </w14:solidFill>
          </w14:textFill>
        </w:rPr>
        <w:t>2024年</w:t>
      </w:r>
      <w:r>
        <w:rPr>
          <w:rFonts w:hint="eastAsia" w:hAnsi="宋体" w:cs="宋体"/>
          <w:color w:val="000000" w:themeColor="text1"/>
          <w:highlight w:val="none"/>
          <w:lang w:val="en-US" w:eastAsia="zh-CN"/>
          <w14:textFill>
            <w14:solidFill>
              <w14:schemeClr w14:val="tx1"/>
            </w14:solidFill>
          </w14:textFill>
        </w:rPr>
        <w:t>3</w:t>
      </w:r>
      <w:r>
        <w:rPr>
          <w:rFonts w:hint="eastAsia" w:hAnsi="宋体" w:cs="宋体"/>
          <w:color w:val="000000" w:themeColor="text1"/>
          <w:highlight w:val="none"/>
          <w14:textFill>
            <w14:solidFill>
              <w14:schemeClr w14:val="tx1"/>
            </w14:solidFill>
          </w14:textFill>
        </w:rPr>
        <w:t>月</w:t>
      </w:r>
      <w:r>
        <w:rPr>
          <w:rFonts w:hint="eastAsia" w:hAnsi="宋体" w:cs="宋体"/>
          <w:color w:val="000000" w:themeColor="text1"/>
          <w:highlight w:val="none"/>
          <w:lang w:val="en-US" w:eastAsia="zh-CN"/>
          <w14:textFill>
            <w14:solidFill>
              <w14:schemeClr w14:val="tx1"/>
            </w14:solidFill>
          </w14:textFill>
        </w:rPr>
        <w:t>22</w:t>
      </w:r>
      <w:bookmarkStart w:id="159" w:name="_GoBack"/>
      <w:bookmarkEnd w:id="159"/>
      <w:r>
        <w:rPr>
          <w:rFonts w:hint="eastAsia" w:hAnsi="宋体" w:cs="宋体"/>
          <w:color w:val="000000" w:themeColor="text1"/>
          <w:highlight w:val="none"/>
          <w14:textFill>
            <w14:solidFill>
              <w14:schemeClr w14:val="tx1"/>
            </w14:solidFill>
          </w14:textFill>
        </w:rPr>
        <w:t xml:space="preserve">日   </w:t>
      </w:r>
      <w:bookmarkEnd w:id="5"/>
    </w:p>
    <w:p>
      <w:pPr>
        <w:spacing w:line="360" w:lineRule="auto"/>
        <w:rPr>
          <w:rFonts w:hAnsi="宋体" w:cs="宋体"/>
        </w:rPr>
        <w:sectPr>
          <w:pgSz w:w="11906" w:h="16838"/>
          <w:pgMar w:top="1440" w:right="1803" w:bottom="1440" w:left="1803" w:header="851" w:footer="992" w:gutter="0"/>
          <w:cols w:space="0" w:num="1"/>
          <w:docGrid w:type="lines" w:linePitch="332" w:charSpace="0"/>
        </w:sectPr>
      </w:pPr>
    </w:p>
    <w:p>
      <w:pPr>
        <w:pStyle w:val="2"/>
        <w:spacing w:before="0" w:after="0"/>
        <w:jc w:val="center"/>
        <w:rPr>
          <w:rFonts w:hAnsi="宋体" w:cs="宋体"/>
          <w:szCs w:val="32"/>
        </w:rPr>
      </w:pPr>
      <w:bookmarkStart w:id="6" w:name="_Toc29476691"/>
      <w:bookmarkStart w:id="7" w:name="_Toc25436"/>
      <w:r>
        <w:rPr>
          <w:rFonts w:hint="eastAsia" w:hAnsi="宋体" w:cs="宋体"/>
          <w:szCs w:val="32"/>
        </w:rPr>
        <w:t>第二章 用户需求</w:t>
      </w:r>
      <w:bookmarkEnd w:id="6"/>
      <w:bookmarkEnd w:id="7"/>
    </w:p>
    <w:p>
      <w:pPr>
        <w:pStyle w:val="55"/>
        <w:numPr>
          <w:ilvl w:val="0"/>
          <w:numId w:val="0"/>
        </w:numPr>
        <w:spacing w:before="156" w:after="156" w:line="360" w:lineRule="auto"/>
        <w:outlineLvl w:val="0"/>
        <w:rPr>
          <w:rFonts w:ascii="宋体" w:hAnsi="宋体" w:eastAsia="宋体" w:cs="宋体"/>
          <w:b/>
          <w:bCs/>
          <w:color w:val="000000"/>
          <w:sz w:val="24"/>
          <w:szCs w:val="24"/>
        </w:rPr>
      </w:pPr>
      <w:bookmarkStart w:id="8" w:name="_Toc117667851"/>
      <w:bookmarkStart w:id="9" w:name="_Toc18335"/>
      <w:bookmarkStart w:id="10" w:name="_Toc18918"/>
      <w:bookmarkStart w:id="11" w:name="_Toc1118"/>
      <w:bookmarkStart w:id="12" w:name="_Toc17879972"/>
      <w:bookmarkStart w:id="13" w:name="_Toc18400038"/>
      <w:bookmarkStart w:id="14" w:name="_Toc447044600"/>
      <w:bookmarkStart w:id="15" w:name="_Toc447045087"/>
      <w:bookmarkStart w:id="16" w:name="_Toc447044476"/>
      <w:r>
        <w:rPr>
          <w:rFonts w:hint="eastAsia" w:ascii="宋体" w:hAnsi="宋体" w:eastAsia="宋体" w:cs="宋体"/>
          <w:b/>
          <w:bCs/>
          <w:color w:val="000000"/>
          <w:sz w:val="24"/>
          <w:szCs w:val="24"/>
        </w:rPr>
        <w:t>一、</w:t>
      </w:r>
      <w:bookmarkEnd w:id="8"/>
      <w:bookmarkEnd w:id="9"/>
      <w:r>
        <w:rPr>
          <w:rFonts w:hint="eastAsia" w:ascii="宋体" w:hAnsi="宋体" w:eastAsia="宋体" w:cs="宋体"/>
          <w:b/>
          <w:bCs/>
          <w:color w:val="000000"/>
          <w:sz w:val="24"/>
          <w:szCs w:val="24"/>
        </w:rPr>
        <w:t>项目名称</w:t>
      </w:r>
      <w:bookmarkEnd w:id="10"/>
      <w:bookmarkEnd w:id="11"/>
    </w:p>
    <w:p>
      <w:pPr>
        <w:adjustRightInd/>
        <w:spacing w:line="360" w:lineRule="auto"/>
        <w:ind w:firstLine="480" w:firstLineChars="200"/>
        <w:jc w:val="both"/>
        <w:rPr>
          <w:rFonts w:hAnsi="宋体" w:cs="宋体"/>
        </w:rPr>
      </w:pPr>
      <w:r>
        <w:rPr>
          <w:rFonts w:hint="eastAsia" w:hAnsi="宋体" w:cs="宋体"/>
        </w:rPr>
        <w:t>项目名称：东莞市管网运营平台雨污同治升级项目设计服务项目</w:t>
      </w:r>
    </w:p>
    <w:p>
      <w:pPr>
        <w:adjustRightInd/>
        <w:spacing w:line="360" w:lineRule="auto"/>
        <w:ind w:firstLine="480" w:firstLineChars="200"/>
        <w:jc w:val="both"/>
        <w:rPr>
          <w:rFonts w:hint="eastAsia" w:hAnsi="宋体" w:eastAsia="宋体" w:cs="宋体"/>
          <w:lang w:val="en-US" w:eastAsia="zh-CN"/>
        </w:rPr>
      </w:pPr>
      <w:r>
        <w:rPr>
          <w:rFonts w:hint="eastAsia" w:hAnsi="宋体" w:cs="宋体"/>
        </w:rPr>
        <w:t>项目性质：管网运营平台雨污同治升级项目</w:t>
      </w:r>
      <w:r>
        <w:rPr>
          <w:rFonts w:hint="eastAsia" w:hAnsi="宋体" w:cs="宋体"/>
          <w:lang w:val="en-US" w:eastAsia="zh-CN"/>
        </w:rPr>
        <w:t>设计</w:t>
      </w:r>
    </w:p>
    <w:p>
      <w:pPr>
        <w:adjustRightInd/>
        <w:spacing w:line="360" w:lineRule="auto"/>
        <w:ind w:firstLine="480" w:firstLineChars="200"/>
        <w:jc w:val="both"/>
        <w:rPr>
          <w:rFonts w:hAnsi="宋体" w:cs="宋体"/>
        </w:rPr>
      </w:pPr>
      <w:r>
        <w:rPr>
          <w:rFonts w:hint="eastAsia" w:hAnsi="宋体" w:cs="宋体"/>
        </w:rPr>
        <w:t>采购人：东莞市水务集团管网有限公司、东莞市莞泽水环境投资有限公司、东莞市东信水环境投资有限公司、东莞市东泽水环境投资有限公司、东莞市清泽水环境投资有限公司、东莞市莞清水环境投资有限公司、东莞市东江水环境投资有限公司</w:t>
      </w:r>
    </w:p>
    <w:p>
      <w:pPr>
        <w:pStyle w:val="55"/>
        <w:numPr>
          <w:ilvl w:val="0"/>
          <w:numId w:val="0"/>
        </w:numPr>
        <w:spacing w:before="156" w:after="156" w:line="360" w:lineRule="auto"/>
        <w:outlineLvl w:val="0"/>
        <w:rPr>
          <w:rFonts w:ascii="宋体" w:hAnsi="宋体" w:eastAsia="宋体" w:cs="宋体"/>
          <w:b/>
          <w:bCs/>
          <w:color w:val="000000"/>
          <w:sz w:val="24"/>
          <w:szCs w:val="24"/>
        </w:rPr>
      </w:pPr>
      <w:bookmarkStart w:id="17" w:name="_Toc13293"/>
      <w:bookmarkStart w:id="18" w:name="_Toc9978"/>
      <w:r>
        <w:rPr>
          <w:rFonts w:hint="eastAsia" w:ascii="宋体" w:hAnsi="宋体" w:eastAsia="宋体" w:cs="宋体"/>
          <w:b/>
          <w:bCs/>
          <w:color w:val="000000"/>
          <w:sz w:val="24"/>
          <w:szCs w:val="24"/>
        </w:rPr>
        <w:t>二、估算金额</w:t>
      </w:r>
      <w:bookmarkEnd w:id="17"/>
      <w:bookmarkEnd w:id="18"/>
    </w:p>
    <w:p>
      <w:pPr>
        <w:adjustRightInd/>
        <w:spacing w:line="360" w:lineRule="auto"/>
        <w:ind w:firstLine="480" w:firstLineChars="200"/>
        <w:jc w:val="both"/>
        <w:rPr>
          <w:rFonts w:hAnsi="宋体" w:cs="宋体"/>
        </w:rPr>
      </w:pPr>
      <w:r>
        <w:rPr>
          <w:rFonts w:hint="eastAsia" w:hAnsi="宋体" w:cs="宋体"/>
        </w:rPr>
        <w:t>本次服务费用最高限价为180,000元（含税），费用包括但不限于人工费、评审费、驻点办公食宿及水电等费用、管理费、交通费、通讯费、加班费、税费等服务范围内所有应预见和不可预见费用及一切服务单位为完成合同项所产生的费用，涉及到审核交付成果过程中的修改完善后多次审核的相关费用及验收通过后到项目上线试运行期间的服务费用亦包含在内，费用为包干价，且不因项目需求变化及投资规模等变化而调整费用。</w:t>
      </w:r>
    </w:p>
    <w:p>
      <w:pPr>
        <w:pStyle w:val="55"/>
        <w:numPr>
          <w:ilvl w:val="0"/>
          <w:numId w:val="0"/>
        </w:numPr>
        <w:spacing w:before="156" w:after="156" w:line="360" w:lineRule="auto"/>
        <w:outlineLvl w:val="0"/>
        <w:rPr>
          <w:rFonts w:ascii="宋体" w:hAnsi="宋体" w:eastAsia="宋体" w:cs="宋体"/>
          <w:b/>
          <w:bCs/>
          <w:color w:val="000000"/>
          <w:sz w:val="24"/>
          <w:szCs w:val="24"/>
        </w:rPr>
      </w:pPr>
      <w:bookmarkStart w:id="19" w:name="_Toc17954"/>
      <w:bookmarkStart w:id="20" w:name="_Toc5872"/>
      <w:r>
        <w:rPr>
          <w:rFonts w:hint="eastAsia" w:ascii="宋体" w:hAnsi="宋体" w:eastAsia="宋体" w:cs="宋体"/>
          <w:b/>
          <w:bCs/>
          <w:color w:val="000000"/>
          <w:sz w:val="24"/>
          <w:szCs w:val="24"/>
        </w:rPr>
        <w:t>三、项目</w:t>
      </w:r>
      <w:bookmarkEnd w:id="19"/>
      <w:r>
        <w:rPr>
          <w:rFonts w:hint="eastAsia" w:ascii="宋体" w:hAnsi="宋体" w:eastAsia="宋体" w:cs="宋体"/>
          <w:b/>
          <w:bCs/>
          <w:color w:val="000000"/>
          <w:sz w:val="24"/>
          <w:szCs w:val="24"/>
        </w:rPr>
        <w:t>概况</w:t>
      </w:r>
      <w:bookmarkEnd w:id="20"/>
    </w:p>
    <w:p>
      <w:pPr>
        <w:adjustRightInd/>
        <w:spacing w:line="360" w:lineRule="auto"/>
        <w:ind w:firstLine="480" w:firstLineChars="200"/>
        <w:jc w:val="both"/>
        <w:rPr>
          <w:rFonts w:hAnsi="宋体" w:cs="宋体"/>
        </w:rPr>
      </w:pPr>
      <w:r>
        <w:rPr>
          <w:rFonts w:hint="eastAsia" w:hAnsi="宋体" w:cs="宋体"/>
        </w:rPr>
        <w:t>当前已分期建设、升级排水管网GIS系统及管网运维管理系统（合称东莞市管网运营平台），结合水务集团信息化规划，融合网格化管理思路，拟构建供水、污水、雨水供排水一体化基础平台，实现生产要素数字化、数据及标准统一，达到管网数据融合的目的，并为管网统一运营奠定基础。同时基于现有业务系统进行升级改造，进一步解决目前业务信息化程度低、运营维护成本高效率低等问题，提升各业务板块信息化水平，从分析决策及监督管理层面，规划总体架构，实现数据架构融合，建设网格化分析决策系统并深化发掘数据价值，以业务场景为导向，构建网格化运营管理体系，推动排水一体化智能管控，促进管网运营提质增效，企业运营降本增效。</w:t>
      </w:r>
    </w:p>
    <w:p>
      <w:pPr>
        <w:adjustRightInd/>
        <w:spacing w:line="360" w:lineRule="auto"/>
        <w:ind w:firstLine="480" w:firstLineChars="200"/>
        <w:jc w:val="both"/>
        <w:rPr>
          <w:rFonts w:hAnsi="宋体" w:cs="宋体"/>
        </w:rPr>
      </w:pPr>
      <w:r>
        <w:rPr>
          <w:rFonts w:hint="eastAsia" w:hAnsi="宋体" w:cs="宋体"/>
        </w:rPr>
        <w:t>项目围绕业务层面开展，主要内容包括业务网格化－污水、排水管网业务网格化管理系统、分析决策网格化－网格化分析决策系统</w:t>
      </w:r>
      <w:r>
        <w:rPr>
          <w:rFonts w:hint="eastAsia" w:hAnsi="宋体" w:cs="宋体"/>
          <w:lang w:val="en-US" w:eastAsia="zh-CN"/>
        </w:rPr>
        <w:t>及相关配套内容</w:t>
      </w:r>
      <w:r>
        <w:rPr>
          <w:rFonts w:hint="eastAsia" w:hAnsi="宋体" w:cs="宋体"/>
        </w:rPr>
        <w:t>。</w:t>
      </w:r>
    </w:p>
    <w:p>
      <w:pPr>
        <w:pStyle w:val="55"/>
        <w:numPr>
          <w:ilvl w:val="0"/>
          <w:numId w:val="0"/>
        </w:numPr>
        <w:spacing w:before="156" w:after="156" w:line="360" w:lineRule="auto"/>
        <w:outlineLvl w:val="0"/>
        <w:rPr>
          <w:rFonts w:ascii="宋体" w:hAnsi="宋体" w:eastAsia="宋体" w:cs="宋体"/>
          <w:b/>
          <w:bCs/>
          <w:color w:val="000000"/>
          <w:sz w:val="24"/>
          <w:szCs w:val="24"/>
        </w:rPr>
      </w:pPr>
      <w:bookmarkStart w:id="21" w:name="_Toc17827"/>
      <w:bookmarkStart w:id="22" w:name="_Toc3559"/>
      <w:bookmarkStart w:id="23" w:name="_Toc20011"/>
      <w:bookmarkStart w:id="24" w:name="_Toc117667860"/>
      <w:bookmarkStart w:id="25" w:name="_Toc17879962"/>
      <w:bookmarkStart w:id="26" w:name="_Toc22872"/>
      <w:bookmarkStart w:id="27" w:name="_Toc18400028"/>
      <w:r>
        <w:rPr>
          <w:rFonts w:hint="eastAsia" w:ascii="宋体" w:hAnsi="宋体" w:eastAsia="宋体" w:cs="宋体"/>
          <w:b/>
          <w:bCs/>
          <w:color w:val="000000"/>
          <w:sz w:val="24"/>
          <w:szCs w:val="24"/>
        </w:rPr>
        <w:t>四、项目目标</w:t>
      </w:r>
      <w:bookmarkEnd w:id="21"/>
      <w:bookmarkEnd w:id="22"/>
      <w:bookmarkEnd w:id="23"/>
      <w:bookmarkEnd w:id="24"/>
      <w:bookmarkEnd w:id="25"/>
      <w:bookmarkEnd w:id="26"/>
      <w:bookmarkEnd w:id="27"/>
    </w:p>
    <w:p>
      <w:pPr>
        <w:adjustRightInd/>
        <w:spacing w:line="360" w:lineRule="auto"/>
        <w:ind w:firstLine="480" w:firstLineChars="200"/>
        <w:jc w:val="both"/>
        <w:rPr>
          <w:rFonts w:hAnsi="宋体" w:cs="宋体"/>
        </w:rPr>
      </w:pPr>
      <w:r>
        <w:rPr>
          <w:rFonts w:hint="eastAsia" w:hAnsi="宋体" w:cs="宋体"/>
        </w:rPr>
        <w:t>服务内容包括在可研的基础上，进一步调研梳理，结合采购人的实际情况，深入梳理项目用户需求，细化项目内容，形成项目设计成果，配合完成项目成果的评审，协助完成项目概算审核工作、协助采购人完成项目实施的相关工作。</w:t>
      </w:r>
    </w:p>
    <w:bookmarkEnd w:id="12"/>
    <w:bookmarkEnd w:id="13"/>
    <w:p>
      <w:pPr>
        <w:pStyle w:val="55"/>
        <w:numPr>
          <w:ilvl w:val="0"/>
          <w:numId w:val="0"/>
        </w:numPr>
        <w:spacing w:before="156" w:after="156" w:line="360" w:lineRule="auto"/>
        <w:outlineLvl w:val="0"/>
        <w:rPr>
          <w:rFonts w:ascii="宋体" w:hAnsi="宋体" w:eastAsia="宋体" w:cs="宋体"/>
          <w:b/>
          <w:bCs/>
          <w:color w:val="000000"/>
          <w:sz w:val="24"/>
          <w:szCs w:val="24"/>
        </w:rPr>
      </w:pPr>
      <w:bookmarkStart w:id="28" w:name="_Toc22410"/>
      <w:bookmarkStart w:id="29" w:name="_Toc27640"/>
      <w:r>
        <w:rPr>
          <w:rFonts w:hint="eastAsia" w:ascii="宋体" w:hAnsi="宋体" w:eastAsia="宋体" w:cs="宋体"/>
          <w:b/>
          <w:bCs/>
          <w:color w:val="000000"/>
          <w:sz w:val="24"/>
          <w:szCs w:val="24"/>
        </w:rPr>
        <w:t>五、服务要求</w:t>
      </w:r>
      <w:bookmarkEnd w:id="28"/>
      <w:bookmarkEnd w:id="29"/>
    </w:p>
    <w:p>
      <w:pPr>
        <w:adjustRightInd/>
        <w:spacing w:line="360" w:lineRule="auto"/>
        <w:ind w:firstLine="482" w:firstLineChars="200"/>
        <w:jc w:val="both"/>
        <w:rPr>
          <w:rFonts w:hAnsi="宋体" w:cs="宋体"/>
          <w:b/>
          <w:bCs/>
        </w:rPr>
      </w:pPr>
      <w:r>
        <w:rPr>
          <w:rFonts w:hint="eastAsia" w:hAnsi="宋体" w:cs="宋体"/>
          <w:b/>
          <w:bCs/>
        </w:rPr>
        <w:t>（一）总体要求</w:t>
      </w:r>
    </w:p>
    <w:p>
      <w:pPr>
        <w:adjustRightInd/>
        <w:spacing w:line="360" w:lineRule="auto"/>
        <w:ind w:firstLine="480" w:firstLineChars="200"/>
        <w:jc w:val="both"/>
        <w:rPr>
          <w:rFonts w:hAnsi="宋体" w:cs="宋体"/>
        </w:rPr>
      </w:pPr>
      <w:r>
        <w:rPr>
          <w:rFonts w:hint="eastAsia" w:hAnsi="宋体" w:cs="宋体"/>
        </w:rPr>
        <w:t>报价人应以规范的工作程序和严格的管理制度提供设计服务，不泄露采购人的技术和商业秘密，为采购人提供科学、严谨、完善、高效和优质的服务。</w:t>
      </w:r>
    </w:p>
    <w:p>
      <w:pPr>
        <w:numPr>
          <w:ilvl w:val="0"/>
          <w:numId w:val="2"/>
        </w:numPr>
        <w:adjustRightInd/>
        <w:spacing w:line="360" w:lineRule="auto"/>
        <w:ind w:firstLine="480" w:firstLineChars="200"/>
        <w:jc w:val="both"/>
        <w:rPr>
          <w:rFonts w:hAnsi="宋体" w:cs="宋体"/>
        </w:rPr>
      </w:pPr>
      <w:r>
        <w:rPr>
          <w:rFonts w:hint="eastAsia" w:hAnsi="宋体" w:cs="宋体"/>
        </w:rPr>
        <w:t>报价人应严格遵守设计规范、国家现行的有关强制性标准、规范的规定。公正、独立、自主地开展设计工作，维护采购人的合法权益。</w:t>
      </w:r>
    </w:p>
    <w:p>
      <w:pPr>
        <w:numPr>
          <w:ilvl w:val="0"/>
          <w:numId w:val="2"/>
        </w:numPr>
        <w:adjustRightInd/>
        <w:spacing w:line="360" w:lineRule="auto"/>
        <w:ind w:firstLine="480" w:firstLineChars="200"/>
        <w:jc w:val="both"/>
        <w:rPr>
          <w:rFonts w:hAnsi="宋体" w:cs="宋体"/>
        </w:rPr>
      </w:pPr>
      <w:r>
        <w:rPr>
          <w:rFonts w:hint="eastAsia" w:hAnsi="宋体" w:cs="宋体"/>
        </w:rPr>
        <w:t>采用先进简洁的设计理念，做到设计规范、功能完整、安全稳定、适应变化、维护简便。</w:t>
      </w:r>
    </w:p>
    <w:p>
      <w:pPr>
        <w:numPr>
          <w:ilvl w:val="0"/>
          <w:numId w:val="2"/>
        </w:numPr>
        <w:adjustRightInd/>
        <w:spacing w:line="360" w:lineRule="auto"/>
        <w:ind w:firstLine="480" w:firstLineChars="200"/>
        <w:jc w:val="both"/>
        <w:rPr>
          <w:rFonts w:hAnsi="宋体" w:cs="宋体"/>
        </w:rPr>
      </w:pPr>
      <w:r>
        <w:rPr>
          <w:rFonts w:hint="eastAsia" w:hAnsi="宋体" w:cs="宋体"/>
        </w:rPr>
        <w:t>报价人需组织具有较强业务能力、较高技术素质和专业经验的技术人员提供设计服务。</w:t>
      </w:r>
    </w:p>
    <w:p>
      <w:pPr>
        <w:numPr>
          <w:ilvl w:val="0"/>
          <w:numId w:val="2"/>
        </w:numPr>
        <w:adjustRightInd/>
        <w:spacing w:line="360" w:lineRule="auto"/>
        <w:ind w:firstLine="480" w:firstLineChars="200"/>
        <w:jc w:val="both"/>
        <w:rPr>
          <w:rFonts w:hAnsi="宋体" w:cs="宋体"/>
        </w:rPr>
      </w:pPr>
      <w:r>
        <w:rPr>
          <w:rFonts w:hint="eastAsia" w:hAnsi="宋体" w:cs="宋体"/>
        </w:rPr>
        <w:t>报价人不得利用服务期间获取的信息谋取不正当利益。</w:t>
      </w:r>
    </w:p>
    <w:p>
      <w:pPr>
        <w:numPr>
          <w:ilvl w:val="0"/>
          <w:numId w:val="2"/>
        </w:numPr>
        <w:adjustRightInd/>
        <w:spacing w:line="360" w:lineRule="auto"/>
        <w:ind w:firstLine="480" w:firstLineChars="200"/>
        <w:jc w:val="both"/>
        <w:rPr>
          <w:rFonts w:hAnsi="宋体" w:cs="宋体"/>
        </w:rPr>
      </w:pPr>
      <w:r>
        <w:rPr>
          <w:rFonts w:hint="eastAsia" w:hAnsi="宋体" w:cs="宋体"/>
        </w:rPr>
        <w:t>须严格遵守相关保密协议，未经采购人书面许可，不得向任何第三方泄露在本项目服务期间获取的任何信息。</w:t>
      </w:r>
    </w:p>
    <w:p>
      <w:pPr>
        <w:adjustRightInd/>
        <w:spacing w:line="360" w:lineRule="auto"/>
        <w:ind w:firstLine="482" w:firstLineChars="200"/>
        <w:jc w:val="both"/>
        <w:rPr>
          <w:rFonts w:hAnsi="宋体" w:cs="宋体"/>
          <w:b/>
          <w:bCs/>
        </w:rPr>
      </w:pPr>
      <w:r>
        <w:rPr>
          <w:rFonts w:hint="eastAsia" w:hAnsi="宋体" w:cs="宋体"/>
          <w:b/>
          <w:bCs/>
        </w:rPr>
        <w:t>（二）项目工期要求</w:t>
      </w:r>
    </w:p>
    <w:p>
      <w:pPr>
        <w:numPr>
          <w:ilvl w:val="0"/>
          <w:numId w:val="3"/>
        </w:numPr>
        <w:adjustRightInd/>
        <w:spacing w:line="360" w:lineRule="auto"/>
        <w:ind w:firstLine="480" w:firstLineChars="200"/>
        <w:jc w:val="both"/>
        <w:rPr>
          <w:rFonts w:hAnsi="宋体" w:cs="宋体"/>
        </w:rPr>
      </w:pPr>
      <w:r>
        <w:rPr>
          <w:rFonts w:hAnsi="宋体" w:cs="宋体"/>
        </w:rPr>
        <w:t>成果交付：项目总体工期为自合同签订之日起60日内，自合同签订之日起45日内完成所有成果评审稿交付，交付后配合后续所有评审及修改工作。</w:t>
      </w:r>
    </w:p>
    <w:p>
      <w:pPr>
        <w:numPr>
          <w:ilvl w:val="0"/>
          <w:numId w:val="3"/>
        </w:numPr>
        <w:adjustRightInd/>
        <w:spacing w:line="360" w:lineRule="auto"/>
        <w:ind w:firstLine="480" w:firstLineChars="200"/>
        <w:jc w:val="both"/>
        <w:rPr>
          <w:rFonts w:hAnsi="宋体" w:cs="宋体"/>
        </w:rPr>
      </w:pPr>
      <w:r>
        <w:rPr>
          <w:rFonts w:hAnsi="宋体" w:cs="宋体"/>
        </w:rPr>
        <w:t>服务期：自合同签订之日起至雨污同治项目初步验收通过并上线试运行时止。</w:t>
      </w:r>
    </w:p>
    <w:p>
      <w:pPr>
        <w:adjustRightInd/>
        <w:spacing w:line="360" w:lineRule="auto"/>
        <w:ind w:firstLine="482" w:firstLineChars="200"/>
        <w:jc w:val="both"/>
        <w:rPr>
          <w:rFonts w:hAnsi="宋体" w:cs="宋体"/>
          <w:b/>
          <w:bCs/>
        </w:rPr>
      </w:pPr>
      <w:r>
        <w:rPr>
          <w:rFonts w:hint="eastAsia" w:hAnsi="宋体" w:cs="宋体"/>
          <w:b/>
          <w:bCs/>
        </w:rPr>
        <w:t>（三）服务内容要求</w:t>
      </w:r>
    </w:p>
    <w:p>
      <w:pPr>
        <w:adjustRightInd/>
        <w:spacing w:line="360" w:lineRule="auto"/>
        <w:ind w:firstLine="480" w:firstLineChars="200"/>
        <w:jc w:val="both"/>
        <w:rPr>
          <w:rFonts w:hAnsi="宋体" w:cs="宋体"/>
        </w:rPr>
      </w:pPr>
      <w:r>
        <w:rPr>
          <w:rFonts w:hint="eastAsia" w:hAnsi="宋体" w:cs="宋体"/>
        </w:rPr>
        <w:t>服务内容包括在可研的基础上，进一步调研梳理，结合采购人的实际情况，深入梳理项目用户需求，细化项目内容，形成项目设计成果，配合完成项目成果的评审，协助完成项目概算审核工作、协助采购人完成项目实施的相关工作。雨污同治项目建设内容详见附件，主要任务如下：</w:t>
      </w:r>
    </w:p>
    <w:p>
      <w:pPr>
        <w:adjustRightInd/>
        <w:spacing w:line="360" w:lineRule="auto"/>
        <w:ind w:firstLine="480" w:firstLineChars="200"/>
        <w:jc w:val="both"/>
        <w:rPr>
          <w:rFonts w:hAnsi="宋体" w:cs="宋体"/>
        </w:rPr>
      </w:pPr>
      <w:r>
        <w:rPr>
          <w:rFonts w:hint="eastAsia" w:hAnsi="宋体" w:cs="宋体"/>
        </w:rPr>
        <w:t>对雨污同治项目中业务网格化-污水、排水管网业务网格化管理系统，分析决策网格化-网格化分析决策系统等内容进行项目设计并编制概算，包含但不限于以下内容：</w:t>
      </w:r>
    </w:p>
    <w:p>
      <w:pPr>
        <w:adjustRightInd/>
        <w:spacing w:line="360" w:lineRule="auto"/>
        <w:ind w:firstLine="480" w:firstLineChars="200"/>
        <w:jc w:val="both"/>
        <w:rPr>
          <w:rFonts w:hAnsi="宋体" w:cs="宋体"/>
        </w:rPr>
      </w:pPr>
      <w:r>
        <w:rPr>
          <w:rFonts w:hint="eastAsia" w:hAnsi="宋体" w:cs="宋体"/>
        </w:rPr>
        <w:t>1.深化用户需求、系统建设目标与任务。基于可研成果，进一步明确项目在已有水务集团信息化规划总体架构中的逻辑关系，进一步细化雨污同治项目目标任务、用户需求、系统架构及软硬件、方案选型、现有系统数据、流程、功能优化要求等内容；</w:t>
      </w:r>
    </w:p>
    <w:p>
      <w:pPr>
        <w:pStyle w:val="8"/>
        <w:spacing w:line="360" w:lineRule="auto"/>
        <w:ind w:firstLine="480" w:firstLineChars="200"/>
        <w:rPr>
          <w:rFonts w:ascii="宋体" w:hAnsi="宋体" w:cs="宋体"/>
          <w:kern w:val="0"/>
          <w:sz w:val="24"/>
          <w:lang w:val="en-US"/>
        </w:rPr>
      </w:pPr>
      <w:r>
        <w:rPr>
          <w:rFonts w:ascii="宋体" w:hAnsi="宋体" w:cs="宋体"/>
          <w:kern w:val="0"/>
          <w:sz w:val="24"/>
          <w:lang w:val="en-US"/>
        </w:rPr>
        <w:t>2.明确业务处理流程、数据流程与功能、性能需求。结合</w:t>
      </w:r>
      <w:r>
        <w:rPr>
          <w:rFonts w:hint="eastAsia" w:ascii="宋体" w:hAnsi="宋体" w:cs="宋体"/>
          <w:kern w:val="0"/>
          <w:sz w:val="24"/>
          <w:lang w:val="en-US" w:eastAsia="zh-CN"/>
        </w:rPr>
        <w:t>前期</w:t>
      </w:r>
      <w:r>
        <w:rPr>
          <w:rFonts w:ascii="宋体" w:hAnsi="宋体" w:cs="宋体"/>
          <w:kern w:val="0"/>
          <w:sz w:val="24"/>
          <w:lang w:val="en-US"/>
        </w:rPr>
        <w:t>基础平台可行性研究报告</w:t>
      </w:r>
      <w:r>
        <w:rPr>
          <w:rFonts w:hint="eastAsia" w:ascii="宋体" w:hAnsi="宋体" w:cs="宋体"/>
          <w:kern w:val="0"/>
          <w:sz w:val="24"/>
          <w:lang w:val="en-US" w:eastAsia="zh-CN"/>
        </w:rPr>
        <w:t>（概要内容见附件）</w:t>
      </w:r>
      <w:r>
        <w:rPr>
          <w:rFonts w:ascii="宋体" w:hAnsi="宋体" w:cs="宋体"/>
          <w:kern w:val="0"/>
          <w:sz w:val="24"/>
          <w:lang w:val="en-US"/>
        </w:rPr>
        <w:t>的需求进行调研分析，同时综合现有系统状况，梳理项目的相关业务流程、数据流程、用例图及性能要求等；</w:t>
      </w:r>
    </w:p>
    <w:p>
      <w:pPr>
        <w:pStyle w:val="8"/>
        <w:spacing w:line="360" w:lineRule="auto"/>
        <w:ind w:firstLine="480" w:firstLineChars="200"/>
        <w:rPr>
          <w:rFonts w:ascii="宋体" w:hAnsi="宋体" w:cs="宋体"/>
          <w:kern w:val="0"/>
          <w:sz w:val="24"/>
          <w:lang w:val="en-US"/>
        </w:rPr>
      </w:pPr>
      <w:r>
        <w:rPr>
          <w:rFonts w:ascii="宋体" w:hAnsi="宋体" w:cs="宋体"/>
          <w:kern w:val="0"/>
          <w:sz w:val="24"/>
          <w:lang w:val="en-US"/>
        </w:rPr>
        <w:t>3.根据系统的组成和技术特点，进行系统划分，并对各组成部分进行设计。将流程、用例图转化为软件结构和数据结构。软件结构设计将项目按系统、功能进行模块划分、建立系统、模块间的层次结构及调用关系、确定模块间的接口等。数据结构设计包括数据特征的描述、确定数据的结构特性及数据库的设计及现有系统功能、流程、数据结构的调整改造方案等；</w:t>
      </w:r>
    </w:p>
    <w:p>
      <w:pPr>
        <w:pStyle w:val="8"/>
        <w:spacing w:line="360" w:lineRule="auto"/>
        <w:ind w:firstLine="480" w:firstLineChars="200"/>
        <w:rPr>
          <w:rFonts w:ascii="宋体" w:hAnsi="宋体" w:cs="宋体"/>
          <w:kern w:val="0"/>
          <w:sz w:val="24"/>
          <w:lang w:val="en-US"/>
        </w:rPr>
      </w:pPr>
      <w:r>
        <w:rPr>
          <w:rFonts w:ascii="宋体" w:hAnsi="宋体" w:cs="宋体"/>
          <w:kern w:val="0"/>
          <w:sz w:val="24"/>
          <w:lang w:val="en-US"/>
        </w:rPr>
        <w:t>4.根据系统设计，确定系统集成方案、软硬件配置及配套设施要求，同时完善项目实施计划、建设与运行管理方案；</w:t>
      </w:r>
    </w:p>
    <w:p>
      <w:pPr>
        <w:pStyle w:val="8"/>
        <w:spacing w:line="360" w:lineRule="auto"/>
        <w:ind w:firstLine="480" w:firstLineChars="200"/>
        <w:rPr>
          <w:rFonts w:ascii="宋体" w:hAnsi="宋体" w:cs="宋体"/>
          <w:kern w:val="0"/>
          <w:sz w:val="24"/>
          <w:lang w:val="en-US"/>
        </w:rPr>
      </w:pPr>
      <w:r>
        <w:rPr>
          <w:rFonts w:ascii="宋体" w:hAnsi="宋体" w:cs="宋体"/>
          <w:kern w:val="0"/>
          <w:sz w:val="24"/>
          <w:lang w:val="en-US"/>
        </w:rPr>
        <w:t>5.网络安全管理相关设计内容。参照ISO/IEC通用信息安全管理及控制标准、《中华人民共和国网络安全法》、《信息系统安全等级保护管理办法》等法律及标准规范，从安全策略方针、安全管理机制、风险评估管理、安全技术及控制、安全审计及监测、安全运维管理、应急响应恢复等方面出发，明确雨污同治项目建设过程身份认证与访问控制、信息加密传输、恶意代码防范等采用的安全技术手段及要求；</w:t>
      </w:r>
    </w:p>
    <w:p>
      <w:pPr>
        <w:pStyle w:val="8"/>
        <w:spacing w:line="360" w:lineRule="auto"/>
        <w:ind w:firstLine="480" w:firstLineChars="200"/>
        <w:rPr>
          <w:rFonts w:ascii="宋体" w:hAnsi="宋体" w:cs="宋体"/>
          <w:kern w:val="0"/>
          <w:sz w:val="24"/>
          <w:lang w:val="en-US"/>
        </w:rPr>
      </w:pPr>
      <w:r>
        <w:rPr>
          <w:rFonts w:ascii="宋体" w:hAnsi="宋体" w:cs="宋体"/>
          <w:kern w:val="0"/>
          <w:sz w:val="24"/>
          <w:lang w:val="en-US"/>
        </w:rPr>
        <w:t>6.构建网格化管理体系。基于供排一体化网格化管理思路及水务集团业务现状，深入调研业务、数据流程，借鉴国内外先进经验，梳理形成网格指挥手册，构建形成适用于水务集团的网格化管理体系；</w:t>
      </w:r>
    </w:p>
    <w:p>
      <w:pPr>
        <w:pStyle w:val="8"/>
        <w:spacing w:line="360" w:lineRule="auto"/>
        <w:ind w:firstLine="480" w:firstLineChars="200"/>
        <w:rPr>
          <w:rFonts w:ascii="宋体" w:hAnsi="宋体" w:cs="宋体"/>
          <w:kern w:val="0"/>
          <w:sz w:val="24"/>
          <w:lang w:val="en-US"/>
        </w:rPr>
      </w:pPr>
      <w:r>
        <w:rPr>
          <w:rFonts w:ascii="宋体" w:hAnsi="宋体" w:cs="宋体"/>
          <w:kern w:val="0"/>
          <w:sz w:val="24"/>
          <w:lang w:val="en-US"/>
        </w:rPr>
        <w:t>7.基于项目投资估算，编制项目概算。项目概算应该参照国家及地方行业造价规则，明确各种取费依据和标准等，结合《项目软硬件配置清单》进行编制，且取费合理。</w:t>
      </w:r>
    </w:p>
    <w:p>
      <w:pPr>
        <w:pStyle w:val="8"/>
        <w:spacing w:line="360" w:lineRule="auto"/>
        <w:ind w:firstLine="480" w:firstLineChars="200"/>
        <w:rPr>
          <w:rFonts w:ascii="宋体" w:hAnsi="宋体" w:cs="宋体"/>
          <w:kern w:val="0"/>
          <w:sz w:val="24"/>
          <w:lang w:val="en-US"/>
        </w:rPr>
      </w:pPr>
      <w:r>
        <w:rPr>
          <w:rFonts w:ascii="宋体" w:hAnsi="宋体" w:cs="宋体"/>
          <w:kern w:val="0"/>
          <w:sz w:val="24"/>
          <w:lang w:val="en-US"/>
        </w:rPr>
        <w:t>8.根据采购人需求，形成系统核心内容可交互软件原型效果图设计。</w:t>
      </w:r>
    </w:p>
    <w:p>
      <w:pPr>
        <w:adjustRightInd/>
        <w:spacing w:line="360" w:lineRule="auto"/>
        <w:ind w:firstLine="482" w:firstLineChars="200"/>
        <w:jc w:val="both"/>
        <w:rPr>
          <w:rFonts w:hAnsi="宋体" w:cs="宋体"/>
          <w:b/>
          <w:bCs/>
        </w:rPr>
      </w:pPr>
      <w:r>
        <w:rPr>
          <w:rFonts w:hint="eastAsia" w:hAnsi="宋体" w:cs="宋体"/>
          <w:b/>
          <w:bCs/>
        </w:rPr>
        <w:t>（四）项目组织及人员要求</w:t>
      </w:r>
    </w:p>
    <w:p>
      <w:pPr>
        <w:numPr>
          <w:ilvl w:val="0"/>
          <w:numId w:val="4"/>
        </w:numPr>
        <w:adjustRightInd/>
        <w:spacing w:line="360" w:lineRule="auto"/>
        <w:ind w:firstLine="480" w:firstLineChars="200"/>
        <w:jc w:val="both"/>
        <w:rPr>
          <w:rFonts w:hAnsi="宋体" w:cs="宋体"/>
        </w:rPr>
      </w:pPr>
      <w:r>
        <w:rPr>
          <w:rFonts w:hint="eastAsia" w:hAnsi="宋体" w:cs="宋体"/>
        </w:rPr>
        <w:t>报价人需具备《工程设计资质证书》综合或电子通信广电行业甲级或电子通信广电行业（电子系统工程）专业甲级资质</w:t>
      </w:r>
      <w:r>
        <w:rPr>
          <w:rFonts w:hAnsi="宋体" w:cs="宋体"/>
        </w:rPr>
        <w:t>。</w:t>
      </w:r>
    </w:p>
    <w:p>
      <w:pPr>
        <w:numPr>
          <w:ilvl w:val="0"/>
          <w:numId w:val="4"/>
        </w:numPr>
        <w:adjustRightInd/>
        <w:spacing w:line="360" w:lineRule="auto"/>
        <w:ind w:firstLine="480" w:firstLineChars="200"/>
        <w:jc w:val="both"/>
        <w:rPr>
          <w:rFonts w:hAnsi="宋体" w:cs="宋体"/>
        </w:rPr>
      </w:pPr>
      <w:r>
        <w:rPr>
          <w:rFonts w:hAnsi="宋体" w:cs="宋体"/>
        </w:rPr>
        <w:t>报价人需具备并提供：近5年（</w:t>
      </w:r>
      <w:r>
        <w:rPr>
          <w:rFonts w:hint="eastAsia" w:hAnsi="宋体" w:cs="宋体"/>
        </w:rPr>
        <w:t>201</w:t>
      </w:r>
      <w:r>
        <w:rPr>
          <w:rFonts w:hAnsi="宋体" w:cs="宋体"/>
        </w:rPr>
        <w:t>9</w:t>
      </w:r>
      <w:r>
        <w:rPr>
          <w:rFonts w:hint="eastAsia" w:hAnsi="宋体" w:cs="宋体"/>
        </w:rPr>
        <w:t>年1月1日以来</w:t>
      </w:r>
      <w:r>
        <w:rPr>
          <w:rFonts w:hAnsi="宋体" w:cs="宋体"/>
        </w:rPr>
        <w:t>）</w:t>
      </w:r>
      <w:r>
        <w:rPr>
          <w:rFonts w:hint="eastAsia" w:hAnsi="宋体" w:cs="宋体"/>
        </w:rPr>
        <w:t>一个污水管网或雨水管网管理相关内容的软件开发类信息化建设项目设计服务业绩</w:t>
      </w:r>
      <w:r>
        <w:rPr>
          <w:rFonts w:hAnsi="宋体" w:cs="宋体"/>
        </w:rPr>
        <w:t>（含设计、实施一体的项目</w:t>
      </w:r>
      <w:r>
        <w:rPr>
          <w:rFonts w:hint="eastAsia" w:hAnsi="宋体" w:cs="宋体"/>
          <w:lang w:eastAsia="zh-CN"/>
        </w:rPr>
        <w:t>，</w:t>
      </w:r>
      <w:r>
        <w:rPr>
          <w:rFonts w:hint="eastAsia" w:hAnsi="宋体" w:cs="宋体"/>
          <w:lang w:val="zh-CN" w:eastAsia="zh-CN"/>
        </w:rPr>
        <w:t>合同签订日期为</w:t>
      </w:r>
      <w:r>
        <w:rPr>
          <w:rFonts w:hint="eastAsia" w:hAnsi="宋体" w:cs="宋体"/>
          <w:lang w:eastAsia="zh-CN"/>
        </w:rPr>
        <w:t>2019</w:t>
      </w:r>
      <w:r>
        <w:rPr>
          <w:rFonts w:hint="eastAsia" w:hAnsi="宋体" w:cs="宋体"/>
          <w:lang w:val="zh-CN" w:eastAsia="zh-CN"/>
        </w:rPr>
        <w:t>年</w:t>
      </w:r>
      <w:r>
        <w:rPr>
          <w:rFonts w:hint="eastAsia" w:hAnsi="宋体" w:cs="宋体"/>
          <w:lang w:eastAsia="zh-CN"/>
        </w:rPr>
        <w:t>1</w:t>
      </w:r>
      <w:r>
        <w:rPr>
          <w:rFonts w:hint="eastAsia" w:hAnsi="宋体" w:cs="宋体"/>
          <w:lang w:val="zh-CN" w:eastAsia="zh-CN"/>
        </w:rPr>
        <w:t>月</w:t>
      </w:r>
      <w:r>
        <w:rPr>
          <w:rFonts w:hint="eastAsia" w:hAnsi="宋体" w:cs="宋体"/>
          <w:lang w:eastAsia="zh-CN"/>
        </w:rPr>
        <w:t>1</w:t>
      </w:r>
      <w:r>
        <w:rPr>
          <w:rFonts w:hint="eastAsia" w:hAnsi="宋体" w:cs="宋体"/>
          <w:lang w:val="zh-CN" w:eastAsia="zh-CN"/>
        </w:rPr>
        <w:t>日或以后</w:t>
      </w:r>
      <w:r>
        <w:rPr>
          <w:rFonts w:hAnsi="宋体" w:cs="宋体"/>
        </w:rPr>
        <w:t>）。</w:t>
      </w:r>
    </w:p>
    <w:p>
      <w:pPr>
        <w:numPr>
          <w:ilvl w:val="0"/>
          <w:numId w:val="4"/>
        </w:numPr>
        <w:adjustRightInd/>
        <w:spacing w:line="360" w:lineRule="auto"/>
        <w:ind w:firstLine="480" w:firstLineChars="200"/>
        <w:jc w:val="both"/>
        <w:rPr>
          <w:rFonts w:hAnsi="宋体" w:cs="宋体"/>
        </w:rPr>
      </w:pPr>
      <w:r>
        <w:rPr>
          <w:rFonts w:hAnsi="宋体" w:cs="宋体"/>
        </w:rPr>
        <w:t>要求报价人建立相应的项目人员组织，设置项目负责人、设计工程师，保证设计编制项目人员的充足和人员结构的合理性，能够控制本项目整体进度和设计编制质量，保证设计编制的按期完成。报价人需要按照项目实际情况调整项目人员数量，根据项目实际情况配备相应人数的项目人员。</w:t>
      </w:r>
    </w:p>
    <w:p>
      <w:pPr>
        <w:numPr>
          <w:ilvl w:val="0"/>
          <w:numId w:val="4"/>
        </w:numPr>
        <w:adjustRightInd/>
        <w:spacing w:line="360" w:lineRule="auto"/>
        <w:ind w:firstLine="480" w:firstLineChars="200"/>
        <w:jc w:val="both"/>
        <w:rPr>
          <w:rFonts w:hAnsi="宋体" w:cs="宋体"/>
        </w:rPr>
      </w:pPr>
      <w:r>
        <w:rPr>
          <w:rFonts w:hAnsi="宋体" w:cs="宋体"/>
        </w:rPr>
        <w:t>项目人员要求见下表：</w:t>
      </w:r>
    </w:p>
    <w:tbl>
      <w:tblPr>
        <w:tblStyle w:val="23"/>
        <w:tblW w:w="58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4"/>
        <w:gridCol w:w="1009"/>
        <w:gridCol w:w="750"/>
        <w:gridCol w:w="3214"/>
        <w:gridCol w:w="3519"/>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2" w:hRule="atLeast"/>
          <w:tblHeader/>
          <w:jc w:val="center"/>
        </w:trPr>
        <w:tc>
          <w:tcPr>
            <w:tcW w:w="269" w:type="pct"/>
            <w:shd w:val="clear" w:color="auto" w:fill="auto"/>
            <w:tcMar>
              <w:top w:w="15" w:type="dxa"/>
              <w:left w:w="15" w:type="dxa"/>
              <w:right w:w="15" w:type="dxa"/>
            </w:tcMar>
            <w:vAlign w:val="center"/>
          </w:tcPr>
          <w:p>
            <w:pPr>
              <w:autoSpaceDE/>
              <w:autoSpaceDN/>
              <w:adjustRightInd/>
              <w:spacing w:line="360" w:lineRule="auto"/>
              <w:jc w:val="center"/>
              <w:rPr>
                <w:rFonts w:hAnsi="宋体" w:cs="宋体"/>
                <w:kern w:val="2"/>
                <w:sz w:val="21"/>
                <w:szCs w:val="21"/>
                <w:lang w:bidi="ar"/>
              </w:rPr>
            </w:pPr>
            <w:r>
              <w:rPr>
                <w:rFonts w:hint="eastAsia" w:hAnsi="宋体" w:cs="宋体"/>
                <w:kern w:val="2"/>
                <w:sz w:val="21"/>
                <w:szCs w:val="21"/>
                <w:lang w:bidi="ar"/>
              </w:rPr>
              <w:t>序号</w:t>
            </w:r>
          </w:p>
        </w:tc>
        <w:tc>
          <w:tcPr>
            <w:tcW w:w="519" w:type="pct"/>
            <w:shd w:val="clear" w:color="auto" w:fill="auto"/>
            <w:tcMar>
              <w:top w:w="15" w:type="dxa"/>
              <w:left w:w="15" w:type="dxa"/>
              <w:right w:w="15" w:type="dxa"/>
            </w:tcMar>
            <w:vAlign w:val="center"/>
          </w:tcPr>
          <w:p>
            <w:pPr>
              <w:autoSpaceDE/>
              <w:autoSpaceDN/>
              <w:adjustRightInd/>
              <w:spacing w:line="360" w:lineRule="auto"/>
              <w:jc w:val="center"/>
              <w:rPr>
                <w:rFonts w:hAnsi="宋体" w:cs="宋体"/>
                <w:kern w:val="2"/>
                <w:sz w:val="21"/>
                <w:szCs w:val="21"/>
                <w:lang w:bidi="ar"/>
              </w:rPr>
            </w:pPr>
            <w:r>
              <w:rPr>
                <w:rFonts w:hint="eastAsia" w:hAnsi="宋体" w:cs="宋体"/>
                <w:kern w:val="2"/>
                <w:sz w:val="21"/>
                <w:szCs w:val="21"/>
                <w:lang w:bidi="ar"/>
              </w:rPr>
              <w:t>项目工作</w:t>
            </w:r>
          </w:p>
        </w:tc>
        <w:tc>
          <w:tcPr>
            <w:tcW w:w="386" w:type="pct"/>
            <w:shd w:val="clear" w:color="auto" w:fill="auto"/>
            <w:tcMar>
              <w:top w:w="15" w:type="dxa"/>
              <w:left w:w="15" w:type="dxa"/>
              <w:right w:w="15" w:type="dxa"/>
            </w:tcMar>
            <w:vAlign w:val="center"/>
          </w:tcPr>
          <w:p>
            <w:pPr>
              <w:autoSpaceDE/>
              <w:autoSpaceDN/>
              <w:adjustRightInd/>
              <w:spacing w:line="360" w:lineRule="auto"/>
              <w:jc w:val="center"/>
              <w:rPr>
                <w:rFonts w:hAnsi="宋体" w:cs="宋体"/>
                <w:kern w:val="2"/>
                <w:sz w:val="21"/>
                <w:szCs w:val="21"/>
                <w:lang w:bidi="ar"/>
              </w:rPr>
            </w:pPr>
            <w:r>
              <w:rPr>
                <w:rFonts w:hint="eastAsia" w:hAnsi="宋体" w:cs="宋体"/>
                <w:kern w:val="2"/>
                <w:sz w:val="21"/>
                <w:szCs w:val="21"/>
                <w:lang w:bidi="ar"/>
              </w:rPr>
              <w:t>角色要求</w:t>
            </w:r>
          </w:p>
        </w:tc>
        <w:tc>
          <w:tcPr>
            <w:tcW w:w="1654" w:type="pct"/>
            <w:shd w:val="clear" w:color="auto" w:fill="auto"/>
            <w:tcMar>
              <w:top w:w="15" w:type="dxa"/>
              <w:left w:w="15" w:type="dxa"/>
              <w:right w:w="15" w:type="dxa"/>
            </w:tcMar>
            <w:vAlign w:val="center"/>
          </w:tcPr>
          <w:p>
            <w:pPr>
              <w:autoSpaceDE/>
              <w:autoSpaceDN/>
              <w:adjustRightInd/>
              <w:spacing w:line="360" w:lineRule="auto"/>
              <w:jc w:val="center"/>
              <w:rPr>
                <w:rFonts w:hAnsi="宋体" w:cs="宋体"/>
                <w:kern w:val="2"/>
                <w:sz w:val="21"/>
                <w:szCs w:val="21"/>
                <w:lang w:bidi="ar"/>
              </w:rPr>
            </w:pPr>
            <w:r>
              <w:rPr>
                <w:rFonts w:hint="eastAsia" w:hAnsi="宋体" w:cs="宋体"/>
                <w:kern w:val="2"/>
                <w:sz w:val="21"/>
                <w:szCs w:val="21"/>
                <w:lang w:bidi="ar"/>
              </w:rPr>
              <w:t>职责要求</w:t>
            </w:r>
          </w:p>
        </w:tc>
        <w:tc>
          <w:tcPr>
            <w:tcW w:w="1811" w:type="pct"/>
            <w:shd w:val="clear" w:color="auto" w:fill="auto"/>
            <w:tcMar>
              <w:top w:w="15" w:type="dxa"/>
              <w:left w:w="15" w:type="dxa"/>
              <w:right w:w="15" w:type="dxa"/>
            </w:tcMar>
            <w:vAlign w:val="center"/>
          </w:tcPr>
          <w:p>
            <w:pPr>
              <w:autoSpaceDE/>
              <w:autoSpaceDN/>
              <w:adjustRightInd/>
              <w:spacing w:line="360" w:lineRule="auto"/>
              <w:jc w:val="center"/>
              <w:rPr>
                <w:rFonts w:hAnsi="宋体" w:cs="宋体"/>
                <w:kern w:val="2"/>
                <w:sz w:val="21"/>
                <w:szCs w:val="21"/>
                <w:lang w:bidi="ar"/>
              </w:rPr>
            </w:pPr>
            <w:r>
              <w:rPr>
                <w:rFonts w:hint="eastAsia" w:hAnsi="宋体" w:cs="宋体"/>
                <w:kern w:val="2"/>
                <w:sz w:val="21"/>
                <w:szCs w:val="21"/>
                <w:lang w:bidi="ar"/>
              </w:rPr>
              <w:t>人员要求</w:t>
            </w:r>
          </w:p>
        </w:tc>
        <w:tc>
          <w:tcPr>
            <w:tcW w:w="358" w:type="pct"/>
            <w:shd w:val="clear" w:color="auto" w:fill="auto"/>
            <w:tcMar>
              <w:top w:w="15" w:type="dxa"/>
              <w:left w:w="15" w:type="dxa"/>
              <w:right w:w="15" w:type="dxa"/>
            </w:tcMar>
            <w:vAlign w:val="center"/>
          </w:tcPr>
          <w:p>
            <w:pPr>
              <w:autoSpaceDE/>
              <w:autoSpaceDN/>
              <w:adjustRightInd/>
              <w:spacing w:line="360" w:lineRule="auto"/>
              <w:jc w:val="center"/>
              <w:rPr>
                <w:rFonts w:hAnsi="宋体" w:cs="宋体"/>
                <w:kern w:val="2"/>
                <w:sz w:val="21"/>
                <w:szCs w:val="21"/>
                <w:lang w:bidi="ar"/>
              </w:rPr>
            </w:pPr>
            <w:r>
              <w:rPr>
                <w:rFonts w:hint="eastAsia" w:hAnsi="宋体" w:cs="宋体"/>
                <w:kern w:val="2"/>
                <w:sz w:val="21"/>
                <w:szCs w:val="21"/>
                <w:lang w:bidi="ar"/>
              </w:rPr>
              <w:t>人数要求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 w:hRule="atLeast"/>
          <w:jc w:val="center"/>
        </w:trPr>
        <w:tc>
          <w:tcPr>
            <w:tcW w:w="269" w:type="pct"/>
            <w:shd w:val="clear" w:color="auto" w:fill="auto"/>
            <w:tcMar>
              <w:top w:w="15" w:type="dxa"/>
              <w:left w:w="15" w:type="dxa"/>
              <w:right w:w="15" w:type="dxa"/>
            </w:tcMar>
            <w:vAlign w:val="center"/>
          </w:tcPr>
          <w:p>
            <w:pPr>
              <w:autoSpaceDE/>
              <w:autoSpaceDN/>
              <w:adjustRightInd/>
              <w:spacing w:line="360" w:lineRule="auto"/>
              <w:jc w:val="center"/>
              <w:rPr>
                <w:rFonts w:hAnsi="宋体" w:cs="宋体"/>
                <w:kern w:val="2"/>
                <w:sz w:val="21"/>
                <w:szCs w:val="21"/>
                <w:lang w:bidi="ar"/>
              </w:rPr>
            </w:pPr>
            <w:r>
              <w:rPr>
                <w:rFonts w:hint="eastAsia" w:hAnsi="宋体" w:cs="宋体"/>
                <w:kern w:val="2"/>
                <w:sz w:val="21"/>
                <w:szCs w:val="21"/>
                <w:lang w:bidi="ar"/>
              </w:rPr>
              <w:t>1</w:t>
            </w:r>
          </w:p>
        </w:tc>
        <w:tc>
          <w:tcPr>
            <w:tcW w:w="519" w:type="pct"/>
            <w:shd w:val="clear" w:color="auto" w:fill="auto"/>
            <w:tcMar>
              <w:top w:w="15" w:type="dxa"/>
              <w:left w:w="15" w:type="dxa"/>
              <w:right w:w="15" w:type="dxa"/>
            </w:tcMar>
            <w:vAlign w:val="center"/>
          </w:tcPr>
          <w:p>
            <w:pPr>
              <w:autoSpaceDE/>
              <w:autoSpaceDN/>
              <w:adjustRightInd/>
              <w:spacing w:line="360" w:lineRule="auto"/>
              <w:jc w:val="center"/>
              <w:rPr>
                <w:rFonts w:hAnsi="宋体" w:cs="宋体"/>
                <w:kern w:val="2"/>
                <w:sz w:val="21"/>
                <w:szCs w:val="21"/>
                <w:lang w:bidi="ar"/>
              </w:rPr>
            </w:pPr>
            <w:r>
              <w:rPr>
                <w:rFonts w:hint="eastAsia" w:hAnsi="宋体" w:cs="宋体"/>
                <w:kern w:val="2"/>
                <w:sz w:val="21"/>
                <w:szCs w:val="21"/>
                <w:lang w:bidi="ar"/>
              </w:rPr>
              <w:t>项目总负责</w:t>
            </w:r>
          </w:p>
        </w:tc>
        <w:tc>
          <w:tcPr>
            <w:tcW w:w="386" w:type="pct"/>
            <w:tcBorders>
              <w:bottom w:val="single" w:color="auto" w:sz="4" w:space="0"/>
            </w:tcBorders>
            <w:shd w:val="clear" w:color="auto" w:fill="auto"/>
            <w:tcMar>
              <w:top w:w="15" w:type="dxa"/>
              <w:left w:w="15" w:type="dxa"/>
              <w:right w:w="15" w:type="dxa"/>
            </w:tcMar>
            <w:vAlign w:val="center"/>
          </w:tcPr>
          <w:p>
            <w:pPr>
              <w:autoSpaceDE/>
              <w:autoSpaceDN/>
              <w:adjustRightInd/>
              <w:spacing w:line="360" w:lineRule="auto"/>
              <w:jc w:val="center"/>
              <w:rPr>
                <w:rFonts w:hAnsi="宋体" w:cs="宋体"/>
                <w:kern w:val="2"/>
                <w:sz w:val="21"/>
                <w:szCs w:val="21"/>
                <w:lang w:bidi="ar"/>
              </w:rPr>
            </w:pPr>
            <w:r>
              <w:rPr>
                <w:rFonts w:hint="eastAsia" w:hAnsi="宋体" w:cs="宋体"/>
                <w:kern w:val="2"/>
                <w:sz w:val="21"/>
                <w:szCs w:val="21"/>
                <w:lang w:bidi="ar"/>
              </w:rPr>
              <w:t>项目负责人</w:t>
            </w:r>
          </w:p>
        </w:tc>
        <w:tc>
          <w:tcPr>
            <w:tcW w:w="1654" w:type="pct"/>
            <w:tcBorders>
              <w:bottom w:val="single" w:color="auto" w:sz="4" w:space="0"/>
            </w:tcBorders>
            <w:shd w:val="clear" w:color="auto" w:fill="auto"/>
            <w:tcMar>
              <w:top w:w="15" w:type="dxa"/>
              <w:left w:w="15" w:type="dxa"/>
              <w:right w:w="15" w:type="dxa"/>
            </w:tcMar>
            <w:vAlign w:val="center"/>
          </w:tcPr>
          <w:p>
            <w:pPr>
              <w:autoSpaceDE/>
              <w:autoSpaceDN/>
              <w:adjustRightInd/>
              <w:spacing w:line="360" w:lineRule="auto"/>
              <w:rPr>
                <w:rFonts w:hAnsi="宋体" w:cs="宋体"/>
                <w:kern w:val="2"/>
                <w:sz w:val="21"/>
                <w:szCs w:val="21"/>
                <w:lang w:bidi="ar"/>
              </w:rPr>
            </w:pPr>
            <w:r>
              <w:rPr>
                <w:rFonts w:hint="eastAsia" w:hAnsi="宋体" w:cs="宋体"/>
                <w:kern w:val="2"/>
                <w:sz w:val="21"/>
                <w:szCs w:val="21"/>
                <w:lang w:bidi="ar"/>
              </w:rPr>
              <w:t>项目总负责人，负责全面统筹、把控项目总体开展情况；负责整体项目的设计进度及风险管理、设计质量管理、人员管理，组织完成整个项目的设计工作；确保与采购人良好的沟通与协作，保证项目顺利进行。</w:t>
            </w:r>
          </w:p>
        </w:tc>
        <w:tc>
          <w:tcPr>
            <w:tcW w:w="1811" w:type="pct"/>
            <w:tcBorders>
              <w:bottom w:val="single" w:color="auto" w:sz="4" w:space="0"/>
            </w:tcBorders>
            <w:shd w:val="clear" w:color="auto" w:fill="auto"/>
            <w:tcMar>
              <w:top w:w="15" w:type="dxa"/>
              <w:left w:w="15" w:type="dxa"/>
              <w:right w:w="15" w:type="dxa"/>
            </w:tcMar>
            <w:vAlign w:val="center"/>
          </w:tcPr>
          <w:p>
            <w:pPr>
              <w:autoSpaceDE/>
              <w:autoSpaceDN/>
              <w:adjustRightInd/>
              <w:spacing w:line="360" w:lineRule="auto"/>
              <w:rPr>
                <w:rFonts w:hAnsi="宋体" w:cs="宋体"/>
                <w:kern w:val="2"/>
                <w:sz w:val="21"/>
                <w:szCs w:val="21"/>
                <w:lang w:bidi="ar"/>
              </w:rPr>
            </w:pPr>
            <w:r>
              <w:rPr>
                <w:rFonts w:hint="eastAsia" w:hAnsi="宋体" w:cs="宋体"/>
                <w:kern w:val="2"/>
                <w:sz w:val="21"/>
                <w:szCs w:val="21"/>
                <w:lang w:bidi="ar"/>
              </w:rPr>
              <w:t>具有信息化类项目管理、咨询、建造、信息安全等相关专业高级职称至少一项。</w:t>
            </w:r>
          </w:p>
        </w:tc>
        <w:tc>
          <w:tcPr>
            <w:tcW w:w="358" w:type="pct"/>
            <w:tcBorders>
              <w:bottom w:val="single" w:color="auto" w:sz="4" w:space="0"/>
            </w:tcBorders>
            <w:shd w:val="clear" w:color="auto" w:fill="auto"/>
            <w:tcMar>
              <w:top w:w="15" w:type="dxa"/>
              <w:left w:w="15" w:type="dxa"/>
              <w:right w:w="15" w:type="dxa"/>
            </w:tcMar>
            <w:vAlign w:val="center"/>
          </w:tcPr>
          <w:p>
            <w:pPr>
              <w:autoSpaceDE/>
              <w:autoSpaceDN/>
              <w:adjustRightInd/>
              <w:spacing w:line="360" w:lineRule="auto"/>
              <w:jc w:val="center"/>
              <w:rPr>
                <w:rFonts w:hAnsi="宋体" w:cs="宋体"/>
                <w:kern w:val="2"/>
                <w:sz w:val="21"/>
                <w:szCs w:val="21"/>
                <w:lang w:bidi="ar"/>
              </w:rPr>
            </w:pPr>
            <w:r>
              <w:rPr>
                <w:rFonts w:hint="eastAsia" w:hAnsi="宋体" w:cs="宋体"/>
                <w:kern w:val="2"/>
                <w:sz w:val="21"/>
                <w:szCs w:val="21"/>
                <w:lang w:bidi="ar"/>
              </w:rPr>
              <w:t>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3" w:hRule="atLeast"/>
          <w:jc w:val="center"/>
        </w:trPr>
        <w:tc>
          <w:tcPr>
            <w:tcW w:w="269" w:type="pct"/>
            <w:shd w:val="clear" w:color="auto" w:fill="auto"/>
            <w:tcMar>
              <w:top w:w="15" w:type="dxa"/>
              <w:left w:w="15" w:type="dxa"/>
              <w:right w:w="15" w:type="dxa"/>
            </w:tcMar>
            <w:vAlign w:val="center"/>
          </w:tcPr>
          <w:p>
            <w:pPr>
              <w:autoSpaceDE/>
              <w:autoSpaceDN/>
              <w:adjustRightInd/>
              <w:spacing w:line="360" w:lineRule="auto"/>
              <w:jc w:val="center"/>
              <w:rPr>
                <w:rFonts w:hAnsi="宋体" w:cs="宋体"/>
                <w:kern w:val="2"/>
                <w:sz w:val="21"/>
                <w:szCs w:val="21"/>
                <w:lang w:bidi="ar"/>
              </w:rPr>
            </w:pPr>
            <w:r>
              <w:rPr>
                <w:rFonts w:hint="eastAsia" w:hAnsi="宋体" w:cs="宋体"/>
                <w:kern w:val="2"/>
                <w:sz w:val="21"/>
                <w:szCs w:val="21"/>
                <w:lang w:bidi="ar"/>
              </w:rPr>
              <w:t>2</w:t>
            </w:r>
          </w:p>
        </w:tc>
        <w:tc>
          <w:tcPr>
            <w:tcW w:w="519" w:type="pct"/>
            <w:tcBorders>
              <w:right w:val="single" w:color="auto" w:sz="4" w:space="0"/>
            </w:tcBorders>
            <w:shd w:val="clear" w:color="auto" w:fill="auto"/>
            <w:tcMar>
              <w:top w:w="15" w:type="dxa"/>
              <w:left w:w="15" w:type="dxa"/>
              <w:right w:w="15" w:type="dxa"/>
            </w:tcMar>
            <w:vAlign w:val="center"/>
          </w:tcPr>
          <w:p>
            <w:pPr>
              <w:autoSpaceDE/>
              <w:autoSpaceDN/>
              <w:adjustRightInd/>
              <w:spacing w:line="360" w:lineRule="auto"/>
              <w:jc w:val="center"/>
              <w:rPr>
                <w:rFonts w:hAnsi="宋体" w:cs="宋体"/>
                <w:kern w:val="2"/>
                <w:sz w:val="21"/>
                <w:szCs w:val="21"/>
                <w:lang w:bidi="ar"/>
              </w:rPr>
            </w:pPr>
            <w:r>
              <w:rPr>
                <w:rFonts w:hint="eastAsia" w:hAnsi="宋体" w:cs="宋体"/>
                <w:kern w:val="2"/>
                <w:sz w:val="21"/>
                <w:szCs w:val="21"/>
                <w:lang w:bidi="ar"/>
              </w:rPr>
              <w:t>雨污同治项目设计（含概算）</w:t>
            </w:r>
          </w:p>
        </w:tc>
        <w:tc>
          <w:tcPr>
            <w:tcW w:w="386"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autoSpaceDE/>
              <w:autoSpaceDN/>
              <w:adjustRightInd/>
              <w:spacing w:line="360" w:lineRule="auto"/>
              <w:jc w:val="center"/>
              <w:rPr>
                <w:rFonts w:hAnsi="宋体" w:cs="宋体"/>
                <w:kern w:val="2"/>
                <w:sz w:val="21"/>
                <w:szCs w:val="21"/>
                <w:lang w:bidi="ar"/>
              </w:rPr>
            </w:pPr>
            <w:r>
              <w:rPr>
                <w:rFonts w:hint="eastAsia" w:hAnsi="宋体" w:cs="宋体"/>
                <w:kern w:val="2"/>
                <w:sz w:val="21"/>
                <w:szCs w:val="21"/>
                <w:lang w:bidi="ar"/>
              </w:rPr>
              <w:t>设计工程师</w:t>
            </w:r>
          </w:p>
        </w:tc>
        <w:tc>
          <w:tcPr>
            <w:tcW w:w="1654"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autoSpaceDE/>
              <w:autoSpaceDN/>
              <w:adjustRightInd/>
              <w:spacing w:line="360" w:lineRule="auto"/>
              <w:rPr>
                <w:rFonts w:hAnsi="宋体" w:cs="宋体"/>
                <w:kern w:val="2"/>
                <w:sz w:val="21"/>
                <w:szCs w:val="21"/>
                <w:lang w:bidi="ar"/>
              </w:rPr>
            </w:pPr>
            <w:r>
              <w:rPr>
                <w:rFonts w:hint="eastAsia" w:hAnsi="宋体" w:cs="宋体"/>
                <w:kern w:val="2"/>
                <w:sz w:val="21"/>
                <w:szCs w:val="21"/>
                <w:lang w:bidi="ar"/>
              </w:rPr>
              <w:t>负责该部分的现场调研，方案、概算编制及完善，协助方案评审、概算审核，以及完成该项工作中的技术交底等相关工作。</w:t>
            </w:r>
          </w:p>
        </w:tc>
        <w:tc>
          <w:tcPr>
            <w:tcW w:w="1811"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autoSpaceDE/>
              <w:autoSpaceDN/>
              <w:adjustRightInd/>
              <w:spacing w:line="360" w:lineRule="auto"/>
              <w:rPr>
                <w:rFonts w:hAnsi="宋体" w:cs="宋体"/>
                <w:kern w:val="2"/>
                <w:sz w:val="21"/>
                <w:szCs w:val="21"/>
                <w:lang w:bidi="ar"/>
              </w:rPr>
            </w:pPr>
            <w:r>
              <w:rPr>
                <w:rFonts w:hint="eastAsia" w:hAnsi="宋体" w:cs="宋体"/>
                <w:kern w:val="2"/>
                <w:sz w:val="21"/>
                <w:szCs w:val="21"/>
                <w:lang w:bidi="ar"/>
              </w:rPr>
              <w:t>一半</w:t>
            </w:r>
            <w:r>
              <w:rPr>
                <w:rFonts w:hint="eastAsia" w:hAnsi="宋体" w:cs="宋体"/>
                <w:kern w:val="2"/>
                <w:sz w:val="21"/>
                <w:szCs w:val="21"/>
                <w:lang w:eastAsia="zh-CN" w:bidi="ar"/>
              </w:rPr>
              <w:t>（</w:t>
            </w:r>
            <w:r>
              <w:rPr>
                <w:rFonts w:hint="eastAsia" w:hAnsi="宋体" w:cs="宋体"/>
                <w:kern w:val="2"/>
                <w:sz w:val="21"/>
                <w:szCs w:val="21"/>
                <w:lang w:val="en-US" w:eastAsia="zh-CN" w:bidi="ar"/>
              </w:rPr>
              <w:t>向上取整</w:t>
            </w:r>
            <w:r>
              <w:rPr>
                <w:rFonts w:hint="eastAsia" w:hAnsi="宋体" w:cs="宋体"/>
                <w:kern w:val="2"/>
                <w:sz w:val="21"/>
                <w:szCs w:val="21"/>
                <w:lang w:eastAsia="zh-CN" w:bidi="ar"/>
              </w:rPr>
              <w:t>）</w:t>
            </w:r>
            <w:r>
              <w:rPr>
                <w:rFonts w:hint="eastAsia" w:hAnsi="宋体" w:cs="宋体"/>
                <w:kern w:val="2"/>
                <w:sz w:val="21"/>
                <w:szCs w:val="21"/>
                <w:lang w:bidi="ar"/>
              </w:rPr>
              <w:t>或以上人员至少具备信息化类项目管理、咨询、建造、信息安全等相关专业其中一项专业的中级或以上职称。</w:t>
            </w:r>
          </w:p>
        </w:tc>
        <w:tc>
          <w:tcPr>
            <w:tcW w:w="358"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autoSpaceDE/>
              <w:autoSpaceDN/>
              <w:adjustRightInd/>
              <w:spacing w:line="360" w:lineRule="auto"/>
              <w:jc w:val="center"/>
              <w:rPr>
                <w:rFonts w:hAnsi="宋体" w:cs="宋体"/>
                <w:kern w:val="2"/>
                <w:sz w:val="21"/>
                <w:szCs w:val="21"/>
                <w:lang w:bidi="ar"/>
              </w:rPr>
            </w:pPr>
            <w:r>
              <w:rPr>
                <w:rFonts w:hint="eastAsia" w:hAnsi="宋体" w:cs="宋体"/>
                <w:kern w:val="2"/>
                <w:sz w:val="21"/>
                <w:szCs w:val="21"/>
                <w:lang w:bidi="ar"/>
              </w:rPr>
              <w:t>不少于2人</w:t>
            </w:r>
          </w:p>
        </w:tc>
      </w:tr>
    </w:tbl>
    <w:p>
      <w:pPr>
        <w:numPr>
          <w:ilvl w:val="0"/>
          <w:numId w:val="4"/>
        </w:numPr>
        <w:adjustRightInd/>
        <w:spacing w:line="360" w:lineRule="auto"/>
        <w:ind w:firstLine="480" w:firstLineChars="200"/>
        <w:jc w:val="both"/>
        <w:rPr>
          <w:rFonts w:hAnsi="宋体" w:cs="宋体"/>
        </w:rPr>
      </w:pPr>
      <w:r>
        <w:rPr>
          <w:rFonts w:hint="eastAsia" w:hAnsi="宋体" w:cs="宋体"/>
        </w:rPr>
        <w:t>配置的项目人员数量至少为3人，其中项目负责人需具有上述相关专业的高级职称，</w:t>
      </w:r>
      <w:r>
        <w:rPr>
          <w:rFonts w:hint="eastAsia" w:hAnsi="宋体" w:cs="宋体"/>
          <w:kern w:val="2"/>
          <w:lang w:bidi="ar"/>
        </w:rPr>
        <w:t>其他成员</w:t>
      </w:r>
      <w:r>
        <w:rPr>
          <w:rFonts w:hint="eastAsia" w:hAnsi="宋体" w:cs="宋体"/>
        </w:rPr>
        <w:t>一半</w:t>
      </w:r>
      <w:r>
        <w:rPr>
          <w:rFonts w:hint="eastAsia" w:hAnsi="宋体" w:cs="宋体"/>
          <w:kern w:val="2"/>
          <w:sz w:val="24"/>
          <w:szCs w:val="24"/>
          <w:lang w:eastAsia="zh-CN" w:bidi="ar"/>
        </w:rPr>
        <w:t>（</w:t>
      </w:r>
      <w:r>
        <w:rPr>
          <w:rFonts w:hint="eastAsia" w:hAnsi="宋体" w:cs="宋体"/>
          <w:kern w:val="2"/>
          <w:sz w:val="24"/>
          <w:szCs w:val="24"/>
          <w:lang w:val="en-US" w:eastAsia="zh-CN" w:bidi="ar"/>
        </w:rPr>
        <w:t>向上取整</w:t>
      </w:r>
      <w:r>
        <w:rPr>
          <w:rFonts w:hint="eastAsia" w:hAnsi="宋体" w:cs="宋体"/>
          <w:kern w:val="2"/>
          <w:sz w:val="24"/>
          <w:szCs w:val="24"/>
          <w:lang w:eastAsia="zh-CN" w:bidi="ar"/>
        </w:rPr>
        <w:t>）</w:t>
      </w:r>
      <w:r>
        <w:rPr>
          <w:rFonts w:hint="eastAsia" w:hAnsi="宋体" w:cs="宋体"/>
        </w:rPr>
        <w:t>或以上具备相关专业中级或以上职称。（参与报价需提供相关职称证明和社保证明，具体详见报价文件要求）。</w:t>
      </w:r>
    </w:p>
    <w:p>
      <w:pPr>
        <w:numPr>
          <w:ilvl w:val="0"/>
          <w:numId w:val="4"/>
        </w:numPr>
        <w:adjustRightInd/>
        <w:spacing w:line="360" w:lineRule="auto"/>
        <w:ind w:firstLine="480" w:firstLineChars="200"/>
        <w:jc w:val="both"/>
      </w:pPr>
      <w:r>
        <w:rPr>
          <w:rFonts w:hint="eastAsia" w:hAnsi="宋体" w:cs="宋体"/>
        </w:rPr>
        <w:t>人员服务要求：确定</w:t>
      </w:r>
      <w:r>
        <w:rPr>
          <w:rFonts w:hint="eastAsia" w:hAnsi="宋体" w:cs="宋体"/>
          <w:lang w:val="en-US" w:eastAsia="zh-CN"/>
        </w:rPr>
        <w:t>服务商</w:t>
      </w:r>
      <w:r>
        <w:rPr>
          <w:rFonts w:hint="eastAsia" w:hAnsi="宋体" w:cs="宋体"/>
        </w:rPr>
        <w:t>并签订合同后，合同中的项目人员需与报价文件中保持一致，并按采购人要求派驻至少1名主要项目人员，</w:t>
      </w:r>
      <w:r>
        <w:rPr>
          <w:rFonts w:hint="eastAsia" w:hAnsi="宋体" w:cs="宋体"/>
          <w:lang w:eastAsia="zh-CN"/>
        </w:rPr>
        <w:t>报价人</w:t>
      </w:r>
      <w:r>
        <w:rPr>
          <w:rFonts w:hint="eastAsia" w:hAnsi="宋体" w:cs="宋体"/>
        </w:rPr>
        <w:t>不得随意更换项目及派驻人员，所有项目人员如需更换调整需经采购人同意。同时，服务过程中采购人发现</w:t>
      </w:r>
      <w:r>
        <w:rPr>
          <w:rFonts w:hint="eastAsia" w:hAnsi="宋体" w:cs="宋体"/>
          <w:lang w:val="en-US" w:eastAsia="zh-CN"/>
        </w:rPr>
        <w:t>项目人员</w:t>
      </w:r>
      <w:r>
        <w:rPr>
          <w:rFonts w:hint="eastAsia" w:hAnsi="宋体" w:cs="宋体"/>
        </w:rPr>
        <w:t>明显不符合工作要求的，有权要求</w:t>
      </w:r>
      <w:r>
        <w:rPr>
          <w:rFonts w:hint="eastAsia" w:hAnsi="宋体" w:cs="宋体"/>
          <w:lang w:eastAsia="zh-CN"/>
        </w:rPr>
        <w:t>报价人</w:t>
      </w:r>
      <w:r>
        <w:rPr>
          <w:rFonts w:hint="eastAsia" w:hAnsi="宋体" w:cs="宋体"/>
        </w:rPr>
        <w:t>更换项目人员，</w:t>
      </w:r>
      <w:r>
        <w:rPr>
          <w:rFonts w:hint="eastAsia" w:hAnsi="宋体" w:cs="宋体"/>
          <w:lang w:eastAsia="zh-CN"/>
        </w:rPr>
        <w:t>报价人</w:t>
      </w:r>
      <w:r>
        <w:rPr>
          <w:rFonts w:hint="eastAsia" w:hAnsi="宋体" w:cs="宋体"/>
        </w:rPr>
        <w:t>应在采购人提出更换人员要求后的3个工作日内按要求给予调换。更换人员超过2次均不符合要求或</w:t>
      </w:r>
      <w:r>
        <w:rPr>
          <w:rFonts w:hint="eastAsia" w:hAnsi="宋体" w:cs="宋体"/>
          <w:lang w:val="en-US" w:eastAsia="zh-CN"/>
        </w:rPr>
        <w:t>报价人</w:t>
      </w:r>
      <w:r>
        <w:rPr>
          <w:rFonts w:hint="eastAsia" w:hAnsi="宋体" w:cs="宋体"/>
        </w:rPr>
        <w:t>擅自更换项目人员，采购人有权单方终止合同，并根据合同执行相关赔偿责任；在合同履行期间，遇特殊情况需更换项目人员的，须提前书面告知采购单位，在征得采购单位同意情况下，以同等水平置换（包括个人资质、项目经验、专业背景等）方式进行人员更换、补充。</w:t>
      </w:r>
    </w:p>
    <w:p>
      <w:pPr>
        <w:adjustRightInd/>
        <w:spacing w:line="360" w:lineRule="auto"/>
        <w:ind w:firstLine="482" w:firstLineChars="200"/>
        <w:jc w:val="both"/>
        <w:rPr>
          <w:rFonts w:hAnsi="宋体" w:cs="宋体"/>
          <w:b/>
          <w:bCs/>
        </w:rPr>
      </w:pPr>
      <w:bookmarkStart w:id="30" w:name="_Toc4834"/>
      <w:r>
        <w:rPr>
          <w:rFonts w:hint="eastAsia" w:hAnsi="宋体" w:cs="宋体"/>
          <w:b/>
          <w:bCs/>
        </w:rPr>
        <w:t>（五）交付成果及验收要求</w:t>
      </w:r>
      <w:bookmarkEnd w:id="30"/>
    </w:p>
    <w:p>
      <w:pPr>
        <w:numPr>
          <w:ilvl w:val="0"/>
          <w:numId w:val="5"/>
        </w:numPr>
        <w:adjustRightInd/>
        <w:spacing w:line="360" w:lineRule="auto"/>
        <w:ind w:firstLine="480" w:firstLineChars="200"/>
        <w:jc w:val="both"/>
      </w:pPr>
      <w:r>
        <w:rPr>
          <w:rFonts w:hint="eastAsia" w:hAnsi="宋体" w:cs="宋体"/>
        </w:rPr>
        <w:t>根据服务内容及雨污同治项目的范围，本项目主要交付项目成果为：设计工作实施计划、设计文件（含概算）。</w:t>
      </w:r>
    </w:p>
    <w:p>
      <w:pPr>
        <w:numPr>
          <w:ilvl w:val="0"/>
          <w:numId w:val="5"/>
        </w:numPr>
        <w:adjustRightInd/>
        <w:spacing w:line="360" w:lineRule="auto"/>
        <w:ind w:firstLine="480" w:firstLineChars="200"/>
        <w:jc w:val="both"/>
        <w:rPr>
          <w:rFonts w:hAnsi="宋体" w:cs="宋体"/>
        </w:rPr>
      </w:pPr>
      <w:r>
        <w:rPr>
          <w:rFonts w:hint="eastAsia" w:hAnsi="宋体" w:cs="宋体"/>
        </w:rPr>
        <w:t>交付成果验收标准：通过采购人、评审组及东莞市水务集团等相关单位审议审查，经采购人确认后视为设计服务通过验收。</w:t>
      </w:r>
    </w:p>
    <w:p>
      <w:pPr>
        <w:adjustRightInd/>
        <w:spacing w:line="360" w:lineRule="auto"/>
        <w:ind w:firstLine="482" w:firstLineChars="200"/>
        <w:jc w:val="both"/>
        <w:rPr>
          <w:rFonts w:hAnsi="宋体" w:cs="宋体"/>
          <w:b/>
          <w:bCs/>
        </w:rPr>
      </w:pPr>
      <w:r>
        <w:rPr>
          <w:rFonts w:hint="eastAsia" w:hAnsi="宋体" w:cs="宋体"/>
          <w:b/>
          <w:bCs/>
        </w:rPr>
        <w:t>（六）其他要求</w:t>
      </w:r>
    </w:p>
    <w:p>
      <w:pPr>
        <w:numPr>
          <w:ilvl w:val="0"/>
          <w:numId w:val="6"/>
        </w:numPr>
        <w:adjustRightInd/>
        <w:spacing w:line="360" w:lineRule="auto"/>
        <w:ind w:firstLine="480" w:firstLineChars="200"/>
        <w:jc w:val="both"/>
        <w:rPr>
          <w:rFonts w:hAnsi="宋体" w:cs="宋体"/>
        </w:rPr>
      </w:pPr>
      <w:r>
        <w:rPr>
          <w:rFonts w:hAnsi="宋体" w:cs="宋体"/>
        </w:rPr>
        <w:t>合同签订后，服务商应积极参加由采购人定期组织召开的例会及其他专题会议，及时汇报工作进度，研究解决工作中遇到的问题。</w:t>
      </w:r>
    </w:p>
    <w:p>
      <w:pPr>
        <w:numPr>
          <w:ilvl w:val="0"/>
          <w:numId w:val="6"/>
        </w:numPr>
        <w:adjustRightInd/>
        <w:spacing w:line="360" w:lineRule="auto"/>
        <w:ind w:firstLine="480" w:firstLineChars="200"/>
        <w:jc w:val="both"/>
        <w:rPr>
          <w:rFonts w:hAnsi="宋体" w:cs="宋体"/>
        </w:rPr>
      </w:pPr>
      <w:r>
        <w:rPr>
          <w:rFonts w:hAnsi="宋体" w:cs="宋体"/>
        </w:rPr>
        <w:t>合同签订后，服务商可根据客观条件局部调整技术路线，调整内容不得影响评估结果的科学性、真实性、可靠性，且必须征得采购人同意。</w:t>
      </w:r>
    </w:p>
    <w:p>
      <w:pPr>
        <w:pStyle w:val="55"/>
        <w:numPr>
          <w:ilvl w:val="0"/>
          <w:numId w:val="0"/>
        </w:numPr>
        <w:spacing w:before="156" w:after="156" w:line="360" w:lineRule="auto"/>
        <w:outlineLvl w:val="0"/>
        <w:rPr>
          <w:rFonts w:ascii="宋体" w:hAnsi="宋体" w:eastAsia="宋体" w:cs="宋体"/>
          <w:sz w:val="24"/>
          <w:szCs w:val="24"/>
        </w:rPr>
      </w:pPr>
      <w:bookmarkStart w:id="31" w:name="_Toc5917"/>
      <w:r>
        <w:rPr>
          <w:rFonts w:hint="eastAsia" w:ascii="宋体" w:hAnsi="宋体" w:eastAsia="宋体" w:cs="宋体"/>
          <w:b/>
          <w:bCs/>
          <w:color w:val="000000"/>
          <w:sz w:val="24"/>
          <w:szCs w:val="24"/>
        </w:rPr>
        <w:t>六、报价及付款方式</w:t>
      </w:r>
      <w:bookmarkEnd w:id="31"/>
    </w:p>
    <w:p>
      <w:pPr>
        <w:spacing w:line="360" w:lineRule="auto"/>
        <w:ind w:firstLine="480" w:firstLineChars="200"/>
        <w:rPr>
          <w:rFonts w:hAnsi="宋体" w:cs="宋体"/>
        </w:rPr>
      </w:pPr>
      <w:r>
        <w:rPr>
          <w:rFonts w:hint="eastAsia" w:hAnsi="宋体" w:cs="宋体"/>
        </w:rPr>
        <w:t>报价人报价不得高于最高限价，报价人须了解项目情况、各类费用以及风险情况，并提交加盖公章的报价文件。</w:t>
      </w:r>
    </w:p>
    <w:p>
      <w:pPr>
        <w:spacing w:line="360" w:lineRule="auto"/>
        <w:ind w:firstLine="480" w:firstLineChars="200"/>
        <w:rPr>
          <w:rFonts w:hAnsi="宋体" w:cs="宋体"/>
        </w:rPr>
      </w:pPr>
      <w:r>
        <w:rPr>
          <w:rFonts w:hint="eastAsia" w:hAnsi="宋体" w:cs="宋体"/>
        </w:rPr>
        <w:t>本项目付款分为三个阶段：</w:t>
      </w:r>
    </w:p>
    <w:p>
      <w:pPr>
        <w:numPr>
          <w:ilvl w:val="0"/>
          <w:numId w:val="7"/>
        </w:numPr>
        <w:adjustRightInd/>
        <w:spacing w:line="360" w:lineRule="auto"/>
        <w:ind w:firstLine="480" w:firstLineChars="200"/>
        <w:jc w:val="both"/>
        <w:rPr>
          <w:rFonts w:hAnsi="宋体" w:cs="宋体"/>
        </w:rPr>
      </w:pPr>
      <w:r>
        <w:rPr>
          <w:rFonts w:hint="eastAsia" w:hAnsi="宋体" w:cs="宋体"/>
        </w:rPr>
        <w:t>完成合同签订后，服务单位向采购人申请支付合同金额的30%；</w:t>
      </w:r>
    </w:p>
    <w:p>
      <w:pPr>
        <w:numPr>
          <w:ilvl w:val="0"/>
          <w:numId w:val="7"/>
        </w:numPr>
        <w:adjustRightInd/>
        <w:spacing w:line="360" w:lineRule="auto"/>
        <w:ind w:firstLine="480" w:firstLineChars="200"/>
        <w:jc w:val="both"/>
        <w:rPr>
          <w:rFonts w:hAnsi="宋体" w:cs="宋体"/>
        </w:rPr>
      </w:pPr>
      <w:r>
        <w:rPr>
          <w:rFonts w:hint="eastAsia" w:hAnsi="宋体" w:cs="宋体"/>
        </w:rPr>
        <w:t>所有交付成果通过验收后，服务单位向采购人申请支付合同金额的50%；</w:t>
      </w:r>
    </w:p>
    <w:p>
      <w:pPr>
        <w:numPr>
          <w:ilvl w:val="0"/>
          <w:numId w:val="7"/>
        </w:numPr>
        <w:adjustRightInd/>
        <w:spacing w:line="360" w:lineRule="auto"/>
        <w:ind w:firstLine="480" w:firstLineChars="200"/>
        <w:jc w:val="both"/>
        <w:rPr>
          <w:rFonts w:hAnsi="宋体" w:cs="宋体"/>
        </w:rPr>
      </w:pPr>
      <w:r>
        <w:rPr>
          <w:rFonts w:hint="eastAsia" w:hAnsi="宋体" w:cs="宋体"/>
        </w:rPr>
        <w:t>基础平台项目通过初步验收并上线试运行，服务单位向采购人申请支付合同金额的20%。</w:t>
      </w:r>
    </w:p>
    <w:p>
      <w:pPr>
        <w:numPr>
          <w:ilvl w:val="0"/>
          <w:numId w:val="7"/>
        </w:numPr>
        <w:adjustRightInd/>
        <w:spacing w:line="360" w:lineRule="auto"/>
        <w:ind w:firstLine="480" w:firstLineChars="200"/>
        <w:jc w:val="both"/>
        <w:rPr>
          <w:rFonts w:hAnsi="宋体" w:cs="宋体"/>
        </w:rPr>
      </w:pPr>
      <w:r>
        <w:rPr>
          <w:rFonts w:hint="eastAsia" w:hAnsi="宋体" w:cs="宋体"/>
        </w:rPr>
        <w:t>服务单位每次请款需按要求向各采购人提交请款报告及合法、等额、有效的增值税专用发票，采购人在收到前述材料并通过审核后15个工作日完成款项支付工作。</w:t>
      </w:r>
    </w:p>
    <w:p>
      <w:pPr>
        <w:pStyle w:val="7"/>
        <w:sectPr>
          <w:footerReference r:id="rId4" w:type="default"/>
          <w:pgSz w:w="11906" w:h="16838"/>
          <w:pgMar w:top="1440" w:right="1800" w:bottom="1440" w:left="1800" w:header="851" w:footer="992" w:gutter="0"/>
          <w:cols w:space="425" w:num="1"/>
          <w:docGrid w:type="lines" w:linePitch="312" w:charSpace="0"/>
        </w:sectPr>
      </w:pPr>
    </w:p>
    <w:bookmarkEnd w:id="14"/>
    <w:bookmarkEnd w:id="15"/>
    <w:bookmarkEnd w:id="16"/>
    <w:p>
      <w:pPr>
        <w:keepNext/>
        <w:keepLines/>
        <w:outlineLvl w:val="0"/>
        <w:rPr>
          <w:rFonts w:ascii="方正小标宋简体" w:hAnsi="方正小标宋简体" w:eastAsia="方正小标宋简体" w:cs="方正小标宋简体"/>
          <w:bCs/>
          <w:kern w:val="44"/>
          <w:sz w:val="28"/>
          <w:szCs w:val="28"/>
          <w:lang w:bidi="en-US"/>
        </w:rPr>
      </w:pPr>
      <w:bookmarkStart w:id="32" w:name="_Toc23281"/>
      <w:bookmarkStart w:id="33" w:name="_Toc14704"/>
      <w:r>
        <w:rPr>
          <w:rFonts w:hint="eastAsia" w:ascii="方正小标宋简体" w:hAnsi="方正小标宋简体" w:eastAsia="方正小标宋简体" w:cs="方正小标宋简体"/>
          <w:bCs/>
          <w:kern w:val="44"/>
          <w:sz w:val="28"/>
          <w:szCs w:val="28"/>
          <w:lang w:bidi="en-US"/>
        </w:rPr>
        <w:t>附件：</w:t>
      </w:r>
      <w:bookmarkEnd w:id="32"/>
      <w:bookmarkEnd w:id="33"/>
    </w:p>
    <w:p>
      <w:pPr>
        <w:spacing w:line="360" w:lineRule="auto"/>
        <w:jc w:val="center"/>
        <w:rPr>
          <w:rFonts w:ascii="方正小标宋简体" w:hAnsi="宋体" w:eastAsia="方正小标宋简体" w:cs="宋体"/>
          <w:w w:val="90"/>
          <w:kern w:val="2"/>
          <w:sz w:val="36"/>
          <w:szCs w:val="36"/>
          <w:lang w:bidi="en-US"/>
        </w:rPr>
      </w:pPr>
      <w:r>
        <w:rPr>
          <w:rFonts w:hint="eastAsia" w:ascii="方正小标宋简体" w:hAnsi="宋体" w:eastAsia="方正小标宋简体" w:cs="宋体"/>
          <w:w w:val="90"/>
          <w:kern w:val="2"/>
          <w:sz w:val="36"/>
          <w:szCs w:val="36"/>
          <w:lang w:bidi="en-US"/>
        </w:rPr>
        <w:t>东莞市管网运营平台雨污同治升级项目建设方案概要</w:t>
      </w:r>
    </w:p>
    <w:p>
      <w:pPr>
        <w:keepNext/>
        <w:keepLines/>
        <w:spacing w:before="260" w:after="260" w:line="413" w:lineRule="auto"/>
        <w:jc w:val="both"/>
        <w:outlineLvl w:val="1"/>
        <w:rPr>
          <w:rFonts w:ascii="Arial" w:hAnsi="Arial" w:eastAsia="黑体" w:cs="宋体"/>
          <w:b/>
          <w:kern w:val="2"/>
          <w:sz w:val="32"/>
          <w:lang w:bidi="en-US"/>
        </w:rPr>
      </w:pPr>
      <w:bookmarkStart w:id="34" w:name="_Toc23899"/>
      <w:bookmarkStart w:id="35" w:name="_Toc8346"/>
      <w:r>
        <w:rPr>
          <w:rFonts w:hint="eastAsia" w:ascii="Arial" w:hAnsi="Arial" w:eastAsia="黑体" w:cs="宋体"/>
          <w:b/>
          <w:kern w:val="2"/>
          <w:sz w:val="32"/>
          <w:lang w:bidi="en-US"/>
        </w:rPr>
        <w:t>一、</w:t>
      </w:r>
      <w:r>
        <w:fldChar w:fldCharType="begin"/>
      </w:r>
      <w:r>
        <w:instrText xml:space="preserve"> HYPERLINK \l "_Toc138254408" </w:instrText>
      </w:r>
      <w:r>
        <w:fldChar w:fldCharType="separate"/>
      </w:r>
      <w:r>
        <w:rPr>
          <w:rFonts w:hint="eastAsia" w:ascii="Arial" w:hAnsi="Arial" w:eastAsia="黑体" w:cs="宋体"/>
          <w:b/>
          <w:kern w:val="2"/>
          <w:sz w:val="32"/>
          <w:lang w:bidi="en-US"/>
        </w:rPr>
        <w:t>总体建设方案</w:t>
      </w:r>
      <w:r>
        <w:rPr>
          <w:rFonts w:hint="eastAsia" w:ascii="Arial" w:hAnsi="Arial" w:eastAsia="黑体" w:cs="宋体"/>
          <w:b/>
          <w:kern w:val="2"/>
          <w:sz w:val="32"/>
          <w:lang w:bidi="en-US"/>
        </w:rPr>
        <w:fldChar w:fldCharType="end"/>
      </w:r>
      <w:bookmarkEnd w:id="34"/>
      <w:bookmarkEnd w:id="35"/>
    </w:p>
    <w:p>
      <w:pPr>
        <w:keepNext/>
        <w:keepLines/>
        <w:numPr>
          <w:ilvl w:val="0"/>
          <w:numId w:val="8"/>
        </w:numPr>
        <w:ind w:left="360" w:leftChars="150" w:firstLine="118" w:firstLineChars="42"/>
        <w:jc w:val="both"/>
        <w:outlineLvl w:val="2"/>
        <w:rPr>
          <w:rFonts w:ascii="楷体_GB2312" w:hAnsi="宋体" w:eastAsia="楷体_GB2312" w:cs="宋体"/>
          <w:b/>
          <w:kern w:val="2"/>
          <w:sz w:val="28"/>
          <w:szCs w:val="28"/>
          <w:lang w:bidi="en-US"/>
        </w:rPr>
      </w:pPr>
      <w:bookmarkStart w:id="36" w:name="_Toc14686"/>
      <w:bookmarkStart w:id="37" w:name="_Toc18553"/>
      <w:r>
        <w:rPr>
          <w:rFonts w:hint="eastAsia" w:ascii="楷体_GB2312" w:hAnsi="宋体" w:eastAsia="楷体_GB2312" w:cs="宋体"/>
          <w:b/>
          <w:kern w:val="2"/>
          <w:sz w:val="28"/>
          <w:szCs w:val="28"/>
          <w:lang w:bidi="en-US"/>
        </w:rPr>
        <w:fldChar w:fldCharType="begin"/>
      </w:r>
      <w:r>
        <w:rPr>
          <w:rFonts w:ascii="楷体_GB2312" w:hAnsi="宋体" w:eastAsia="楷体_GB2312" w:cs="宋体"/>
          <w:b/>
          <w:kern w:val="2"/>
          <w:sz w:val="28"/>
          <w:szCs w:val="28"/>
          <w:lang w:bidi="en-US"/>
        </w:rPr>
        <w:instrText xml:space="preserve"> HYPERLINK \l "_Toc138254420" </w:instrText>
      </w:r>
      <w:r>
        <w:rPr>
          <w:rFonts w:hint="eastAsia" w:ascii="楷体_GB2312" w:hAnsi="宋体" w:eastAsia="楷体_GB2312" w:cs="宋体"/>
          <w:b/>
          <w:kern w:val="2"/>
          <w:sz w:val="28"/>
          <w:szCs w:val="28"/>
          <w:lang w:bidi="en-US"/>
        </w:rPr>
        <w:fldChar w:fldCharType="separate"/>
      </w:r>
      <w:r>
        <w:rPr>
          <w:rFonts w:hint="eastAsia" w:ascii="楷体_GB2312" w:hAnsi="宋体" w:eastAsia="楷体_GB2312" w:cs="宋体"/>
          <w:b/>
          <w:kern w:val="2"/>
          <w:sz w:val="28"/>
          <w:szCs w:val="28"/>
          <w:lang w:bidi="en-US"/>
        </w:rPr>
        <w:t>总体框架</w:t>
      </w:r>
      <w:r>
        <w:rPr>
          <w:rFonts w:hint="eastAsia" w:ascii="楷体_GB2312" w:hAnsi="宋体" w:eastAsia="楷体_GB2312" w:cs="宋体"/>
          <w:b/>
          <w:kern w:val="2"/>
          <w:sz w:val="28"/>
          <w:szCs w:val="28"/>
          <w:lang w:bidi="en-US"/>
        </w:rPr>
        <w:fldChar w:fldCharType="end"/>
      </w:r>
      <w:bookmarkEnd w:id="36"/>
      <w:bookmarkEnd w:id="37"/>
    </w:p>
    <w:p>
      <w:pPr>
        <w:autoSpaceDE/>
        <w:autoSpaceDN/>
        <w:adjustRightInd/>
        <w:spacing w:line="360" w:lineRule="auto"/>
        <w:ind w:leftChars="-100" w:hanging="240" w:hangingChars="100"/>
        <w:jc w:val="center"/>
        <w:rPr>
          <w:rFonts w:hAnsi="宋体" w:cs="宋体"/>
          <w:kern w:val="2"/>
          <w:lang w:bidi="en-US"/>
        </w:rPr>
      </w:pPr>
      <w:r>
        <w:rPr>
          <w:rFonts w:hAnsi="宋体" w:cs="宋体"/>
          <w:kern w:val="2"/>
          <w:lang w:bidi="en-US"/>
        </w:rPr>
        <w:object>
          <v:shape id="_x0000_i1025" o:spt="75" type="#_x0000_t75" style="height:258.1pt;width:414.8pt;" o:ole="t" filled="f" o:preferrelative="t" stroked="f" coordsize="21600,21600">
            <v:path/>
            <v:fill on="f" focussize="0,0"/>
            <v:stroke on="f" joinstyle="miter"/>
            <v:imagedata r:id="rId10" o:title=""/>
            <o:lock v:ext="edit" aspectratio="f"/>
            <w10:wrap type="none"/>
            <w10:anchorlock/>
          </v:shape>
          <o:OLEObject Type="Embed" ProgID="Visio.Drawing.15" ShapeID="_x0000_i1025" DrawAspect="Content" ObjectID="_1468075725" r:id="rId9">
            <o:LockedField>false</o:LockedField>
          </o:OLEObject>
        </w:object>
      </w:r>
    </w:p>
    <w:p>
      <w:pPr>
        <w:spacing w:line="360" w:lineRule="auto"/>
        <w:ind w:firstLine="480" w:firstLineChars="200"/>
        <w:jc w:val="center"/>
        <w:rPr>
          <w:rFonts w:hAnsi="宋体" w:cs="宋体"/>
          <w:kern w:val="2"/>
          <w:lang w:bidi="en-US"/>
        </w:rPr>
      </w:pPr>
      <w:r>
        <w:rPr>
          <w:rFonts w:hint="eastAsia" w:hAnsi="宋体" w:cs="宋体"/>
          <w:kern w:val="2"/>
          <w:lang w:bidi="en-US"/>
        </w:rPr>
        <w:t>图 1 总体框架图</w:t>
      </w:r>
      <w:bookmarkStart w:id="38" w:name="_Toc11693"/>
    </w:p>
    <w:p>
      <w:pPr>
        <w:keepNext/>
        <w:keepLines/>
        <w:numPr>
          <w:ilvl w:val="0"/>
          <w:numId w:val="8"/>
        </w:numPr>
        <w:ind w:left="360" w:leftChars="150" w:firstLine="118" w:firstLineChars="42"/>
        <w:jc w:val="both"/>
        <w:outlineLvl w:val="2"/>
        <w:rPr>
          <w:rFonts w:ascii="楷体_GB2312" w:hAnsi="宋体" w:eastAsia="楷体_GB2312" w:cs="宋体"/>
          <w:b/>
          <w:kern w:val="2"/>
          <w:sz w:val="28"/>
          <w:szCs w:val="28"/>
          <w:lang w:bidi="en-US"/>
        </w:rPr>
      </w:pPr>
      <w:bookmarkStart w:id="39" w:name="_Toc29363"/>
      <w:bookmarkStart w:id="40" w:name="_Toc6726"/>
      <w:r>
        <w:rPr>
          <w:rFonts w:hint="eastAsia" w:ascii="楷体_GB2312" w:hAnsi="宋体" w:eastAsia="楷体_GB2312" w:cs="宋体"/>
          <w:b/>
          <w:kern w:val="2"/>
          <w:sz w:val="28"/>
          <w:szCs w:val="28"/>
          <w:lang w:bidi="en-US"/>
        </w:rPr>
        <w:fldChar w:fldCharType="begin"/>
      </w:r>
      <w:r>
        <w:rPr>
          <w:rFonts w:ascii="楷体_GB2312" w:hAnsi="宋体" w:eastAsia="楷体_GB2312" w:cs="宋体"/>
          <w:b/>
          <w:kern w:val="2"/>
          <w:sz w:val="28"/>
          <w:szCs w:val="28"/>
          <w:lang w:bidi="en-US"/>
        </w:rPr>
        <w:instrText xml:space="preserve"> HYPERLINK \l "_Toc138254421" </w:instrText>
      </w:r>
      <w:r>
        <w:rPr>
          <w:rFonts w:hint="eastAsia" w:ascii="楷体_GB2312" w:hAnsi="宋体" w:eastAsia="楷体_GB2312" w:cs="宋体"/>
          <w:b/>
          <w:kern w:val="2"/>
          <w:sz w:val="28"/>
          <w:szCs w:val="28"/>
          <w:lang w:bidi="en-US"/>
        </w:rPr>
        <w:fldChar w:fldCharType="separate"/>
      </w:r>
      <w:r>
        <w:rPr>
          <w:rFonts w:hint="eastAsia" w:ascii="楷体_GB2312" w:hAnsi="宋体" w:eastAsia="楷体_GB2312" w:cs="宋体"/>
          <w:b/>
          <w:kern w:val="2"/>
          <w:sz w:val="28"/>
          <w:szCs w:val="28"/>
          <w:lang w:bidi="en-US"/>
        </w:rPr>
        <w:t>业务架构</w:t>
      </w:r>
      <w:r>
        <w:rPr>
          <w:rFonts w:hint="eastAsia" w:ascii="楷体_GB2312" w:hAnsi="宋体" w:eastAsia="楷体_GB2312" w:cs="宋体"/>
          <w:b/>
          <w:kern w:val="2"/>
          <w:sz w:val="28"/>
          <w:szCs w:val="28"/>
          <w:lang w:bidi="en-US"/>
        </w:rPr>
        <w:fldChar w:fldCharType="end"/>
      </w:r>
      <w:bookmarkEnd w:id="38"/>
      <w:bookmarkEnd w:id="39"/>
      <w:bookmarkEnd w:id="40"/>
    </w:p>
    <w:p>
      <w:pPr>
        <w:autoSpaceDE/>
        <w:autoSpaceDN/>
        <w:adjustRightInd/>
        <w:spacing w:line="360" w:lineRule="auto"/>
        <w:jc w:val="both"/>
        <w:rPr>
          <w:rFonts w:hAnsi="宋体" w:cs="宋体"/>
          <w:kern w:val="2"/>
          <w:lang w:bidi="en-US"/>
        </w:rPr>
      </w:pPr>
      <w:r>
        <w:rPr>
          <w:rFonts w:hAnsi="宋体" w:cs="宋体"/>
          <w:kern w:val="2"/>
        </w:rPr>
        <w:drawing>
          <wp:inline distT="0" distB="0" distL="114300" distR="114300">
            <wp:extent cx="5266690" cy="2870200"/>
            <wp:effectExtent l="0" t="0" r="10160" b="6350"/>
            <wp:docPr id="7" name="图片 7" descr="169215005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92150055248"/>
                    <pic:cNvPicPr>
                      <a:picLocks noChangeAspect="1"/>
                    </pic:cNvPicPr>
                  </pic:nvPicPr>
                  <pic:blipFill>
                    <a:blip r:embed="rId11"/>
                    <a:stretch>
                      <a:fillRect/>
                    </a:stretch>
                  </pic:blipFill>
                  <pic:spPr>
                    <a:xfrm>
                      <a:off x="0" y="0"/>
                      <a:ext cx="5266690" cy="2870200"/>
                    </a:xfrm>
                    <a:prstGeom prst="rect">
                      <a:avLst/>
                    </a:prstGeom>
                  </pic:spPr>
                </pic:pic>
              </a:graphicData>
            </a:graphic>
          </wp:inline>
        </w:drawing>
      </w:r>
    </w:p>
    <w:p>
      <w:pPr>
        <w:spacing w:line="360" w:lineRule="auto"/>
        <w:ind w:firstLine="480" w:firstLineChars="200"/>
        <w:jc w:val="center"/>
        <w:rPr>
          <w:rFonts w:hAnsi="宋体" w:cs="宋体"/>
          <w:kern w:val="2"/>
          <w:lang w:bidi="en-US"/>
        </w:rPr>
      </w:pPr>
      <w:r>
        <w:rPr>
          <w:rFonts w:hint="eastAsia" w:hAnsi="宋体" w:cs="宋体"/>
          <w:kern w:val="2"/>
          <w:lang w:bidi="en-US"/>
        </w:rPr>
        <w:t>图 2 业务架构图</w:t>
      </w:r>
    </w:p>
    <w:p>
      <w:pPr>
        <w:keepNext/>
        <w:keepLines/>
        <w:numPr>
          <w:ilvl w:val="0"/>
          <w:numId w:val="8"/>
        </w:numPr>
        <w:ind w:left="360" w:leftChars="150" w:firstLine="118" w:firstLineChars="42"/>
        <w:jc w:val="both"/>
        <w:outlineLvl w:val="2"/>
        <w:rPr>
          <w:rFonts w:ascii="楷体_GB2312" w:hAnsi="宋体" w:eastAsia="楷体_GB2312" w:cs="宋体"/>
          <w:b/>
          <w:kern w:val="2"/>
          <w:sz w:val="28"/>
          <w:szCs w:val="28"/>
          <w:lang w:bidi="en-US"/>
        </w:rPr>
      </w:pPr>
      <w:bookmarkStart w:id="41" w:name="_Toc8373"/>
      <w:bookmarkStart w:id="42" w:name="_Toc31913"/>
      <w:bookmarkStart w:id="43" w:name="_Toc1841"/>
      <w:bookmarkStart w:id="44" w:name="_Toc12063"/>
      <w:r>
        <w:rPr>
          <w:rFonts w:hint="eastAsia" w:ascii="楷体_GB2312" w:hAnsi="宋体" w:eastAsia="楷体_GB2312" w:cs="宋体"/>
          <w:b/>
          <w:kern w:val="2"/>
          <w:sz w:val="28"/>
          <w:szCs w:val="28"/>
          <w:lang w:bidi="en-US"/>
        </w:rPr>
        <w:fldChar w:fldCharType="begin"/>
      </w:r>
      <w:r>
        <w:rPr>
          <w:rFonts w:hint="eastAsia" w:ascii="楷体_GB2312" w:hAnsi="宋体" w:eastAsia="楷体_GB2312" w:cs="宋体"/>
          <w:b/>
          <w:kern w:val="2"/>
          <w:sz w:val="28"/>
          <w:szCs w:val="28"/>
          <w:lang w:bidi="en-US"/>
        </w:rPr>
        <w:instrText xml:space="preserve"> HYPERLINK \l "_Toc138254421" </w:instrText>
      </w:r>
      <w:r>
        <w:rPr>
          <w:rFonts w:hint="eastAsia" w:ascii="楷体_GB2312" w:hAnsi="宋体" w:eastAsia="楷体_GB2312" w:cs="宋体"/>
          <w:b/>
          <w:kern w:val="2"/>
          <w:sz w:val="28"/>
          <w:szCs w:val="28"/>
          <w:lang w:bidi="en-US"/>
        </w:rPr>
        <w:fldChar w:fldCharType="separate"/>
      </w:r>
      <w:r>
        <w:rPr>
          <w:rFonts w:hint="eastAsia" w:ascii="楷体_GB2312" w:hAnsi="宋体" w:eastAsia="楷体_GB2312" w:cs="宋体"/>
          <w:b/>
          <w:kern w:val="2"/>
          <w:sz w:val="28"/>
          <w:szCs w:val="28"/>
          <w:lang w:bidi="en-US"/>
        </w:rPr>
        <w:t>数据架构</w:t>
      </w:r>
      <w:r>
        <w:rPr>
          <w:rFonts w:hint="eastAsia" w:ascii="楷体_GB2312" w:hAnsi="宋体" w:eastAsia="楷体_GB2312" w:cs="宋体"/>
          <w:b/>
          <w:kern w:val="2"/>
          <w:sz w:val="28"/>
          <w:szCs w:val="28"/>
          <w:lang w:bidi="en-US"/>
        </w:rPr>
        <w:fldChar w:fldCharType="end"/>
      </w:r>
      <w:bookmarkEnd w:id="41"/>
      <w:bookmarkEnd w:id="42"/>
      <w:bookmarkEnd w:id="43"/>
      <w:bookmarkEnd w:id="44"/>
    </w:p>
    <w:p>
      <w:pPr>
        <w:autoSpaceDE/>
        <w:autoSpaceDN/>
        <w:adjustRightInd/>
        <w:spacing w:line="360" w:lineRule="auto"/>
        <w:jc w:val="both"/>
        <w:rPr>
          <w:rFonts w:hAnsi="宋体" w:cs="宋体"/>
          <w:kern w:val="2"/>
          <w:lang w:bidi="en-US"/>
        </w:rPr>
      </w:pPr>
      <w:r>
        <w:rPr>
          <w:rFonts w:hAnsi="宋体" w:cs="宋体"/>
          <w:kern w:val="2"/>
          <w:lang w:bidi="en-US"/>
        </w:rPr>
        <w:object>
          <v:shape id="_x0000_i1026" o:spt="75" type="#_x0000_t75" style="height:276.25pt;width:415.25pt;" o:ole="t" filled="f" o:preferrelative="t" stroked="f" coordsize="21600,21600">
            <v:path/>
            <v:fill on="f" focussize="0,0"/>
            <v:stroke on="f" joinstyle="miter"/>
            <v:imagedata r:id="rId13" o:title=""/>
            <o:lock v:ext="edit" aspectratio="f"/>
            <w10:wrap type="none"/>
            <w10:anchorlock/>
          </v:shape>
          <o:OLEObject Type="Embed" ProgID="Visio.Drawing.15" ShapeID="_x0000_i1026" DrawAspect="Content" ObjectID="_1468075726" r:id="rId12">
            <o:LockedField>false</o:LockedField>
          </o:OLEObject>
        </w:object>
      </w:r>
    </w:p>
    <w:p>
      <w:pPr>
        <w:spacing w:line="360" w:lineRule="auto"/>
        <w:ind w:firstLine="480" w:firstLineChars="200"/>
        <w:jc w:val="center"/>
        <w:rPr>
          <w:rFonts w:hAnsi="宋体" w:cs="宋体"/>
          <w:kern w:val="2"/>
          <w:lang w:bidi="en-US"/>
        </w:rPr>
      </w:pPr>
      <w:r>
        <w:rPr>
          <w:rFonts w:hint="eastAsia" w:hAnsi="宋体" w:cs="宋体"/>
          <w:kern w:val="2"/>
          <w:lang w:bidi="en-US"/>
        </w:rPr>
        <w:t>图 3 数据架构图</w:t>
      </w:r>
    </w:p>
    <w:p>
      <w:pPr>
        <w:keepNext/>
        <w:keepLines/>
        <w:numPr>
          <w:ilvl w:val="0"/>
          <w:numId w:val="8"/>
        </w:numPr>
        <w:ind w:left="360" w:leftChars="150" w:firstLine="118" w:firstLineChars="42"/>
        <w:jc w:val="both"/>
        <w:outlineLvl w:val="2"/>
        <w:rPr>
          <w:rFonts w:ascii="楷体_GB2312" w:hAnsi="宋体" w:eastAsia="楷体_GB2312" w:cs="宋体"/>
          <w:b/>
          <w:kern w:val="2"/>
          <w:sz w:val="28"/>
          <w:szCs w:val="28"/>
          <w:lang w:bidi="en-US"/>
        </w:rPr>
      </w:pPr>
      <w:bookmarkStart w:id="45" w:name="_Toc29216"/>
      <w:bookmarkStart w:id="46" w:name="_Toc17130"/>
      <w:bookmarkStart w:id="47" w:name="_Toc589"/>
      <w:bookmarkStart w:id="48" w:name="_Toc22038"/>
      <w:r>
        <w:rPr>
          <w:rFonts w:hint="eastAsia" w:ascii="楷体_GB2312" w:hAnsi="宋体" w:eastAsia="楷体_GB2312" w:cs="宋体"/>
          <w:b/>
          <w:kern w:val="2"/>
          <w:sz w:val="28"/>
          <w:szCs w:val="28"/>
          <w:lang w:bidi="en-US"/>
        </w:rPr>
        <w:fldChar w:fldCharType="begin"/>
      </w:r>
      <w:r>
        <w:rPr>
          <w:rFonts w:hint="eastAsia" w:ascii="楷体_GB2312" w:hAnsi="宋体" w:eastAsia="楷体_GB2312" w:cs="宋体"/>
          <w:b/>
          <w:kern w:val="2"/>
          <w:sz w:val="28"/>
          <w:szCs w:val="28"/>
          <w:lang w:bidi="en-US"/>
        </w:rPr>
        <w:instrText xml:space="preserve"> HYPERLINK \l "_Toc138254421" </w:instrText>
      </w:r>
      <w:r>
        <w:rPr>
          <w:rFonts w:hint="eastAsia" w:ascii="楷体_GB2312" w:hAnsi="宋体" w:eastAsia="楷体_GB2312" w:cs="宋体"/>
          <w:b/>
          <w:kern w:val="2"/>
          <w:sz w:val="28"/>
          <w:szCs w:val="28"/>
          <w:lang w:bidi="en-US"/>
        </w:rPr>
        <w:fldChar w:fldCharType="separate"/>
      </w:r>
      <w:r>
        <w:rPr>
          <w:rFonts w:hint="eastAsia" w:ascii="楷体_GB2312" w:hAnsi="宋体" w:eastAsia="楷体_GB2312" w:cs="宋体"/>
          <w:b/>
          <w:kern w:val="2"/>
          <w:sz w:val="28"/>
          <w:szCs w:val="28"/>
          <w:lang w:bidi="en-US"/>
        </w:rPr>
        <w:t>网络架构</w:t>
      </w:r>
      <w:r>
        <w:rPr>
          <w:rFonts w:hint="eastAsia" w:ascii="楷体_GB2312" w:hAnsi="宋体" w:eastAsia="楷体_GB2312" w:cs="宋体"/>
          <w:b/>
          <w:kern w:val="2"/>
          <w:sz w:val="28"/>
          <w:szCs w:val="28"/>
          <w:lang w:bidi="en-US"/>
        </w:rPr>
        <w:fldChar w:fldCharType="end"/>
      </w:r>
      <w:bookmarkEnd w:id="45"/>
      <w:bookmarkEnd w:id="46"/>
      <w:bookmarkEnd w:id="47"/>
      <w:bookmarkEnd w:id="48"/>
    </w:p>
    <w:p>
      <w:pPr>
        <w:spacing w:after="120" w:line="360" w:lineRule="auto"/>
        <w:jc w:val="both"/>
        <w:rPr>
          <w:rFonts w:ascii="Times New Roman" w:hAnsi="宋体" w:cs="宋体"/>
          <w:kern w:val="2"/>
          <w:sz w:val="21"/>
          <w:lang w:val="zh-CN" w:bidi="en-US"/>
        </w:rPr>
      </w:pPr>
      <w:r>
        <w:rPr>
          <w:rFonts w:ascii="Times New Roman" w:hAnsi="宋体" w:cs="宋体"/>
          <w:kern w:val="2"/>
          <w:sz w:val="21"/>
        </w:rPr>
        <w:drawing>
          <wp:inline distT="0" distB="0" distL="114300" distR="114300">
            <wp:extent cx="5266690" cy="2649855"/>
            <wp:effectExtent l="0" t="0" r="10160" b="17145"/>
            <wp:docPr id="24" name="图片 24" descr="9173d768f721991cbdd5db729f58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173d768f721991cbdd5db729f58e50"/>
                    <pic:cNvPicPr>
                      <a:picLocks noChangeAspect="1"/>
                    </pic:cNvPicPr>
                  </pic:nvPicPr>
                  <pic:blipFill>
                    <a:blip r:embed="rId14"/>
                    <a:stretch>
                      <a:fillRect/>
                    </a:stretch>
                  </pic:blipFill>
                  <pic:spPr>
                    <a:xfrm>
                      <a:off x="0" y="0"/>
                      <a:ext cx="5266690" cy="2649855"/>
                    </a:xfrm>
                    <a:prstGeom prst="rect">
                      <a:avLst/>
                    </a:prstGeom>
                  </pic:spPr>
                </pic:pic>
              </a:graphicData>
            </a:graphic>
          </wp:inline>
        </w:drawing>
      </w:r>
    </w:p>
    <w:p>
      <w:pPr>
        <w:spacing w:line="360" w:lineRule="auto"/>
        <w:ind w:firstLine="480" w:firstLineChars="200"/>
        <w:jc w:val="center"/>
        <w:rPr>
          <w:rFonts w:hAnsi="宋体" w:cs="宋体"/>
          <w:kern w:val="2"/>
          <w:lang w:bidi="en-US"/>
        </w:rPr>
      </w:pPr>
      <w:r>
        <w:rPr>
          <w:rFonts w:hint="eastAsia" w:hAnsi="宋体" w:cs="宋体"/>
          <w:kern w:val="2"/>
          <w:lang w:bidi="en-US"/>
        </w:rPr>
        <w:t>图 4 网络架构图</w:t>
      </w:r>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br w:type="page"/>
      </w:r>
    </w:p>
    <w:p>
      <w:pPr>
        <w:numPr>
          <w:ilvl w:val="2"/>
          <w:numId w:val="0"/>
        </w:numPr>
        <w:sectPr>
          <w:pgSz w:w="11906" w:h="16838"/>
          <w:pgMar w:top="1440" w:right="1800" w:bottom="1440" w:left="1800" w:header="851" w:footer="992" w:gutter="0"/>
          <w:cols w:space="425" w:num="1"/>
          <w:docGrid w:type="lines" w:linePitch="312" w:charSpace="0"/>
        </w:sectPr>
      </w:pPr>
    </w:p>
    <w:p>
      <w:pPr>
        <w:keepNext/>
        <w:keepLines/>
        <w:numPr>
          <w:ilvl w:val="0"/>
          <w:numId w:val="8"/>
        </w:numPr>
        <w:ind w:left="360" w:leftChars="150" w:firstLine="118" w:firstLineChars="42"/>
        <w:jc w:val="both"/>
        <w:outlineLvl w:val="2"/>
        <w:rPr>
          <w:rFonts w:ascii="楷体_GB2312" w:hAnsi="宋体" w:eastAsia="楷体_GB2312" w:cs="宋体"/>
          <w:b/>
          <w:kern w:val="2"/>
          <w:sz w:val="28"/>
          <w:szCs w:val="28"/>
          <w:lang w:bidi="en-US"/>
        </w:rPr>
      </w:pPr>
      <w:bookmarkStart w:id="49" w:name="_Toc1435"/>
      <w:bookmarkStart w:id="50" w:name="_Toc30726"/>
      <w:bookmarkStart w:id="51" w:name="_Toc30882"/>
      <w:r>
        <w:rPr>
          <w:rFonts w:hint="eastAsia" w:ascii="楷体_GB2312" w:hAnsi="宋体" w:eastAsia="楷体_GB2312" w:cs="宋体"/>
          <w:b/>
          <w:kern w:val="2"/>
          <w:sz w:val="28"/>
          <w:szCs w:val="28"/>
          <w:lang w:bidi="en-US"/>
        </w:rPr>
        <w:t>网格化运营全流程</w:t>
      </w:r>
      <w:bookmarkEnd w:id="49"/>
      <w:bookmarkEnd w:id="50"/>
      <w:bookmarkEnd w:id="51"/>
    </w:p>
    <w:p>
      <w:pPr>
        <w:autoSpaceDE/>
        <w:autoSpaceDN/>
        <w:adjustRightInd/>
        <w:spacing w:line="360" w:lineRule="auto"/>
        <w:jc w:val="both"/>
        <w:rPr>
          <w:rFonts w:hAnsi="宋体" w:cs="宋体"/>
          <w:kern w:val="2"/>
        </w:rPr>
      </w:pPr>
      <w:r>
        <w:rPr>
          <w:rFonts w:hAnsi="宋体" w:cs="宋体"/>
          <w:kern w:val="2"/>
          <w:lang w:bidi="en-US"/>
        </w:rPr>
        <w:object>
          <v:shape id="_x0000_i1027" o:spt="75" type="#_x0000_t75" style="height:327.6pt;width:684.95pt;" o:ole="t" filled="f" o:preferrelative="t" stroked="f" coordsize="21600,21600">
            <v:path/>
            <v:fill on="f" focussize="0,0"/>
            <v:stroke on="f" joinstyle="miter"/>
            <v:imagedata r:id="rId16" o:title=""/>
            <o:lock v:ext="edit" aspectratio="f"/>
            <w10:wrap type="none"/>
            <w10:anchorlock/>
          </v:shape>
          <o:OLEObject Type="Embed" ProgID="Visio.Drawing.15" ShapeID="_x0000_i1027" DrawAspect="Content" ObjectID="_1468075727" r:id="rId15">
            <o:LockedField>false</o:LockedField>
          </o:OLEObject>
        </w:object>
      </w:r>
    </w:p>
    <w:p>
      <w:pPr>
        <w:spacing w:line="360" w:lineRule="auto"/>
        <w:ind w:firstLine="480" w:firstLineChars="200"/>
        <w:jc w:val="center"/>
        <w:rPr>
          <w:rFonts w:hAnsi="宋体" w:cs="宋体"/>
          <w:kern w:val="2"/>
          <w:lang w:bidi="en-US"/>
        </w:rPr>
      </w:pPr>
      <w:r>
        <w:rPr>
          <w:rFonts w:hint="eastAsia" w:hAnsi="宋体" w:cs="宋体"/>
          <w:kern w:val="2"/>
          <w:lang w:bidi="en-US"/>
        </w:rPr>
        <w:t>图5网格化运营管理模式</w:t>
      </w:r>
    </w:p>
    <w:p>
      <w:pPr>
        <w:jc w:val="center"/>
        <w:rPr>
          <w:rFonts w:hAnsi="宋体"/>
        </w:rPr>
        <w:sectPr>
          <w:pgSz w:w="16838" w:h="11906" w:orient="landscape"/>
          <w:pgMar w:top="1800" w:right="1440" w:bottom="1800" w:left="1440" w:header="851" w:footer="992" w:gutter="0"/>
          <w:cols w:space="425" w:num="1"/>
          <w:docGrid w:type="lines" w:linePitch="312" w:charSpace="0"/>
        </w:sectPr>
      </w:pPr>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网格化运营需覆盖管网移交接收、网格制定、规则制定、管理运营、绩效考核、决策分析等全部流程，从整体上将运营流程分为数据网格化、业务网格化、分析决策网格化三个过程。</w:t>
      </w:r>
    </w:p>
    <w:p>
      <w:pPr>
        <w:autoSpaceDE/>
        <w:autoSpaceDN/>
        <w:adjustRightInd/>
        <w:spacing w:line="360" w:lineRule="auto"/>
        <w:ind w:left="420" w:hanging="420"/>
        <w:jc w:val="both"/>
        <w:rPr>
          <w:rFonts w:hAnsi="宋体" w:cs="宋体"/>
          <w:kern w:val="2"/>
          <w:lang w:bidi="en-US"/>
        </w:rPr>
      </w:pPr>
      <w:r>
        <w:rPr>
          <w:rFonts w:hint="eastAsia" w:hAnsi="宋体" w:cs="宋体"/>
          <w:kern w:val="2"/>
          <w:lang w:bidi="en-US"/>
        </w:rPr>
        <w:t>1.数据网格化</w:t>
      </w:r>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建立数据资产标准，通过GIS基础平台，实现管网资产的统一处置与管理；建设管网统一门户，制定网格划定规则、入格清单规则、处置流程、考评机制等；建设管网数据管理平台，制定数据管理规范、存储规范等，实现统一资产、统一流程、统一数据的数据网格化。</w:t>
      </w:r>
    </w:p>
    <w:p>
      <w:pPr>
        <w:autoSpaceDE/>
        <w:autoSpaceDN/>
        <w:adjustRightInd/>
        <w:spacing w:line="360" w:lineRule="auto"/>
        <w:ind w:left="420" w:hanging="420"/>
        <w:jc w:val="both"/>
        <w:rPr>
          <w:rFonts w:hAnsi="宋体" w:cs="宋体"/>
          <w:kern w:val="2"/>
          <w:lang w:bidi="en-US"/>
        </w:rPr>
      </w:pPr>
      <w:r>
        <w:rPr>
          <w:rFonts w:hAnsi="宋体" w:cs="宋体"/>
          <w:kern w:val="2"/>
          <w:lang w:bidi="en-US"/>
        </w:rPr>
        <w:t>2</w:t>
      </w:r>
      <w:r>
        <w:rPr>
          <w:rFonts w:hint="eastAsia" w:hAnsi="宋体" w:cs="宋体"/>
          <w:kern w:val="2"/>
          <w:lang w:bidi="en-US"/>
        </w:rPr>
        <w:t>.业务网格化</w:t>
      </w:r>
    </w:p>
    <w:p>
      <w:pPr>
        <w:numPr>
          <w:ilvl w:val="255"/>
          <w:numId w:val="0"/>
        </w:numPr>
        <w:autoSpaceDE/>
        <w:autoSpaceDN/>
        <w:adjustRightInd/>
        <w:spacing w:line="360" w:lineRule="auto"/>
        <w:jc w:val="both"/>
        <w:rPr>
          <w:rFonts w:hAnsi="宋体" w:cs="宋体"/>
          <w:kern w:val="2"/>
          <w:lang w:bidi="en-US"/>
        </w:rPr>
      </w:pPr>
      <w:r>
        <w:rPr>
          <w:rFonts w:hAnsi="宋体" w:cs="宋体"/>
          <w:kern w:val="2"/>
        </w:rPr>
        <w:drawing>
          <wp:inline distT="0" distB="0" distL="114300" distR="114300">
            <wp:extent cx="5264785" cy="1294765"/>
            <wp:effectExtent l="0" t="0" r="12065" b="63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7"/>
                    <a:stretch>
                      <a:fillRect/>
                    </a:stretch>
                  </pic:blipFill>
                  <pic:spPr>
                    <a:xfrm>
                      <a:off x="0" y="0"/>
                      <a:ext cx="5264785" cy="1294765"/>
                    </a:xfrm>
                    <a:prstGeom prst="rect">
                      <a:avLst/>
                    </a:prstGeom>
                    <a:noFill/>
                    <a:ln>
                      <a:noFill/>
                    </a:ln>
                  </pic:spPr>
                </pic:pic>
              </a:graphicData>
            </a:graphic>
          </wp:inline>
        </w:drawing>
      </w:r>
    </w:p>
    <w:p>
      <w:pPr>
        <w:numPr>
          <w:ilvl w:val="255"/>
          <w:numId w:val="0"/>
        </w:numPr>
        <w:autoSpaceDE/>
        <w:autoSpaceDN/>
        <w:adjustRightInd/>
        <w:spacing w:line="360" w:lineRule="auto"/>
        <w:ind w:firstLine="480" w:firstLineChars="200"/>
        <w:jc w:val="center"/>
        <w:rPr>
          <w:rFonts w:hAnsi="宋体" w:cs="宋体"/>
          <w:kern w:val="2"/>
          <w:lang w:bidi="en-US"/>
        </w:rPr>
      </w:pPr>
      <w:r>
        <w:rPr>
          <w:rFonts w:hint="eastAsia" w:hAnsi="宋体" w:cs="宋体"/>
          <w:kern w:val="2"/>
          <w:lang w:bidi="en-US"/>
        </w:rPr>
        <w:t>图6本期业务网格化流程</w:t>
      </w:r>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在数据网格化的基础上，梳理管网业务场景，建立从发现问题、事件调度、处置问题、绩效考核的标准流程，因此建设涵盖在线监测、委外项目管理、物资与仓库管理、综合指挥调度、绩效考核管理、移动端等的建设或接入，实现职责清晰、流程规范、过程可追溯的业务网格化。</w:t>
      </w:r>
    </w:p>
    <w:p>
      <w:pPr>
        <w:autoSpaceDE/>
        <w:autoSpaceDN/>
        <w:adjustRightInd/>
        <w:spacing w:line="360" w:lineRule="auto"/>
        <w:ind w:left="420" w:hanging="420"/>
        <w:jc w:val="both"/>
        <w:rPr>
          <w:rFonts w:hAnsi="宋体" w:cs="宋体"/>
          <w:kern w:val="2"/>
          <w:lang w:bidi="en-US"/>
        </w:rPr>
      </w:pPr>
      <w:r>
        <w:rPr>
          <w:rFonts w:hAnsi="宋体" w:cs="宋体"/>
          <w:kern w:val="2"/>
          <w:lang w:bidi="en-US"/>
        </w:rPr>
        <w:t>3</w:t>
      </w:r>
      <w:r>
        <w:rPr>
          <w:rFonts w:hint="eastAsia" w:hAnsi="宋体" w:cs="宋体"/>
          <w:kern w:val="2"/>
          <w:lang w:bidi="en-US"/>
        </w:rPr>
        <w:t>.分析决策网格化</w:t>
      </w:r>
    </w:p>
    <w:p>
      <w:pPr>
        <w:autoSpaceDE/>
        <w:autoSpaceDN/>
        <w:adjustRightInd/>
        <w:spacing w:line="360" w:lineRule="auto"/>
        <w:ind w:firstLine="480" w:firstLineChars="200"/>
        <w:jc w:val="both"/>
        <w:rPr>
          <w:rFonts w:hAnsi="宋体" w:cs="宋体"/>
          <w:kern w:val="2"/>
          <w:lang w:bidi="en-US"/>
        </w:rPr>
        <w:sectPr>
          <w:footerReference r:id="rId5" w:type="default"/>
          <w:pgSz w:w="11906" w:h="16838"/>
          <w:pgMar w:top="1440" w:right="1800" w:bottom="1440" w:left="1800" w:header="851" w:footer="992" w:gutter="0"/>
          <w:cols w:space="425" w:num="1"/>
          <w:docGrid w:type="lines" w:linePitch="312" w:charSpace="0"/>
        </w:sectPr>
      </w:pPr>
      <w:r>
        <w:rPr>
          <w:rFonts w:hint="eastAsia" w:hAnsi="宋体" w:cs="宋体"/>
          <w:kern w:val="2"/>
          <w:lang w:bidi="en-US"/>
        </w:rPr>
        <w:t>通过数据网格化、业务网格化，形成可信的运营数据，基于网格化分析的思想，建设网格化分析决策系统，实现不同层级的网格化分析、决策分析、内外部监督、以满足不同应用场景的驾驶舱应用模块。</w:t>
      </w:r>
    </w:p>
    <w:p>
      <w:pPr>
        <w:keepNext/>
        <w:keepLines/>
        <w:numPr>
          <w:ilvl w:val="0"/>
          <w:numId w:val="8"/>
        </w:numPr>
        <w:ind w:left="360" w:leftChars="150" w:firstLine="118" w:firstLineChars="42"/>
        <w:jc w:val="both"/>
        <w:outlineLvl w:val="2"/>
        <w:rPr>
          <w:rFonts w:ascii="楷体_GB2312" w:hAnsi="宋体" w:eastAsia="楷体_GB2312" w:cs="宋体"/>
          <w:b/>
          <w:kern w:val="2"/>
          <w:sz w:val="28"/>
          <w:szCs w:val="28"/>
          <w:lang w:bidi="en-US"/>
        </w:rPr>
      </w:pPr>
      <w:bookmarkStart w:id="52" w:name="_Toc671"/>
      <w:bookmarkStart w:id="53" w:name="_Toc6083"/>
      <w:bookmarkStart w:id="54" w:name="_Toc16097"/>
      <w:r>
        <w:rPr>
          <w:rFonts w:hint="eastAsia" w:ascii="楷体_GB2312" w:hAnsi="宋体" w:eastAsia="楷体_GB2312" w:cs="宋体"/>
          <w:b/>
          <w:kern w:val="2"/>
          <w:sz w:val="28"/>
          <w:szCs w:val="28"/>
          <w:lang w:bidi="en-US"/>
        </w:rPr>
        <w:t>业务应用层与现有系统衔接关系</w:t>
      </w:r>
      <w:bookmarkEnd w:id="52"/>
      <w:bookmarkEnd w:id="53"/>
      <w:bookmarkEnd w:id="54"/>
    </w:p>
    <w:p>
      <w:pPr>
        <w:numPr>
          <w:ilvl w:val="255"/>
          <w:numId w:val="0"/>
        </w:numPr>
        <w:spacing w:line="360" w:lineRule="auto"/>
        <w:jc w:val="both"/>
        <w:rPr>
          <w:rFonts w:ascii="Times New Roman" w:hAnsi="宋体" w:cs="宋体"/>
          <w:kern w:val="2"/>
          <w:sz w:val="20"/>
          <w:szCs w:val="28"/>
          <w:lang w:bidi="en-US"/>
        </w:rPr>
      </w:pPr>
      <w:r>
        <w:rPr>
          <w:rFonts w:ascii="Times New Roman" w:hAnsi="宋体" w:cs="宋体"/>
          <w:kern w:val="2"/>
          <w:sz w:val="20"/>
          <w:szCs w:val="28"/>
        </w:rPr>
        <w:drawing>
          <wp:inline distT="0" distB="0" distL="114300" distR="114300">
            <wp:extent cx="5281930" cy="2992120"/>
            <wp:effectExtent l="0" t="0" r="13970" b="1778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8"/>
                    <a:stretch>
                      <a:fillRect/>
                    </a:stretch>
                  </pic:blipFill>
                  <pic:spPr>
                    <a:xfrm>
                      <a:off x="0" y="0"/>
                      <a:ext cx="5281930" cy="2992120"/>
                    </a:xfrm>
                    <a:prstGeom prst="rect">
                      <a:avLst/>
                    </a:prstGeom>
                    <a:noFill/>
                    <a:ln>
                      <a:noFill/>
                    </a:ln>
                  </pic:spPr>
                </pic:pic>
              </a:graphicData>
            </a:graphic>
          </wp:inline>
        </w:drawing>
      </w:r>
    </w:p>
    <w:p>
      <w:pPr>
        <w:spacing w:line="360" w:lineRule="auto"/>
        <w:ind w:firstLine="480" w:firstLineChars="200"/>
        <w:jc w:val="center"/>
        <w:rPr>
          <w:rFonts w:hAnsi="宋体" w:cs="宋体"/>
          <w:kern w:val="2"/>
          <w:lang w:bidi="en-US"/>
        </w:rPr>
      </w:pPr>
      <w:r>
        <w:rPr>
          <w:rFonts w:hint="eastAsia" w:hAnsi="宋体" w:cs="宋体"/>
          <w:kern w:val="2"/>
          <w:lang w:bidi="en-US"/>
        </w:rPr>
        <w:t>图 7 业务应用层与现有系统衔接关系</w:t>
      </w:r>
    </w:p>
    <w:p>
      <w:pPr>
        <w:autoSpaceDE/>
        <w:autoSpaceDN/>
        <w:adjustRightInd/>
        <w:spacing w:line="360" w:lineRule="auto"/>
        <w:ind w:firstLine="482" w:firstLineChars="200"/>
        <w:jc w:val="both"/>
        <w:rPr>
          <w:rFonts w:hAnsi="宋体" w:cs="宋体"/>
          <w:b/>
          <w:bCs/>
          <w:kern w:val="2"/>
          <w:lang w:bidi="en-US"/>
        </w:rPr>
      </w:pPr>
      <w:r>
        <w:rPr>
          <w:rFonts w:hint="eastAsia" w:hAnsi="宋体" w:cs="宋体"/>
          <w:b/>
          <w:bCs/>
          <w:kern w:val="2"/>
          <w:lang w:bidi="en-US"/>
        </w:rPr>
        <w:t>1.主要原则</w:t>
      </w:r>
    </w:p>
    <w:p>
      <w:pPr>
        <w:autoSpaceDE/>
        <w:autoSpaceDN/>
        <w:adjustRightInd/>
        <w:spacing w:line="360" w:lineRule="auto"/>
        <w:ind w:firstLine="480" w:firstLineChars="200"/>
        <w:jc w:val="both"/>
        <w:rPr>
          <w:rFonts w:hAnsi="宋体" w:cs="宋体"/>
          <w:kern w:val="2"/>
          <w:lang w:bidi="en-US"/>
        </w:rPr>
      </w:pPr>
      <w:r>
        <w:rPr>
          <w:rFonts w:hAnsi="宋体" w:cs="宋体"/>
          <w:kern w:val="2"/>
          <w:lang w:bidi="en-US"/>
        </w:rPr>
        <w:t>（1）以改造设计为主线：在已有业务及信息化建设的基础上，通过对各业务内容和技术线路的梳理</w:t>
      </w:r>
      <w:r>
        <w:rPr>
          <w:rFonts w:hint="eastAsia" w:hAnsi="宋体" w:cs="宋体"/>
          <w:kern w:val="2"/>
          <w:lang w:bidi="en-US"/>
        </w:rPr>
        <w:t>，以管网运营平台为基础</w:t>
      </w:r>
      <w:r>
        <w:rPr>
          <w:rFonts w:hAnsi="宋体" w:cs="宋体"/>
          <w:kern w:val="2"/>
          <w:lang w:bidi="en-US"/>
        </w:rPr>
        <w:t>，形成较为完整的功能系统。运用先进的通信技术、软件技术改造现有系统设计，并为管网公司的信息化建设提供具有长期有效的发展规划。</w:t>
      </w:r>
    </w:p>
    <w:p>
      <w:pPr>
        <w:numPr>
          <w:ilvl w:val="255"/>
          <w:numId w:val="0"/>
        </w:numPr>
        <w:autoSpaceDE/>
        <w:autoSpaceDN/>
        <w:adjustRightInd/>
        <w:spacing w:line="360" w:lineRule="auto"/>
        <w:ind w:firstLine="480" w:firstLineChars="200"/>
        <w:jc w:val="both"/>
        <w:rPr>
          <w:rFonts w:hAnsi="宋体" w:cs="宋体"/>
          <w:kern w:val="2"/>
          <w:lang w:bidi="en-US"/>
        </w:rPr>
      </w:pPr>
      <w:r>
        <w:rPr>
          <w:rFonts w:hAnsi="宋体" w:cs="宋体"/>
          <w:kern w:val="2"/>
          <w:lang w:bidi="en-US"/>
        </w:rPr>
        <w:t>（2）以高度集成、互联互通为目的：</w:t>
      </w:r>
      <w:r>
        <w:rPr>
          <w:rFonts w:hint="eastAsia" w:hAnsi="宋体" w:cs="宋体"/>
          <w:kern w:val="2"/>
          <w:lang w:bidi="en-US"/>
        </w:rPr>
        <w:t>雨污同治</w:t>
      </w:r>
      <w:r>
        <w:rPr>
          <w:rFonts w:hAnsi="宋体" w:cs="宋体"/>
          <w:kern w:val="2"/>
          <w:lang w:bidi="en-US"/>
        </w:rPr>
        <w:t>项目</w:t>
      </w:r>
      <w:r>
        <w:rPr>
          <w:rFonts w:hint="eastAsia" w:hAnsi="宋体" w:cs="宋体"/>
          <w:kern w:val="2"/>
          <w:lang w:bidi="en-US"/>
        </w:rPr>
        <w:t>在业务应用层面的</w:t>
      </w:r>
      <w:r>
        <w:rPr>
          <w:rFonts w:hAnsi="宋体" w:cs="宋体"/>
          <w:kern w:val="2"/>
          <w:lang w:bidi="en-US"/>
        </w:rPr>
        <w:t>建设目的</w:t>
      </w:r>
      <w:r>
        <w:rPr>
          <w:rFonts w:hint="eastAsia" w:hAnsi="宋体" w:cs="宋体"/>
          <w:kern w:val="2"/>
          <w:lang w:bidi="en-US"/>
        </w:rPr>
        <w:t>之一</w:t>
      </w:r>
      <w:r>
        <w:rPr>
          <w:rFonts w:hAnsi="宋体" w:cs="宋体"/>
          <w:kern w:val="2"/>
          <w:lang w:bidi="en-US"/>
        </w:rPr>
        <w:t>就是要将新、旧系统进行</w:t>
      </w:r>
      <w:r>
        <w:rPr>
          <w:rFonts w:hint="eastAsia" w:hAnsi="宋体" w:cs="宋体"/>
          <w:kern w:val="2"/>
          <w:lang w:bidi="en-US"/>
        </w:rPr>
        <w:t>数据融合，解决现有系统主要问题并对未实现信息化的板块进行功能拓展</w:t>
      </w:r>
      <w:r>
        <w:rPr>
          <w:rFonts w:hAnsi="宋体" w:cs="宋体"/>
          <w:kern w:val="2"/>
          <w:lang w:bidi="en-US"/>
        </w:rPr>
        <w:t>，将业务系统功能</w:t>
      </w:r>
      <w:r>
        <w:rPr>
          <w:rFonts w:hint="eastAsia" w:hAnsi="宋体" w:cs="宋体"/>
          <w:kern w:val="2"/>
          <w:lang w:bidi="en-US"/>
        </w:rPr>
        <w:t>按网格化思路</w:t>
      </w:r>
      <w:r>
        <w:rPr>
          <w:rFonts w:hAnsi="宋体" w:cs="宋体"/>
          <w:kern w:val="2"/>
          <w:lang w:bidi="en-US"/>
        </w:rPr>
        <w:t>进行</w:t>
      </w:r>
      <w:r>
        <w:rPr>
          <w:rFonts w:hint="eastAsia" w:hAnsi="宋体" w:cs="宋体"/>
          <w:kern w:val="2"/>
          <w:lang w:bidi="en-US"/>
        </w:rPr>
        <w:t>整合</w:t>
      </w:r>
      <w:r>
        <w:rPr>
          <w:rFonts w:hAnsi="宋体" w:cs="宋体"/>
          <w:kern w:val="2"/>
          <w:lang w:bidi="en-US"/>
        </w:rPr>
        <w:t>，以实现信息资源的共享和系统间协同工作为设计目标。</w:t>
      </w:r>
    </w:p>
    <w:p>
      <w:pPr>
        <w:autoSpaceDE/>
        <w:autoSpaceDN/>
        <w:adjustRightInd/>
        <w:spacing w:line="360" w:lineRule="auto"/>
        <w:ind w:firstLine="482" w:firstLineChars="200"/>
        <w:jc w:val="both"/>
        <w:rPr>
          <w:rFonts w:hAnsi="宋体" w:cs="宋体"/>
          <w:b/>
          <w:bCs/>
          <w:kern w:val="2"/>
          <w:lang w:bidi="en-US"/>
        </w:rPr>
      </w:pPr>
      <w:r>
        <w:rPr>
          <w:rFonts w:hint="eastAsia" w:hAnsi="宋体" w:cs="宋体"/>
          <w:b/>
          <w:bCs/>
          <w:kern w:val="2"/>
          <w:lang w:bidi="en-US"/>
        </w:rPr>
        <w:t>2.建设思路</w:t>
      </w:r>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（1）现有系统问题解决：对于原有系统满足管网运维业务功能的要求的，则不对原有系统进行调整；对于</w:t>
      </w:r>
      <w:r>
        <w:rPr>
          <w:rFonts w:hint="eastAsia" w:hAnsi="宋体" w:cs="宋体"/>
          <w:kern w:val="2"/>
          <w:lang w:eastAsia="zh-Hans" w:bidi="en-US"/>
        </w:rPr>
        <w:t>管网</w:t>
      </w:r>
      <w:r>
        <w:rPr>
          <w:rFonts w:hint="eastAsia" w:hAnsi="宋体" w:cs="宋体"/>
          <w:kern w:val="2"/>
          <w:lang w:bidi="en-US"/>
        </w:rPr>
        <w:t>运营平台原有系统部分不能满足管网运维业务功能要求的，且不属于运维阶段优化可解决的问题，整体保持既有系统的技术体系不变，于本项目升级改造既有管网运维管理相关功能；</w:t>
      </w:r>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2）功能拓展升级：委外项目管理、在线监测等业务板块未实现信息化的新建子系统功能将基于原有管网运营平台进行拓展，同时建设或升级GIS基础平台、管网数据管理平台、管网物联网管理系统的基础支撑平台；</w:t>
      </w:r>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（3）与其他系统及平台的对接：与OA、财务及供应链、车辆管理、其他物联网平台等相关平台及系统进行数据及流程对接；</w:t>
      </w:r>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（4）管网综合门户管理：最终通过管网综合门户建设，与部分原有系统实现单点登录及集成，实现雨污同治中原有、新建系统及功能间的用户、工单、流程、报表、报警等统一管理。</w:t>
      </w:r>
    </w:p>
    <w:p>
      <w:pPr>
        <w:numPr>
          <w:ilvl w:val="0"/>
          <w:numId w:val="9"/>
        </w:numPr>
        <w:ind w:firstLine="482"/>
        <w:rPr>
          <w:rFonts w:hAnsi="宋体"/>
        </w:rPr>
        <w:sectPr>
          <w:pgSz w:w="11906" w:h="16838"/>
          <w:pgMar w:top="1440" w:right="1800" w:bottom="1440" w:left="1800" w:header="851" w:footer="992" w:gutter="0"/>
          <w:cols w:space="425" w:num="1"/>
          <w:docGrid w:type="lines" w:linePitch="312" w:charSpace="0"/>
        </w:sectPr>
      </w:pPr>
    </w:p>
    <w:p>
      <w:pPr>
        <w:keepNext/>
        <w:keepLines/>
        <w:spacing w:before="260" w:after="260" w:line="413" w:lineRule="auto"/>
        <w:jc w:val="both"/>
        <w:outlineLvl w:val="1"/>
        <w:rPr>
          <w:rFonts w:ascii="Arial" w:hAnsi="Arial" w:eastAsia="黑体" w:cs="宋体"/>
          <w:b/>
          <w:kern w:val="2"/>
          <w:sz w:val="32"/>
          <w:lang w:bidi="en-US"/>
        </w:rPr>
      </w:pPr>
      <w:bookmarkStart w:id="55" w:name="_Toc32348"/>
      <w:bookmarkStart w:id="56" w:name="_Toc14648"/>
      <w:r>
        <w:rPr>
          <w:rFonts w:hint="eastAsia" w:ascii="Arial" w:hAnsi="Arial" w:eastAsia="黑体" w:cs="宋体"/>
          <w:b/>
          <w:kern w:val="2"/>
          <w:sz w:val="32"/>
          <w:lang w:bidi="en-US"/>
        </w:rPr>
        <w:t>二、主要建设内容概要</w:t>
      </w:r>
      <w:bookmarkEnd w:id="55"/>
      <w:bookmarkEnd w:id="56"/>
    </w:p>
    <w:p>
      <w:pPr>
        <w:keepNext/>
        <w:keepLines/>
        <w:numPr>
          <w:ilvl w:val="0"/>
          <w:numId w:val="10"/>
        </w:numPr>
        <w:spacing w:line="360" w:lineRule="auto"/>
        <w:jc w:val="both"/>
        <w:outlineLvl w:val="2"/>
        <w:rPr>
          <w:rFonts w:ascii="楷体_GB2312" w:hAnsi="宋体" w:eastAsia="楷体_GB2312" w:cs="宋体"/>
          <w:b/>
          <w:kern w:val="2"/>
          <w:sz w:val="28"/>
          <w:szCs w:val="28"/>
          <w:lang w:bidi="en-US"/>
        </w:rPr>
      </w:pPr>
      <w:bookmarkStart w:id="57" w:name="_Toc27316"/>
      <w:bookmarkStart w:id="58" w:name="_Toc1322"/>
      <w:r>
        <w:rPr>
          <w:rFonts w:hint="eastAsia" w:ascii="楷体_GB2312" w:hAnsi="宋体" w:eastAsia="楷体_GB2312" w:cs="宋体"/>
          <w:b/>
          <w:kern w:val="2"/>
          <w:sz w:val="28"/>
          <w:szCs w:val="28"/>
          <w:lang w:bidi="en-US"/>
        </w:rPr>
        <w:t>软件开发服务功能清单</w:t>
      </w:r>
      <w:bookmarkEnd w:id="57"/>
      <w:bookmarkEnd w:id="58"/>
    </w:p>
    <w:tbl>
      <w:tblPr>
        <w:tblStyle w:val="23"/>
        <w:tblW w:w="7215" w:type="dxa"/>
        <w:tblInd w:w="93" w:type="dxa"/>
        <w:tblLayout w:type="fixed"/>
        <w:tblCellMar>
          <w:top w:w="0" w:type="dxa"/>
          <w:left w:w="108" w:type="dxa"/>
          <w:bottom w:w="0" w:type="dxa"/>
          <w:right w:w="108" w:type="dxa"/>
        </w:tblCellMar>
      </w:tblPr>
      <w:tblGrid>
        <w:gridCol w:w="459"/>
        <w:gridCol w:w="1287"/>
        <w:gridCol w:w="1077"/>
        <w:gridCol w:w="1718"/>
        <w:gridCol w:w="2674"/>
      </w:tblGrid>
      <w:tr>
        <w:tblPrEx>
          <w:tblCellMar>
            <w:top w:w="0" w:type="dxa"/>
            <w:left w:w="108" w:type="dxa"/>
            <w:bottom w:w="0" w:type="dxa"/>
            <w:right w:w="108" w:type="dxa"/>
          </w:tblCellMar>
        </w:tblPrEx>
        <w:trPr>
          <w:trHeight w:val="420" w:hRule="atLeast"/>
        </w:trPr>
        <w:tc>
          <w:tcPr>
            <w:tcW w:w="4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b/>
                <w:bCs/>
                <w:color w:val="000000"/>
                <w:sz w:val="20"/>
                <w:szCs w:val="20"/>
              </w:rPr>
            </w:pPr>
            <w:r>
              <w:rPr>
                <w:rFonts w:hint="eastAsia" w:ascii="等线" w:hAnsi="等线" w:eastAsia="等线" w:cs="等线"/>
                <w:b/>
                <w:bCs/>
                <w:color w:val="000000"/>
                <w:sz w:val="20"/>
                <w:szCs w:val="20"/>
                <w:lang w:bidi="ar"/>
              </w:rPr>
              <w:t>序号</w:t>
            </w:r>
          </w:p>
        </w:tc>
        <w:tc>
          <w:tcPr>
            <w:tcW w:w="408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b/>
                <w:bCs/>
                <w:color w:val="000000"/>
                <w:sz w:val="20"/>
                <w:szCs w:val="20"/>
              </w:rPr>
            </w:pPr>
            <w:r>
              <w:rPr>
                <w:rFonts w:hint="eastAsia" w:ascii="等线" w:hAnsi="等线" w:eastAsia="等线" w:cs="等线"/>
                <w:b/>
                <w:bCs/>
                <w:color w:val="000000"/>
                <w:sz w:val="20"/>
                <w:szCs w:val="20"/>
                <w:lang w:bidi="ar"/>
              </w:rPr>
              <w:t>名称</w:t>
            </w:r>
          </w:p>
        </w:tc>
        <w:tc>
          <w:tcPr>
            <w:tcW w:w="26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b/>
                <w:bCs/>
                <w:color w:val="000000"/>
                <w:sz w:val="20"/>
                <w:szCs w:val="20"/>
              </w:rPr>
            </w:pPr>
            <w:r>
              <w:rPr>
                <w:rFonts w:hint="eastAsia" w:ascii="等线" w:hAnsi="等线" w:eastAsia="等线" w:cs="等线"/>
                <w:b/>
                <w:bCs/>
                <w:color w:val="000000"/>
                <w:sz w:val="20"/>
                <w:szCs w:val="20"/>
                <w:lang w:bidi="ar"/>
              </w:rPr>
              <w:t>子模块名称</w:t>
            </w:r>
          </w:p>
        </w:tc>
      </w:tr>
      <w:tr>
        <w:tblPrEx>
          <w:tblCellMar>
            <w:top w:w="0" w:type="dxa"/>
            <w:left w:w="108" w:type="dxa"/>
            <w:bottom w:w="0" w:type="dxa"/>
            <w:right w:w="108" w:type="dxa"/>
          </w:tblCellMar>
        </w:tblPrEx>
        <w:trPr>
          <w:trHeight w:val="420" w:hRule="atLeast"/>
        </w:trPr>
        <w:tc>
          <w:tcPr>
            <w:tcW w:w="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b/>
                <w:bCs/>
                <w:color w:val="000000"/>
                <w:sz w:val="20"/>
                <w:szCs w:val="20"/>
              </w:rPr>
            </w:pPr>
          </w:p>
        </w:tc>
        <w:tc>
          <w:tcPr>
            <w:tcW w:w="408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b/>
                <w:bCs/>
                <w:color w:val="000000"/>
                <w:sz w:val="20"/>
                <w:szCs w:val="20"/>
              </w:rPr>
            </w:pPr>
          </w:p>
        </w:tc>
        <w:tc>
          <w:tcPr>
            <w:tcW w:w="2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b/>
                <w:bCs/>
                <w:color w:val="000000"/>
                <w:sz w:val="20"/>
                <w:szCs w:val="20"/>
              </w:rPr>
            </w:pP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b/>
                <w:bCs/>
                <w:color w:val="000000"/>
                <w:sz w:val="20"/>
                <w:szCs w:val="20"/>
              </w:rPr>
            </w:pPr>
            <w:r>
              <w:rPr>
                <w:rFonts w:hint="eastAsia" w:ascii="等线" w:hAnsi="等线" w:eastAsia="等线" w:cs="等线"/>
                <w:b/>
                <w:bCs/>
                <w:color w:val="000000"/>
                <w:sz w:val="20"/>
                <w:szCs w:val="20"/>
                <w:lang w:bidi="ar"/>
              </w:rPr>
              <w:t>一</w:t>
            </w:r>
          </w:p>
        </w:tc>
        <w:tc>
          <w:tcPr>
            <w:tcW w:w="6756"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等线" w:hAnsi="等线" w:eastAsia="等线" w:cs="等线"/>
                <w:b/>
                <w:bCs/>
                <w:color w:val="000000"/>
                <w:sz w:val="20"/>
                <w:szCs w:val="20"/>
              </w:rPr>
            </w:pPr>
            <w:r>
              <w:rPr>
                <w:rFonts w:hint="eastAsia" w:ascii="等线" w:hAnsi="等线" w:eastAsia="等线" w:cs="等线"/>
                <w:color w:val="000000"/>
                <w:sz w:val="20"/>
                <w:szCs w:val="20"/>
                <w:lang w:bidi="ar"/>
              </w:rPr>
              <w:t>管网综合门户</w:t>
            </w:r>
          </w:p>
        </w:tc>
      </w:tr>
      <w:tr>
        <w:tblPrEx>
          <w:tblCellMar>
            <w:top w:w="0" w:type="dxa"/>
            <w:left w:w="108" w:type="dxa"/>
            <w:bottom w:w="0" w:type="dxa"/>
            <w:right w:w="108" w:type="dxa"/>
          </w:tblCellMar>
        </w:tblPrEx>
        <w:trPr>
          <w:trHeight w:val="28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1</w:t>
            </w:r>
          </w:p>
        </w:tc>
        <w:tc>
          <w:tcPr>
            <w:tcW w:w="236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管网综合门户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统一用户管理</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统一用户管理</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2</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统一预警管理</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统一预警管理</w:t>
            </w:r>
          </w:p>
        </w:tc>
      </w:tr>
      <w:tr>
        <w:tblPrEx>
          <w:tblCellMar>
            <w:top w:w="0" w:type="dxa"/>
            <w:left w:w="108" w:type="dxa"/>
            <w:bottom w:w="0" w:type="dxa"/>
            <w:right w:w="108" w:type="dxa"/>
          </w:tblCellMar>
        </w:tblPrEx>
        <w:trPr>
          <w:trHeight w:val="28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3</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统一流程管理</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统一流程管理</w:t>
            </w:r>
          </w:p>
        </w:tc>
      </w:tr>
      <w:tr>
        <w:tblPrEx>
          <w:tblCellMar>
            <w:top w:w="0" w:type="dxa"/>
            <w:left w:w="108" w:type="dxa"/>
            <w:bottom w:w="0" w:type="dxa"/>
            <w:right w:w="108" w:type="dxa"/>
          </w:tblCellMar>
        </w:tblPrEx>
        <w:trPr>
          <w:trHeight w:val="28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4</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统一报表管理</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统一报表管理</w:t>
            </w:r>
          </w:p>
        </w:tc>
      </w:tr>
      <w:tr>
        <w:tblPrEx>
          <w:tblCellMar>
            <w:top w:w="0" w:type="dxa"/>
            <w:left w:w="108" w:type="dxa"/>
            <w:bottom w:w="0" w:type="dxa"/>
            <w:right w:w="108" w:type="dxa"/>
          </w:tblCellMar>
        </w:tblPrEx>
        <w:trPr>
          <w:trHeight w:val="28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5</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统一工单管理</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统一工单管理</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6</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统一消息管理</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统一消息管理</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b/>
                <w:bCs/>
                <w:color w:val="000000"/>
                <w:sz w:val="20"/>
                <w:szCs w:val="20"/>
              </w:rPr>
            </w:pPr>
            <w:r>
              <w:rPr>
                <w:rFonts w:hint="eastAsia" w:ascii="等线" w:hAnsi="等线" w:eastAsia="等线" w:cs="等线"/>
                <w:b/>
                <w:bCs/>
                <w:color w:val="000000"/>
                <w:sz w:val="20"/>
                <w:szCs w:val="20"/>
                <w:lang w:bidi="ar"/>
              </w:rPr>
              <w:t>二</w:t>
            </w:r>
          </w:p>
        </w:tc>
        <w:tc>
          <w:tcPr>
            <w:tcW w:w="675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r>
              <w:rPr>
                <w:rFonts w:hint="eastAsia" w:ascii="等线" w:hAnsi="等线" w:eastAsia="等线" w:cs="等线"/>
                <w:b/>
                <w:bCs/>
                <w:color w:val="000000"/>
                <w:sz w:val="20"/>
                <w:szCs w:val="20"/>
                <w:lang w:bidi="ar"/>
              </w:rPr>
              <w:t>业务网格化——污水、排水管网业务网格化管理系统</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1</w:t>
            </w:r>
          </w:p>
        </w:tc>
        <w:tc>
          <w:tcPr>
            <w:tcW w:w="236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现有业务系统升级</w:t>
            </w:r>
          </w:p>
        </w:tc>
        <w:tc>
          <w:tcPr>
            <w:tcW w:w="17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管网运营平台</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网格化管理</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2</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移交接收</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3</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管道缺陷管理</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4</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地图加载优化</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5</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轨迹偏移优化</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6</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微信分享</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7</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泵站设备详情管理</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8</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车辆管理系统</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综合统计分析</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9</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车辆维保预警</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10</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运营数据报表系统</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日报</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11</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周报</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12</w:t>
            </w:r>
          </w:p>
        </w:tc>
        <w:tc>
          <w:tcPr>
            <w:tcW w:w="12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现有管网运营平台（含管网通APP）拓展</w:t>
            </w:r>
          </w:p>
        </w:tc>
        <w:tc>
          <w:tcPr>
            <w:tcW w:w="10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项目进度管理</w:t>
            </w:r>
          </w:p>
        </w:tc>
        <w:tc>
          <w:tcPr>
            <w:tcW w:w="17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项目基础管理</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项目分类管理</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13</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项目供应商管理</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14</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项目资料管理</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15</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项目信息总览</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项目台账</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16</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项目统计分析</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17</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项目一张图</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18</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项目进度管理</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项目流程管理</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19</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项目信息上报</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20</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项目安全监管</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21</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项目监控及现场直播</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22</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项目追溯管理</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项目追溯管理</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23</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物资与仓库管理</w:t>
            </w:r>
          </w:p>
        </w:tc>
        <w:tc>
          <w:tcPr>
            <w:tcW w:w="17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物资管理</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仓库管理</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24</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物资履历</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25</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多级仓库管理</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26</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物资分类管理</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物资库存</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27</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物资分类</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28</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二维码管理</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二维码管理</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29</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巡检任务</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巡检任务</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30</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维修维保</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维修维保</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31</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统计分析</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统计分析</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32</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在线检测一张网</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在线监测总览管理</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在线监测总览管理</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33</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在线监测地图展示</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监测点筛选</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34</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监测信息显示</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35</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监测曲线展示</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36</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监测数据详情管理</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实时监测数据</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37</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历史监测数据</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38</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在线监测预报警管理</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在线监测预报警管理</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39</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水质检测专题</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水质检测专题分析</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40</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水质检测分析点管理</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41</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系统专题报告</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42</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监测数据综合统计分析</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管网液位统计</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43</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水质数据统计</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44</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按污水系统统计</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45</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高水位运行统计</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46</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历史报警分析</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历史报警分析</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47</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外水入渗分析</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外水入渗分析</w:t>
            </w:r>
          </w:p>
        </w:tc>
      </w:tr>
      <w:tr>
        <w:tblPrEx>
          <w:tblCellMar>
            <w:top w:w="0" w:type="dxa"/>
            <w:left w:w="108" w:type="dxa"/>
            <w:bottom w:w="0" w:type="dxa"/>
            <w:right w:w="108" w:type="dxa"/>
          </w:tblCellMar>
        </w:tblPrEx>
        <w:trPr>
          <w:trHeight w:val="76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48</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雨污水水位、水质、雨量、潮位等多维度叠加分析</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雨污水水位、水质、雨量、潮位等多维度叠加分析</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49</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泵站能耗分析</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泵站能耗分析</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50</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绩效考核管理</w:t>
            </w:r>
          </w:p>
        </w:tc>
        <w:tc>
          <w:tcPr>
            <w:tcW w:w="17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排水运维考核计费</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资料管理</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51</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档案管理</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52</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票据管理</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53</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考核流程管理</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54</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业务工作台</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55</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外部考核计费</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56</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镇街评价</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57</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评价提醒</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58</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评价提交</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59</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请款跟踪</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60</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内部生产绩效考核</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业务生产绩效考核</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61</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分公司生产绩效</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62</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镇街生产绩效</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63</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人员/班组生产绩效</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64</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数据总览</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数据总览</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65</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综合指挥调度</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调度指挥地图</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调度指挥地图</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66</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日常调度</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泵站调度</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67</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维修调度</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68</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清疏调度</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69</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投诉事件调度</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70</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防汛调度</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71</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厂网站调度</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72</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应急处置</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事前准备</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73</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事中调度</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74</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事后总结</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75</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统计分析</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统计分析</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76</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移动端</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项目进度管理</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项目进度管理</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77</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物资与仓库管理</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物资与仓库管理</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78</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在线监测一张网</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在线监测一张网</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79</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绩效考核管理</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绩效考核管理</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sz w:val="20"/>
                <w:szCs w:val="20"/>
              </w:rPr>
            </w:pPr>
            <w:r>
              <w:rPr>
                <w:rFonts w:hint="eastAsia" w:ascii="等线" w:hAnsi="等线" w:eastAsia="等线" w:cs="等线"/>
                <w:color w:val="000000"/>
                <w:sz w:val="20"/>
                <w:szCs w:val="20"/>
                <w:lang w:bidi="ar"/>
              </w:rPr>
              <w:t>80</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综合指挥调度</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综合指挥调度</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b/>
                <w:bCs/>
                <w:color w:val="000000"/>
                <w:sz w:val="20"/>
                <w:szCs w:val="20"/>
              </w:rPr>
            </w:pPr>
            <w:r>
              <w:rPr>
                <w:rFonts w:hint="eastAsia" w:ascii="等线" w:hAnsi="等线" w:eastAsia="等线" w:cs="等线"/>
                <w:b/>
                <w:bCs/>
                <w:color w:val="000000"/>
                <w:sz w:val="20"/>
                <w:szCs w:val="20"/>
                <w:lang w:bidi="ar"/>
              </w:rPr>
              <w:t>三</w:t>
            </w:r>
          </w:p>
        </w:tc>
        <w:tc>
          <w:tcPr>
            <w:tcW w:w="675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b/>
                <w:bCs/>
                <w:color w:val="000000"/>
                <w:sz w:val="20"/>
                <w:szCs w:val="20"/>
              </w:rPr>
            </w:pPr>
            <w:r>
              <w:rPr>
                <w:rFonts w:hint="eastAsia" w:ascii="等线" w:hAnsi="等线" w:eastAsia="等线" w:cs="等线"/>
                <w:b/>
                <w:bCs/>
                <w:color w:val="000000"/>
                <w:sz w:val="20"/>
                <w:szCs w:val="20"/>
                <w:lang w:bidi="ar"/>
              </w:rPr>
              <w:t>分析决策网格化——网格化决策分析系统</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1</w:t>
            </w:r>
          </w:p>
        </w:tc>
        <w:tc>
          <w:tcPr>
            <w:tcW w:w="236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网格化分析决策系统</w:t>
            </w:r>
          </w:p>
        </w:tc>
        <w:tc>
          <w:tcPr>
            <w:tcW w:w="17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网格化分析</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网格信息可视化</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2</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成果可视化</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3</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实时数据可视化</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4</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监测数据可视化</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5</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视频监控</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6</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统计分析</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7</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空间分析</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8</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决策分析</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网格运营分析</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9</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分公司决策分析</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10</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公司决策分析</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11</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集团决策分析</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12</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镇街监督</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运维工作量</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13</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管网健康态势</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14</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内部监督</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工程进度监督</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15</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安全整改监督</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16</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工单任务监督</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17</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环保监督</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排口监管</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18</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排水户监管</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19</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关键位置监管</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20</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驾驶舱应用</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网格专题驾驶舱</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21</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排水专题驾驶舱</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22</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防涝专题驾驶舱</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23</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项目专题驾驶舱</w:t>
            </w:r>
          </w:p>
        </w:tc>
      </w:tr>
      <w:tr>
        <w:tblPrEx>
          <w:tblCellMar>
            <w:top w:w="0" w:type="dxa"/>
            <w:left w:w="108" w:type="dxa"/>
            <w:bottom w:w="0" w:type="dxa"/>
            <w:right w:w="108" w:type="dxa"/>
          </w:tblCellMar>
        </w:tblPrEx>
        <w:trPr>
          <w:trHeight w:val="255" w:hRule="atLeast"/>
        </w:trPr>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24</w:t>
            </w:r>
          </w:p>
        </w:tc>
        <w:tc>
          <w:tcPr>
            <w:tcW w:w="23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0"/>
                <w:szCs w:val="20"/>
              </w:rPr>
            </w:pP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lang w:bidi="ar"/>
              </w:rPr>
              <w:t>泵站专题驾驶舱</w:t>
            </w:r>
          </w:p>
        </w:tc>
      </w:tr>
    </w:tbl>
    <w:p>
      <w:pPr>
        <w:keepNext/>
        <w:keepLines/>
        <w:numPr>
          <w:ilvl w:val="0"/>
          <w:numId w:val="10"/>
        </w:numPr>
        <w:spacing w:line="360" w:lineRule="auto"/>
        <w:jc w:val="both"/>
        <w:outlineLvl w:val="2"/>
        <w:rPr>
          <w:rFonts w:ascii="楷体_GB2312" w:hAnsi="宋体" w:eastAsia="楷体_GB2312" w:cs="宋体"/>
          <w:b/>
          <w:kern w:val="2"/>
          <w:sz w:val="28"/>
          <w:szCs w:val="28"/>
          <w:lang w:bidi="en-US"/>
        </w:rPr>
      </w:pPr>
      <w:bookmarkStart w:id="59" w:name="_Toc17793"/>
      <w:bookmarkStart w:id="60" w:name="_Toc10275"/>
      <w:bookmarkStart w:id="61" w:name="_Toc12418"/>
      <w:bookmarkStart w:id="62" w:name="_Toc22503"/>
      <w:bookmarkStart w:id="63" w:name="_Toc32268"/>
      <w:bookmarkStart w:id="64" w:name="_Toc10254"/>
      <w:bookmarkStart w:id="65" w:name="_Toc18692"/>
      <w:bookmarkStart w:id="66" w:name="_Toc24874"/>
      <w:bookmarkStart w:id="67" w:name="_Toc6891"/>
      <w:bookmarkStart w:id="68" w:name="_Toc1295418390"/>
      <w:bookmarkStart w:id="69" w:name="_Toc12380"/>
      <w:bookmarkStart w:id="70" w:name="_Toc3995"/>
      <w:bookmarkStart w:id="71" w:name="_Toc4743"/>
      <w:bookmarkStart w:id="72" w:name="_Toc17922"/>
      <w:bookmarkStart w:id="73" w:name="_Toc26045"/>
      <w:r>
        <w:rPr>
          <w:rFonts w:hint="eastAsia" w:ascii="楷体_GB2312" w:hAnsi="宋体" w:eastAsia="楷体_GB2312" w:cs="宋体"/>
          <w:b/>
          <w:kern w:val="2"/>
          <w:sz w:val="28"/>
          <w:szCs w:val="28"/>
          <w:lang w:bidi="en-US"/>
        </w:rPr>
        <w:fldChar w:fldCharType="begin"/>
      </w:r>
      <w:r>
        <w:rPr>
          <w:rFonts w:hint="eastAsia" w:ascii="楷体_GB2312" w:hAnsi="宋体" w:eastAsia="楷体_GB2312" w:cs="宋体"/>
          <w:b/>
          <w:kern w:val="2"/>
          <w:sz w:val="28"/>
          <w:szCs w:val="28"/>
          <w:lang w:bidi="en-US"/>
        </w:rPr>
        <w:instrText xml:space="preserve"> HYPERLINK \l "_Toc138254453" </w:instrText>
      </w:r>
      <w:r>
        <w:rPr>
          <w:rFonts w:hint="eastAsia" w:ascii="楷体_GB2312" w:hAnsi="宋体" w:eastAsia="楷体_GB2312" w:cs="宋体"/>
          <w:b/>
          <w:kern w:val="2"/>
          <w:sz w:val="28"/>
          <w:szCs w:val="28"/>
          <w:lang w:bidi="en-US"/>
        </w:rPr>
        <w:fldChar w:fldCharType="separate"/>
      </w:r>
      <w:r>
        <w:rPr>
          <w:rFonts w:hint="eastAsia" w:ascii="楷体_GB2312" w:hAnsi="宋体" w:eastAsia="楷体_GB2312" w:cs="宋体"/>
          <w:b/>
          <w:kern w:val="2"/>
          <w:sz w:val="28"/>
          <w:szCs w:val="28"/>
          <w:lang w:bidi="en-US"/>
        </w:rPr>
        <w:t>商用软件产品</w:t>
      </w:r>
      <w:r>
        <w:rPr>
          <w:rFonts w:hint="eastAsia" w:ascii="楷体_GB2312" w:hAnsi="宋体" w:eastAsia="楷体_GB2312" w:cs="宋体"/>
          <w:b/>
          <w:kern w:val="2"/>
          <w:sz w:val="28"/>
          <w:szCs w:val="28"/>
          <w:lang w:bidi="en-US"/>
        </w:rPr>
        <w:fldChar w:fldCharType="end"/>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近年来，面对复杂多变的国际形势，国家日益重视并不断推动信息化产业快速发展</w:t>
      </w:r>
      <w:r>
        <w:rPr>
          <w:rFonts w:hint="eastAsia" w:hAnsi="宋体" w:cs="宋体"/>
          <w:kern w:val="2"/>
          <w:lang w:eastAsia="zh-Hans" w:bidi="en-US"/>
        </w:rPr>
        <w:t>，所以建议所选用的商业软件产品</w:t>
      </w:r>
      <w:r>
        <w:rPr>
          <w:rFonts w:hint="eastAsia" w:hAnsi="宋体" w:cs="宋体"/>
          <w:kern w:val="2"/>
          <w:lang w:bidi="en-US"/>
        </w:rPr>
        <w:t>安全可靠</w:t>
      </w:r>
      <w:r>
        <w:rPr>
          <w:rFonts w:hint="eastAsia" w:hAnsi="宋体" w:cs="宋体"/>
          <w:kern w:val="2"/>
          <w:lang w:eastAsia="zh-Hans" w:bidi="en-US"/>
        </w:rPr>
        <w:t>，</w:t>
      </w:r>
      <w:r>
        <w:rPr>
          <w:rFonts w:hint="eastAsia" w:hAnsi="宋体" w:cs="宋体"/>
          <w:kern w:val="2"/>
          <w:lang w:bidi="en-US"/>
        </w:rPr>
        <w:t>同时</w:t>
      </w:r>
      <w:r>
        <w:rPr>
          <w:rFonts w:hint="eastAsia" w:hAnsi="宋体" w:cs="宋体"/>
          <w:kern w:val="2"/>
          <w:lang w:eastAsia="zh-Hans" w:bidi="en-US"/>
        </w:rPr>
        <w:t>充分考虑工具的信息安全问题。</w:t>
      </w:r>
    </w:p>
    <w:p>
      <w:pPr>
        <w:autoSpaceDE/>
        <w:autoSpaceDN/>
        <w:adjustRightInd/>
        <w:spacing w:line="360" w:lineRule="auto"/>
        <w:ind w:firstLine="482" w:firstLineChars="200"/>
        <w:jc w:val="both"/>
        <w:rPr>
          <w:rFonts w:hAnsi="宋体" w:cs="宋体"/>
          <w:b/>
          <w:bCs/>
          <w:kern w:val="2"/>
          <w:lang w:bidi="en-US"/>
        </w:rPr>
      </w:pPr>
      <w:bookmarkStart w:id="74" w:name="_Toc138254454"/>
      <w:r>
        <w:rPr>
          <w:rFonts w:hint="eastAsia" w:hAnsi="宋体" w:cs="宋体"/>
          <w:b/>
          <w:bCs/>
          <w:kern w:val="2"/>
          <w:lang w:bidi="en-US"/>
        </w:rPr>
        <w:t>1.数据库</w:t>
      </w:r>
      <w:bookmarkEnd w:id="74"/>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数据库应支持以下功能：</w:t>
      </w:r>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1)</w:t>
      </w:r>
      <w:r>
        <w:rPr>
          <w:rFonts w:hint="eastAsia" w:hAnsi="宋体" w:cs="宋体"/>
          <w:kern w:val="2"/>
          <w:lang w:bidi="en-US"/>
        </w:rPr>
        <w:tab/>
      </w:r>
      <w:r>
        <w:rPr>
          <w:rFonts w:hint="eastAsia" w:hAnsi="宋体" w:cs="宋体"/>
          <w:kern w:val="2"/>
          <w:lang w:bidi="en-US"/>
        </w:rPr>
        <w:t>支持ANSI/ISO SQL-99标准。</w:t>
      </w:r>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2)</w:t>
      </w:r>
      <w:r>
        <w:rPr>
          <w:rFonts w:hint="eastAsia" w:hAnsi="宋体" w:cs="宋体"/>
          <w:kern w:val="2"/>
          <w:lang w:bidi="en-US"/>
        </w:rPr>
        <w:tab/>
      </w:r>
      <w:r>
        <w:rPr>
          <w:rFonts w:hint="eastAsia" w:hAnsi="宋体" w:cs="宋体"/>
          <w:kern w:val="2"/>
          <w:lang w:bidi="en-US"/>
        </w:rPr>
        <w:t>支持GBK中文汉字内码，支持Unicode 3.2以上版本编码。</w:t>
      </w:r>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3)</w:t>
      </w:r>
      <w:r>
        <w:rPr>
          <w:rFonts w:hint="eastAsia" w:hAnsi="宋体" w:cs="宋体"/>
          <w:kern w:val="2"/>
          <w:lang w:bidi="en-US"/>
        </w:rPr>
        <w:tab/>
      </w:r>
      <w:r>
        <w:rPr>
          <w:rFonts w:hint="eastAsia" w:hAnsi="宋体" w:cs="宋体"/>
          <w:kern w:val="2"/>
          <w:lang w:bidi="en-US"/>
        </w:rPr>
        <w:t>适配主流厂商的硬件平台及操作系统平台，在不同平台间兼容，跨平台移植时，数据和应用程序不用修改。</w:t>
      </w:r>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4)</w:t>
      </w:r>
      <w:r>
        <w:rPr>
          <w:rFonts w:hint="eastAsia" w:hAnsi="宋体" w:cs="宋体"/>
          <w:kern w:val="2"/>
          <w:lang w:bidi="en-US"/>
        </w:rPr>
        <w:tab/>
      </w:r>
      <w:r>
        <w:rPr>
          <w:rFonts w:hint="eastAsia" w:hAnsi="宋体" w:cs="宋体"/>
          <w:kern w:val="2"/>
          <w:lang w:bidi="en-US"/>
        </w:rPr>
        <w:t>数据库系统支持集群功能且具有良好的伸缩性。含高可靠性双机集群（RAC），支持集群环境中服务器节点在线的增删，支持CPU数量扩充，并在多个服务器和CPU之间均衡负载；支持SOA架构。</w:t>
      </w:r>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5)</w:t>
      </w:r>
      <w:r>
        <w:rPr>
          <w:rFonts w:hint="eastAsia" w:hAnsi="宋体" w:cs="宋体"/>
          <w:kern w:val="2"/>
          <w:lang w:bidi="en-US"/>
        </w:rPr>
        <w:tab/>
      </w:r>
      <w:r>
        <w:rPr>
          <w:rFonts w:hint="eastAsia" w:hAnsi="宋体" w:cs="宋体"/>
          <w:kern w:val="2"/>
          <w:lang w:bidi="en-US"/>
        </w:rPr>
        <w:t>支持主流的网络协议（如：TCP/IP、IPX/SPX、NETbios及混合协议）。</w:t>
      </w:r>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6)</w:t>
      </w:r>
      <w:r>
        <w:rPr>
          <w:rFonts w:hint="eastAsia" w:hAnsi="宋体" w:cs="宋体"/>
          <w:kern w:val="2"/>
          <w:lang w:bidi="en-US"/>
        </w:rPr>
        <w:tab/>
      </w:r>
      <w:r>
        <w:rPr>
          <w:rFonts w:hint="eastAsia" w:hAnsi="宋体" w:cs="宋体"/>
          <w:kern w:val="2"/>
          <w:lang w:bidi="en-US"/>
        </w:rPr>
        <w:t>具有良好的开放性，支持异种数据库的互访等。</w:t>
      </w:r>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7)</w:t>
      </w:r>
      <w:r>
        <w:rPr>
          <w:rFonts w:hint="eastAsia" w:hAnsi="宋体" w:cs="宋体"/>
          <w:kern w:val="2"/>
          <w:lang w:bidi="en-US"/>
        </w:rPr>
        <w:tab/>
      </w:r>
      <w:r>
        <w:rPr>
          <w:rFonts w:hint="eastAsia" w:hAnsi="宋体" w:cs="宋体"/>
          <w:kern w:val="2"/>
          <w:lang w:bidi="en-US"/>
        </w:rPr>
        <w:t>具有支持并行操作所需的技术（如：多服务器集群技术、并发访问共享存储技术、事务处理的完整性控制技术等），具备并行查询、并行加载和并行索引等并行处理能力。</w:t>
      </w:r>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8)</w:t>
      </w:r>
      <w:r>
        <w:rPr>
          <w:rFonts w:hint="eastAsia" w:hAnsi="宋体" w:cs="宋体"/>
          <w:kern w:val="2"/>
          <w:lang w:bidi="en-US"/>
        </w:rPr>
        <w:tab/>
      </w:r>
      <w:r>
        <w:rPr>
          <w:rFonts w:hint="eastAsia" w:hAnsi="宋体" w:cs="宋体"/>
          <w:kern w:val="2"/>
          <w:lang w:bidi="en-US"/>
        </w:rPr>
        <w:t>支持网络上同构或异构数据库之间的数据的有效传输和冗余性复制；具有多种复制功能模块。</w:t>
      </w:r>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9)</w:t>
      </w:r>
      <w:r>
        <w:rPr>
          <w:rFonts w:hint="eastAsia" w:hAnsi="宋体" w:cs="宋体"/>
          <w:kern w:val="2"/>
          <w:lang w:bidi="en-US"/>
        </w:rPr>
        <w:tab/>
      </w:r>
      <w:r>
        <w:rPr>
          <w:rFonts w:hint="eastAsia" w:hAnsi="宋体" w:cs="宋体"/>
          <w:kern w:val="2"/>
          <w:lang w:bidi="en-US"/>
        </w:rPr>
        <w:t xml:space="preserve">支持联机分析处理（OLAP）；支持联机事务处理（OLTP）。 </w:t>
      </w:r>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10)支持C2或以上级安全标准和基于角色的安全控制、多级安全控制（如行级安全）、在数据库核心中支持审计功能、支持虚拟私有数据库。</w:t>
      </w:r>
    </w:p>
    <w:p>
      <w:pPr>
        <w:autoSpaceDE/>
        <w:autoSpaceDN/>
        <w:adjustRightInd/>
        <w:spacing w:line="360" w:lineRule="auto"/>
        <w:ind w:firstLine="482" w:firstLineChars="200"/>
        <w:jc w:val="both"/>
        <w:rPr>
          <w:rFonts w:hAnsi="宋体" w:cs="宋体"/>
          <w:b/>
          <w:bCs/>
          <w:kern w:val="2"/>
          <w:lang w:bidi="en-US"/>
        </w:rPr>
      </w:pPr>
      <w:bookmarkStart w:id="75" w:name="_Toc10482"/>
      <w:bookmarkStart w:id="76" w:name="_Toc138254455"/>
      <w:r>
        <w:rPr>
          <w:rFonts w:hint="eastAsia" w:hAnsi="宋体" w:cs="宋体"/>
          <w:b/>
          <w:bCs/>
          <w:kern w:val="2"/>
          <w:lang w:bidi="en-US"/>
        </w:rPr>
        <w:t>2.中间件</w:t>
      </w:r>
      <w:bookmarkEnd w:id="75"/>
      <w:bookmarkEnd w:id="76"/>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中间件的技术选型要求：</w:t>
      </w:r>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1.功能需求：不同的中间件产品通常针对不同的场景和需求，比如分布式缓存、消息传递、容器编排等等。</w:t>
      </w:r>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2.性能和可靠性：不同的中间件产品在性能和可靠性方面表现也各不相同，需要根据不同的应用场景选择最适合的产品，比如高可靠性，高吞吐量，短延迟等等。</w:t>
      </w:r>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3.成本和可扩展性：中间件产品的成本和可扩展性也是选型的重要考虑因素。</w:t>
      </w:r>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4开发和部署便捷性：不同的中间件产品在安装、配置、部署和开发方面也存在差异。</w:t>
      </w:r>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5.兼容性需求：需兼容安全可靠的数据库及操作系统。</w:t>
      </w:r>
    </w:p>
    <w:p>
      <w:pPr>
        <w:keepNext/>
        <w:keepLines/>
        <w:numPr>
          <w:ilvl w:val="0"/>
          <w:numId w:val="10"/>
        </w:numPr>
        <w:spacing w:line="360" w:lineRule="auto"/>
        <w:ind w:firstLine="562" w:firstLineChars="200"/>
        <w:jc w:val="both"/>
        <w:outlineLvl w:val="2"/>
        <w:rPr>
          <w:rFonts w:ascii="楷体_GB2312" w:hAnsi="宋体" w:eastAsia="楷体_GB2312" w:cs="宋体"/>
          <w:b/>
          <w:kern w:val="2"/>
          <w:sz w:val="28"/>
          <w:szCs w:val="28"/>
          <w:lang w:bidi="en-US"/>
        </w:rPr>
      </w:pPr>
      <w:bookmarkStart w:id="77" w:name="_Toc138254456"/>
      <w:bookmarkStart w:id="78" w:name="_Toc20519"/>
      <w:bookmarkStart w:id="79" w:name="_Toc26981"/>
      <w:bookmarkStart w:id="80" w:name="_Toc23817"/>
      <w:r>
        <w:rPr>
          <w:rFonts w:hint="eastAsia" w:ascii="楷体_GB2312" w:hAnsi="宋体" w:eastAsia="楷体_GB2312" w:cs="宋体"/>
          <w:b/>
          <w:kern w:val="2"/>
          <w:sz w:val="28"/>
          <w:szCs w:val="28"/>
          <w:lang w:bidi="en-US"/>
        </w:rPr>
        <w:t>操作系统</w:t>
      </w:r>
      <w:bookmarkEnd w:id="77"/>
      <w:bookmarkEnd w:id="78"/>
      <w:bookmarkEnd w:id="79"/>
      <w:bookmarkEnd w:id="80"/>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为保证操作系统的稳定性、安全性，操作系统应使用原生镜像文件进行安装，并提供相应版本的授权。</w:t>
      </w:r>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一、性能：保障系统能够满足业务运行需求。服务器并发支持万级别，服务器集群支持性，客户端带宽占用量上行达到千兆。</w:t>
      </w:r>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二、集成：系统在采购之后，必然要与其他系统做整合。所以要满足可编程接口支持性（SOA/REST/xml/API）和数据开放性（Sql、Text等）。</w:t>
      </w:r>
    </w:p>
    <w:p>
      <w:pPr>
        <w:keepNext/>
        <w:keepLines/>
        <w:numPr>
          <w:ilvl w:val="0"/>
          <w:numId w:val="10"/>
        </w:numPr>
        <w:spacing w:line="360" w:lineRule="auto"/>
        <w:jc w:val="both"/>
        <w:outlineLvl w:val="2"/>
        <w:rPr>
          <w:rFonts w:ascii="楷体_GB2312" w:hAnsi="宋体" w:eastAsia="楷体_GB2312" w:cs="宋体"/>
          <w:b/>
          <w:kern w:val="2"/>
          <w:sz w:val="28"/>
          <w:szCs w:val="28"/>
          <w:lang w:bidi="en-US"/>
        </w:rPr>
      </w:pPr>
      <w:bookmarkStart w:id="81" w:name="_Toc17960"/>
      <w:bookmarkStart w:id="82" w:name="_Toc19790"/>
      <w:bookmarkStart w:id="83" w:name="_Toc22824"/>
      <w:bookmarkStart w:id="84" w:name="_Toc20431"/>
      <w:bookmarkStart w:id="85" w:name="_Toc6317"/>
      <w:bookmarkStart w:id="86" w:name="_Toc907667444"/>
      <w:bookmarkStart w:id="87" w:name="_Toc16764"/>
      <w:bookmarkStart w:id="88" w:name="_Toc11465"/>
      <w:bookmarkStart w:id="89" w:name="_Toc1328"/>
      <w:bookmarkStart w:id="90" w:name="_Toc16017"/>
      <w:bookmarkStart w:id="91" w:name="_Toc26910"/>
      <w:bookmarkStart w:id="92" w:name="_Toc29194"/>
      <w:bookmarkStart w:id="93" w:name="_Toc10886"/>
      <w:bookmarkStart w:id="94" w:name="_Toc16975"/>
      <w:bookmarkStart w:id="95" w:name="_Toc21757"/>
      <w:r>
        <w:rPr>
          <w:rFonts w:hint="eastAsia" w:ascii="楷体_GB2312" w:hAnsi="宋体" w:eastAsia="楷体_GB2312" w:cs="宋体"/>
          <w:b/>
          <w:kern w:val="2"/>
          <w:sz w:val="28"/>
          <w:szCs w:val="28"/>
          <w:lang w:bidi="en-US"/>
        </w:rPr>
        <w:fldChar w:fldCharType="begin"/>
      </w:r>
      <w:r>
        <w:rPr>
          <w:rFonts w:hint="eastAsia" w:ascii="楷体_GB2312" w:hAnsi="宋体" w:eastAsia="楷体_GB2312" w:cs="宋体"/>
          <w:b/>
          <w:kern w:val="2"/>
          <w:sz w:val="28"/>
          <w:szCs w:val="28"/>
          <w:lang w:bidi="en-US"/>
        </w:rPr>
        <w:instrText xml:space="preserve"> HYPERLINK \l "_Toc138254457" </w:instrText>
      </w:r>
      <w:r>
        <w:rPr>
          <w:rFonts w:hint="eastAsia" w:ascii="楷体_GB2312" w:hAnsi="宋体" w:eastAsia="楷体_GB2312" w:cs="宋体"/>
          <w:b/>
          <w:kern w:val="2"/>
          <w:sz w:val="28"/>
          <w:szCs w:val="28"/>
          <w:lang w:bidi="en-US"/>
        </w:rPr>
        <w:fldChar w:fldCharType="separate"/>
      </w:r>
      <w:r>
        <w:rPr>
          <w:rFonts w:hint="eastAsia" w:ascii="楷体_GB2312" w:hAnsi="宋体" w:eastAsia="楷体_GB2312" w:cs="宋体"/>
          <w:b/>
          <w:kern w:val="2"/>
          <w:sz w:val="28"/>
          <w:szCs w:val="28"/>
          <w:lang w:bidi="en-US"/>
        </w:rPr>
        <w:t>服务器与存储系统</w:t>
      </w:r>
      <w:r>
        <w:rPr>
          <w:rFonts w:hint="eastAsia" w:ascii="楷体_GB2312" w:hAnsi="宋体" w:eastAsia="楷体_GB2312" w:cs="宋体"/>
          <w:b/>
          <w:kern w:val="2"/>
          <w:sz w:val="28"/>
          <w:szCs w:val="28"/>
          <w:lang w:bidi="en-US"/>
        </w:rPr>
        <w:fldChar w:fldCharType="end"/>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通过目前管网运营平台具体使用情况</w:t>
      </w:r>
      <w:r>
        <w:rPr>
          <w:rFonts w:hAnsi="宋体" w:cs="宋体"/>
          <w:kern w:val="2"/>
          <w:lang w:bidi="en-US"/>
        </w:rPr>
        <w:t>，并考虑利旧现有</w:t>
      </w:r>
      <w:r>
        <w:rPr>
          <w:rFonts w:hint="eastAsia" w:hAnsi="宋体" w:cs="宋体"/>
          <w:kern w:val="2"/>
          <w:lang w:bidi="en-US"/>
        </w:rPr>
        <w:t>服务器，</w:t>
      </w:r>
      <w:r>
        <w:rPr>
          <w:rFonts w:hAnsi="宋体" w:cs="宋体"/>
          <w:kern w:val="2"/>
          <w:lang w:bidi="en-US"/>
        </w:rPr>
        <w:t>本期</w:t>
      </w:r>
      <w:r>
        <w:rPr>
          <w:rFonts w:hint="eastAsia" w:hAnsi="宋体" w:cs="宋体"/>
          <w:kern w:val="2"/>
          <w:lang w:bidi="en-US"/>
        </w:rPr>
        <w:t>项目建设内容需要在原有服务器进行扩容和新增一台新的服务器，</w:t>
      </w:r>
      <w:r>
        <w:rPr>
          <w:rFonts w:hint="eastAsia" w:hAnsi="宋体" w:cs="宋体"/>
          <w:kern w:val="2"/>
          <w:lang w:eastAsia="zh-Hans" w:bidi="en-US"/>
        </w:rPr>
        <w:t>综合考虑</w:t>
      </w:r>
      <w:r>
        <w:rPr>
          <w:rFonts w:hint="eastAsia" w:hAnsi="宋体" w:cs="宋体"/>
          <w:kern w:val="2"/>
          <w:lang w:bidi="en-US"/>
        </w:rPr>
        <w:t>现有旧服务器拓展需要升级的配置及新服务器的性能</w:t>
      </w:r>
      <w:r>
        <w:rPr>
          <w:rFonts w:hint="eastAsia" w:hAnsi="宋体" w:cs="宋体"/>
          <w:kern w:val="2"/>
          <w:lang w:eastAsia="zh-Hans" w:bidi="en-US"/>
        </w:rPr>
        <w:t>要求。</w:t>
      </w:r>
    </w:p>
    <w:tbl>
      <w:tblPr>
        <w:tblStyle w:val="23"/>
        <w:tblW w:w="4998" w:type="pct"/>
        <w:tblInd w:w="0" w:type="dxa"/>
        <w:tblLayout w:type="autofit"/>
        <w:tblCellMar>
          <w:top w:w="0" w:type="dxa"/>
          <w:left w:w="0" w:type="dxa"/>
          <w:bottom w:w="0" w:type="dxa"/>
          <w:right w:w="0" w:type="dxa"/>
        </w:tblCellMar>
      </w:tblPr>
      <w:tblGrid>
        <w:gridCol w:w="1103"/>
        <w:gridCol w:w="1894"/>
        <w:gridCol w:w="3903"/>
        <w:gridCol w:w="713"/>
        <w:gridCol w:w="714"/>
      </w:tblGrid>
      <w:tr>
        <w:tblPrEx>
          <w:tblCellMar>
            <w:top w:w="0" w:type="dxa"/>
            <w:left w:w="0" w:type="dxa"/>
            <w:bottom w:w="0" w:type="dxa"/>
            <w:right w:w="0" w:type="dxa"/>
          </w:tblCellMar>
        </w:tblPrEx>
        <w:trPr>
          <w:trHeight w:val="402" w:hRule="atLeast"/>
        </w:trPr>
        <w:tc>
          <w:tcPr>
            <w:tcW w:w="662" w:type="pct"/>
            <w:tcBorders>
              <w:top w:val="single" w:color="auto" w:sz="4" w:space="0"/>
              <w:left w:val="single" w:color="auto" w:sz="4" w:space="0"/>
              <w:bottom w:val="single" w:color="auto" w:sz="4" w:space="0"/>
              <w:right w:val="single" w:color="auto" w:sz="4" w:space="0"/>
            </w:tcBorders>
            <w:shd w:val="clear" w:color="000000" w:fill="D9D9D9"/>
            <w:tcMar>
              <w:top w:w="12" w:type="dxa"/>
              <w:left w:w="12" w:type="dxa"/>
              <w:right w:w="12" w:type="dxa"/>
            </w:tcMar>
            <w:vAlign w:val="center"/>
          </w:tcPr>
          <w:p>
            <w:pPr>
              <w:widowControl/>
              <w:autoSpaceDE/>
              <w:autoSpaceDN/>
              <w:adjustRightInd/>
              <w:spacing w:line="360" w:lineRule="auto"/>
              <w:jc w:val="both"/>
              <w:textAlignment w:val="center"/>
              <w:rPr>
                <w:rFonts w:ascii="仿宋_GB2312" w:hAnsi="仿宋_GB2312" w:eastAsia="仿宋_GB2312" w:cs="仿宋_GB2312"/>
                <w:b/>
                <w:color w:val="000000"/>
                <w:kern w:val="2"/>
                <w:lang w:bidi="en-US"/>
              </w:rPr>
            </w:pPr>
            <w:r>
              <w:rPr>
                <w:rFonts w:hint="eastAsia" w:ascii="仿宋_GB2312" w:hAnsi="仿宋_GB2312" w:eastAsia="仿宋_GB2312" w:cs="仿宋_GB2312"/>
                <w:b/>
                <w:color w:val="000000"/>
                <w:lang w:bidi="ar"/>
              </w:rPr>
              <w:t>序号</w:t>
            </w:r>
          </w:p>
        </w:tc>
        <w:tc>
          <w:tcPr>
            <w:tcW w:w="1137" w:type="pct"/>
            <w:tcBorders>
              <w:top w:val="single" w:color="auto" w:sz="4" w:space="0"/>
              <w:left w:val="nil"/>
              <w:bottom w:val="single" w:color="auto" w:sz="4" w:space="0"/>
              <w:right w:val="single" w:color="auto" w:sz="4" w:space="0"/>
            </w:tcBorders>
            <w:shd w:val="clear" w:color="000000" w:fill="D9D9D9"/>
            <w:tcMar>
              <w:top w:w="12" w:type="dxa"/>
              <w:left w:w="12" w:type="dxa"/>
              <w:right w:w="12" w:type="dxa"/>
            </w:tcMar>
            <w:vAlign w:val="center"/>
          </w:tcPr>
          <w:p>
            <w:pPr>
              <w:widowControl/>
              <w:autoSpaceDE/>
              <w:autoSpaceDN/>
              <w:adjustRightInd/>
              <w:spacing w:line="360" w:lineRule="auto"/>
              <w:jc w:val="both"/>
              <w:textAlignment w:val="center"/>
              <w:rPr>
                <w:rFonts w:ascii="仿宋_GB2312" w:hAnsi="仿宋_GB2312" w:eastAsia="仿宋_GB2312" w:cs="仿宋_GB2312"/>
                <w:b/>
                <w:color w:val="000000"/>
                <w:kern w:val="2"/>
                <w:lang w:bidi="en-US"/>
              </w:rPr>
            </w:pPr>
            <w:r>
              <w:rPr>
                <w:rFonts w:hint="eastAsia" w:ascii="仿宋_GB2312" w:hAnsi="仿宋_GB2312" w:eastAsia="仿宋_GB2312" w:cs="仿宋_GB2312"/>
                <w:b/>
                <w:color w:val="000000"/>
                <w:lang w:bidi="ar"/>
              </w:rPr>
              <w:t>设备及软件名称</w:t>
            </w:r>
          </w:p>
        </w:tc>
        <w:tc>
          <w:tcPr>
            <w:tcW w:w="2343" w:type="pct"/>
            <w:tcBorders>
              <w:top w:val="single" w:color="auto" w:sz="4" w:space="0"/>
              <w:left w:val="nil"/>
              <w:bottom w:val="single" w:color="auto" w:sz="4" w:space="0"/>
              <w:right w:val="single" w:color="auto" w:sz="4" w:space="0"/>
            </w:tcBorders>
            <w:shd w:val="clear" w:color="000000" w:fill="D9D9D9"/>
            <w:tcMar>
              <w:top w:w="12" w:type="dxa"/>
              <w:left w:w="12" w:type="dxa"/>
              <w:right w:w="12" w:type="dxa"/>
            </w:tcMar>
            <w:vAlign w:val="center"/>
          </w:tcPr>
          <w:p>
            <w:pPr>
              <w:widowControl/>
              <w:autoSpaceDE/>
              <w:autoSpaceDN/>
              <w:adjustRightInd/>
              <w:spacing w:line="360" w:lineRule="auto"/>
              <w:jc w:val="both"/>
              <w:textAlignment w:val="center"/>
              <w:rPr>
                <w:rFonts w:ascii="仿宋_GB2312" w:hAnsi="仿宋_GB2312" w:eastAsia="仿宋_GB2312" w:cs="仿宋_GB2312"/>
                <w:b/>
                <w:color w:val="000000"/>
                <w:kern w:val="2"/>
                <w:lang w:bidi="en-US"/>
              </w:rPr>
            </w:pPr>
            <w:r>
              <w:rPr>
                <w:rFonts w:hint="eastAsia" w:ascii="仿宋_GB2312" w:hAnsi="仿宋_GB2312" w:eastAsia="仿宋_GB2312" w:cs="仿宋_GB2312"/>
                <w:b/>
                <w:color w:val="000000"/>
                <w:lang w:bidi="ar"/>
              </w:rPr>
              <w:t>主要性能指标、配置参数</w:t>
            </w:r>
          </w:p>
        </w:tc>
        <w:tc>
          <w:tcPr>
            <w:tcW w:w="428" w:type="pct"/>
            <w:tcBorders>
              <w:top w:val="single" w:color="auto" w:sz="4" w:space="0"/>
              <w:left w:val="nil"/>
              <w:bottom w:val="single" w:color="auto" w:sz="4" w:space="0"/>
              <w:right w:val="single" w:color="auto" w:sz="4" w:space="0"/>
            </w:tcBorders>
            <w:shd w:val="clear" w:color="000000" w:fill="D9D9D9"/>
            <w:tcMar>
              <w:top w:w="12" w:type="dxa"/>
              <w:left w:w="12" w:type="dxa"/>
              <w:right w:w="12" w:type="dxa"/>
            </w:tcMar>
            <w:vAlign w:val="center"/>
          </w:tcPr>
          <w:p>
            <w:pPr>
              <w:widowControl/>
              <w:autoSpaceDE/>
              <w:autoSpaceDN/>
              <w:adjustRightInd/>
              <w:spacing w:line="360" w:lineRule="auto"/>
              <w:jc w:val="both"/>
              <w:textAlignment w:val="center"/>
              <w:rPr>
                <w:rFonts w:ascii="仿宋_GB2312" w:hAnsi="仿宋_GB2312" w:eastAsia="仿宋_GB2312" w:cs="仿宋_GB2312"/>
                <w:b/>
                <w:color w:val="000000"/>
                <w:kern w:val="2"/>
                <w:lang w:bidi="en-US"/>
              </w:rPr>
            </w:pPr>
            <w:r>
              <w:rPr>
                <w:rFonts w:hint="eastAsia" w:ascii="仿宋_GB2312" w:hAnsi="仿宋_GB2312" w:eastAsia="仿宋_GB2312" w:cs="仿宋_GB2312"/>
                <w:b/>
                <w:color w:val="000000"/>
                <w:lang w:bidi="ar"/>
              </w:rPr>
              <w:t>数量</w:t>
            </w:r>
          </w:p>
        </w:tc>
        <w:tc>
          <w:tcPr>
            <w:tcW w:w="428" w:type="pct"/>
            <w:tcBorders>
              <w:top w:val="single" w:color="auto" w:sz="4" w:space="0"/>
              <w:left w:val="nil"/>
              <w:bottom w:val="single" w:color="auto" w:sz="4" w:space="0"/>
              <w:right w:val="single" w:color="auto" w:sz="4" w:space="0"/>
            </w:tcBorders>
            <w:shd w:val="clear" w:color="000000" w:fill="D9D9D9"/>
            <w:tcMar>
              <w:top w:w="12" w:type="dxa"/>
              <w:left w:w="12" w:type="dxa"/>
              <w:right w:w="12" w:type="dxa"/>
            </w:tcMar>
            <w:vAlign w:val="center"/>
          </w:tcPr>
          <w:p>
            <w:pPr>
              <w:widowControl/>
              <w:autoSpaceDE/>
              <w:autoSpaceDN/>
              <w:adjustRightInd/>
              <w:spacing w:line="360" w:lineRule="auto"/>
              <w:jc w:val="both"/>
              <w:textAlignment w:val="center"/>
              <w:rPr>
                <w:rFonts w:ascii="仿宋_GB2312" w:hAnsi="仿宋_GB2312" w:eastAsia="仿宋_GB2312" w:cs="仿宋_GB2312"/>
                <w:b/>
                <w:color w:val="000000"/>
                <w:kern w:val="2"/>
                <w:lang w:bidi="en-US"/>
              </w:rPr>
            </w:pPr>
            <w:r>
              <w:rPr>
                <w:rFonts w:hint="eastAsia" w:ascii="仿宋_GB2312" w:hAnsi="仿宋_GB2312" w:eastAsia="仿宋_GB2312" w:cs="仿宋_GB2312"/>
                <w:b/>
                <w:color w:val="000000"/>
                <w:lang w:bidi="ar"/>
              </w:rPr>
              <w:t>单位</w:t>
            </w:r>
          </w:p>
        </w:tc>
      </w:tr>
      <w:tr>
        <w:tblPrEx>
          <w:tblCellMar>
            <w:top w:w="0" w:type="dxa"/>
            <w:left w:w="0" w:type="dxa"/>
            <w:bottom w:w="0" w:type="dxa"/>
            <w:right w:w="0" w:type="dxa"/>
          </w:tblCellMar>
        </w:tblPrEx>
        <w:trPr>
          <w:trHeight w:val="402" w:hRule="atLeast"/>
        </w:trPr>
        <w:tc>
          <w:tcPr>
            <w:tcW w:w="662" w:type="pct"/>
            <w:tcBorders>
              <w:top w:val="nil"/>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jc w:val="center"/>
              <w:textAlignment w:val="center"/>
              <w:rPr>
                <w:rFonts w:ascii="仿宋_GB2312" w:hAnsi="仿宋_GB2312" w:eastAsia="仿宋_GB2312" w:cs="仿宋_GB2312"/>
                <w:color w:val="000000"/>
                <w:lang w:bidi="ar"/>
              </w:rPr>
            </w:pPr>
            <w:r>
              <w:rPr>
                <w:rFonts w:hint="eastAsia" w:ascii="仿宋_GB2312" w:hAnsi="仿宋_GB2312" w:eastAsia="仿宋_GB2312" w:cs="仿宋_GB2312"/>
                <w:color w:val="000000"/>
                <w:lang w:bidi="ar"/>
              </w:rPr>
              <w:t>1</w:t>
            </w:r>
          </w:p>
        </w:tc>
        <w:tc>
          <w:tcPr>
            <w:tcW w:w="1137"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jc w:val="center"/>
              <w:textAlignment w:val="center"/>
              <w:rPr>
                <w:rFonts w:ascii="仿宋_GB2312" w:hAnsi="仿宋_GB2312" w:eastAsia="仿宋_GB2312" w:cs="仿宋_GB2312"/>
                <w:color w:val="000000"/>
                <w:lang w:bidi="ar"/>
              </w:rPr>
            </w:pPr>
            <w:r>
              <w:rPr>
                <w:rFonts w:hint="eastAsia" w:ascii="仿宋_GB2312" w:hAnsi="仿宋_GB2312" w:eastAsia="仿宋_GB2312" w:cs="仿宋_GB2312"/>
                <w:color w:val="000000"/>
                <w:lang w:bidi="ar"/>
              </w:rPr>
              <w:t>内存扩容</w:t>
            </w:r>
          </w:p>
        </w:tc>
        <w:tc>
          <w:tcPr>
            <w:tcW w:w="2343"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jc w:val="center"/>
              <w:textAlignment w:val="center"/>
              <w:rPr>
                <w:rFonts w:ascii="仿宋_GB2312" w:hAnsi="仿宋_GB2312" w:eastAsia="仿宋_GB2312" w:cs="仿宋_GB2312"/>
                <w:color w:val="000000"/>
                <w:lang w:bidi="ar"/>
              </w:rPr>
            </w:pPr>
            <w:r>
              <w:rPr>
                <w:rFonts w:hint="eastAsia" w:ascii="仿宋_GB2312" w:hAnsi="仿宋_GB2312" w:eastAsia="仿宋_GB2312" w:cs="仿宋_GB2312"/>
                <w:color w:val="000000"/>
                <w:lang w:bidi="ar"/>
              </w:rPr>
              <w:t>64GB</w:t>
            </w:r>
          </w:p>
        </w:tc>
        <w:tc>
          <w:tcPr>
            <w:tcW w:w="428"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jc w:val="center"/>
              <w:textAlignment w:val="center"/>
              <w:rPr>
                <w:rFonts w:ascii="仿宋_GB2312" w:hAnsi="仿宋_GB2312" w:eastAsia="仿宋_GB2312" w:cs="仿宋_GB2312"/>
                <w:color w:val="000000"/>
                <w:lang w:bidi="ar"/>
              </w:rPr>
            </w:pPr>
            <w:r>
              <w:rPr>
                <w:rFonts w:hint="eastAsia" w:ascii="仿宋_GB2312" w:hAnsi="仿宋_GB2312" w:eastAsia="仿宋_GB2312" w:cs="仿宋_GB2312"/>
                <w:color w:val="000000"/>
                <w:lang w:bidi="ar"/>
              </w:rPr>
              <w:t>2</w:t>
            </w:r>
          </w:p>
        </w:tc>
        <w:tc>
          <w:tcPr>
            <w:tcW w:w="428"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jc w:val="center"/>
              <w:textAlignment w:val="center"/>
              <w:rPr>
                <w:rFonts w:ascii="仿宋_GB2312" w:hAnsi="仿宋_GB2312" w:eastAsia="仿宋_GB2312" w:cs="仿宋_GB2312"/>
                <w:color w:val="000000"/>
                <w:lang w:bidi="ar"/>
              </w:rPr>
            </w:pPr>
            <w:r>
              <w:rPr>
                <w:rFonts w:hint="eastAsia" w:ascii="仿宋_GB2312" w:hAnsi="仿宋_GB2312" w:eastAsia="仿宋_GB2312" w:cs="仿宋_GB2312"/>
                <w:color w:val="000000"/>
                <w:lang w:bidi="ar"/>
              </w:rPr>
              <w:t>块</w:t>
            </w:r>
          </w:p>
        </w:tc>
      </w:tr>
      <w:tr>
        <w:tblPrEx>
          <w:tblCellMar>
            <w:top w:w="0" w:type="dxa"/>
            <w:left w:w="0" w:type="dxa"/>
            <w:bottom w:w="0" w:type="dxa"/>
            <w:right w:w="0" w:type="dxa"/>
          </w:tblCellMar>
        </w:tblPrEx>
        <w:trPr>
          <w:trHeight w:val="402" w:hRule="atLeast"/>
        </w:trPr>
        <w:tc>
          <w:tcPr>
            <w:tcW w:w="662" w:type="pct"/>
            <w:tcBorders>
              <w:top w:val="nil"/>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jc w:val="center"/>
              <w:textAlignment w:val="center"/>
              <w:rPr>
                <w:rFonts w:ascii="仿宋_GB2312" w:hAnsi="仿宋_GB2312" w:eastAsia="仿宋_GB2312" w:cs="仿宋_GB2312"/>
                <w:color w:val="000000"/>
                <w:lang w:bidi="ar"/>
              </w:rPr>
            </w:pPr>
            <w:r>
              <w:rPr>
                <w:rFonts w:hint="eastAsia" w:ascii="仿宋_GB2312" w:hAnsi="仿宋_GB2312" w:eastAsia="仿宋_GB2312" w:cs="仿宋_GB2312"/>
                <w:color w:val="000000"/>
                <w:lang w:bidi="ar"/>
              </w:rPr>
              <w:t>2</w:t>
            </w:r>
          </w:p>
        </w:tc>
        <w:tc>
          <w:tcPr>
            <w:tcW w:w="1137"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jc w:val="center"/>
              <w:textAlignment w:val="center"/>
              <w:rPr>
                <w:rFonts w:ascii="仿宋_GB2312" w:hAnsi="仿宋_GB2312" w:eastAsia="仿宋_GB2312" w:cs="仿宋_GB2312"/>
                <w:color w:val="000000"/>
                <w:lang w:bidi="ar"/>
              </w:rPr>
            </w:pPr>
            <w:r>
              <w:rPr>
                <w:rFonts w:hint="eastAsia" w:ascii="仿宋_GB2312" w:hAnsi="仿宋_GB2312" w:eastAsia="仿宋_GB2312" w:cs="仿宋_GB2312"/>
                <w:color w:val="000000"/>
                <w:lang w:bidi="ar"/>
              </w:rPr>
              <w:t>磁盘扩容</w:t>
            </w:r>
          </w:p>
        </w:tc>
        <w:tc>
          <w:tcPr>
            <w:tcW w:w="2343"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jc w:val="center"/>
              <w:textAlignment w:val="center"/>
              <w:rPr>
                <w:rFonts w:ascii="仿宋_GB2312" w:hAnsi="仿宋_GB2312" w:eastAsia="仿宋_GB2312" w:cs="仿宋_GB2312"/>
                <w:color w:val="000000"/>
                <w:lang w:bidi="ar"/>
              </w:rPr>
            </w:pPr>
            <w:r>
              <w:rPr>
                <w:rFonts w:hint="eastAsia" w:ascii="仿宋_GB2312" w:hAnsi="仿宋_GB2312" w:eastAsia="仿宋_GB2312" w:cs="仿宋_GB2312"/>
                <w:color w:val="000000"/>
                <w:lang w:bidi="ar"/>
              </w:rPr>
              <w:t>10TB</w:t>
            </w:r>
          </w:p>
        </w:tc>
        <w:tc>
          <w:tcPr>
            <w:tcW w:w="428"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jc w:val="center"/>
              <w:textAlignment w:val="center"/>
              <w:rPr>
                <w:rFonts w:ascii="仿宋_GB2312" w:hAnsi="仿宋_GB2312" w:eastAsia="仿宋_GB2312" w:cs="仿宋_GB2312"/>
                <w:color w:val="000000"/>
                <w:lang w:bidi="ar"/>
              </w:rPr>
            </w:pPr>
            <w:r>
              <w:rPr>
                <w:rFonts w:hint="eastAsia" w:ascii="仿宋_GB2312" w:hAnsi="仿宋_GB2312" w:eastAsia="仿宋_GB2312" w:cs="仿宋_GB2312"/>
                <w:color w:val="000000"/>
                <w:lang w:bidi="ar"/>
              </w:rPr>
              <w:t>5</w:t>
            </w:r>
          </w:p>
        </w:tc>
        <w:tc>
          <w:tcPr>
            <w:tcW w:w="428"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jc w:val="center"/>
              <w:textAlignment w:val="center"/>
              <w:rPr>
                <w:rFonts w:ascii="仿宋_GB2312" w:hAnsi="仿宋_GB2312" w:eastAsia="仿宋_GB2312" w:cs="仿宋_GB2312"/>
                <w:color w:val="000000"/>
                <w:lang w:bidi="ar"/>
              </w:rPr>
            </w:pPr>
            <w:r>
              <w:rPr>
                <w:rFonts w:hint="eastAsia" w:ascii="仿宋_GB2312" w:hAnsi="仿宋_GB2312" w:eastAsia="仿宋_GB2312" w:cs="仿宋_GB2312"/>
                <w:color w:val="000000"/>
                <w:lang w:bidi="ar"/>
              </w:rPr>
              <w:t>块</w:t>
            </w:r>
          </w:p>
        </w:tc>
      </w:tr>
      <w:tr>
        <w:tblPrEx>
          <w:tblCellMar>
            <w:top w:w="0" w:type="dxa"/>
            <w:left w:w="0" w:type="dxa"/>
            <w:bottom w:w="0" w:type="dxa"/>
            <w:right w:w="0" w:type="dxa"/>
          </w:tblCellMar>
        </w:tblPrEx>
        <w:trPr>
          <w:trHeight w:val="402" w:hRule="atLeast"/>
        </w:trPr>
        <w:tc>
          <w:tcPr>
            <w:tcW w:w="662" w:type="pct"/>
            <w:tcBorders>
              <w:top w:val="nil"/>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jc w:val="center"/>
              <w:textAlignment w:val="center"/>
              <w:rPr>
                <w:rFonts w:ascii="仿宋_GB2312" w:hAnsi="仿宋_GB2312" w:eastAsia="仿宋_GB2312" w:cs="仿宋_GB2312"/>
                <w:color w:val="000000"/>
                <w:lang w:bidi="ar"/>
              </w:rPr>
            </w:pPr>
            <w:r>
              <w:rPr>
                <w:rFonts w:hint="eastAsia" w:ascii="仿宋_GB2312" w:hAnsi="仿宋_GB2312" w:eastAsia="仿宋_GB2312" w:cs="仿宋_GB2312"/>
                <w:color w:val="000000"/>
                <w:lang w:bidi="ar"/>
              </w:rPr>
              <w:t>3</w:t>
            </w:r>
          </w:p>
        </w:tc>
        <w:tc>
          <w:tcPr>
            <w:tcW w:w="1137"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jc w:val="center"/>
              <w:textAlignment w:val="center"/>
              <w:rPr>
                <w:rFonts w:ascii="仿宋_GB2312" w:hAnsi="仿宋_GB2312" w:eastAsia="仿宋_GB2312" w:cs="仿宋_GB2312"/>
                <w:color w:val="000000"/>
                <w:lang w:bidi="ar"/>
              </w:rPr>
            </w:pPr>
            <w:r>
              <w:rPr>
                <w:rFonts w:hint="eastAsia" w:ascii="仿宋_GB2312" w:hAnsi="仿宋_GB2312" w:eastAsia="仿宋_GB2312" w:cs="仿宋_GB2312"/>
                <w:color w:val="000000"/>
                <w:lang w:bidi="ar"/>
              </w:rPr>
              <w:t>网格化分析决策系统服务器</w:t>
            </w:r>
          </w:p>
        </w:tc>
        <w:tc>
          <w:tcPr>
            <w:tcW w:w="2343"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jc w:val="center"/>
              <w:textAlignment w:val="center"/>
              <w:rPr>
                <w:rFonts w:ascii="仿宋_GB2312" w:hAnsi="仿宋_GB2312" w:eastAsia="仿宋_GB2312" w:cs="仿宋_GB2312"/>
                <w:color w:val="000000"/>
                <w:lang w:bidi="ar"/>
              </w:rPr>
            </w:pPr>
            <w:r>
              <w:rPr>
                <w:rFonts w:hint="eastAsia" w:ascii="仿宋_GB2312" w:hAnsi="仿宋_GB2312" w:eastAsia="仿宋_GB2312" w:cs="仿宋_GB2312"/>
                <w:color w:val="000000"/>
                <w:lang w:bidi="ar"/>
              </w:rPr>
              <w:t>CPU96核、内128G、硬盘2T</w:t>
            </w:r>
          </w:p>
        </w:tc>
        <w:tc>
          <w:tcPr>
            <w:tcW w:w="428"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jc w:val="center"/>
              <w:textAlignment w:val="center"/>
              <w:rPr>
                <w:rFonts w:ascii="仿宋_GB2312" w:hAnsi="仿宋_GB2312" w:eastAsia="仿宋_GB2312" w:cs="仿宋_GB2312"/>
                <w:color w:val="000000"/>
                <w:lang w:bidi="ar"/>
              </w:rPr>
            </w:pPr>
            <w:r>
              <w:rPr>
                <w:rFonts w:hint="eastAsia" w:ascii="仿宋_GB2312" w:hAnsi="仿宋_GB2312" w:eastAsia="仿宋_GB2312" w:cs="仿宋_GB2312"/>
                <w:color w:val="000000"/>
                <w:lang w:bidi="ar"/>
              </w:rPr>
              <w:t>1</w:t>
            </w:r>
          </w:p>
        </w:tc>
        <w:tc>
          <w:tcPr>
            <w:tcW w:w="428"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jc w:val="center"/>
              <w:textAlignment w:val="center"/>
              <w:rPr>
                <w:rFonts w:ascii="仿宋_GB2312" w:hAnsi="仿宋_GB2312" w:eastAsia="仿宋_GB2312" w:cs="仿宋_GB2312"/>
                <w:color w:val="000000"/>
                <w:lang w:bidi="ar"/>
              </w:rPr>
            </w:pPr>
            <w:r>
              <w:rPr>
                <w:rFonts w:hint="eastAsia" w:ascii="仿宋_GB2312" w:hAnsi="仿宋_GB2312" w:eastAsia="仿宋_GB2312" w:cs="仿宋_GB2312"/>
                <w:color w:val="000000"/>
                <w:lang w:bidi="ar"/>
              </w:rPr>
              <w:t>台</w:t>
            </w:r>
          </w:p>
        </w:tc>
      </w:tr>
    </w:tbl>
    <w:p>
      <w:pPr>
        <w:keepNext/>
        <w:keepLines/>
        <w:numPr>
          <w:ilvl w:val="0"/>
          <w:numId w:val="10"/>
        </w:numPr>
        <w:spacing w:line="360" w:lineRule="auto"/>
        <w:jc w:val="both"/>
        <w:outlineLvl w:val="2"/>
        <w:rPr>
          <w:rFonts w:ascii="楷体_GB2312" w:hAnsi="宋体" w:eastAsia="楷体_GB2312" w:cs="宋体"/>
          <w:b/>
          <w:kern w:val="2"/>
          <w:sz w:val="28"/>
          <w:szCs w:val="28"/>
          <w:lang w:bidi="en-US"/>
        </w:rPr>
      </w:pPr>
      <w:bookmarkStart w:id="96" w:name="_Toc25561"/>
      <w:bookmarkStart w:id="97" w:name="_Toc31763"/>
      <w:bookmarkStart w:id="98" w:name="_Toc32400"/>
      <w:bookmarkStart w:id="99" w:name="_Toc23479"/>
      <w:bookmarkStart w:id="100" w:name="_Toc207"/>
      <w:r>
        <w:rPr>
          <w:rFonts w:hint="eastAsia" w:ascii="楷体_GB2312" w:hAnsi="宋体" w:eastAsia="楷体_GB2312" w:cs="宋体"/>
          <w:b/>
          <w:kern w:val="2"/>
          <w:sz w:val="28"/>
          <w:szCs w:val="28"/>
          <w:lang w:bidi="en-US"/>
        </w:rPr>
        <w:t>项目安全设备</w:t>
      </w:r>
      <w:bookmarkEnd w:id="96"/>
      <w:bookmarkEnd w:id="97"/>
    </w:p>
    <w:p>
      <w:pPr>
        <w:autoSpaceDE/>
        <w:autoSpaceDN/>
        <w:adjustRightInd/>
        <w:spacing w:line="360" w:lineRule="auto"/>
        <w:ind w:firstLine="480" w:firstLineChars="200"/>
        <w:jc w:val="both"/>
        <w:rPr>
          <w:rFonts w:hAnsi="宋体" w:cs="宋体"/>
          <w:kern w:val="2"/>
          <w:lang w:bidi="en-US"/>
        </w:rPr>
      </w:pPr>
      <w:r>
        <w:rPr>
          <w:rFonts w:hAnsi="宋体" w:cs="宋体"/>
          <w:color w:val="000000"/>
          <w:kern w:val="2"/>
          <w:lang w:bidi="en-US"/>
        </w:rPr>
        <w:t>管网公司机房目前正在</w:t>
      </w:r>
      <w:r>
        <w:rPr>
          <w:rFonts w:hint="eastAsia" w:hAnsi="宋体" w:cs="宋体"/>
          <w:color w:val="000000"/>
          <w:kern w:val="2"/>
          <w:lang w:bidi="en-US"/>
        </w:rPr>
        <w:t>按等保2.0二级要求改造</w:t>
      </w:r>
      <w:r>
        <w:rPr>
          <w:rFonts w:hAnsi="宋体" w:cs="宋体"/>
          <w:color w:val="000000"/>
          <w:kern w:val="2"/>
          <w:lang w:bidi="en-US"/>
        </w:rPr>
        <w:t>，本项目</w:t>
      </w:r>
      <w:r>
        <w:rPr>
          <w:rFonts w:hint="eastAsia" w:hAnsi="宋体" w:cs="宋体"/>
          <w:color w:val="000000"/>
          <w:kern w:val="2"/>
          <w:lang w:bidi="en-US"/>
        </w:rPr>
        <w:t>不再</w:t>
      </w:r>
      <w:r>
        <w:rPr>
          <w:rFonts w:hAnsi="宋体" w:cs="宋体"/>
          <w:color w:val="000000"/>
          <w:kern w:val="2"/>
          <w:lang w:bidi="en-US"/>
        </w:rPr>
        <w:t>额外增添安全设备。</w:t>
      </w:r>
      <w:bookmarkEnd w:id="98"/>
      <w:bookmarkEnd w:id="99"/>
      <w:bookmarkEnd w:id="100"/>
    </w:p>
    <w:p>
      <w:pPr>
        <w:keepNext/>
        <w:keepLines/>
        <w:numPr>
          <w:ilvl w:val="0"/>
          <w:numId w:val="10"/>
        </w:numPr>
        <w:spacing w:line="360" w:lineRule="auto"/>
        <w:jc w:val="both"/>
        <w:outlineLvl w:val="2"/>
        <w:rPr>
          <w:rFonts w:ascii="楷体_GB2312" w:hAnsi="宋体" w:eastAsia="楷体_GB2312" w:cs="宋体"/>
          <w:b/>
          <w:kern w:val="2"/>
          <w:sz w:val="28"/>
          <w:szCs w:val="28"/>
          <w:lang w:bidi="en-US"/>
        </w:rPr>
      </w:pPr>
      <w:bookmarkStart w:id="101" w:name="_Toc28181"/>
      <w:bookmarkStart w:id="102" w:name="_Toc29376"/>
      <w:bookmarkStart w:id="103" w:name="_Toc11777"/>
      <w:bookmarkStart w:id="104" w:name="_Toc30324"/>
      <w:bookmarkStart w:id="105" w:name="_Toc12941"/>
      <w:bookmarkStart w:id="106" w:name="_Toc17295"/>
      <w:bookmarkStart w:id="107" w:name="_Toc1026"/>
      <w:bookmarkStart w:id="108" w:name="_Toc16391"/>
      <w:bookmarkStart w:id="109" w:name="_Toc2047241707"/>
      <w:bookmarkStart w:id="110" w:name="_Toc24882"/>
      <w:bookmarkStart w:id="111" w:name="_Toc9593"/>
      <w:bookmarkStart w:id="112" w:name="_Toc5461"/>
      <w:bookmarkStart w:id="113" w:name="_Toc4537"/>
      <w:bookmarkStart w:id="114" w:name="_Toc25042"/>
      <w:r>
        <w:rPr>
          <w:rFonts w:hint="eastAsia" w:ascii="楷体_GB2312" w:hAnsi="宋体" w:eastAsia="楷体_GB2312" w:cs="宋体"/>
          <w:b/>
          <w:kern w:val="2"/>
          <w:sz w:val="28"/>
          <w:szCs w:val="28"/>
          <w:lang w:bidi="en-US"/>
        </w:rPr>
        <w:t>备份系统设计</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pPr>
        <w:autoSpaceDE/>
        <w:autoSpaceDN/>
        <w:adjustRightInd/>
        <w:spacing w:line="360" w:lineRule="auto"/>
        <w:ind w:firstLine="480" w:firstLineChars="200"/>
        <w:jc w:val="both"/>
        <w:rPr>
          <w:rFonts w:ascii="仿宋_GB2312" w:hAnsi="仿宋" w:cs="宋体"/>
          <w:kern w:val="2"/>
          <w:lang w:bidi="en-US"/>
        </w:rPr>
      </w:pPr>
      <w:r>
        <w:rPr>
          <w:rFonts w:hint="eastAsia" w:ascii="仿宋_GB2312" w:hAnsi="仿宋" w:cs="宋体"/>
          <w:kern w:val="2"/>
          <w:lang w:bidi="en-US"/>
        </w:rPr>
        <w:t>本期项目利用现有虎门灾备中心的备份还原体系，搭建数据备份恢复体系，实现重要数据本地备份与恢复功能。通过虎门灾备中心同城或异地备份能力，将平台重要数据定时批量传送至备用场地。</w:t>
      </w:r>
    </w:p>
    <w:p>
      <w:pPr>
        <w:tabs>
          <w:tab w:val="left" w:pos="851"/>
        </w:tabs>
        <w:autoSpaceDE/>
        <w:autoSpaceDN/>
        <w:adjustRightInd/>
        <w:spacing w:line="360" w:lineRule="auto"/>
        <w:ind w:firstLine="480" w:firstLineChars="200"/>
        <w:jc w:val="both"/>
        <w:rPr>
          <w:rFonts w:ascii="仿宋_GB2312" w:hAnsi="仿宋" w:cs="宋体"/>
          <w:kern w:val="2"/>
          <w:lang w:bidi="en-US"/>
        </w:rPr>
      </w:pPr>
      <w:r>
        <w:rPr>
          <w:rFonts w:hint="eastAsia" w:ascii="仿宋_GB2312" w:hAnsi="仿宋" w:cs="宋体"/>
          <w:kern w:val="2"/>
          <w:lang w:bidi="en-US"/>
        </w:rPr>
        <w:t>根据信息系统等保二级关于数据备份恢复的要求：</w:t>
      </w:r>
    </w:p>
    <w:p>
      <w:pPr>
        <w:numPr>
          <w:ilvl w:val="0"/>
          <w:numId w:val="11"/>
        </w:numPr>
        <w:tabs>
          <w:tab w:val="left" w:pos="851"/>
        </w:tabs>
        <w:autoSpaceDE/>
        <w:autoSpaceDN/>
        <w:adjustRightInd/>
        <w:spacing w:line="360" w:lineRule="auto"/>
        <w:ind w:firstLine="480" w:firstLineChars="200"/>
        <w:jc w:val="both"/>
        <w:rPr>
          <w:rFonts w:ascii="仿宋_GB2312" w:hAnsi="仿宋" w:cs="宋体"/>
          <w:kern w:val="2"/>
          <w:lang w:bidi="en-US"/>
        </w:rPr>
      </w:pPr>
      <w:r>
        <w:rPr>
          <w:rFonts w:hint="eastAsia" w:ascii="仿宋_GB2312" w:hAnsi="仿宋" w:cs="宋体"/>
          <w:kern w:val="2"/>
          <w:lang w:bidi="en-US"/>
        </w:rPr>
        <w:t>应提供重要数据的本地数据备份与恢复功能。</w:t>
      </w:r>
    </w:p>
    <w:p>
      <w:pPr>
        <w:numPr>
          <w:ilvl w:val="0"/>
          <w:numId w:val="11"/>
        </w:numPr>
        <w:tabs>
          <w:tab w:val="left" w:pos="851"/>
        </w:tabs>
        <w:autoSpaceDE/>
        <w:autoSpaceDN/>
        <w:adjustRightInd/>
        <w:spacing w:line="360" w:lineRule="auto"/>
        <w:ind w:firstLine="480" w:firstLineChars="200"/>
        <w:jc w:val="both"/>
        <w:rPr>
          <w:rFonts w:hAnsi="宋体" w:cs="宋体"/>
          <w:kern w:val="2"/>
          <w:lang w:bidi="en-US"/>
        </w:rPr>
      </w:pPr>
      <w:r>
        <w:rPr>
          <w:rFonts w:hint="eastAsia" w:ascii="仿宋_GB2312" w:hAnsi="仿宋" w:cs="宋体"/>
          <w:kern w:val="2"/>
          <w:lang w:bidi="en-US"/>
        </w:rPr>
        <w:t>应提供异地数据备份功能，利用通信网络将重要数据定时批量传送至备用场地</w:t>
      </w:r>
      <w:r>
        <w:rPr>
          <w:rFonts w:ascii="仿宋_GB2312" w:hAnsi="仿宋" w:cs="宋体"/>
          <w:kern w:val="2"/>
          <w:lang w:bidi="en-US"/>
        </w:rPr>
        <w:t>。</w:t>
      </w:r>
    </w:p>
    <w:p>
      <w:pPr>
        <w:keepNext/>
        <w:keepLines/>
        <w:numPr>
          <w:ilvl w:val="0"/>
          <w:numId w:val="10"/>
        </w:numPr>
        <w:spacing w:line="360" w:lineRule="auto"/>
        <w:jc w:val="both"/>
        <w:outlineLvl w:val="2"/>
        <w:rPr>
          <w:rFonts w:ascii="楷体_GB2312" w:hAnsi="宋体" w:eastAsia="楷体_GB2312" w:cs="宋体"/>
          <w:b/>
          <w:kern w:val="2"/>
          <w:sz w:val="28"/>
          <w:szCs w:val="28"/>
          <w:lang w:bidi="en-US"/>
        </w:rPr>
      </w:pPr>
      <w:bookmarkStart w:id="115" w:name="_Toc24582"/>
      <w:bookmarkStart w:id="116" w:name="_Toc14556"/>
      <w:bookmarkStart w:id="117" w:name="_Toc3661"/>
      <w:bookmarkStart w:id="118" w:name="_Toc31469"/>
      <w:bookmarkStart w:id="119" w:name="_Toc21172"/>
      <w:bookmarkStart w:id="120" w:name="_Toc26406"/>
      <w:bookmarkStart w:id="121" w:name="_Toc18181"/>
      <w:bookmarkStart w:id="122" w:name="_Toc31251"/>
      <w:bookmarkStart w:id="123" w:name="_Toc7461"/>
      <w:bookmarkStart w:id="124" w:name="_Toc4829"/>
      <w:bookmarkStart w:id="125" w:name="_Toc12361"/>
      <w:bookmarkStart w:id="126" w:name="_Toc6141"/>
      <w:bookmarkStart w:id="127" w:name="_Toc15918"/>
      <w:r>
        <w:rPr>
          <w:rFonts w:hint="eastAsia" w:ascii="楷体_GB2312" w:hAnsi="宋体" w:eastAsia="楷体_GB2312" w:cs="宋体"/>
          <w:b/>
          <w:kern w:val="2"/>
          <w:sz w:val="28"/>
          <w:szCs w:val="28"/>
          <w:lang w:bidi="en-US"/>
        </w:rPr>
        <w:fldChar w:fldCharType="begin"/>
      </w:r>
      <w:r>
        <w:rPr>
          <w:rFonts w:hint="eastAsia" w:ascii="楷体_GB2312" w:hAnsi="宋体" w:eastAsia="楷体_GB2312" w:cs="宋体"/>
          <w:b/>
          <w:kern w:val="2"/>
          <w:sz w:val="28"/>
          <w:szCs w:val="28"/>
          <w:lang w:bidi="en-US"/>
        </w:rPr>
        <w:instrText xml:space="preserve"> HYPERLINK \l "_Toc138254463" </w:instrText>
      </w:r>
      <w:r>
        <w:rPr>
          <w:rFonts w:hint="eastAsia" w:ascii="楷体_GB2312" w:hAnsi="宋体" w:eastAsia="楷体_GB2312" w:cs="宋体"/>
          <w:b/>
          <w:kern w:val="2"/>
          <w:sz w:val="28"/>
          <w:szCs w:val="28"/>
          <w:lang w:bidi="en-US"/>
        </w:rPr>
        <w:fldChar w:fldCharType="separate"/>
      </w:r>
      <w:r>
        <w:rPr>
          <w:rFonts w:hint="eastAsia" w:ascii="楷体_GB2312" w:hAnsi="宋体" w:eastAsia="楷体_GB2312" w:cs="宋体"/>
          <w:b/>
          <w:kern w:val="2"/>
          <w:sz w:val="28"/>
          <w:szCs w:val="28"/>
          <w:lang w:bidi="en-US"/>
        </w:rPr>
        <w:t>机房及配套工程建设方案</w:t>
      </w:r>
      <w:r>
        <w:rPr>
          <w:rFonts w:hint="eastAsia" w:ascii="楷体_GB2312" w:hAnsi="宋体" w:eastAsia="楷体_GB2312" w:cs="宋体"/>
          <w:b/>
          <w:kern w:val="2"/>
          <w:sz w:val="28"/>
          <w:szCs w:val="28"/>
          <w:lang w:bidi="en-US"/>
        </w:rPr>
        <w:fldChar w:fldCharType="end"/>
      </w:r>
      <w:bookmarkEnd w:id="115"/>
      <w:bookmarkEnd w:id="116"/>
      <w:bookmarkEnd w:id="117"/>
      <w:bookmarkEnd w:id="118"/>
      <w:bookmarkEnd w:id="119"/>
      <w:bookmarkEnd w:id="120"/>
      <w:bookmarkEnd w:id="121"/>
      <w:bookmarkEnd w:id="122"/>
      <w:bookmarkEnd w:id="123"/>
      <w:bookmarkEnd w:id="124"/>
      <w:bookmarkEnd w:id="125"/>
      <w:bookmarkEnd w:id="126"/>
      <w:bookmarkEnd w:id="127"/>
    </w:p>
    <w:p>
      <w:pPr>
        <w:autoSpaceDE/>
        <w:autoSpaceDN/>
        <w:adjustRightInd/>
        <w:spacing w:line="360" w:lineRule="auto"/>
        <w:ind w:firstLine="480" w:firstLineChars="200"/>
        <w:jc w:val="both"/>
        <w:rPr>
          <w:rFonts w:hAnsi="宋体" w:cs="宋体"/>
          <w:kern w:val="2"/>
          <w:lang w:bidi="en-US"/>
        </w:rPr>
      </w:pPr>
      <w:r>
        <w:rPr>
          <w:rFonts w:hint="eastAsia" w:hAnsi="宋体" w:cs="宋体"/>
          <w:kern w:val="2"/>
          <w:lang w:bidi="en-US"/>
        </w:rPr>
        <w:t>管网公司既有机房已有空闲机柜空间，满足本项目部署要求。本项目无需新增相关配套建设内容，因此不涉及机房及配套工程。</w:t>
      </w:r>
    </w:p>
    <w:p>
      <w:pPr>
        <w:keepNext/>
        <w:keepLines/>
        <w:numPr>
          <w:ilvl w:val="0"/>
          <w:numId w:val="10"/>
        </w:numPr>
        <w:spacing w:line="360" w:lineRule="auto"/>
        <w:jc w:val="both"/>
        <w:outlineLvl w:val="2"/>
        <w:rPr>
          <w:rFonts w:ascii="楷体_GB2312" w:hAnsi="宋体" w:eastAsia="楷体_GB2312" w:cs="宋体"/>
          <w:b/>
          <w:kern w:val="2"/>
          <w:sz w:val="28"/>
          <w:szCs w:val="28"/>
          <w:lang w:bidi="en-US"/>
        </w:rPr>
      </w:pPr>
      <w:bookmarkStart w:id="128" w:name="_Toc12101"/>
      <w:bookmarkStart w:id="129" w:name="_Toc117809576"/>
      <w:bookmarkStart w:id="130" w:name="_Toc30043"/>
      <w:bookmarkStart w:id="131" w:name="_Toc10362"/>
      <w:bookmarkStart w:id="132" w:name="_Toc101778219"/>
      <w:bookmarkStart w:id="133" w:name="_Toc15928"/>
      <w:r>
        <w:rPr>
          <w:rFonts w:hint="eastAsia" w:ascii="楷体_GB2312" w:hAnsi="宋体" w:eastAsia="楷体_GB2312" w:cs="宋体"/>
          <w:b/>
          <w:kern w:val="2"/>
          <w:sz w:val="28"/>
          <w:szCs w:val="28"/>
          <w:lang w:bidi="en-US"/>
        </w:rPr>
        <w:t>网络安全等级保护</w:t>
      </w:r>
      <w:bookmarkEnd w:id="128"/>
      <w:bookmarkEnd w:id="129"/>
      <w:bookmarkEnd w:id="130"/>
      <w:bookmarkEnd w:id="131"/>
      <w:bookmarkEnd w:id="132"/>
      <w:r>
        <w:rPr>
          <w:rFonts w:hint="eastAsia" w:ascii="楷体_GB2312" w:hAnsi="宋体" w:eastAsia="楷体_GB2312" w:cs="宋体"/>
          <w:b/>
          <w:kern w:val="2"/>
          <w:sz w:val="28"/>
          <w:szCs w:val="28"/>
          <w:lang w:val="en-US" w:eastAsia="zh-CN" w:bidi="en-US"/>
        </w:rPr>
        <w:t>要求</w:t>
      </w:r>
      <w:bookmarkEnd w:id="133"/>
    </w:p>
    <w:p>
      <w:pPr>
        <w:widowControl/>
        <w:autoSpaceDE/>
        <w:autoSpaceDN/>
        <w:adjustRightInd/>
        <w:spacing w:line="360" w:lineRule="auto"/>
        <w:ind w:firstLine="480" w:firstLineChars="200"/>
        <w:jc w:val="both"/>
        <w:rPr>
          <w:rFonts w:ascii="黑体" w:hAnsi="黑体" w:eastAsia="黑体" w:cs="黑体"/>
          <w:sz w:val="28"/>
          <w:szCs w:val="28"/>
        </w:rPr>
      </w:pPr>
      <w:r>
        <w:rPr>
          <w:rFonts w:hint="eastAsia" w:ascii="仿宋_GB2312" w:hAnsi="宋体" w:cs="宋体"/>
          <w:kern w:val="2"/>
          <w:lang w:bidi="en-US"/>
        </w:rPr>
        <w:t>项目需要满足等保2.0二级</w:t>
      </w:r>
      <w:r>
        <w:rPr>
          <w:rFonts w:hint="eastAsia" w:ascii="仿宋_GB2312" w:hAnsi="宋体" w:cs="宋体"/>
          <w:kern w:val="2"/>
          <w:lang w:val="en-US" w:eastAsia="zh-CN" w:bidi="en-US"/>
        </w:rPr>
        <w:t>建设</w:t>
      </w:r>
      <w:r>
        <w:rPr>
          <w:rFonts w:hint="eastAsia" w:ascii="仿宋_GB2312" w:hAnsi="宋体" w:cs="宋体"/>
          <w:kern w:val="2"/>
          <w:lang w:bidi="en-US"/>
        </w:rPr>
        <w:t>要求。</w:t>
      </w:r>
    </w:p>
    <w:p/>
    <w:p/>
    <w:p>
      <w:pPr>
        <w:spacing w:line="360" w:lineRule="auto"/>
        <w:rPr>
          <w:rFonts w:ascii="Times New Roman"/>
          <w:b/>
          <w:color w:val="000000"/>
          <w:sz w:val="28"/>
          <w:szCs w:val="28"/>
        </w:rPr>
      </w:pPr>
    </w:p>
    <w:p>
      <w:pPr>
        <w:pStyle w:val="2"/>
        <w:spacing w:before="0" w:after="0"/>
        <w:jc w:val="center"/>
        <w:rPr>
          <w:rFonts w:hAnsi="宋体" w:cs="宋体"/>
          <w:szCs w:val="32"/>
        </w:rPr>
      </w:pPr>
    </w:p>
    <w:p>
      <w:pPr>
        <w:rPr>
          <w:rFonts w:hAnsi="宋体" w:cs="宋体"/>
          <w:szCs w:val="32"/>
        </w:rPr>
      </w:pPr>
    </w:p>
    <w:p>
      <w:pPr>
        <w:rPr>
          <w:rFonts w:hAnsi="宋体" w:cs="宋体"/>
          <w:szCs w:val="32"/>
        </w:rPr>
      </w:pPr>
    </w:p>
    <w:p>
      <w:pPr>
        <w:rPr>
          <w:rFonts w:hAnsi="宋体" w:cs="宋体"/>
          <w:szCs w:val="32"/>
        </w:rPr>
      </w:pPr>
    </w:p>
    <w:p>
      <w:pPr>
        <w:rPr>
          <w:rFonts w:hAnsi="宋体" w:cs="宋体"/>
          <w:szCs w:val="32"/>
        </w:rPr>
      </w:pPr>
    </w:p>
    <w:p>
      <w:pPr>
        <w:rPr>
          <w:rFonts w:hAnsi="宋体" w:cs="宋体"/>
          <w:szCs w:val="32"/>
        </w:rPr>
      </w:pPr>
    </w:p>
    <w:p>
      <w:pPr>
        <w:rPr>
          <w:rFonts w:hAnsi="宋体" w:cs="宋体"/>
          <w:szCs w:val="32"/>
        </w:rPr>
      </w:pPr>
    </w:p>
    <w:p>
      <w:pPr>
        <w:rPr>
          <w:rFonts w:hAnsi="宋体" w:cs="宋体"/>
          <w:szCs w:val="32"/>
        </w:rPr>
      </w:pPr>
    </w:p>
    <w:p>
      <w:pPr>
        <w:rPr>
          <w:rFonts w:hAnsi="宋体" w:cs="宋体"/>
          <w:szCs w:val="32"/>
        </w:rPr>
      </w:pPr>
    </w:p>
    <w:p>
      <w:pPr>
        <w:rPr>
          <w:rFonts w:hAnsi="宋体" w:cs="宋体"/>
          <w:szCs w:val="32"/>
        </w:rPr>
      </w:pPr>
    </w:p>
    <w:p>
      <w:pPr>
        <w:rPr>
          <w:rFonts w:hAnsi="宋体" w:cs="宋体"/>
          <w:szCs w:val="32"/>
        </w:rPr>
      </w:pPr>
    </w:p>
    <w:p>
      <w:pPr>
        <w:rPr>
          <w:rFonts w:hAnsi="宋体" w:cs="宋体"/>
          <w:szCs w:val="32"/>
        </w:rPr>
      </w:pPr>
    </w:p>
    <w:p>
      <w:pPr>
        <w:pStyle w:val="2"/>
        <w:spacing w:before="0" w:after="0"/>
        <w:jc w:val="center"/>
        <w:rPr>
          <w:rFonts w:hAnsi="宋体" w:cs="宋体"/>
          <w:szCs w:val="32"/>
        </w:rPr>
      </w:pPr>
    </w:p>
    <w:p>
      <w:pPr>
        <w:pStyle w:val="2"/>
        <w:spacing w:before="0" w:after="0"/>
        <w:jc w:val="both"/>
        <w:rPr>
          <w:rFonts w:hAnsi="宋体" w:cs="宋体"/>
          <w:szCs w:val="32"/>
        </w:rPr>
      </w:pPr>
    </w:p>
    <w:p>
      <w:pPr>
        <w:rPr>
          <w:rFonts w:hAnsi="宋体" w:cs="宋体"/>
          <w:szCs w:val="32"/>
        </w:rPr>
      </w:pPr>
    </w:p>
    <w:p>
      <w:pPr>
        <w:pStyle w:val="8"/>
        <w:ind w:firstLine="210"/>
      </w:pPr>
    </w:p>
    <w:p>
      <w:pPr>
        <w:pStyle w:val="2"/>
        <w:spacing w:before="0" w:after="0"/>
        <w:jc w:val="center"/>
        <w:rPr>
          <w:rFonts w:hAnsi="宋体" w:cs="宋体"/>
          <w:szCs w:val="32"/>
        </w:rPr>
      </w:pPr>
    </w:p>
    <w:p>
      <w:pPr>
        <w:pStyle w:val="2"/>
        <w:spacing w:before="0" w:after="0"/>
        <w:jc w:val="both"/>
        <w:rPr>
          <w:rFonts w:hAnsi="宋体" w:cs="宋体"/>
          <w:szCs w:val="32"/>
        </w:rPr>
      </w:pPr>
    </w:p>
    <w:p/>
    <w:p>
      <w:pPr>
        <w:spacing w:before="0" w:after="0"/>
        <w:jc w:val="center"/>
        <w:rPr>
          <w:rFonts w:hint="eastAsia" w:hAnsi="宋体" w:cs="宋体"/>
          <w:szCs w:val="32"/>
        </w:rPr>
      </w:pPr>
      <w:r>
        <w:rPr>
          <w:rFonts w:hint="eastAsia" w:hAnsi="宋体" w:cs="宋体"/>
          <w:szCs w:val="32"/>
        </w:rPr>
        <w:br w:type="page"/>
      </w:r>
    </w:p>
    <w:p>
      <w:pPr>
        <w:pStyle w:val="2"/>
        <w:spacing w:before="0" w:after="0"/>
        <w:jc w:val="center"/>
        <w:rPr>
          <w:rFonts w:hAnsi="宋体" w:cs="宋体"/>
          <w:szCs w:val="32"/>
        </w:rPr>
      </w:pPr>
      <w:bookmarkStart w:id="134" w:name="_Toc5567"/>
      <w:r>
        <w:rPr>
          <w:rFonts w:hint="eastAsia" w:hAnsi="宋体" w:cs="宋体"/>
          <w:szCs w:val="32"/>
        </w:rPr>
        <w:t>第三章 合同条款</w:t>
      </w:r>
      <w:bookmarkEnd w:id="134"/>
    </w:p>
    <w:p>
      <w:pPr>
        <w:widowControl/>
        <w:autoSpaceDE/>
        <w:autoSpaceDN/>
        <w:snapToGrid w:val="0"/>
        <w:spacing w:line="360" w:lineRule="auto"/>
        <w:rPr>
          <w:rFonts w:ascii="Times New Roman" w:eastAsia="楷体_GB2312" w:cs="楷体_GB2312"/>
          <w:kern w:val="2"/>
          <w:sz w:val="28"/>
          <w:szCs w:val="28"/>
        </w:rPr>
      </w:pPr>
    </w:p>
    <w:p>
      <w:pPr>
        <w:widowControl/>
        <w:autoSpaceDE/>
        <w:autoSpaceDN/>
        <w:snapToGrid w:val="0"/>
        <w:spacing w:line="360" w:lineRule="auto"/>
        <w:rPr>
          <w:rFonts w:ascii="Times New Roman" w:eastAsia="楷体_GB2312" w:cs="楷体_GB2312"/>
          <w:kern w:val="2"/>
          <w:sz w:val="28"/>
          <w:szCs w:val="28"/>
        </w:rPr>
      </w:pPr>
      <w:r>
        <w:rPr>
          <w:rFonts w:hint="eastAsia" w:ascii="Times New Roman" w:eastAsia="楷体_GB2312" w:cs="楷体_GB2312"/>
          <w:kern w:val="2"/>
          <w:sz w:val="28"/>
          <w:szCs w:val="28"/>
        </w:rPr>
        <w:t>合同编号：</w:t>
      </w:r>
    </w:p>
    <w:p>
      <w:pPr>
        <w:widowControl/>
        <w:autoSpaceDE/>
        <w:autoSpaceDN/>
        <w:adjustRightInd/>
        <w:spacing w:line="360" w:lineRule="auto"/>
        <w:jc w:val="center"/>
        <w:rPr>
          <w:rFonts w:ascii="Times New Roman" w:cs="宋体"/>
          <w:b/>
          <w:bCs/>
          <w:color w:val="333333"/>
          <w:kern w:val="2"/>
          <w:sz w:val="28"/>
          <w:szCs w:val="28"/>
          <w:shd w:val="clear" w:color="auto" w:fill="FFFFFF"/>
        </w:rPr>
      </w:pPr>
    </w:p>
    <w:p>
      <w:pPr>
        <w:widowControl/>
        <w:autoSpaceDE/>
        <w:autoSpaceDN/>
        <w:adjustRightInd/>
        <w:spacing w:line="360" w:lineRule="auto"/>
        <w:jc w:val="center"/>
        <w:rPr>
          <w:rFonts w:ascii="Times New Roman" w:cs="宋体"/>
          <w:b/>
          <w:bCs/>
          <w:color w:val="333333"/>
          <w:kern w:val="2"/>
          <w:sz w:val="28"/>
          <w:szCs w:val="28"/>
          <w:shd w:val="clear" w:color="auto" w:fill="FFFFFF"/>
        </w:rPr>
      </w:pPr>
    </w:p>
    <w:p>
      <w:pPr>
        <w:widowControl/>
        <w:autoSpaceDE/>
        <w:autoSpaceDN/>
        <w:adjustRightInd/>
        <w:spacing w:line="360" w:lineRule="auto"/>
        <w:jc w:val="center"/>
        <w:rPr>
          <w:rFonts w:ascii="楷体_GB2312" w:hAnsi="楷体_GB2312" w:eastAsia="楷体_GB2312" w:cs="楷体_GB2312"/>
          <w:b/>
          <w:bCs/>
          <w:sz w:val="36"/>
          <w:szCs w:val="36"/>
        </w:rPr>
      </w:pPr>
      <w:r>
        <w:rPr>
          <w:rFonts w:hint="eastAsia" w:ascii="楷体_GB2312" w:hAnsi="楷体_GB2312" w:eastAsia="楷体_GB2312" w:cs="楷体_GB2312"/>
          <w:b/>
          <w:bCs/>
          <w:sz w:val="36"/>
          <w:szCs w:val="36"/>
        </w:rPr>
        <w:t>东莞市管网运营平台雨污同治升级项目</w:t>
      </w:r>
    </w:p>
    <w:p>
      <w:pPr>
        <w:widowControl/>
        <w:autoSpaceDE/>
        <w:autoSpaceDN/>
        <w:adjustRightInd/>
        <w:spacing w:line="360" w:lineRule="auto"/>
        <w:jc w:val="center"/>
        <w:rPr>
          <w:rFonts w:ascii="楷体_GB2312" w:hAnsi="楷体_GB2312" w:eastAsia="楷体_GB2312" w:cs="楷体_GB2312"/>
          <w:b/>
          <w:bCs/>
          <w:sz w:val="36"/>
          <w:szCs w:val="36"/>
        </w:rPr>
      </w:pPr>
      <w:r>
        <w:rPr>
          <w:rFonts w:hint="eastAsia" w:ascii="楷体_GB2312" w:hAnsi="楷体_GB2312" w:eastAsia="楷体_GB2312" w:cs="楷体_GB2312"/>
          <w:b/>
          <w:bCs/>
          <w:sz w:val="36"/>
          <w:szCs w:val="36"/>
        </w:rPr>
        <w:t>设计服务项目合同</w:t>
      </w:r>
    </w:p>
    <w:p>
      <w:pPr>
        <w:autoSpaceDE/>
        <w:autoSpaceDN/>
        <w:snapToGrid w:val="0"/>
        <w:spacing w:line="360" w:lineRule="auto"/>
        <w:jc w:val="both"/>
        <w:rPr>
          <w:rFonts w:ascii="Times New Roman" w:cs="Arial"/>
          <w:b/>
          <w:bCs/>
          <w:kern w:val="2"/>
        </w:rPr>
      </w:pPr>
    </w:p>
    <w:p>
      <w:pPr>
        <w:autoSpaceDE/>
        <w:autoSpaceDN/>
        <w:snapToGrid w:val="0"/>
        <w:spacing w:line="360" w:lineRule="auto"/>
        <w:ind w:firstLine="480" w:firstLineChars="200"/>
        <w:jc w:val="both"/>
        <w:rPr>
          <w:rFonts w:ascii="Times New Roman" w:cs="Arial"/>
          <w:kern w:val="2"/>
        </w:rPr>
      </w:pPr>
    </w:p>
    <w:p>
      <w:pPr>
        <w:autoSpaceDE/>
        <w:autoSpaceDN/>
        <w:snapToGrid w:val="0"/>
        <w:spacing w:line="360" w:lineRule="auto"/>
        <w:ind w:firstLine="480" w:firstLineChars="200"/>
        <w:jc w:val="both"/>
        <w:rPr>
          <w:rFonts w:ascii="Times New Roman" w:cs="Arial"/>
          <w:kern w:val="2"/>
        </w:rPr>
      </w:pPr>
    </w:p>
    <w:p>
      <w:pPr>
        <w:spacing w:after="120"/>
        <w:jc w:val="both"/>
        <w:rPr>
          <w:rFonts w:ascii="Times New Roman" w:cs="Arial"/>
          <w:kern w:val="2"/>
        </w:rPr>
      </w:pPr>
    </w:p>
    <w:p>
      <w:pPr>
        <w:autoSpaceDE/>
        <w:autoSpaceDN/>
        <w:snapToGrid w:val="0"/>
        <w:spacing w:line="360" w:lineRule="auto"/>
        <w:jc w:val="both"/>
        <w:rPr>
          <w:rFonts w:ascii="Times New Roman" w:cs="Arial"/>
          <w:kern w:val="2"/>
        </w:rPr>
      </w:pPr>
    </w:p>
    <w:p>
      <w:pPr>
        <w:autoSpaceDE/>
        <w:autoSpaceDN/>
        <w:snapToGrid w:val="0"/>
        <w:spacing w:line="360" w:lineRule="auto"/>
        <w:ind w:left="2087" w:leftChars="228" w:hanging="1540" w:hangingChars="550"/>
        <w:jc w:val="both"/>
        <w:rPr>
          <w:rFonts w:ascii="Times New Roman" w:eastAsia="楷体_GB2312" w:cs="楷体_GB2312"/>
          <w:kern w:val="2"/>
          <w:sz w:val="28"/>
          <w:szCs w:val="28"/>
        </w:rPr>
      </w:pPr>
    </w:p>
    <w:p>
      <w:pPr>
        <w:autoSpaceDE/>
        <w:autoSpaceDN/>
        <w:snapToGrid w:val="0"/>
        <w:spacing w:line="360" w:lineRule="auto"/>
        <w:ind w:left="2038" w:leftChars="266" w:hanging="1400" w:hangingChars="500"/>
        <w:jc w:val="both"/>
        <w:rPr>
          <w:rFonts w:ascii="Times New Roman" w:eastAsia="楷体_GB2312" w:cs="楷体_GB2312"/>
          <w:kern w:val="2"/>
          <w:sz w:val="28"/>
          <w:szCs w:val="28"/>
        </w:rPr>
      </w:pPr>
      <w:r>
        <w:rPr>
          <w:rFonts w:hint="eastAsia" w:ascii="Times New Roman" w:eastAsia="楷体_GB2312" w:cs="楷体_GB2312"/>
          <w:kern w:val="2"/>
          <w:sz w:val="28"/>
          <w:szCs w:val="28"/>
        </w:rPr>
        <w:t>项目名称：东莞市管网运营平台雨污同治升级项目</w:t>
      </w:r>
    </w:p>
    <w:p>
      <w:pPr>
        <w:autoSpaceDE/>
        <w:autoSpaceDN/>
        <w:snapToGrid w:val="0"/>
        <w:spacing w:line="360" w:lineRule="auto"/>
        <w:ind w:left="2038" w:leftChars="266" w:hanging="1400" w:hangingChars="500"/>
        <w:jc w:val="both"/>
        <w:rPr>
          <w:rFonts w:ascii="Times New Roman" w:eastAsia="楷体_GB2312" w:cs="楷体_GB2312"/>
          <w:kern w:val="2"/>
          <w:sz w:val="28"/>
          <w:szCs w:val="28"/>
        </w:rPr>
      </w:pPr>
      <w:r>
        <w:rPr>
          <w:rFonts w:hint="eastAsia" w:ascii="Times New Roman" w:eastAsia="楷体_GB2312" w:cs="楷体_GB2312"/>
          <w:kern w:val="2"/>
          <w:sz w:val="28"/>
          <w:szCs w:val="28"/>
        </w:rPr>
        <w:t>委托人（甲方）：东莞市水务集团管网有限公司、东莞市莞泽水环境投资有限公司、东莞市东信水环境投资有限公司、东莞市东泽水环境投资有限公司、东莞市清泽水环境投资有限公司、东莞市莞清水环境投资有限公司、东莞市东江水环境投资有限公司</w:t>
      </w:r>
    </w:p>
    <w:p>
      <w:pPr>
        <w:autoSpaceDE/>
        <w:autoSpaceDN/>
        <w:snapToGrid w:val="0"/>
        <w:spacing w:line="360" w:lineRule="auto"/>
        <w:ind w:firstLine="560" w:firstLineChars="200"/>
        <w:jc w:val="both"/>
        <w:rPr>
          <w:rFonts w:ascii="Times New Roman" w:eastAsia="楷体_GB2312" w:cs="Arial"/>
          <w:kern w:val="2"/>
        </w:rPr>
      </w:pPr>
      <w:r>
        <w:rPr>
          <w:rFonts w:hint="eastAsia" w:ascii="Times New Roman" w:eastAsia="楷体_GB2312" w:cs="楷体_GB2312"/>
          <w:kern w:val="2"/>
          <w:sz w:val="28"/>
          <w:szCs w:val="28"/>
        </w:rPr>
        <w:t>受托人（乙方）：</w:t>
      </w:r>
    </w:p>
    <w:p>
      <w:pPr>
        <w:autoSpaceDE/>
        <w:autoSpaceDN/>
        <w:snapToGrid w:val="0"/>
        <w:spacing w:line="360" w:lineRule="auto"/>
        <w:ind w:firstLine="560" w:firstLineChars="200"/>
        <w:jc w:val="both"/>
        <w:rPr>
          <w:rFonts w:ascii="Times New Roman" w:eastAsia="楷体_GB2312" w:cs="楷体_GB2312"/>
          <w:kern w:val="2"/>
          <w:sz w:val="28"/>
          <w:szCs w:val="28"/>
        </w:rPr>
      </w:pPr>
      <w:r>
        <w:rPr>
          <w:rFonts w:hint="eastAsia" w:ascii="Times New Roman" w:eastAsia="楷体_GB2312" w:cs="楷体_GB2312"/>
          <w:kern w:val="2"/>
          <w:sz w:val="28"/>
          <w:szCs w:val="28"/>
        </w:rPr>
        <w:t xml:space="preserve">项目地点：东莞市东城街道运河路5号水务集团管网公司                     　                </w:t>
      </w:r>
    </w:p>
    <w:p>
      <w:pPr>
        <w:autoSpaceDE/>
        <w:autoSpaceDN/>
        <w:snapToGrid w:val="0"/>
        <w:spacing w:line="360" w:lineRule="auto"/>
        <w:ind w:firstLine="560" w:firstLineChars="200"/>
        <w:jc w:val="both"/>
        <w:rPr>
          <w:rFonts w:ascii="Times New Roman" w:eastAsia="楷体_GB2312" w:cs="楷体_GB2312"/>
          <w:kern w:val="2"/>
          <w:sz w:val="28"/>
          <w:szCs w:val="28"/>
        </w:rPr>
      </w:pPr>
      <w:r>
        <w:rPr>
          <w:rFonts w:hint="eastAsia" w:ascii="Times New Roman" w:eastAsia="楷体_GB2312" w:cs="楷体_GB2312"/>
          <w:kern w:val="2"/>
          <w:sz w:val="28"/>
          <w:szCs w:val="28"/>
        </w:rPr>
        <w:t xml:space="preserve">签订日期：         年      月      日                                             </w:t>
      </w:r>
    </w:p>
    <w:p>
      <w:pPr>
        <w:autoSpaceDE/>
        <w:autoSpaceDN/>
        <w:snapToGrid w:val="0"/>
        <w:spacing w:line="360" w:lineRule="auto"/>
        <w:ind w:firstLine="560" w:firstLineChars="200"/>
        <w:jc w:val="both"/>
        <w:rPr>
          <w:rFonts w:ascii="Times New Roman" w:eastAsia="楷体_GB2312" w:cs="楷体_GB2312"/>
          <w:kern w:val="2"/>
          <w:sz w:val="28"/>
          <w:szCs w:val="28"/>
        </w:rPr>
      </w:pPr>
      <w:r>
        <w:rPr>
          <w:rFonts w:hint="eastAsia" w:ascii="Times New Roman" w:eastAsia="楷体_GB2312" w:cs="楷体_GB2312"/>
          <w:kern w:val="2"/>
          <w:sz w:val="28"/>
          <w:szCs w:val="28"/>
        </w:rPr>
        <w:t xml:space="preserve">签订地点：                                                             </w:t>
      </w:r>
    </w:p>
    <w:p>
      <w:pPr>
        <w:spacing w:after="120"/>
        <w:ind w:firstLine="240" w:firstLineChars="100"/>
        <w:jc w:val="both"/>
        <w:rPr>
          <w:rFonts w:ascii="Times New Roman" w:cs="Arial"/>
          <w:kern w:val="2"/>
        </w:rPr>
      </w:pPr>
    </w:p>
    <w:p>
      <w:pPr>
        <w:spacing w:after="120"/>
        <w:ind w:firstLine="240" w:firstLineChars="100"/>
        <w:jc w:val="both"/>
        <w:rPr>
          <w:rFonts w:ascii="Times New Roman" w:cs="Arial"/>
          <w:kern w:val="2"/>
        </w:rPr>
      </w:pPr>
    </w:p>
    <w:p>
      <w:pPr>
        <w:spacing w:after="120"/>
        <w:ind w:firstLine="240" w:firstLineChars="100"/>
        <w:jc w:val="both"/>
        <w:rPr>
          <w:rFonts w:ascii="Times New Roman" w:cs="Arial"/>
          <w:kern w:val="2"/>
        </w:rPr>
      </w:pPr>
    </w:p>
    <w:p>
      <w:pPr>
        <w:snapToGrid w:val="0"/>
        <w:spacing w:line="360" w:lineRule="auto"/>
        <w:rPr>
          <w:rFonts w:ascii="Times New Roman" w:eastAsia="楷体_GB2312" w:cs="楷体_GB2312"/>
          <w:sz w:val="28"/>
          <w:szCs w:val="28"/>
        </w:rPr>
        <w:sectPr>
          <w:footerReference r:id="rId6" w:type="default"/>
          <w:pgSz w:w="11906" w:h="16838"/>
          <w:pgMar w:top="1440" w:right="1800" w:bottom="1440" w:left="1800" w:header="851" w:footer="992" w:gutter="0"/>
          <w:cols w:space="720" w:num="1"/>
          <w:docGrid w:type="lines" w:linePitch="312" w:charSpace="0"/>
        </w:sectPr>
      </w:pPr>
    </w:p>
    <w:p>
      <w:pPr>
        <w:spacing w:line="560" w:lineRule="exact"/>
        <w:ind w:firstLine="482"/>
        <w:rPr>
          <w:b/>
        </w:rPr>
      </w:pPr>
      <w:bookmarkStart w:id="135" w:name="_Toc29476707"/>
      <w:r>
        <w:rPr>
          <w:rFonts w:hint="eastAsia"/>
          <w:b/>
        </w:rPr>
        <w:t>甲方：</w:t>
      </w:r>
      <w:r>
        <w:rPr>
          <w:rFonts w:hint="eastAsia"/>
          <w:u w:val="single"/>
        </w:rPr>
        <w:t xml:space="preserve"> 东莞市水务集团管网有限公司、东莞市莞泽水环境投资有限公司、东莞市东信水环境投资有限公司、东莞市东泽水环境投资有限公司、东莞市清泽水环境投资有限公司、东莞市莞清水环境投资有限公司、东莞市东江水环境投资有限公司  </w:t>
      </w:r>
      <w:r>
        <w:rPr>
          <w:rFonts w:hint="eastAsia"/>
          <w:b/>
        </w:rPr>
        <w:t xml:space="preserve"> </w:t>
      </w:r>
    </w:p>
    <w:p>
      <w:pPr>
        <w:spacing w:line="560" w:lineRule="exact"/>
        <w:ind w:firstLine="482"/>
        <w:rPr>
          <w:b/>
        </w:rPr>
      </w:pPr>
      <w:r>
        <w:rPr>
          <w:rFonts w:hint="eastAsia"/>
          <w:b/>
        </w:rPr>
        <w:t>乙方：</w:t>
      </w:r>
      <w:r>
        <w:rPr>
          <w:rFonts w:hint="eastAsia"/>
          <w:u w:val="single"/>
        </w:rPr>
        <w:t xml:space="preserve">                                 </w:t>
      </w:r>
      <w:r>
        <w:rPr>
          <w:rFonts w:hint="eastAsia"/>
          <w:b/>
        </w:rPr>
        <w:t xml:space="preserve"> </w:t>
      </w:r>
    </w:p>
    <w:p>
      <w:pPr>
        <w:spacing w:line="560" w:lineRule="exact"/>
      </w:pPr>
      <w:r>
        <w:rPr>
          <w:rFonts w:hint="eastAsia"/>
        </w:rPr>
        <w:t>根据《中华人民共和国民法典》及相关法律法规规定，双方经过平等协商，在真实、充分地表达各自意愿的基础上，甲方委托乙方就</w:t>
      </w:r>
      <w:r>
        <w:rPr>
          <w:rFonts w:hint="eastAsia"/>
          <w:u w:val="single"/>
        </w:rPr>
        <w:t>东莞市管网运营平台雨污同治升级项目</w:t>
      </w:r>
      <w:r>
        <w:rPr>
          <w:rFonts w:hint="eastAsia"/>
        </w:rPr>
        <w:t>进行</w:t>
      </w:r>
      <w:r>
        <w:rPr>
          <w:rFonts w:hint="eastAsia"/>
          <w:u w:val="single"/>
        </w:rPr>
        <w:t xml:space="preserve"> 项目设计 </w:t>
      </w:r>
      <w:r>
        <w:rPr>
          <w:rFonts w:hint="eastAsia"/>
        </w:rPr>
        <w:t>服务事宜达成如下合同，并由双方共同恪守：</w:t>
      </w:r>
    </w:p>
    <w:p>
      <w:pPr>
        <w:pStyle w:val="3"/>
        <w:spacing w:line="360" w:lineRule="auto"/>
        <w:rPr>
          <w:rFonts w:ascii="宋体" w:hAnsi="宋体"/>
        </w:rPr>
      </w:pPr>
      <w:bookmarkStart w:id="136" w:name="_Toc29189"/>
      <w:bookmarkStart w:id="137" w:name="_Toc86481569"/>
      <w:r>
        <w:rPr>
          <w:rFonts w:hint="eastAsia" w:ascii="宋体" w:hAnsi="宋体"/>
        </w:rPr>
        <w:t>第一条 设计服务的内容和服务期限</w:t>
      </w:r>
      <w:bookmarkEnd w:id="136"/>
    </w:p>
    <w:p>
      <w:pPr>
        <w:numPr>
          <w:ilvl w:val="255"/>
          <w:numId w:val="0"/>
        </w:numPr>
        <w:spacing w:line="560" w:lineRule="exact"/>
        <w:ind w:firstLine="480" w:firstLineChars="200"/>
        <w:rPr>
          <w:b/>
          <w:bCs/>
        </w:rPr>
      </w:pPr>
      <w:r>
        <w:rPr>
          <w:rFonts w:hint="eastAsia"/>
        </w:rPr>
        <w:t>1.内容：甲方委托乙方就</w:t>
      </w:r>
      <w:r>
        <w:rPr>
          <w:rFonts w:hint="eastAsia"/>
          <w:u w:val="single"/>
        </w:rPr>
        <w:t xml:space="preserve"> 东莞市管网运营平台雨污同治升级项目 </w:t>
      </w:r>
      <w:r>
        <w:rPr>
          <w:rFonts w:hint="eastAsia"/>
        </w:rPr>
        <w:t>进行项目设计，包含设计工作实施计划、设计文件（含概算）。</w:t>
      </w:r>
    </w:p>
    <w:p>
      <w:pPr>
        <w:numPr>
          <w:ilvl w:val="255"/>
          <w:numId w:val="0"/>
        </w:numPr>
        <w:spacing w:line="560" w:lineRule="exact"/>
        <w:ind w:firstLine="480" w:firstLineChars="200"/>
        <w:rPr>
          <w:bCs/>
        </w:rPr>
      </w:pPr>
      <w:r>
        <w:rPr>
          <w:rFonts w:hint="eastAsia"/>
        </w:rPr>
        <w:t>2.</w:t>
      </w:r>
      <w:r>
        <w:rPr>
          <w:rFonts w:hint="eastAsia"/>
          <w:bCs/>
        </w:rPr>
        <w:t>服务期限</w:t>
      </w:r>
    </w:p>
    <w:p>
      <w:pPr>
        <w:numPr>
          <w:ilvl w:val="255"/>
          <w:numId w:val="0"/>
        </w:numPr>
        <w:spacing w:line="560" w:lineRule="exact"/>
        <w:ind w:firstLine="480" w:firstLineChars="200"/>
      </w:pPr>
      <w:r>
        <w:rPr>
          <w:rFonts w:hint="eastAsia"/>
          <w:bCs/>
        </w:rPr>
        <w:t>（1）项目总体工期为自合同签订之日起60日。乙方应当在</w:t>
      </w:r>
      <w:r>
        <w:rPr>
          <w:rFonts w:hint="eastAsia"/>
        </w:rPr>
        <w:t>合同签订之日起，45日内完成所有项目成果评审稿，并配合后续所有审核、评审及修改工作。（因甲方原因造成延误的，工期顺延。）</w:t>
      </w:r>
    </w:p>
    <w:p>
      <w:pPr>
        <w:numPr>
          <w:ilvl w:val="255"/>
          <w:numId w:val="0"/>
        </w:numPr>
        <w:tabs>
          <w:tab w:val="left" w:pos="0"/>
          <w:tab w:val="left" w:pos="1080"/>
        </w:tabs>
        <w:spacing w:line="560" w:lineRule="exact"/>
        <w:ind w:firstLine="480" w:firstLineChars="200"/>
      </w:pPr>
      <w:r>
        <w:rPr>
          <w:rFonts w:hint="eastAsia"/>
        </w:rPr>
        <w:t>（2）本项目的成果交付期为：自本合同签订之日起至乙方完成提交全部最终成果文件，至甲方同意项目通过，形成服务验收报告单为止。本项目的服务期为：自合同签订之日始至东莞市管网运营平台雨污同治升级项目初步验收通过并上线试运行时止。如在本项目服务期限内，因甲方业务变化、机构调整、技术改造等原因，导致本项目服务时间需要进行调整的，甲方有权增加或减少服务时间，甚至提前解除合同，提前解除合同的，费用参照合同第六条按实结算。相关调整由甲方提前10天通知乙方，乙方应根据甲方的需求配合执行，乙方对此知悉并明确表示无异议，且乙方保证不因前述情形而向甲方主张任何形式的补偿或者赔偿。</w:t>
      </w:r>
    </w:p>
    <w:p>
      <w:pPr>
        <w:pStyle w:val="3"/>
        <w:spacing w:line="360" w:lineRule="auto"/>
        <w:rPr>
          <w:rFonts w:ascii="宋体" w:hAnsi="宋体"/>
          <w:b/>
          <w:bCs/>
        </w:rPr>
      </w:pPr>
      <w:bookmarkStart w:id="138" w:name="_Toc18708"/>
      <w:r>
        <w:rPr>
          <w:rFonts w:hint="eastAsia" w:ascii="宋体" w:hAnsi="宋体"/>
          <w:b/>
          <w:bCs/>
        </w:rPr>
        <w:t>第二条 设计服务方式和要求</w:t>
      </w:r>
      <w:bookmarkEnd w:id="138"/>
    </w:p>
    <w:p>
      <w:pPr>
        <w:numPr>
          <w:ilvl w:val="255"/>
          <w:numId w:val="0"/>
        </w:numPr>
        <w:spacing w:line="560" w:lineRule="exact"/>
        <w:ind w:firstLine="480" w:firstLineChars="200"/>
      </w:pPr>
      <w:r>
        <w:rPr>
          <w:rFonts w:hint="eastAsia"/>
        </w:rPr>
        <w:t>1.设计服务方式：按照国家、省、市相关标准规范及本项目要求，进行项目设计并在项目成果的审查、东莞市管网运营平台雨污同治升级项目实施过程中按甲方要求准备相关材料并提供技术支持，具体要求以用户需求书为准。</w:t>
      </w:r>
    </w:p>
    <w:p>
      <w:pPr>
        <w:tabs>
          <w:tab w:val="left" w:pos="0"/>
          <w:tab w:val="left" w:pos="1080"/>
          <w:tab w:val="left" w:pos="1512"/>
        </w:tabs>
        <w:spacing w:line="560" w:lineRule="exact"/>
        <w:ind w:firstLine="480" w:firstLineChars="200"/>
      </w:pPr>
      <w:r>
        <w:rPr>
          <w:rFonts w:hint="eastAsia"/>
        </w:rPr>
        <w:t>（1）乙方签收相关委托资料（本合同及有关资料）后</w:t>
      </w:r>
      <w:r>
        <w:rPr>
          <w:rFonts w:hint="eastAsia"/>
          <w:u w:val="single"/>
        </w:rPr>
        <w:t xml:space="preserve"> 10 </w:t>
      </w:r>
      <w:r>
        <w:rPr>
          <w:rFonts w:hint="eastAsia"/>
        </w:rPr>
        <w:t>天内，一次性告知甲方所应提供的资料。甲方按乙方要求提供的资料清单，提供有关技术基础资料。如甲方提交的资料有问题，乙方应在甲方提交资料后</w:t>
      </w:r>
      <w:r>
        <w:rPr>
          <w:rFonts w:hint="eastAsia"/>
          <w:u w:val="single"/>
        </w:rPr>
        <w:t xml:space="preserve"> 3 </w:t>
      </w:r>
      <w:r>
        <w:rPr>
          <w:rFonts w:hint="eastAsia"/>
        </w:rPr>
        <w:t>天内告知甲方，未在该期限内告知的，视为甲方提交的资料无任何问题。</w:t>
      </w:r>
    </w:p>
    <w:p>
      <w:pPr>
        <w:tabs>
          <w:tab w:val="left" w:pos="0"/>
          <w:tab w:val="left" w:pos="1080"/>
          <w:tab w:val="left" w:pos="1512"/>
        </w:tabs>
        <w:spacing w:line="560" w:lineRule="exact"/>
        <w:ind w:firstLine="480" w:firstLineChars="200"/>
      </w:pPr>
      <w:r>
        <w:rPr>
          <w:rFonts w:hint="eastAsia"/>
        </w:rPr>
        <w:t>（2）乙方在合同签订完成后，在完成项目验收前根据甲方需求派驻人员，进行项目现场调研及梳理，编制</w:t>
      </w:r>
      <w:r>
        <w:rPr>
          <w:rFonts w:hint="eastAsia"/>
          <w:u w:val="single"/>
        </w:rPr>
        <w:t xml:space="preserve"> 设计工作实施计划 </w:t>
      </w:r>
      <w:r>
        <w:rPr>
          <w:rFonts w:hint="eastAsia"/>
        </w:rPr>
        <w:t>。</w:t>
      </w:r>
    </w:p>
    <w:p>
      <w:pPr>
        <w:tabs>
          <w:tab w:val="left" w:pos="0"/>
          <w:tab w:val="left" w:pos="1080"/>
          <w:tab w:val="left" w:pos="1512"/>
        </w:tabs>
        <w:spacing w:line="560" w:lineRule="exact"/>
        <w:ind w:firstLine="480" w:firstLineChars="200"/>
      </w:pPr>
      <w:r>
        <w:rPr>
          <w:rFonts w:hint="eastAsia"/>
        </w:rPr>
        <w:t>（3）乙方根据甲方对</w:t>
      </w:r>
      <w:r>
        <w:rPr>
          <w:rFonts w:hint="eastAsia"/>
          <w:u w:val="single"/>
        </w:rPr>
        <w:t xml:space="preserve"> 各阶段成果 </w:t>
      </w:r>
      <w:r>
        <w:rPr>
          <w:rFonts w:hint="eastAsia"/>
        </w:rPr>
        <w:t>的修改意见进行修改，应当自收到甲方的修改意见之日起</w:t>
      </w:r>
      <w:r>
        <w:rPr>
          <w:rFonts w:hint="eastAsia"/>
          <w:u w:val="single"/>
        </w:rPr>
        <w:t>7</w:t>
      </w:r>
      <w:r>
        <w:rPr>
          <w:rFonts w:hint="eastAsia"/>
        </w:rPr>
        <w:t>天内完成报告修改并提交甲方确认。在经甲方确认无误后，准备或重新提交相关报审资料。</w:t>
      </w:r>
    </w:p>
    <w:p>
      <w:pPr>
        <w:tabs>
          <w:tab w:val="left" w:pos="0"/>
          <w:tab w:val="left" w:pos="1080"/>
          <w:tab w:val="left" w:pos="1512"/>
        </w:tabs>
        <w:spacing w:line="560" w:lineRule="exact"/>
        <w:ind w:firstLine="480" w:firstLineChars="200"/>
      </w:pPr>
      <w:r>
        <w:rPr>
          <w:rFonts w:hint="eastAsia"/>
        </w:rPr>
        <w:t>（4）乙方协助甲方报送</w:t>
      </w:r>
      <w:r>
        <w:rPr>
          <w:rFonts w:hint="eastAsia"/>
          <w:u w:val="single"/>
        </w:rPr>
        <w:t xml:space="preserve"> 项目成果 </w:t>
      </w:r>
      <w:r>
        <w:rPr>
          <w:rFonts w:hint="eastAsia"/>
        </w:rPr>
        <w:t>等相关资料，乙方根据甲方及甲方授权的专家成员组成的评审小组（以下称评审组）的意见，对</w:t>
      </w:r>
      <w:r>
        <w:rPr>
          <w:rFonts w:hint="eastAsia"/>
          <w:u w:val="single"/>
        </w:rPr>
        <w:t xml:space="preserve"> 项目成果 </w:t>
      </w:r>
      <w:r>
        <w:rPr>
          <w:rFonts w:hint="eastAsia"/>
        </w:rPr>
        <w:t>进行修改、补充和完善，直到最终甲方及评审组同意通过。乙方应当自收到相关意见后</w:t>
      </w:r>
      <w:r>
        <w:rPr>
          <w:rFonts w:hint="eastAsia"/>
          <w:u w:val="single"/>
        </w:rPr>
        <w:t xml:space="preserve"> 7 </w:t>
      </w:r>
      <w:r>
        <w:rPr>
          <w:rFonts w:hint="eastAsia"/>
        </w:rPr>
        <w:t>天内完成成果修改、补充和完善并提交甲方确认。在经甲方确认无误后，准备或重新提交相关报审资料。</w:t>
      </w:r>
    </w:p>
    <w:p>
      <w:pPr>
        <w:tabs>
          <w:tab w:val="left" w:pos="0"/>
          <w:tab w:val="left" w:pos="1080"/>
          <w:tab w:val="left" w:pos="1512"/>
        </w:tabs>
        <w:spacing w:line="560" w:lineRule="exact"/>
        <w:ind w:firstLine="480" w:firstLineChars="200"/>
        <w:rPr>
          <w:bCs/>
        </w:rPr>
      </w:pPr>
      <w:r>
        <w:rPr>
          <w:rFonts w:hint="eastAsia"/>
        </w:rPr>
        <w:t>（5）</w:t>
      </w:r>
      <w:r>
        <w:rPr>
          <w:rFonts w:hint="eastAsia"/>
          <w:bCs/>
        </w:rPr>
        <w:t>如乙方投入本合同项目的设备、人员，超出了乙方响应文件的配置表中所列，由乙方自行承担相关费用。</w:t>
      </w:r>
    </w:p>
    <w:p>
      <w:pPr>
        <w:tabs>
          <w:tab w:val="left" w:pos="0"/>
          <w:tab w:val="left" w:pos="1080"/>
          <w:tab w:val="left" w:pos="1512"/>
        </w:tabs>
        <w:spacing w:line="560" w:lineRule="exact"/>
        <w:ind w:firstLine="480" w:firstLineChars="200"/>
        <w:rPr>
          <w:bCs/>
        </w:rPr>
      </w:pPr>
      <w:r>
        <w:rPr>
          <w:rFonts w:hint="eastAsia"/>
          <w:bCs/>
        </w:rPr>
        <w:t>（6）项目成果通过验收前，若要求的工作内容发生变更，需要重新报送</w:t>
      </w:r>
      <w:r>
        <w:rPr>
          <w:rFonts w:hint="eastAsia"/>
        </w:rPr>
        <w:t>甲方及评审组</w:t>
      </w:r>
      <w:r>
        <w:rPr>
          <w:rFonts w:hint="eastAsia"/>
          <w:bCs/>
        </w:rPr>
        <w:t>的，乙方应为甲方修改报告，同时不增加服务费用。</w:t>
      </w:r>
    </w:p>
    <w:p>
      <w:pPr>
        <w:tabs>
          <w:tab w:val="left" w:pos="0"/>
          <w:tab w:val="left" w:pos="1080"/>
          <w:tab w:val="left" w:pos="1512"/>
        </w:tabs>
        <w:spacing w:line="560" w:lineRule="exact"/>
        <w:ind w:firstLine="480" w:firstLineChars="200"/>
      </w:pPr>
      <w:r>
        <w:rPr>
          <w:rFonts w:hint="eastAsia"/>
        </w:rPr>
        <w:t>（7）乙方在服务期限内进行的服务，不得低于报价文件的要求及响应文件承诺的标准。</w:t>
      </w:r>
    </w:p>
    <w:p>
      <w:pPr>
        <w:tabs>
          <w:tab w:val="left" w:pos="0"/>
          <w:tab w:val="left" w:pos="1080"/>
          <w:tab w:val="left" w:pos="1512"/>
        </w:tabs>
        <w:spacing w:line="560" w:lineRule="exact"/>
        <w:ind w:firstLine="480" w:firstLineChars="200"/>
        <w:rPr>
          <w:bCs/>
        </w:rPr>
      </w:pPr>
      <w:r>
        <w:rPr>
          <w:rFonts w:hint="eastAsia"/>
        </w:rPr>
        <w:t>（8）乙方向甲方提供定稿</w:t>
      </w:r>
      <w:r>
        <w:rPr>
          <w:rFonts w:hint="eastAsia"/>
          <w:u w:val="single"/>
        </w:rPr>
        <w:t xml:space="preserve"> 项目成果</w:t>
      </w:r>
      <w:r>
        <w:rPr>
          <w:rFonts w:hint="eastAsia"/>
          <w:bCs/>
          <w:u w:val="single"/>
        </w:rPr>
        <w:t>（加盖公章）</w:t>
      </w:r>
      <w:r>
        <w:rPr>
          <w:rFonts w:hint="eastAsia"/>
          <w:bCs/>
        </w:rPr>
        <w:t>（印刷版10份、电子版1份）。</w:t>
      </w:r>
    </w:p>
    <w:p>
      <w:pPr>
        <w:tabs>
          <w:tab w:val="left" w:pos="0"/>
          <w:tab w:val="left" w:pos="1080"/>
          <w:tab w:val="left" w:pos="1512"/>
        </w:tabs>
        <w:spacing w:line="560" w:lineRule="exact"/>
        <w:ind w:firstLine="480" w:firstLineChars="200"/>
      </w:pPr>
      <w:r>
        <w:rPr>
          <w:rFonts w:hint="eastAsia"/>
        </w:rPr>
        <w:t>（9）</w:t>
      </w:r>
      <w:r>
        <w:rPr>
          <w:rFonts w:hint="eastAsia"/>
          <w:u w:color="0000FF"/>
        </w:rPr>
        <w:t>未经甲方书面同意，乙方不得将本合同项下工作全部或部分转包、分包或委托第三方完成。</w:t>
      </w:r>
    </w:p>
    <w:p>
      <w:pPr>
        <w:spacing w:line="560" w:lineRule="exact"/>
        <w:ind w:firstLine="480" w:firstLineChars="200"/>
      </w:pPr>
      <w:r>
        <w:rPr>
          <w:rFonts w:hint="eastAsia"/>
        </w:rPr>
        <w:t>2.服务要求：所有项目成果应符合国家、地方和行业技术标准、规范和规程并通过甲方和相关单位的审批。</w:t>
      </w:r>
    </w:p>
    <w:p>
      <w:pPr>
        <w:pStyle w:val="3"/>
        <w:spacing w:line="360" w:lineRule="auto"/>
        <w:rPr>
          <w:rFonts w:ascii="宋体" w:hAnsi="宋体"/>
          <w:b/>
          <w:bCs/>
        </w:rPr>
      </w:pPr>
      <w:bookmarkStart w:id="139" w:name="_Toc755"/>
      <w:r>
        <w:rPr>
          <w:rFonts w:hint="eastAsia" w:ascii="宋体" w:hAnsi="宋体"/>
          <w:b/>
          <w:bCs/>
        </w:rPr>
        <w:t>第三条 服务费用及支付方式</w:t>
      </w:r>
      <w:bookmarkEnd w:id="139"/>
    </w:p>
    <w:p>
      <w:pPr>
        <w:spacing w:line="560" w:lineRule="exact"/>
        <w:ind w:firstLine="480" w:firstLineChars="200"/>
      </w:pPr>
      <w:r>
        <w:rPr>
          <w:rFonts w:hint="eastAsia"/>
        </w:rPr>
        <w:t>1.费用标准：本项目服务费用（合同总价）为人民币（含税：6%）∶         （￥         ），其中不含税金额为     元，税金     元。（此费用为总包干价，包含人工费、评审费、驻点办公食宿及水电等费用、管理费、交通费、通讯费、加班费税费等服务范围内所有应预见和不可预见费用及完成服务内容所需的一切费用，涉及到审核交付成果过程中的修改完善后多次审核的相关费用及验收通过后到项目上线试运行期间的服务费用亦包含在内，乙方确认了解项目情况、各类费用以及风险情况）</w:t>
      </w:r>
    </w:p>
    <w:p>
      <w:pPr>
        <w:numPr>
          <w:ilvl w:val="255"/>
          <w:numId w:val="0"/>
        </w:numPr>
        <w:spacing w:line="560" w:lineRule="exact"/>
        <w:ind w:firstLine="480" w:firstLineChars="200"/>
      </w:pPr>
      <w:r>
        <w:rPr>
          <w:rFonts w:hint="eastAsia"/>
        </w:rPr>
        <w:t>2.服务费用支付方式：</w:t>
      </w:r>
    </w:p>
    <w:p>
      <w:pPr>
        <w:numPr>
          <w:ilvl w:val="255"/>
          <w:numId w:val="0"/>
        </w:numPr>
        <w:spacing w:line="560" w:lineRule="exact"/>
        <w:ind w:firstLine="480" w:firstLineChars="200"/>
      </w:pPr>
      <w:r>
        <w:rPr>
          <w:rFonts w:hint="eastAsia"/>
        </w:rPr>
        <w:t>（1）合同签订完成后，乙方向甲方提供等额、合法、有效的增值税专用发票，甲方经审核确认无误后在15个工作日内向乙方支付合同总价的30%；</w:t>
      </w:r>
    </w:p>
    <w:p>
      <w:pPr>
        <w:numPr>
          <w:ilvl w:val="255"/>
          <w:numId w:val="0"/>
        </w:numPr>
        <w:spacing w:line="560" w:lineRule="exact"/>
        <w:ind w:firstLine="480" w:firstLineChars="200"/>
      </w:pPr>
      <w:r>
        <w:rPr>
          <w:rFonts w:hint="eastAsia"/>
        </w:rPr>
        <w:t>（2）乙方提交的项目成果通过甲方的验收，形成服务验收报告单后，乙方向甲方提供请款报告及等额、合法、有效的增值税专用发票，甲方经审核无误后在15个工作日内向乙方支付合同总价的50%；</w:t>
      </w:r>
    </w:p>
    <w:p>
      <w:pPr>
        <w:numPr>
          <w:ilvl w:val="255"/>
          <w:numId w:val="0"/>
        </w:numPr>
        <w:spacing w:line="560" w:lineRule="exact"/>
        <w:ind w:firstLine="480" w:firstLineChars="200"/>
      </w:pPr>
      <w:r>
        <w:rPr>
          <w:rFonts w:hint="eastAsia"/>
        </w:rPr>
        <w:t>（3）东莞市管网运营平台雨污同治升级项目实施通过初验并上线试运行后，乙方向甲方提供请款报告及等额、合法、有效的增值税专用发票，甲方经审核无误后在15个工作日内向乙方支付合同总价的20%。</w:t>
      </w:r>
    </w:p>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4489"/>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tcPr>
          <w:p>
            <w:pPr>
              <w:pStyle w:val="7"/>
            </w:pPr>
            <w:r>
              <w:rPr>
                <w:rFonts w:hint="eastAsia"/>
              </w:rPr>
              <w:t>序号</w:t>
            </w:r>
          </w:p>
        </w:tc>
        <w:tc>
          <w:tcPr>
            <w:tcW w:w="4493" w:type="dxa"/>
          </w:tcPr>
          <w:p>
            <w:pPr>
              <w:pStyle w:val="7"/>
            </w:pPr>
            <w:r>
              <w:rPr>
                <w:rFonts w:hint="eastAsia"/>
              </w:rPr>
              <w:t>公司名称</w:t>
            </w:r>
          </w:p>
        </w:tc>
        <w:tc>
          <w:tcPr>
            <w:tcW w:w="2841" w:type="dxa"/>
          </w:tcPr>
          <w:p>
            <w:pPr>
              <w:pStyle w:val="7"/>
            </w:pPr>
            <w:r>
              <w:rPr>
                <w:rFonts w:hint="eastAsia"/>
              </w:rPr>
              <w:t>合同金额摊销金额（元）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tcPr>
          <w:p>
            <w:pPr>
              <w:pStyle w:val="7"/>
            </w:pPr>
            <w:r>
              <w:rPr>
                <w:rFonts w:hint="eastAsia"/>
              </w:rPr>
              <w:t>1</w:t>
            </w:r>
          </w:p>
        </w:tc>
        <w:tc>
          <w:tcPr>
            <w:tcW w:w="4493" w:type="dxa"/>
          </w:tcPr>
          <w:p>
            <w:pPr>
              <w:pStyle w:val="7"/>
            </w:pPr>
            <w:r>
              <w:rPr>
                <w:rFonts w:hint="eastAsia"/>
              </w:rPr>
              <w:t>管网公司</w:t>
            </w:r>
          </w:p>
        </w:tc>
        <w:tc>
          <w:tcPr>
            <w:tcW w:w="2841" w:type="dxa"/>
          </w:tcPr>
          <w:p>
            <w:pPr>
              <w:pStyle w:val="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tcPr>
          <w:p>
            <w:pPr>
              <w:pStyle w:val="7"/>
            </w:pPr>
            <w:r>
              <w:rPr>
                <w:rFonts w:hint="eastAsia"/>
              </w:rPr>
              <w:t>2</w:t>
            </w:r>
          </w:p>
        </w:tc>
        <w:tc>
          <w:tcPr>
            <w:tcW w:w="4493" w:type="dxa"/>
          </w:tcPr>
          <w:p>
            <w:pPr>
              <w:pStyle w:val="7"/>
            </w:pPr>
            <w:r>
              <w:rPr>
                <w:rFonts w:hint="eastAsia"/>
              </w:rPr>
              <w:t>莞泽公司</w:t>
            </w:r>
          </w:p>
        </w:tc>
        <w:tc>
          <w:tcPr>
            <w:tcW w:w="2841" w:type="dxa"/>
          </w:tcPr>
          <w:p>
            <w:pPr>
              <w:pStyle w:val="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tcPr>
          <w:p>
            <w:pPr>
              <w:pStyle w:val="7"/>
            </w:pPr>
            <w:r>
              <w:rPr>
                <w:rFonts w:hint="eastAsia"/>
              </w:rPr>
              <w:t>3</w:t>
            </w:r>
          </w:p>
        </w:tc>
        <w:tc>
          <w:tcPr>
            <w:tcW w:w="4493" w:type="dxa"/>
          </w:tcPr>
          <w:p>
            <w:pPr>
              <w:pStyle w:val="7"/>
            </w:pPr>
            <w:r>
              <w:rPr>
                <w:rFonts w:hint="eastAsia"/>
              </w:rPr>
              <w:t>东信公司</w:t>
            </w:r>
          </w:p>
        </w:tc>
        <w:tc>
          <w:tcPr>
            <w:tcW w:w="2841" w:type="dxa"/>
          </w:tcPr>
          <w:p>
            <w:pPr>
              <w:pStyle w:val="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tcPr>
          <w:p>
            <w:pPr>
              <w:pStyle w:val="7"/>
            </w:pPr>
            <w:r>
              <w:rPr>
                <w:rFonts w:hint="eastAsia"/>
              </w:rPr>
              <w:t>4</w:t>
            </w:r>
          </w:p>
        </w:tc>
        <w:tc>
          <w:tcPr>
            <w:tcW w:w="4493" w:type="dxa"/>
          </w:tcPr>
          <w:p>
            <w:pPr>
              <w:pStyle w:val="7"/>
            </w:pPr>
            <w:r>
              <w:rPr>
                <w:rFonts w:hint="eastAsia"/>
              </w:rPr>
              <w:t>东泽公司</w:t>
            </w:r>
          </w:p>
        </w:tc>
        <w:tc>
          <w:tcPr>
            <w:tcW w:w="2841" w:type="dxa"/>
          </w:tcPr>
          <w:p>
            <w:pPr>
              <w:pStyle w:val="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tcPr>
          <w:p>
            <w:pPr>
              <w:pStyle w:val="7"/>
            </w:pPr>
            <w:r>
              <w:rPr>
                <w:rFonts w:hint="eastAsia"/>
              </w:rPr>
              <w:t>5</w:t>
            </w:r>
          </w:p>
        </w:tc>
        <w:tc>
          <w:tcPr>
            <w:tcW w:w="4493" w:type="dxa"/>
          </w:tcPr>
          <w:p>
            <w:pPr>
              <w:pStyle w:val="7"/>
            </w:pPr>
            <w:r>
              <w:rPr>
                <w:rFonts w:hint="eastAsia"/>
              </w:rPr>
              <w:t>清泽公司</w:t>
            </w:r>
          </w:p>
        </w:tc>
        <w:tc>
          <w:tcPr>
            <w:tcW w:w="2841" w:type="dxa"/>
          </w:tcPr>
          <w:p>
            <w:pPr>
              <w:pStyle w:val="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tcPr>
          <w:p>
            <w:pPr>
              <w:pStyle w:val="7"/>
            </w:pPr>
            <w:r>
              <w:rPr>
                <w:rFonts w:hint="eastAsia"/>
              </w:rPr>
              <w:t>6</w:t>
            </w:r>
          </w:p>
        </w:tc>
        <w:tc>
          <w:tcPr>
            <w:tcW w:w="4493" w:type="dxa"/>
          </w:tcPr>
          <w:p>
            <w:pPr>
              <w:pStyle w:val="7"/>
            </w:pPr>
            <w:r>
              <w:rPr>
                <w:rFonts w:hint="eastAsia"/>
              </w:rPr>
              <w:t>莞清公司</w:t>
            </w:r>
          </w:p>
        </w:tc>
        <w:tc>
          <w:tcPr>
            <w:tcW w:w="2841" w:type="dxa"/>
          </w:tcPr>
          <w:p>
            <w:pPr>
              <w:pStyle w:val="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tcPr>
          <w:p>
            <w:pPr>
              <w:pStyle w:val="7"/>
            </w:pPr>
            <w:r>
              <w:rPr>
                <w:rFonts w:hint="eastAsia"/>
              </w:rPr>
              <w:t>7</w:t>
            </w:r>
          </w:p>
        </w:tc>
        <w:tc>
          <w:tcPr>
            <w:tcW w:w="4493" w:type="dxa"/>
          </w:tcPr>
          <w:p>
            <w:pPr>
              <w:pStyle w:val="7"/>
            </w:pPr>
            <w:r>
              <w:rPr>
                <w:rFonts w:hint="eastAsia"/>
              </w:rPr>
              <w:t>东江公司</w:t>
            </w:r>
          </w:p>
        </w:tc>
        <w:tc>
          <w:tcPr>
            <w:tcW w:w="2841" w:type="dxa"/>
          </w:tcPr>
          <w:p>
            <w:pPr>
              <w:pStyle w:val="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81" w:type="dxa"/>
            <w:gridSpan w:val="2"/>
          </w:tcPr>
          <w:p>
            <w:pPr>
              <w:pStyle w:val="7"/>
            </w:pPr>
            <w:r>
              <w:rPr>
                <w:rFonts w:hint="eastAsia"/>
              </w:rPr>
              <w:t>合计</w:t>
            </w:r>
          </w:p>
        </w:tc>
        <w:tc>
          <w:tcPr>
            <w:tcW w:w="2841" w:type="dxa"/>
          </w:tcPr>
          <w:p>
            <w:pPr>
              <w:pStyle w:val="7"/>
            </w:pPr>
          </w:p>
        </w:tc>
      </w:tr>
    </w:tbl>
    <w:p>
      <w:pPr>
        <w:spacing w:line="560" w:lineRule="exact"/>
        <w:ind w:firstLine="480" w:firstLineChars="200"/>
      </w:pPr>
      <w:r>
        <w:rPr>
          <w:rFonts w:hint="eastAsia"/>
        </w:rPr>
        <w:t>3.每次付款前乙方应向甲方提交请款报告及请款所需的材料和等额合格增值税专用发票，乙方逾期提交请款资料或提交的资料不完整、不符合甲方要求的，甲方有权顺延支付相关款项，并不承担逾期付款的违约责任，乙方不得以此为由而不履行本合同约定的义务。由于乙方提供的发票不符合税法规定，给甲方造成的损失由乙方承担赔偿责任。如因政策影响或财政支付会计部门原因，拨款未能及时到位，不视为甲方违约，乙方不得以此为由而不履行本合同约定的义务。否则，甲方有权要求乙方按本合同约定承担违约责任。如果乙方怠于或者拒绝提供资料或者办理手续的，则因此产生的付款迟延的责任全部由乙方承担。</w:t>
      </w:r>
    </w:p>
    <w:p>
      <w:pPr>
        <w:spacing w:line="560" w:lineRule="exact"/>
        <w:ind w:firstLine="480" w:firstLineChars="200"/>
      </w:pPr>
      <w:r>
        <w:rPr>
          <w:rFonts w:hint="eastAsia"/>
        </w:rPr>
        <w:t>4.乙方的收款账户信息有变更的，乙方应在变更之日起 10天内以书面形式告知甲方，若乙方已经开具了发票，不得变更收款账户信息。如乙方违反本条款，所造成的所有损失及责任均由乙方承担，给甲方造成的损失，甲方有权向乙方追偿，赔偿金额上限不得超过合同总额。</w:t>
      </w:r>
    </w:p>
    <w:p>
      <w:pPr>
        <w:spacing w:line="560" w:lineRule="exact"/>
        <w:ind w:firstLine="480" w:firstLineChars="200"/>
      </w:pPr>
      <w:r>
        <w:rPr>
          <w:rFonts w:hint="eastAsia"/>
        </w:rPr>
        <w:t>5.依法计得并根据本合同约定确定的销项税额由乙方承担。在本合同履行过程中，税收政策变动导致增值税税率调整，不进行税额调整；因乙方未按合同约定完成服务，未根据合同约定提供合法、完整的请款资料等原因导致销项税额增加的，相应损失由乙方承担。</w:t>
      </w:r>
    </w:p>
    <w:p>
      <w:pPr>
        <w:spacing w:line="560" w:lineRule="exact"/>
        <w:ind w:firstLine="417" w:firstLineChars="174"/>
      </w:pPr>
      <w:r>
        <w:rPr>
          <w:rFonts w:hint="eastAsia"/>
        </w:rPr>
        <w:t>以上服务费用由甲方通过银行转账方式支付于乙方。</w:t>
      </w:r>
    </w:p>
    <w:p>
      <w:pPr>
        <w:spacing w:line="560" w:lineRule="exact"/>
        <w:ind w:firstLine="417" w:firstLineChars="174"/>
      </w:pPr>
      <w:r>
        <w:rPr>
          <w:rFonts w:hint="eastAsia"/>
        </w:rPr>
        <w:t>乙方确认的收款账户如下：</w:t>
      </w:r>
    </w:p>
    <w:p>
      <w:pPr>
        <w:spacing w:line="560" w:lineRule="exact"/>
        <w:ind w:firstLine="417" w:firstLineChars="174"/>
      </w:pPr>
      <w:r>
        <w:rPr>
          <w:rFonts w:hint="eastAsia"/>
        </w:rPr>
        <w:t xml:space="preserve">户名：                  </w:t>
      </w:r>
    </w:p>
    <w:p>
      <w:pPr>
        <w:spacing w:line="560" w:lineRule="exact"/>
        <w:ind w:firstLine="417" w:firstLineChars="174"/>
      </w:pPr>
      <w:r>
        <w:rPr>
          <w:rFonts w:hint="eastAsia"/>
        </w:rPr>
        <w:t xml:space="preserve">开户行：                 </w:t>
      </w:r>
    </w:p>
    <w:p>
      <w:pPr>
        <w:spacing w:line="560" w:lineRule="exact"/>
        <w:ind w:firstLine="417" w:firstLineChars="174"/>
      </w:pPr>
      <w:r>
        <w:rPr>
          <w:rFonts w:hint="eastAsia"/>
        </w:rPr>
        <w:t>账号：</w:t>
      </w:r>
    </w:p>
    <w:p/>
    <w:p>
      <w:pPr>
        <w:spacing w:line="560" w:lineRule="exact"/>
        <w:ind w:firstLine="417" w:firstLineChars="174"/>
      </w:pPr>
      <w:r>
        <w:rPr>
          <w:rFonts w:hint="eastAsia"/>
        </w:rPr>
        <w:t>甲方1开票信息：</w:t>
      </w:r>
    </w:p>
    <w:p>
      <w:pPr>
        <w:spacing w:line="560" w:lineRule="exact"/>
        <w:ind w:firstLine="417" w:firstLineChars="174"/>
      </w:pPr>
      <w:r>
        <w:rPr>
          <w:rFonts w:hint="eastAsia"/>
        </w:rPr>
        <w:t xml:space="preserve">纳税人识别号：                              </w:t>
      </w:r>
    </w:p>
    <w:p>
      <w:pPr>
        <w:spacing w:line="560" w:lineRule="exact"/>
        <w:ind w:firstLine="417" w:firstLineChars="174"/>
      </w:pPr>
      <w:r>
        <w:rPr>
          <w:rFonts w:hint="eastAsia"/>
        </w:rPr>
        <w:t xml:space="preserve">户名：                              </w:t>
      </w:r>
    </w:p>
    <w:p>
      <w:pPr>
        <w:spacing w:line="560" w:lineRule="exact"/>
        <w:ind w:firstLine="417" w:firstLineChars="174"/>
      </w:pPr>
      <w:r>
        <w:rPr>
          <w:rFonts w:hint="eastAsia"/>
        </w:rPr>
        <w:t xml:space="preserve">开户行：                              </w:t>
      </w:r>
    </w:p>
    <w:p>
      <w:pPr>
        <w:spacing w:line="560" w:lineRule="exact"/>
        <w:ind w:firstLine="417" w:firstLineChars="174"/>
      </w:pPr>
      <w:r>
        <w:rPr>
          <w:rFonts w:hint="eastAsia"/>
        </w:rPr>
        <w:t xml:space="preserve">银行账号： </w:t>
      </w:r>
    </w:p>
    <w:p/>
    <w:p/>
    <w:p>
      <w:pPr>
        <w:spacing w:line="560" w:lineRule="exact"/>
        <w:ind w:firstLine="417" w:firstLineChars="174"/>
      </w:pPr>
      <w:r>
        <w:rPr>
          <w:rFonts w:hint="eastAsia"/>
        </w:rPr>
        <w:t>甲方2开票信息：</w:t>
      </w:r>
    </w:p>
    <w:p>
      <w:pPr>
        <w:spacing w:line="560" w:lineRule="exact"/>
        <w:ind w:firstLine="417" w:firstLineChars="174"/>
      </w:pPr>
      <w:r>
        <w:rPr>
          <w:rFonts w:hint="eastAsia"/>
        </w:rPr>
        <w:t xml:space="preserve">纳税人识别号：                              </w:t>
      </w:r>
    </w:p>
    <w:p>
      <w:pPr>
        <w:spacing w:line="560" w:lineRule="exact"/>
        <w:ind w:firstLine="417" w:firstLineChars="174"/>
      </w:pPr>
      <w:r>
        <w:rPr>
          <w:rFonts w:hint="eastAsia"/>
        </w:rPr>
        <w:t xml:space="preserve">户名：                              </w:t>
      </w:r>
    </w:p>
    <w:p>
      <w:pPr>
        <w:spacing w:line="560" w:lineRule="exact"/>
        <w:ind w:firstLine="417" w:firstLineChars="174"/>
      </w:pPr>
      <w:r>
        <w:rPr>
          <w:rFonts w:hint="eastAsia"/>
        </w:rPr>
        <w:t xml:space="preserve">开户行：                              </w:t>
      </w:r>
    </w:p>
    <w:p>
      <w:pPr>
        <w:spacing w:line="560" w:lineRule="exact"/>
        <w:ind w:firstLine="417" w:firstLineChars="174"/>
      </w:pPr>
      <w:r>
        <w:rPr>
          <w:rFonts w:hint="eastAsia"/>
        </w:rPr>
        <w:t xml:space="preserve">银行账号： </w:t>
      </w:r>
    </w:p>
    <w:p/>
    <w:p>
      <w:pPr>
        <w:spacing w:line="560" w:lineRule="exact"/>
        <w:ind w:firstLine="417" w:firstLineChars="174"/>
      </w:pPr>
      <w:r>
        <w:rPr>
          <w:rFonts w:hint="eastAsia"/>
        </w:rPr>
        <w:t>甲方3开票信息：</w:t>
      </w:r>
    </w:p>
    <w:p>
      <w:pPr>
        <w:spacing w:line="560" w:lineRule="exact"/>
        <w:ind w:firstLine="417" w:firstLineChars="174"/>
      </w:pPr>
      <w:r>
        <w:rPr>
          <w:rFonts w:hint="eastAsia"/>
        </w:rPr>
        <w:t xml:space="preserve">纳税人识别号：                              </w:t>
      </w:r>
    </w:p>
    <w:p>
      <w:pPr>
        <w:spacing w:line="560" w:lineRule="exact"/>
        <w:ind w:firstLine="417" w:firstLineChars="174"/>
      </w:pPr>
      <w:r>
        <w:rPr>
          <w:rFonts w:hint="eastAsia"/>
        </w:rPr>
        <w:t xml:space="preserve">户名：                              </w:t>
      </w:r>
    </w:p>
    <w:p>
      <w:pPr>
        <w:spacing w:line="560" w:lineRule="exact"/>
        <w:ind w:firstLine="417" w:firstLineChars="174"/>
      </w:pPr>
      <w:r>
        <w:rPr>
          <w:rFonts w:hint="eastAsia"/>
        </w:rPr>
        <w:t xml:space="preserve">开户行：                              </w:t>
      </w:r>
    </w:p>
    <w:p>
      <w:pPr>
        <w:spacing w:line="560" w:lineRule="exact"/>
        <w:ind w:firstLine="417" w:firstLineChars="174"/>
      </w:pPr>
      <w:r>
        <w:rPr>
          <w:rFonts w:hint="eastAsia"/>
        </w:rPr>
        <w:t xml:space="preserve">银行账号： </w:t>
      </w:r>
    </w:p>
    <w:p/>
    <w:p>
      <w:pPr>
        <w:spacing w:line="560" w:lineRule="exact"/>
        <w:ind w:firstLine="417" w:firstLineChars="174"/>
      </w:pPr>
      <w:r>
        <w:rPr>
          <w:rFonts w:hint="eastAsia"/>
        </w:rPr>
        <w:t>甲方4开票信息：</w:t>
      </w:r>
    </w:p>
    <w:p>
      <w:pPr>
        <w:spacing w:line="560" w:lineRule="exact"/>
        <w:ind w:firstLine="417" w:firstLineChars="174"/>
      </w:pPr>
      <w:r>
        <w:rPr>
          <w:rFonts w:hint="eastAsia"/>
        </w:rPr>
        <w:t xml:space="preserve">纳税人识别号：                              </w:t>
      </w:r>
    </w:p>
    <w:p>
      <w:pPr>
        <w:spacing w:line="560" w:lineRule="exact"/>
        <w:ind w:firstLine="417" w:firstLineChars="174"/>
      </w:pPr>
      <w:r>
        <w:rPr>
          <w:rFonts w:hint="eastAsia"/>
        </w:rPr>
        <w:t xml:space="preserve">户名：                              </w:t>
      </w:r>
    </w:p>
    <w:p>
      <w:pPr>
        <w:spacing w:line="560" w:lineRule="exact"/>
        <w:ind w:firstLine="417" w:firstLineChars="174"/>
      </w:pPr>
      <w:r>
        <w:rPr>
          <w:rFonts w:hint="eastAsia"/>
        </w:rPr>
        <w:t xml:space="preserve">开户行：                              </w:t>
      </w:r>
    </w:p>
    <w:p>
      <w:pPr>
        <w:spacing w:line="560" w:lineRule="exact"/>
        <w:ind w:firstLine="417" w:firstLineChars="174"/>
      </w:pPr>
      <w:r>
        <w:rPr>
          <w:rFonts w:hint="eastAsia"/>
        </w:rPr>
        <w:t xml:space="preserve">银行账号： </w:t>
      </w:r>
    </w:p>
    <w:p/>
    <w:p>
      <w:pPr>
        <w:spacing w:line="560" w:lineRule="exact"/>
        <w:ind w:firstLine="417" w:firstLineChars="174"/>
      </w:pPr>
      <w:r>
        <w:rPr>
          <w:rFonts w:hint="eastAsia"/>
        </w:rPr>
        <w:t>甲方5开票信息：</w:t>
      </w:r>
    </w:p>
    <w:p>
      <w:pPr>
        <w:spacing w:line="560" w:lineRule="exact"/>
        <w:ind w:firstLine="417" w:firstLineChars="174"/>
      </w:pPr>
      <w:r>
        <w:rPr>
          <w:rFonts w:hint="eastAsia"/>
        </w:rPr>
        <w:t xml:space="preserve">纳税人识别号：                              </w:t>
      </w:r>
    </w:p>
    <w:p>
      <w:pPr>
        <w:spacing w:line="560" w:lineRule="exact"/>
        <w:ind w:firstLine="417" w:firstLineChars="174"/>
      </w:pPr>
      <w:r>
        <w:rPr>
          <w:rFonts w:hint="eastAsia"/>
        </w:rPr>
        <w:t xml:space="preserve">户名：                              </w:t>
      </w:r>
    </w:p>
    <w:p>
      <w:pPr>
        <w:spacing w:line="560" w:lineRule="exact"/>
        <w:ind w:firstLine="417" w:firstLineChars="174"/>
      </w:pPr>
      <w:r>
        <w:rPr>
          <w:rFonts w:hint="eastAsia"/>
        </w:rPr>
        <w:t xml:space="preserve">开户行：                              </w:t>
      </w:r>
    </w:p>
    <w:p>
      <w:pPr>
        <w:spacing w:line="560" w:lineRule="exact"/>
        <w:ind w:firstLine="417" w:firstLineChars="174"/>
      </w:pPr>
      <w:r>
        <w:rPr>
          <w:rFonts w:hint="eastAsia"/>
        </w:rPr>
        <w:t xml:space="preserve">银行账号： </w:t>
      </w:r>
    </w:p>
    <w:p/>
    <w:p>
      <w:pPr>
        <w:spacing w:line="560" w:lineRule="exact"/>
        <w:ind w:firstLine="417" w:firstLineChars="174"/>
      </w:pPr>
      <w:r>
        <w:rPr>
          <w:rFonts w:hint="eastAsia"/>
        </w:rPr>
        <w:t>甲方6开票信息：</w:t>
      </w:r>
    </w:p>
    <w:p>
      <w:pPr>
        <w:spacing w:line="560" w:lineRule="exact"/>
        <w:ind w:firstLine="417" w:firstLineChars="174"/>
      </w:pPr>
      <w:r>
        <w:rPr>
          <w:rFonts w:hint="eastAsia"/>
        </w:rPr>
        <w:t xml:space="preserve">纳税人识别号：                              </w:t>
      </w:r>
    </w:p>
    <w:p>
      <w:pPr>
        <w:spacing w:line="560" w:lineRule="exact"/>
        <w:ind w:firstLine="417" w:firstLineChars="174"/>
      </w:pPr>
      <w:r>
        <w:rPr>
          <w:rFonts w:hint="eastAsia"/>
        </w:rPr>
        <w:t xml:space="preserve">户名：                              </w:t>
      </w:r>
    </w:p>
    <w:p>
      <w:pPr>
        <w:spacing w:line="560" w:lineRule="exact"/>
        <w:ind w:firstLine="417" w:firstLineChars="174"/>
      </w:pPr>
      <w:r>
        <w:rPr>
          <w:rFonts w:hint="eastAsia"/>
        </w:rPr>
        <w:t xml:space="preserve">开户行：                              </w:t>
      </w:r>
    </w:p>
    <w:p>
      <w:pPr>
        <w:spacing w:line="560" w:lineRule="exact"/>
        <w:ind w:firstLine="417" w:firstLineChars="174"/>
      </w:pPr>
      <w:r>
        <w:rPr>
          <w:rFonts w:hint="eastAsia"/>
        </w:rPr>
        <w:t xml:space="preserve">银行账号： </w:t>
      </w:r>
    </w:p>
    <w:p/>
    <w:p>
      <w:pPr>
        <w:spacing w:line="560" w:lineRule="exact"/>
        <w:ind w:firstLine="417" w:firstLineChars="174"/>
      </w:pPr>
      <w:r>
        <w:rPr>
          <w:rFonts w:hint="eastAsia"/>
        </w:rPr>
        <w:t>甲方7开票信息：</w:t>
      </w:r>
    </w:p>
    <w:p>
      <w:pPr>
        <w:spacing w:line="560" w:lineRule="exact"/>
        <w:ind w:firstLine="417" w:firstLineChars="174"/>
      </w:pPr>
      <w:r>
        <w:rPr>
          <w:rFonts w:hint="eastAsia"/>
        </w:rPr>
        <w:t xml:space="preserve">纳税人识别号：                              </w:t>
      </w:r>
    </w:p>
    <w:p>
      <w:pPr>
        <w:spacing w:line="560" w:lineRule="exact"/>
        <w:ind w:firstLine="417" w:firstLineChars="174"/>
      </w:pPr>
      <w:r>
        <w:rPr>
          <w:rFonts w:hint="eastAsia"/>
        </w:rPr>
        <w:t xml:space="preserve">户名：                              </w:t>
      </w:r>
    </w:p>
    <w:p>
      <w:pPr>
        <w:spacing w:line="560" w:lineRule="exact"/>
        <w:ind w:firstLine="417" w:firstLineChars="174"/>
      </w:pPr>
      <w:r>
        <w:rPr>
          <w:rFonts w:hint="eastAsia"/>
        </w:rPr>
        <w:t xml:space="preserve">开户行：                              </w:t>
      </w:r>
    </w:p>
    <w:p>
      <w:pPr>
        <w:spacing w:line="560" w:lineRule="exact"/>
        <w:ind w:firstLine="417" w:firstLineChars="174"/>
      </w:pPr>
      <w:r>
        <w:rPr>
          <w:rFonts w:hint="eastAsia"/>
        </w:rPr>
        <w:t xml:space="preserve">银行账号： </w:t>
      </w:r>
    </w:p>
    <w:p>
      <w:pPr>
        <w:spacing w:line="560" w:lineRule="exact"/>
        <w:ind w:firstLine="417" w:firstLineChars="174"/>
      </w:pPr>
      <w:r>
        <w:rPr>
          <w:rFonts w:hint="eastAsia"/>
        </w:rPr>
        <w:t>6、合同的履约过程中，乙方根据本合同约定需向甲方支付违约金、赔偿金或其他应付费用等款项的，乙方必须向甲方支付完相关款项后，甲方才根据本合同向乙方支付合同价和税额。若因乙方未能支付前述费用，影响项目实施的，甲方有权直接从未付合同款项中扣除或要求乙方补充支付，且乙方必须按照扣除前述费用前的</w:t>
      </w:r>
      <w:r>
        <w:rPr>
          <w:rStyle w:val="28"/>
          <w:rFonts w:hint="eastAsia"/>
          <w:sz w:val="24"/>
          <w:szCs w:val="24"/>
          <w:lang w:val="en-US" w:eastAsia="zh-CN"/>
        </w:rPr>
        <w:t>服务费</w:t>
      </w:r>
      <w:r>
        <w:rPr>
          <w:rFonts w:hint="eastAsia"/>
        </w:rPr>
        <w:t>（销售额）开具增值税专用发票，保证增值税税额符合法律规定。</w:t>
      </w:r>
    </w:p>
    <w:p>
      <w:pPr>
        <w:spacing w:line="560" w:lineRule="exact"/>
        <w:ind w:firstLine="417" w:firstLineChars="174"/>
      </w:pPr>
      <w:r>
        <w:rPr>
          <w:rFonts w:hint="eastAsia"/>
        </w:rPr>
        <w:t>7、乙方根据本合同约定向甲方支付违约金、赔偿金或其他应付费用等款项，由乙方支付给对应合同主体（本合同存在多个甲方，需对应支付给相应甲方）。</w:t>
      </w:r>
    </w:p>
    <w:p>
      <w:pPr>
        <w:spacing w:line="560" w:lineRule="exact"/>
        <w:ind w:firstLine="417" w:firstLineChars="174"/>
      </w:pPr>
      <w:r>
        <w:rPr>
          <w:rFonts w:hint="eastAsia"/>
        </w:rPr>
        <w:t>特别约定：乙方实际提交的增值税专用发票的税率少于本合同约定的增值税税率的：乙方有权请款的金额变更为“不含税合同价请款金额×（1+乙方实际提交的增值税专用发票的税率）”，对于变更后的差额款项，乙方自愿放弃；乙方实际提交的增值税专用发票的税率多于本合同约定的增值税税率的：甲方有权暂停支付款项直至乙方提供符合本合同约定的增值税专用发票；若乙方因客观情况无法出具的，则经甲方书面同意后，乙方有权请款的金额仍为“不含税合同价请款金额×（1+ 6%）”，对于多出的税款金额，乙方自愿放弃。</w:t>
      </w:r>
    </w:p>
    <w:p>
      <w:pPr>
        <w:spacing w:line="560" w:lineRule="exact"/>
        <w:ind w:firstLine="417" w:firstLineChars="174"/>
      </w:pPr>
      <w:r>
        <w:rPr>
          <w:rFonts w:hint="eastAsia"/>
        </w:rPr>
        <w:t xml:space="preserve">                 </w:t>
      </w:r>
    </w:p>
    <w:p>
      <w:pPr>
        <w:pStyle w:val="3"/>
        <w:spacing w:line="360" w:lineRule="auto"/>
        <w:rPr>
          <w:rFonts w:ascii="宋体" w:hAnsi="宋体"/>
          <w:b/>
          <w:bCs/>
        </w:rPr>
      </w:pPr>
      <w:bookmarkStart w:id="140" w:name="_Toc20511"/>
      <w:r>
        <w:rPr>
          <w:rFonts w:hint="eastAsia" w:ascii="宋体" w:hAnsi="宋体"/>
          <w:b/>
          <w:bCs/>
        </w:rPr>
        <w:t>第四条 甲乙双方的权利义务</w:t>
      </w:r>
      <w:bookmarkEnd w:id="140"/>
    </w:p>
    <w:p>
      <w:pPr>
        <w:numPr>
          <w:ilvl w:val="255"/>
          <w:numId w:val="0"/>
        </w:numPr>
        <w:spacing w:line="560" w:lineRule="exact"/>
        <w:ind w:firstLine="480" w:firstLineChars="200"/>
        <w:rPr>
          <w:bCs/>
        </w:rPr>
      </w:pPr>
      <w:r>
        <w:rPr>
          <w:rFonts w:hint="eastAsia"/>
          <w:bCs/>
        </w:rPr>
        <w:t>1.甲方的权利义务</w:t>
      </w:r>
    </w:p>
    <w:p>
      <w:pPr>
        <w:numPr>
          <w:ilvl w:val="255"/>
          <w:numId w:val="0"/>
        </w:numPr>
        <w:spacing w:line="560" w:lineRule="exact"/>
        <w:ind w:firstLine="480" w:firstLineChars="200"/>
      </w:pPr>
      <w:r>
        <w:rPr>
          <w:rFonts w:hint="eastAsia"/>
        </w:rPr>
        <w:t>（1）甲方有权定期检查并监督乙方的工作进度和质量，乙方服务未能达到本合同要求的，甲方有权要求乙方限期改正，或要求乙方重新出具并提供符合合同要求的成果文件；</w:t>
      </w:r>
    </w:p>
    <w:p>
      <w:pPr>
        <w:pStyle w:val="7"/>
        <w:numPr>
          <w:ilvl w:val="255"/>
          <w:numId w:val="0"/>
        </w:numPr>
        <w:ind w:firstLine="480" w:firstLineChars="200"/>
        <w:jc w:val="both"/>
      </w:pPr>
      <w:r>
        <w:rPr>
          <w:rFonts w:hint="eastAsia"/>
        </w:rPr>
        <w:t>（2）甲方有权要求乙方协助报送相关资料，直至项目成果通过验收；</w:t>
      </w:r>
    </w:p>
    <w:p>
      <w:pPr>
        <w:spacing w:line="560" w:lineRule="exact"/>
        <w:ind w:firstLine="480" w:firstLineChars="200"/>
        <w:rPr>
          <w:rFonts w:hint="eastAsia"/>
        </w:rPr>
      </w:pPr>
      <w:r>
        <w:rPr>
          <w:rFonts w:hint="eastAsia"/>
        </w:rPr>
        <w:t>（3）</w:t>
      </w:r>
      <w:r>
        <w:rPr>
          <w:rFonts w:hint="eastAsia"/>
          <w:lang w:val="en-US" w:eastAsia="zh-CN"/>
        </w:rPr>
        <w:t>所有项目人员如需更换调整需经甲方同意。服务过程中甲方发现项目人员明显不符合工作要求的，有权要求乙方更换项目人员，乙方应在甲方提出更换人员要求后的3个工作日内按要求给予调换。否则，更换人员超过2次均不符合要求或乙方擅自更换项目人员，甲方有权单方终止合同，并根据合同执行相关赔偿责任；</w:t>
      </w:r>
    </w:p>
    <w:p>
      <w:pPr>
        <w:spacing w:line="560" w:lineRule="exact"/>
        <w:ind w:firstLine="480" w:firstLineChars="200"/>
      </w:pPr>
      <w:r>
        <w:rPr>
          <w:rFonts w:hint="eastAsia"/>
          <w:lang w:eastAsia="zh-CN"/>
        </w:rPr>
        <w:t>（</w:t>
      </w:r>
      <w:r>
        <w:rPr>
          <w:rFonts w:hint="eastAsia"/>
          <w:lang w:val="en-US" w:eastAsia="zh-CN"/>
        </w:rPr>
        <w:t>4</w:t>
      </w:r>
      <w:r>
        <w:rPr>
          <w:rFonts w:hint="eastAsia"/>
          <w:lang w:eastAsia="zh-CN"/>
        </w:rPr>
        <w:t>）</w:t>
      </w:r>
      <w:r>
        <w:rPr>
          <w:rFonts w:hint="eastAsia"/>
        </w:rPr>
        <w:t>甲方对乙方提交的各阶段项目成果等提出修改意见，并有权对最终的项目成果进行验收；</w:t>
      </w:r>
    </w:p>
    <w:p>
      <w:pPr>
        <w:spacing w:line="560" w:lineRule="exact"/>
        <w:ind w:firstLine="480" w:firstLineChars="200"/>
      </w:pPr>
      <w:r>
        <w:rPr>
          <w:rFonts w:hint="eastAsia"/>
        </w:rPr>
        <w:t>（</w:t>
      </w:r>
      <w:r>
        <w:rPr>
          <w:rFonts w:hint="eastAsia"/>
          <w:lang w:val="en-US" w:eastAsia="zh-CN"/>
        </w:rPr>
        <w:t>5</w:t>
      </w:r>
      <w:r>
        <w:rPr>
          <w:rFonts w:hint="eastAsia"/>
        </w:rPr>
        <w:t>）甲方按本合同约定向乙方支付服务费用；</w:t>
      </w:r>
    </w:p>
    <w:p>
      <w:pPr>
        <w:spacing w:line="560" w:lineRule="exact"/>
        <w:ind w:firstLine="480" w:firstLineChars="200"/>
      </w:pPr>
      <w:r>
        <w:rPr>
          <w:rFonts w:hint="eastAsia"/>
        </w:rPr>
        <w:t>（</w:t>
      </w:r>
      <w:r>
        <w:rPr>
          <w:rFonts w:hint="eastAsia"/>
          <w:lang w:val="en-US" w:eastAsia="zh-CN"/>
        </w:rPr>
        <w:t>6</w:t>
      </w:r>
      <w:r>
        <w:rPr>
          <w:rFonts w:hint="eastAsia"/>
        </w:rPr>
        <w:t>）甲方向乙方提供本合同项目履行所必需的有关资料、数据，并对真实性负责；</w:t>
      </w:r>
    </w:p>
    <w:p>
      <w:pPr>
        <w:spacing w:line="560" w:lineRule="exact"/>
        <w:ind w:firstLine="480" w:firstLineChars="200"/>
        <w:rPr>
          <w:u w:color="0000FF"/>
        </w:rPr>
      </w:pPr>
      <w:r>
        <w:rPr>
          <w:rFonts w:hint="eastAsia"/>
        </w:rPr>
        <w:t>（</w:t>
      </w:r>
      <w:r>
        <w:rPr>
          <w:rFonts w:hint="eastAsia"/>
          <w:lang w:val="en-US" w:eastAsia="zh-CN"/>
        </w:rPr>
        <w:t>7</w:t>
      </w:r>
      <w:r>
        <w:rPr>
          <w:rFonts w:hint="eastAsia"/>
        </w:rPr>
        <w:t>）甲方应为执行本项目的需要向乙方提供必要协助和配合，</w:t>
      </w:r>
      <w:r>
        <w:rPr>
          <w:rFonts w:hint="eastAsia"/>
          <w:u w:color="0000FF"/>
        </w:rPr>
        <w:t>为乙方开展现场工作提供便利。</w:t>
      </w:r>
    </w:p>
    <w:p>
      <w:pPr>
        <w:spacing w:line="560" w:lineRule="exact"/>
        <w:ind w:firstLine="480" w:firstLineChars="200"/>
      </w:pPr>
      <w:r>
        <w:rPr>
          <w:rFonts w:hint="eastAsia"/>
        </w:rPr>
        <w:t>2.乙方的权利义务</w:t>
      </w:r>
    </w:p>
    <w:p>
      <w:pPr>
        <w:spacing w:line="560" w:lineRule="exact"/>
        <w:ind w:firstLine="480" w:firstLineChars="200"/>
      </w:pPr>
      <w:r>
        <w:rPr>
          <w:rFonts w:hint="eastAsia"/>
        </w:rPr>
        <w:t>（1）乙方有权依据本合同约定获取相应的服务费用；</w:t>
      </w:r>
    </w:p>
    <w:p>
      <w:pPr>
        <w:spacing w:line="560" w:lineRule="exact"/>
        <w:ind w:firstLine="480" w:firstLineChars="200"/>
      </w:pPr>
      <w:r>
        <w:rPr>
          <w:rFonts w:hint="eastAsia"/>
        </w:rPr>
        <w:t>（2）乙方按本合同约定的工作、技术、时限等要求向甲方提交有关成果文件，确保所提交的最终成果资料齐全可靠，符合国家法律法规或行业有关规定、规程、规范，并对此的真实性、完整性、准确性负责；</w:t>
      </w:r>
    </w:p>
    <w:p>
      <w:pPr>
        <w:spacing w:line="560" w:lineRule="exact"/>
        <w:ind w:firstLine="480" w:firstLineChars="200"/>
      </w:pPr>
      <w:r>
        <w:rPr>
          <w:rFonts w:hint="eastAsia"/>
        </w:rPr>
        <w:t>（3）乙方在项目审查及审批过程中提供技术支持，参与甲方或有关部门组织的有关评审会，并确保甲方同意通过项目；</w:t>
      </w:r>
    </w:p>
    <w:p>
      <w:pPr>
        <w:spacing w:line="560" w:lineRule="exact"/>
        <w:ind w:firstLine="480" w:firstLineChars="200"/>
      </w:pPr>
      <w:r>
        <w:rPr>
          <w:rFonts w:hint="eastAsia"/>
        </w:rPr>
        <w:t>（4）乙方负责对项目成果的审查解释，并对不符合要求或不完善的内容进行修改或完善；</w:t>
      </w:r>
    </w:p>
    <w:p>
      <w:pPr>
        <w:spacing w:line="560" w:lineRule="exact"/>
        <w:ind w:firstLine="480" w:firstLineChars="200"/>
      </w:pPr>
      <w:r>
        <w:rPr>
          <w:rFonts w:hint="eastAsia"/>
        </w:rPr>
        <w:t>（5）除经甲方书面同意外，乙方不得全部或部分转包、分包或委托第三方完成其应履行的合同项下的义务。</w:t>
      </w:r>
    </w:p>
    <w:p>
      <w:pPr>
        <w:spacing w:line="560" w:lineRule="exact"/>
        <w:ind w:firstLine="480" w:firstLineChars="200"/>
      </w:pPr>
      <w:r>
        <w:rPr>
          <w:rFonts w:hint="eastAsia"/>
        </w:rPr>
        <w:t>（6）乙方人员在甲方场所必须遵守甲方的一切规章制度和安全条例，服从甲方的监督。乙方在提供本合同项下所有服务的过程中，如因违反甲方相关规章制度或造成甲方、乙方人员、第三方人身损害、财产损失的，其结果与责任均由乙方负责，甲方无须承担任何结果与责任。</w:t>
      </w:r>
    </w:p>
    <w:p>
      <w:pPr>
        <w:pStyle w:val="3"/>
        <w:spacing w:line="360" w:lineRule="auto"/>
        <w:rPr>
          <w:rFonts w:ascii="宋体" w:hAnsi="宋体"/>
          <w:b/>
          <w:bCs/>
        </w:rPr>
      </w:pPr>
      <w:bookmarkStart w:id="141" w:name="_Toc4209"/>
      <w:r>
        <w:rPr>
          <w:rFonts w:hint="eastAsia" w:ascii="宋体" w:hAnsi="宋体"/>
          <w:b/>
          <w:bCs/>
        </w:rPr>
        <w:t>第五条 成果审核、验收</w:t>
      </w:r>
      <w:bookmarkEnd w:id="141"/>
    </w:p>
    <w:p>
      <w:pPr>
        <w:spacing w:line="560" w:lineRule="exact"/>
        <w:ind w:firstLine="480" w:firstLineChars="200"/>
      </w:pPr>
      <w:r>
        <w:rPr>
          <w:rFonts w:hint="eastAsia"/>
        </w:rPr>
        <w:t>1.文件签收确认方式：应依据合同约定及经甲方确认的项目计划，按时保质地向甲方分阶段提交各阶段成果文件，甲方提供的项目主要材料需乙方签收确认，双方项目负责人（或指派专人）在项目提交备忘录或签收文件上签字予以确认收到。</w:t>
      </w:r>
    </w:p>
    <w:p>
      <w:pPr>
        <w:spacing w:line="560" w:lineRule="exact"/>
        <w:ind w:firstLine="480" w:firstLineChars="200"/>
      </w:pPr>
      <w:r>
        <w:rPr>
          <w:rFonts w:hint="eastAsia"/>
        </w:rPr>
        <w:t>2.乙方提交项目成果的形式：印刷版项目成果及相关电子文件（印刷版10份、电子版1份）。</w:t>
      </w:r>
    </w:p>
    <w:p>
      <w:pPr>
        <w:spacing w:line="560" w:lineRule="exact"/>
        <w:ind w:firstLine="480" w:firstLineChars="200"/>
      </w:pPr>
      <w:r>
        <w:t>3.</w:t>
      </w:r>
      <w:r>
        <w:rPr>
          <w:rFonts w:hint="eastAsia"/>
        </w:rPr>
        <w:t>甲方</w:t>
      </w:r>
      <w:r>
        <w:t>根据乙方项目成果的提交情况，</w:t>
      </w:r>
      <w:r>
        <w:rPr>
          <w:rFonts w:hint="eastAsia"/>
        </w:rPr>
        <w:t>由甲方</w:t>
      </w:r>
      <w:r>
        <w:t>或</w:t>
      </w:r>
      <w:r>
        <w:rPr>
          <w:rFonts w:hint="eastAsia"/>
        </w:rPr>
        <w:t>评审组</w:t>
      </w:r>
      <w:r>
        <w:t>根据需要按照合同和附件内容以及相关的国家行业标准对相关成果进行评审或验收，并结合情况提出相关意见。</w:t>
      </w:r>
    </w:p>
    <w:p>
      <w:pPr>
        <w:spacing w:line="560" w:lineRule="exact"/>
        <w:ind w:firstLine="480" w:firstLineChars="200"/>
      </w:pPr>
      <w:r>
        <w:t>4.成果意见反馈</w:t>
      </w:r>
      <w:r>
        <w:rPr>
          <w:rFonts w:hint="eastAsia"/>
        </w:rPr>
        <w:t>修改</w:t>
      </w:r>
      <w:r>
        <w:t>期间，甲方要求乙方对工作成果进行修改的，乙方应在限定时限内（7日内）修改完毕并再次向甲方提交。</w:t>
      </w:r>
    </w:p>
    <w:p>
      <w:pPr>
        <w:spacing w:line="560" w:lineRule="exact"/>
        <w:ind w:firstLine="480" w:firstLineChars="200"/>
      </w:pPr>
      <w:r>
        <w:rPr>
          <w:rFonts w:hint="eastAsia"/>
        </w:rPr>
        <w:t>5.</w:t>
      </w:r>
      <w:r>
        <w:t>乙方在服务过程中应按进度情况及时整理资料，在通过</w:t>
      </w:r>
      <w:r>
        <w:rPr>
          <w:rFonts w:hint="eastAsia"/>
        </w:rPr>
        <w:t>甲方</w:t>
      </w:r>
      <w:r>
        <w:t>同意项目通过后15日内交付所有资料并提出验收申请。</w:t>
      </w:r>
    </w:p>
    <w:p>
      <w:pPr>
        <w:spacing w:line="560" w:lineRule="exact"/>
        <w:ind w:firstLine="480" w:firstLineChars="200"/>
      </w:pPr>
      <w:r>
        <w:rPr>
          <w:rFonts w:hint="eastAsia"/>
        </w:rPr>
        <w:t>6.项目成果的验收标准：满足国家、地方及有关行业标准要求，通过甲方、专家评审等相关征求意见、评审、审核，经甲方同意通过，交付项目资料并形成服务验收报告单，视为设计服务通过验收。</w:t>
      </w:r>
    </w:p>
    <w:p>
      <w:pPr>
        <w:spacing w:line="560" w:lineRule="exact"/>
        <w:ind w:firstLine="480" w:firstLineChars="200"/>
      </w:pPr>
      <w:r>
        <w:rPr>
          <w:rFonts w:hint="eastAsia"/>
        </w:rPr>
        <w:t>7.甲方根据本条规定所做出的验收以及出具的服务验收报告单，不作为双方对质量的最终认定。经验收合格后，在项目初步验收上线前，乙方仍应对提交的成果承担保证责任。</w:t>
      </w:r>
    </w:p>
    <w:p>
      <w:pPr>
        <w:pStyle w:val="8"/>
        <w:ind w:firstLine="210"/>
      </w:pPr>
    </w:p>
    <w:p>
      <w:pPr>
        <w:pStyle w:val="3"/>
        <w:spacing w:line="360" w:lineRule="auto"/>
        <w:rPr>
          <w:rFonts w:ascii="宋体" w:hAnsi="宋体"/>
          <w:b/>
          <w:bCs/>
        </w:rPr>
      </w:pPr>
      <w:bookmarkStart w:id="142" w:name="_Toc20326"/>
      <w:r>
        <w:rPr>
          <w:rFonts w:hint="eastAsia" w:ascii="宋体" w:hAnsi="宋体"/>
          <w:b/>
          <w:bCs/>
        </w:rPr>
        <w:t>第六条 违约责任</w:t>
      </w:r>
      <w:bookmarkEnd w:id="142"/>
    </w:p>
    <w:p>
      <w:pPr>
        <w:spacing w:line="560" w:lineRule="exact"/>
        <w:ind w:firstLine="480" w:firstLineChars="200"/>
      </w:pPr>
      <w:r>
        <w:rPr>
          <w:rFonts w:hint="eastAsia"/>
        </w:rPr>
        <w:t>1.甲方违约责任</w:t>
      </w:r>
    </w:p>
    <w:p>
      <w:pPr>
        <w:spacing w:line="560" w:lineRule="exact"/>
        <w:ind w:firstLine="480" w:firstLineChars="200"/>
      </w:pPr>
      <w:r>
        <w:rPr>
          <w:rFonts w:hint="eastAsia"/>
        </w:rPr>
        <w:t>（1）甲方无正当理由未按本合同约定向乙方提供合理的资料、数据等的，乙方因此耽误时间的，可顺延提交有关成果文件（顺延的，乙方应能提供相关依据材料）。</w:t>
      </w:r>
    </w:p>
    <w:p>
      <w:pPr>
        <w:spacing w:line="560" w:lineRule="exact"/>
        <w:ind w:firstLine="480" w:firstLineChars="200"/>
      </w:pPr>
      <w:r>
        <w:rPr>
          <w:rFonts w:hint="eastAsia"/>
        </w:rPr>
        <w:t>（2）因甲方原因造成设计工作中断，中断时，若乙方已完成项目成果专家评审且已经甲方同意通过，形成服务验收报告单的，甲方应按本合同约定向乙方支付服务费用的80%；若乙方已提交项目成果评审稿（以相关签收依据为准）且经甲方签字确认后，甲方按本合同约定向乙方支付服务费用的30%；设计服务事项工作未开始的，甲方无需向乙方支付任何报酬，乙方不得因此要求甲方提供任何形式的补偿或赔偿。</w:t>
      </w:r>
    </w:p>
    <w:p>
      <w:pPr>
        <w:spacing w:line="560" w:lineRule="exact"/>
        <w:ind w:firstLine="480" w:firstLineChars="200"/>
      </w:pPr>
      <w:r>
        <w:rPr>
          <w:rFonts w:hint="eastAsia"/>
        </w:rPr>
        <w:t>2.乙方违约</w:t>
      </w:r>
    </w:p>
    <w:p>
      <w:pPr>
        <w:spacing w:line="560" w:lineRule="exact"/>
        <w:ind w:firstLine="480" w:firstLineChars="200"/>
      </w:pPr>
      <w:r>
        <w:rPr>
          <w:rFonts w:hint="eastAsia"/>
        </w:rPr>
        <w:t>（1）在合同履行期间，若非甲方、不可抗力、双方同意延期的其中原因之一，乙方未能在甲方规定工期内</w:t>
      </w:r>
      <w:r>
        <w:rPr>
          <w:rFonts w:hint="eastAsia"/>
          <w:lang w:eastAsia="zh-CN"/>
        </w:rPr>
        <w:t>（</w:t>
      </w:r>
      <w:r>
        <w:rPr>
          <w:rFonts w:hint="eastAsia"/>
          <w:lang w:val="en-US" w:eastAsia="zh-CN"/>
        </w:rPr>
        <w:t>含甲方要求更换人员的期限</w:t>
      </w:r>
      <w:r>
        <w:rPr>
          <w:rFonts w:hint="eastAsia"/>
          <w:lang w:eastAsia="zh-CN"/>
        </w:rPr>
        <w:t>）</w:t>
      </w:r>
      <w:r>
        <w:rPr>
          <w:rFonts w:hint="eastAsia"/>
        </w:rPr>
        <w:t>完成约定的工作内容的，每逾期一日，甲方有权要求乙方按1000元/天承担违约金（最高不超过合同总价的20%）。逾期超过【30】日的，甲方有权解除合同并委托有资质的第三方继续履行本合同义务，由此造成的一切损失（包括但不限于再行采购的费用、委托第三人继续履行时超出本合同费用部分等）由乙方全部承担。自甲方发出解除合同通知之日起10日内，乙方应撤离服务现场，如逾期未撤离服务现场，应视为侵权，应按10000元/天承担违约金。造成甲方损失的，乙方应当承担全部责任及损失赔偿，甲方有权在未付款项中直接抵扣。</w:t>
      </w:r>
    </w:p>
    <w:p>
      <w:pPr>
        <w:spacing w:line="560" w:lineRule="exact"/>
        <w:ind w:firstLine="480" w:firstLineChars="200"/>
      </w:pPr>
      <w:r>
        <w:rPr>
          <w:rFonts w:hint="eastAsia"/>
        </w:rPr>
        <w:t>（2）乙方所提供的项目成果文件质量不符合有关合同约定、法律法规规定或经甲方审核后需按意见修改的，应按甲方及评审组要求限期内无条件负责修改、补充、完善，直至同意项目通过，完成验收。因乙方原因逾期未整改、改正的，甲方有权要求乙方承担10000元的基础违约金，在承担基础违约金10000元的前提下，每逾期未整改、改正一日，乙方应向甲方支付违约金1000元；同时甲方保留解除合同的权利。</w:t>
      </w:r>
    </w:p>
    <w:p>
      <w:pPr>
        <w:spacing w:line="560" w:lineRule="exact"/>
        <w:ind w:firstLine="480" w:firstLineChars="200"/>
      </w:pPr>
      <w:r>
        <w:rPr>
          <w:rFonts w:hint="eastAsia"/>
        </w:rPr>
        <w:t>（3）乙方在服务过程中应按进度情况及时整理资料，在通过甲方同意项目通过后15日内交付所有资料并提出验收申请，否则每逾期一日，甲方有权要求乙方按1000元/天支付违约金（最高不超过合同总价的20%）。</w:t>
      </w:r>
    </w:p>
    <w:p>
      <w:pPr>
        <w:spacing w:line="560" w:lineRule="exact"/>
        <w:ind w:firstLine="480" w:firstLineChars="200"/>
      </w:pPr>
      <w:r>
        <w:rPr>
          <w:rFonts w:hint="eastAsia"/>
        </w:rPr>
        <w:t>（4）合同期内，乙方须严格遵守相关法律法规、行业主管部门、上级部门、甲方母公司及甲方（含分公司、子公司）相关标准和制度规定。合同期内如果上述标准和制度有更新，则执行新的标准和制度规定。乙方未按上述要求执行的，甲方有权要求乙方在甲方要求的时限内整改，若整改达不到甲方要求的，甲方有权要求乙方按合同价的10%向甲方支付违约金，同时甲方有权解除合同。</w:t>
      </w:r>
    </w:p>
    <w:p>
      <w:pPr>
        <w:spacing w:line="560" w:lineRule="exact"/>
        <w:ind w:firstLine="480" w:firstLineChars="200"/>
      </w:pPr>
      <w:r>
        <w:rPr>
          <w:rFonts w:hint="eastAsia"/>
        </w:rPr>
        <w:t>（5）</w:t>
      </w:r>
      <w:r>
        <w:rPr>
          <w:rFonts w:hint="eastAsia" w:hAnsi="宋体" w:cs="宋体"/>
        </w:rPr>
        <w:t>在本合同履行期间中，乙方保证乙方及其人员具有履行本合同的资质条件，并承诺在合同履行期</w:t>
      </w:r>
      <w:r>
        <w:rPr>
          <w:rFonts w:hint="eastAsia" w:cs="宋体"/>
        </w:rPr>
        <w:t>内保</w:t>
      </w:r>
      <w:r>
        <w:rPr>
          <w:rFonts w:hint="eastAsia" w:hAnsi="宋体" w:cs="宋体"/>
        </w:rPr>
        <w:t>证资质有效。同时加强对其人员的管理，保证具有履行本合同的资质能力。如因资质丧失（包括但不限于注销、撤销、降低、法律变化或政策调整等）、人员缺乏导致无法继续履行的，甲方有权解除本合同，并有权要求乙方支付本合同总价的 20％作为违约金以及承担因此给甲方造成的所有损失。甲方同时有权另行委托有资质的第三方继续进行（乙方应无条件配合移交相关工作），由此造成的相关费用由乙方承担</w:t>
      </w:r>
      <w:r>
        <w:rPr>
          <w:rFonts w:hint="eastAsia" w:cs="宋体"/>
        </w:rPr>
        <w:t>。</w:t>
      </w:r>
    </w:p>
    <w:p>
      <w:pPr>
        <w:spacing w:line="560" w:lineRule="exact"/>
        <w:ind w:firstLine="480" w:firstLineChars="200"/>
      </w:pPr>
      <w:r>
        <w:rPr>
          <w:rFonts w:hint="eastAsia"/>
        </w:rPr>
        <w:t>（6）乙方在服务期间，有以下行为之一的，甲方有权单方解除合同，并要求乙方支付合同总价20%的违约金及赔偿甲方所有损失，甲方对乙方先前工作所产生的费用不承担任何责任，乙方不得向甲方进行追偿，甲方已支付给乙方的款项，乙方应全额返还：</w:t>
      </w:r>
    </w:p>
    <w:p>
      <w:pPr>
        <w:spacing w:line="560" w:lineRule="exact"/>
        <w:ind w:firstLine="480" w:firstLineChars="200"/>
      </w:pPr>
      <w:r>
        <w:rPr>
          <w:rFonts w:hint="eastAsia"/>
        </w:rPr>
        <w:t>A.因乙方原因造成项目设计工作中途中断；</w:t>
      </w:r>
    </w:p>
    <w:p>
      <w:pPr>
        <w:spacing w:line="560" w:lineRule="exact"/>
        <w:ind w:firstLine="480" w:firstLineChars="200"/>
      </w:pPr>
      <w:r>
        <w:rPr>
          <w:rFonts w:hint="eastAsia"/>
        </w:rPr>
        <w:t>B.由于关键内容调整经修改或改正7次（含7次）及以上、工作严重懈怠、成果文件质量低劣等乙方原因，仍未得到甲方认可的；</w:t>
      </w:r>
    </w:p>
    <w:p>
      <w:pPr>
        <w:spacing w:line="560" w:lineRule="exact"/>
        <w:ind w:firstLine="480" w:firstLineChars="200"/>
      </w:pPr>
      <w:r>
        <w:rPr>
          <w:rFonts w:hint="eastAsia"/>
        </w:rPr>
        <w:t>C.编制的成果文件内容或程序上违反本合同约定或现有法律法规及上级文件规定或影响甲方项目后续开展的；</w:t>
      </w:r>
    </w:p>
    <w:p>
      <w:pPr>
        <w:spacing w:line="560" w:lineRule="exact"/>
        <w:ind w:firstLine="480" w:firstLineChars="200"/>
      </w:pPr>
      <w:r>
        <w:rPr>
          <w:rFonts w:hint="eastAsia"/>
        </w:rPr>
        <w:t>D.未经甲方书面同意，将本合同项下义务全部或部分转包、转交第三方完成的；</w:t>
      </w:r>
    </w:p>
    <w:p>
      <w:pPr>
        <w:spacing w:line="560" w:lineRule="exact"/>
        <w:ind w:firstLine="480" w:firstLineChars="200"/>
      </w:pPr>
      <w:r>
        <w:rPr>
          <w:rFonts w:hint="eastAsia"/>
        </w:rPr>
        <w:t>E.在提出修改要求且未收到新修改要求下，乙方未按本合同约定（含时限）向甲方提交相关项目成果文件的，逾期超过30天的；</w:t>
      </w:r>
    </w:p>
    <w:p>
      <w:pPr>
        <w:spacing w:line="560" w:lineRule="exact"/>
        <w:ind w:firstLine="480" w:firstLineChars="200"/>
      </w:pPr>
      <w:r>
        <w:rPr>
          <w:rFonts w:hint="eastAsia"/>
        </w:rPr>
        <w:t>F.所提供的服务被第三方提出侵犯其专利权、著作权或其它知识产权，致使甲方不能使用成果或造成甲方损失的；</w:t>
      </w:r>
    </w:p>
    <w:p>
      <w:pPr>
        <w:spacing w:line="560" w:lineRule="exact"/>
        <w:ind w:firstLine="480" w:firstLineChars="200"/>
      </w:pPr>
      <w:r>
        <w:rPr>
          <w:rFonts w:hint="eastAsia"/>
        </w:rPr>
        <w:t>G.违反保密条款的；</w:t>
      </w:r>
    </w:p>
    <w:p>
      <w:pPr>
        <w:spacing w:line="560" w:lineRule="exact"/>
        <w:ind w:firstLine="480" w:firstLineChars="200"/>
      </w:pPr>
      <w:r>
        <w:rPr>
          <w:rFonts w:hint="eastAsia"/>
        </w:rPr>
        <w:t>H.存在违反本合同及其附件约定义务情形的。</w:t>
      </w:r>
    </w:p>
    <w:p>
      <w:pPr>
        <w:spacing w:line="560" w:lineRule="exact"/>
        <w:ind w:firstLine="480" w:firstLineChars="200"/>
      </w:pPr>
      <w:r>
        <w:rPr>
          <w:rFonts w:hint="eastAsia"/>
        </w:rPr>
        <w:t>（7）在本合同履行过程中，如乙方存在违约行为的，本合同项下各甲方皆有权按合同之约定（包括但不限于以合同总价作为违约金的计算基数）向乙方追究违约责任；乙方对此同意且没有异议。</w:t>
      </w:r>
    </w:p>
    <w:p>
      <w:pPr>
        <w:spacing w:line="560" w:lineRule="exact"/>
        <w:ind w:firstLine="480" w:firstLineChars="200"/>
      </w:pPr>
      <w:r>
        <w:rPr>
          <w:rFonts w:hint="eastAsia"/>
        </w:rPr>
        <w:t>（8）本合同履行期间，乙方违约产生的违约金、赔偿或其他应付费用等款项，甲方有权直接从未付款项中直接扣除予以支付或要求乙方返还相关已支付款项。</w:t>
      </w:r>
    </w:p>
    <w:p>
      <w:pPr>
        <w:pStyle w:val="3"/>
        <w:spacing w:line="360" w:lineRule="auto"/>
        <w:rPr>
          <w:rFonts w:ascii="宋体" w:hAnsi="宋体"/>
          <w:b/>
          <w:bCs/>
        </w:rPr>
      </w:pPr>
      <w:bookmarkStart w:id="143" w:name="_Toc27766"/>
      <w:r>
        <w:rPr>
          <w:rFonts w:hint="eastAsia" w:ascii="宋体" w:hAnsi="宋体"/>
          <w:b/>
          <w:bCs/>
        </w:rPr>
        <w:t>第七条 知识产权</w:t>
      </w:r>
      <w:bookmarkEnd w:id="143"/>
    </w:p>
    <w:p>
      <w:pPr>
        <w:numPr>
          <w:ilvl w:val="255"/>
          <w:numId w:val="0"/>
        </w:numPr>
        <w:tabs>
          <w:tab w:val="left" w:pos="0"/>
        </w:tabs>
        <w:spacing w:line="560" w:lineRule="exact"/>
        <w:ind w:firstLine="480" w:firstLineChars="200"/>
      </w:pPr>
      <w:r>
        <w:rPr>
          <w:rFonts w:hint="eastAsia"/>
        </w:rPr>
        <w:t>1.在本合同有效期内，甲方利用乙方提交的项目成果所完成的新的技术成果，归</w:t>
      </w:r>
      <w:r>
        <w:rPr>
          <w:rFonts w:hint="eastAsia"/>
          <w:u w:val="single"/>
        </w:rPr>
        <w:t>甲方</w:t>
      </w:r>
      <w:r>
        <w:rPr>
          <w:rFonts w:hint="eastAsia"/>
        </w:rPr>
        <w:t>所有。</w:t>
      </w:r>
    </w:p>
    <w:p>
      <w:pPr>
        <w:numPr>
          <w:ilvl w:val="255"/>
          <w:numId w:val="0"/>
        </w:numPr>
        <w:tabs>
          <w:tab w:val="left" w:pos="0"/>
        </w:tabs>
        <w:spacing w:line="560" w:lineRule="exact"/>
        <w:ind w:firstLine="480" w:firstLineChars="200"/>
      </w:pPr>
      <w:r>
        <w:rPr>
          <w:rFonts w:hint="eastAsia"/>
        </w:rPr>
        <w:t>2.在本合同有效期内，乙方利用甲方提供的技术资料和工作条件所完成的新的技术成果归</w:t>
      </w:r>
      <w:r>
        <w:rPr>
          <w:rFonts w:hint="eastAsia"/>
          <w:u w:val="single"/>
        </w:rPr>
        <w:t>甲方</w:t>
      </w:r>
      <w:r>
        <w:rPr>
          <w:rFonts w:hint="eastAsia"/>
        </w:rPr>
        <w:t>所有。</w:t>
      </w:r>
    </w:p>
    <w:p>
      <w:pPr>
        <w:numPr>
          <w:ilvl w:val="255"/>
          <w:numId w:val="0"/>
        </w:numPr>
        <w:tabs>
          <w:tab w:val="left" w:pos="0"/>
        </w:tabs>
        <w:spacing w:line="560" w:lineRule="exact"/>
        <w:ind w:firstLine="480" w:firstLineChars="200"/>
      </w:pPr>
      <w:r>
        <w:rPr>
          <w:rFonts w:hint="eastAsia"/>
        </w:rPr>
        <w:t>3.本合同下产生的所有项目成果归甲方所有，未经甲方书面同意，乙方不得将本项目任何成果泄露或转让给任何第三方。</w:t>
      </w:r>
    </w:p>
    <w:p>
      <w:pPr>
        <w:numPr>
          <w:ilvl w:val="255"/>
          <w:numId w:val="0"/>
        </w:numPr>
        <w:tabs>
          <w:tab w:val="left" w:pos="0"/>
        </w:tabs>
        <w:spacing w:line="560" w:lineRule="exact"/>
        <w:ind w:firstLine="480" w:firstLineChars="200"/>
      </w:pPr>
      <w:r>
        <w:rPr>
          <w:rFonts w:hint="eastAsia"/>
        </w:rPr>
        <w:t>4.乙方应保证，甲方在中华人民共和国使用本项目工作成果的任何一部分时，甲方免受第三方提出侵害其专利权、著作权或其它知识产权的起诉。否则由此造成甲方任何损失或支出的，均由乙方予以承担；如乙方所提供的服务存在侵权情形而甲方需继续使用他人享有的专利权、著作权等知识产权的，由此产生的使用费等全部费用及责任由乙方予以承担，保证甲方不承担任何费用及责任。如因此影响甲方声誉和利益的，甲方有权不予支付合同价款，且乙方应当赔偿甲方由此遭受的全部损失。</w:t>
      </w:r>
    </w:p>
    <w:p>
      <w:pPr>
        <w:pStyle w:val="3"/>
        <w:spacing w:line="360" w:lineRule="auto"/>
        <w:rPr>
          <w:rFonts w:ascii="宋体" w:hAnsi="宋体"/>
          <w:b/>
          <w:bCs/>
        </w:rPr>
      </w:pPr>
      <w:bookmarkStart w:id="144" w:name="_Toc14951"/>
      <w:r>
        <w:rPr>
          <w:rFonts w:hint="eastAsia" w:ascii="宋体" w:hAnsi="宋体"/>
          <w:b/>
          <w:bCs/>
        </w:rPr>
        <w:t>第八条 合同变更</w:t>
      </w:r>
      <w:bookmarkEnd w:id="144"/>
    </w:p>
    <w:p>
      <w:pPr>
        <w:spacing w:line="560" w:lineRule="exact"/>
        <w:ind w:firstLine="480" w:firstLineChars="200"/>
      </w:pPr>
      <w:r>
        <w:rPr>
          <w:rFonts w:hint="eastAsia"/>
        </w:rPr>
        <w:t>本合同的变更必须由双方协商一致，并以书面形式确定。需进行合同变更的，一方可以在本合同约定期限到期前至少提前</w:t>
      </w:r>
      <w:r>
        <w:rPr>
          <w:rFonts w:hint="eastAsia"/>
          <w:u w:val="single"/>
        </w:rPr>
        <w:t xml:space="preserve"> 10 </w:t>
      </w:r>
      <w:r>
        <w:rPr>
          <w:rFonts w:hint="eastAsia"/>
        </w:rPr>
        <w:t>个工作日向另一方提出变更合同的书面请求，另一方应当在</w:t>
      </w:r>
      <w:r>
        <w:rPr>
          <w:rFonts w:hint="eastAsia"/>
          <w:u w:val="single"/>
        </w:rPr>
        <w:t xml:space="preserve"> 7 </w:t>
      </w:r>
      <w:r>
        <w:rPr>
          <w:rFonts w:hint="eastAsia"/>
          <w:u w:color="0000FF"/>
        </w:rPr>
        <w:t>个工作日内</w:t>
      </w:r>
      <w:r>
        <w:rPr>
          <w:rFonts w:hint="eastAsia"/>
        </w:rPr>
        <w:t>予以书面答复；逾期未予答复的，视为同意。</w:t>
      </w:r>
    </w:p>
    <w:p>
      <w:pPr>
        <w:pStyle w:val="3"/>
        <w:spacing w:line="360" w:lineRule="auto"/>
        <w:rPr>
          <w:rFonts w:ascii="宋体" w:hAnsi="宋体"/>
          <w:b/>
          <w:bCs/>
        </w:rPr>
      </w:pPr>
      <w:bookmarkStart w:id="145" w:name="_Toc2149"/>
      <w:r>
        <w:rPr>
          <w:rFonts w:hint="eastAsia" w:ascii="宋体" w:hAnsi="宋体"/>
          <w:b/>
          <w:bCs/>
        </w:rPr>
        <w:t>第九条 不可抗力</w:t>
      </w:r>
      <w:bookmarkEnd w:id="145"/>
    </w:p>
    <w:p>
      <w:pPr>
        <w:spacing w:line="560" w:lineRule="exact"/>
        <w:ind w:firstLine="480" w:firstLineChars="200"/>
      </w:pPr>
      <w:r>
        <w:rPr>
          <w:rFonts w:hint="eastAsia"/>
        </w:rPr>
        <w:t>由于地震、台风、水灾、战争以及其他不能预见并且对其发生和后果不能防止或避免的不可抗力事故造成任何一方不能及时履行或不能及时完全履行本协议规定的责任和义务的，甲乙双方互不承担责任。但遭受不可抗力的一方应在不可抗力发生之日起10日内书面通知另一方，并在不可抗力发生之日起30日内，提供不可抗力、合同不能履行、或者部分不能履行、或者需要延期履行的理由的有效证明文件，如因为遭受不可抗力一方迟延通知而给对方造成损失的，该方应当赔偿由于通知迟延而给对方造成的损失。同时，遭受不可抗力的一方应采取一切必要的措施减少损失，否则应就扩大的损失承担责任。按照事故对履行合同影响的程度，由各方协商决定是否解除合同，或者部分免除履行合同的责任，或者延期履行合同。</w:t>
      </w:r>
    </w:p>
    <w:p>
      <w:pPr>
        <w:pStyle w:val="3"/>
        <w:spacing w:line="360" w:lineRule="auto"/>
        <w:rPr>
          <w:rFonts w:ascii="宋体" w:hAnsi="宋体"/>
          <w:b/>
          <w:bCs/>
        </w:rPr>
      </w:pPr>
      <w:bookmarkStart w:id="146" w:name="_Toc16747"/>
      <w:r>
        <w:rPr>
          <w:rFonts w:hint="eastAsia" w:ascii="宋体" w:hAnsi="宋体"/>
          <w:b/>
          <w:bCs/>
        </w:rPr>
        <w:t>第十条 争议解决方式</w:t>
      </w:r>
      <w:bookmarkEnd w:id="146"/>
    </w:p>
    <w:p>
      <w:pPr>
        <w:spacing w:line="560" w:lineRule="exact"/>
        <w:ind w:firstLine="480" w:firstLineChars="200"/>
      </w:pPr>
      <w:r>
        <w:rPr>
          <w:rFonts w:hint="eastAsia"/>
        </w:rPr>
        <w:t>1.双方在履行本合同时发生争议的，应先通过友好协商解决。若经协商仍不能解决，任何一方均有权向甲方所在地有管辖权的人民法院提起仲裁。在仲裁期间，双方应继续履行本合同中除争议条款之外的其它条款。</w:t>
      </w:r>
    </w:p>
    <w:p>
      <w:pPr>
        <w:spacing w:line="560" w:lineRule="exact"/>
      </w:pPr>
      <w:r>
        <w:rPr>
          <w:rFonts w:hint="eastAsia"/>
        </w:rPr>
        <w:t>2.守约方为解决争议而支出的诉讼费、仲裁费、律师费、公证费、保全费、担保费、鉴证费、调查取证费、差旅费等费用均由违约方承担。</w:t>
      </w:r>
    </w:p>
    <w:p>
      <w:pPr>
        <w:pStyle w:val="3"/>
        <w:spacing w:line="360" w:lineRule="auto"/>
        <w:rPr>
          <w:rFonts w:ascii="宋体" w:hAnsi="宋体"/>
          <w:b/>
          <w:bCs/>
        </w:rPr>
      </w:pPr>
      <w:bookmarkStart w:id="147" w:name="_Toc3591"/>
      <w:r>
        <w:rPr>
          <w:rFonts w:hint="eastAsia" w:ascii="宋体" w:hAnsi="宋体"/>
          <w:b/>
          <w:bCs/>
        </w:rPr>
        <w:t>第十一条 送达</w:t>
      </w:r>
      <w:bookmarkEnd w:id="147"/>
    </w:p>
    <w:p>
      <w:pPr>
        <w:numPr>
          <w:ilvl w:val="255"/>
          <w:numId w:val="0"/>
        </w:numPr>
        <w:tabs>
          <w:tab w:val="left" w:pos="0"/>
        </w:tabs>
        <w:spacing w:line="560" w:lineRule="exact"/>
        <w:ind w:firstLine="480" w:firstLineChars="200"/>
      </w:pPr>
      <w:r>
        <w:rPr>
          <w:rFonts w:hint="eastAsia"/>
        </w:rPr>
        <w:t xml:space="preserve">1.甲乙双方就本合同中涉及各类通知、协议等文件以及就合同发生纠纷时相关文件和法律文书送达时的送达地址及法律后果作如下约定： </w:t>
      </w:r>
    </w:p>
    <w:p>
      <w:pPr>
        <w:numPr>
          <w:ilvl w:val="255"/>
          <w:numId w:val="0"/>
        </w:numPr>
        <w:tabs>
          <w:tab w:val="left" w:pos="0"/>
        </w:tabs>
        <w:spacing w:line="560" w:lineRule="exact"/>
        <w:ind w:left="360" w:firstLine="480" w:firstLineChars="200"/>
      </w:pPr>
      <w:r>
        <w:rPr>
          <w:rFonts w:hint="eastAsia"/>
        </w:rPr>
        <w:t>甲方确认其有效送达信息如下：</w:t>
      </w:r>
    </w:p>
    <w:p>
      <w:pPr>
        <w:numPr>
          <w:ilvl w:val="255"/>
          <w:numId w:val="0"/>
        </w:numPr>
        <w:tabs>
          <w:tab w:val="left" w:pos="0"/>
        </w:tabs>
        <w:spacing w:line="560" w:lineRule="exact"/>
        <w:ind w:left="360" w:firstLine="480" w:firstLineChars="200"/>
      </w:pPr>
      <w:r>
        <w:rPr>
          <w:rFonts w:hint="eastAsia"/>
        </w:rPr>
        <w:t>送达地址为：【 】；</w:t>
      </w:r>
    </w:p>
    <w:p>
      <w:pPr>
        <w:numPr>
          <w:ilvl w:val="255"/>
          <w:numId w:val="0"/>
        </w:numPr>
        <w:tabs>
          <w:tab w:val="left" w:pos="0"/>
        </w:tabs>
        <w:spacing w:line="560" w:lineRule="exact"/>
        <w:ind w:left="360" w:firstLine="480" w:firstLineChars="200"/>
      </w:pPr>
      <w:r>
        <w:rPr>
          <w:rFonts w:hint="eastAsia"/>
        </w:rPr>
        <w:t>联系人：【 】；</w:t>
      </w:r>
    </w:p>
    <w:p>
      <w:pPr>
        <w:numPr>
          <w:ilvl w:val="255"/>
          <w:numId w:val="0"/>
        </w:numPr>
        <w:tabs>
          <w:tab w:val="left" w:pos="0"/>
        </w:tabs>
        <w:spacing w:line="560" w:lineRule="exact"/>
        <w:ind w:left="360" w:firstLine="480" w:firstLineChars="200"/>
      </w:pPr>
      <w:r>
        <w:rPr>
          <w:rFonts w:hint="eastAsia"/>
        </w:rPr>
        <w:t>联系电话：【 】；</w:t>
      </w:r>
    </w:p>
    <w:p>
      <w:pPr>
        <w:numPr>
          <w:ilvl w:val="255"/>
          <w:numId w:val="0"/>
        </w:numPr>
        <w:tabs>
          <w:tab w:val="left" w:pos="0"/>
        </w:tabs>
        <w:spacing w:line="560" w:lineRule="exact"/>
        <w:ind w:left="360" w:firstLine="480" w:firstLineChars="200"/>
      </w:pPr>
      <w:r>
        <w:rPr>
          <w:rFonts w:hint="eastAsia"/>
        </w:rPr>
        <w:t xml:space="preserve">电子邮箱：【 】。 </w:t>
      </w:r>
    </w:p>
    <w:p>
      <w:pPr>
        <w:numPr>
          <w:ilvl w:val="255"/>
          <w:numId w:val="0"/>
        </w:numPr>
        <w:tabs>
          <w:tab w:val="left" w:pos="0"/>
        </w:tabs>
        <w:spacing w:line="560" w:lineRule="exact"/>
        <w:ind w:left="360" w:firstLine="480" w:firstLineChars="200"/>
      </w:pPr>
      <w:r>
        <w:rPr>
          <w:rFonts w:hint="eastAsia"/>
        </w:rPr>
        <w:t>乙方确认其有效送达信息如下：</w:t>
      </w:r>
    </w:p>
    <w:p>
      <w:pPr>
        <w:numPr>
          <w:ilvl w:val="255"/>
          <w:numId w:val="0"/>
        </w:numPr>
        <w:tabs>
          <w:tab w:val="left" w:pos="0"/>
        </w:tabs>
        <w:spacing w:line="560" w:lineRule="exact"/>
        <w:ind w:left="360" w:firstLine="480" w:firstLineChars="200"/>
      </w:pPr>
      <w:r>
        <w:rPr>
          <w:rFonts w:hint="eastAsia"/>
        </w:rPr>
        <w:t>送达地址为：【 】；</w:t>
      </w:r>
    </w:p>
    <w:p>
      <w:pPr>
        <w:numPr>
          <w:ilvl w:val="255"/>
          <w:numId w:val="0"/>
        </w:numPr>
        <w:tabs>
          <w:tab w:val="left" w:pos="0"/>
        </w:tabs>
        <w:spacing w:line="560" w:lineRule="exact"/>
        <w:ind w:left="360" w:firstLine="480" w:firstLineChars="200"/>
      </w:pPr>
      <w:r>
        <w:rPr>
          <w:rFonts w:hint="eastAsia"/>
        </w:rPr>
        <w:t>联系人：【 】；</w:t>
      </w:r>
    </w:p>
    <w:p>
      <w:pPr>
        <w:numPr>
          <w:ilvl w:val="255"/>
          <w:numId w:val="0"/>
        </w:numPr>
        <w:tabs>
          <w:tab w:val="left" w:pos="0"/>
        </w:tabs>
        <w:spacing w:line="560" w:lineRule="exact"/>
        <w:ind w:left="360" w:firstLine="480" w:firstLineChars="200"/>
      </w:pPr>
      <w:r>
        <w:rPr>
          <w:rFonts w:hint="eastAsia"/>
        </w:rPr>
        <w:t>联系电话：【 】；</w:t>
      </w:r>
    </w:p>
    <w:p>
      <w:pPr>
        <w:numPr>
          <w:ilvl w:val="255"/>
          <w:numId w:val="0"/>
        </w:numPr>
        <w:tabs>
          <w:tab w:val="left" w:pos="0"/>
        </w:tabs>
        <w:spacing w:line="560" w:lineRule="exact"/>
        <w:ind w:left="360" w:firstLine="480" w:firstLineChars="200"/>
      </w:pPr>
      <w:r>
        <w:rPr>
          <w:rFonts w:hint="eastAsia"/>
        </w:rPr>
        <w:t>电子邮箱：【 】。</w:t>
      </w:r>
    </w:p>
    <w:p>
      <w:pPr>
        <w:numPr>
          <w:ilvl w:val="255"/>
          <w:numId w:val="0"/>
        </w:numPr>
        <w:tabs>
          <w:tab w:val="left" w:pos="0"/>
        </w:tabs>
        <w:spacing w:line="560" w:lineRule="exact"/>
        <w:ind w:firstLine="480" w:firstLineChars="200"/>
      </w:pPr>
      <w:r>
        <w:rPr>
          <w:rFonts w:hint="eastAsia"/>
        </w:rPr>
        <w:t>甲乙双方均承诺，上述确认的送达地址和联系电话真实有效，如有错误，所导致的商业信函和诉讼文书送达不能的后果由自身承担；甲乙双方就本合同中涉及各类通知、协议等文件按上述联系地址发出后生效，并视为送达。</w:t>
      </w:r>
    </w:p>
    <w:p>
      <w:pPr>
        <w:numPr>
          <w:ilvl w:val="255"/>
          <w:numId w:val="0"/>
        </w:numPr>
        <w:tabs>
          <w:tab w:val="left" w:pos="0"/>
        </w:tabs>
        <w:spacing w:line="560" w:lineRule="exact"/>
        <w:ind w:firstLine="480" w:firstLineChars="200"/>
      </w:pPr>
      <w:r>
        <w:rPr>
          <w:rFonts w:hint="eastAsia"/>
        </w:rPr>
        <w:t xml:space="preserve">2.甲乙双方上述确认送达地址适用范围包括但不限于：双方非诉时各类通知、协议等文件以及就合同发生纠纷时相关文件和法律文书的送达，同时包括在争议进入仲裁、民事诉讼程序后的一审、二审、再审和执行程序。 </w:t>
      </w:r>
    </w:p>
    <w:p>
      <w:pPr>
        <w:numPr>
          <w:ilvl w:val="255"/>
          <w:numId w:val="0"/>
        </w:numPr>
        <w:tabs>
          <w:tab w:val="left" w:pos="0"/>
        </w:tabs>
        <w:spacing w:line="560" w:lineRule="exact"/>
        <w:ind w:firstLine="480" w:firstLineChars="200"/>
      </w:pPr>
      <w:r>
        <w:rPr>
          <w:rFonts w:hint="eastAsia"/>
        </w:rPr>
        <w:t>3.甲方的送达地址需要变更时应当履行及时通知的义务，应提前10个工作日通过书面函件的方式向乙方进行通知；乙方的送达地址需要变更时应当履行及时通知的义务，应提前10个工作日通过书面函件的方式向甲方进行通知。</w:t>
      </w:r>
    </w:p>
    <w:p>
      <w:pPr>
        <w:numPr>
          <w:ilvl w:val="255"/>
          <w:numId w:val="0"/>
        </w:numPr>
        <w:tabs>
          <w:tab w:val="left" w:pos="0"/>
        </w:tabs>
        <w:spacing w:line="560" w:lineRule="exact"/>
        <w:ind w:firstLine="480" w:firstLineChars="200"/>
      </w:pPr>
      <w:r>
        <w:rPr>
          <w:rFonts w:hint="eastAsia"/>
        </w:rPr>
        <w:t>4.本条款具有独立法律效力，不因合同其他条款的无效而无效。</w:t>
      </w:r>
    </w:p>
    <w:p>
      <w:pPr>
        <w:pStyle w:val="3"/>
        <w:spacing w:line="360" w:lineRule="auto"/>
        <w:rPr>
          <w:rFonts w:ascii="宋体" w:hAnsi="宋体"/>
          <w:b/>
          <w:bCs/>
        </w:rPr>
      </w:pPr>
      <w:bookmarkStart w:id="148" w:name="_Toc24343"/>
      <w:r>
        <w:rPr>
          <w:rFonts w:hint="eastAsia" w:ascii="宋体" w:hAnsi="宋体"/>
          <w:b/>
          <w:bCs/>
        </w:rPr>
        <w:t>第十二条 其他</w:t>
      </w:r>
      <w:bookmarkEnd w:id="148"/>
    </w:p>
    <w:p>
      <w:pPr>
        <w:spacing w:line="360" w:lineRule="auto"/>
        <w:ind w:firstLine="480" w:firstLineChars="200"/>
      </w:pPr>
      <w:r>
        <w:rPr>
          <w:rFonts w:hint="eastAsia"/>
        </w:rPr>
        <w:t>1.在执行本协议的过程中，对具体服务内容需要变更或补充的，不违反法律法规的前提下，经双方协商，可共同签署补充协议，补充协议与本协议具有同等的法律效力，存在不同的以补充协议为准。</w:t>
      </w:r>
    </w:p>
    <w:bookmarkEnd w:id="137"/>
    <w:p>
      <w:pPr>
        <w:tabs>
          <w:tab w:val="left" w:pos="0"/>
        </w:tabs>
        <w:spacing w:line="560" w:lineRule="exact"/>
        <w:ind w:firstLine="477" w:firstLineChars="199"/>
      </w:pPr>
      <w:r>
        <w:rPr>
          <w:rFonts w:hint="eastAsia"/>
        </w:rPr>
        <w:t>2.本合同一式</w:t>
      </w:r>
      <w:r>
        <w:rPr>
          <w:rFonts w:hint="eastAsia"/>
          <w:u w:val="single"/>
        </w:rPr>
        <w:t xml:space="preserve"> 陆 </w:t>
      </w:r>
      <w:r>
        <w:rPr>
          <w:rFonts w:hint="eastAsia"/>
        </w:rPr>
        <w:t>份，甲方执</w:t>
      </w:r>
      <w:r>
        <w:rPr>
          <w:rFonts w:hint="eastAsia"/>
          <w:u w:val="single"/>
        </w:rPr>
        <w:t xml:space="preserve"> 肆 </w:t>
      </w:r>
      <w:r>
        <w:rPr>
          <w:rFonts w:hint="eastAsia"/>
        </w:rPr>
        <w:t>份，乙方执</w:t>
      </w:r>
      <w:r>
        <w:rPr>
          <w:rFonts w:hint="eastAsia"/>
          <w:u w:val="single"/>
        </w:rPr>
        <w:t xml:space="preserve"> 贰 </w:t>
      </w:r>
      <w:r>
        <w:rPr>
          <w:rFonts w:hint="eastAsia"/>
        </w:rPr>
        <w:t>份，每份均具有同等法律效力，自双方法定代表人或授权代表签字并盖章之日起生效。</w:t>
      </w:r>
    </w:p>
    <w:p>
      <w:pPr>
        <w:tabs>
          <w:tab w:val="left" w:pos="0"/>
        </w:tabs>
        <w:spacing w:line="560" w:lineRule="exact"/>
        <w:ind w:firstLine="477" w:firstLineChars="199"/>
      </w:pPr>
      <w:r>
        <w:rPr>
          <w:rFonts w:hint="eastAsia"/>
        </w:rPr>
        <w:t>3.本合同附件是本合同不可分割内容，与本合同同时生效，同具法律效力。当附件内容与本合同不一致时，以利于甲方的约定为准。</w:t>
      </w:r>
    </w:p>
    <w:p>
      <w:pPr>
        <w:tabs>
          <w:tab w:val="left" w:pos="0"/>
        </w:tabs>
        <w:spacing w:line="560" w:lineRule="exact"/>
        <w:ind w:firstLine="477" w:firstLineChars="199"/>
      </w:pPr>
      <w:r>
        <w:rPr>
          <w:rFonts w:hint="eastAsia"/>
        </w:rPr>
        <w:t>4.合同其他相关附件如下：</w:t>
      </w:r>
    </w:p>
    <w:p>
      <w:pPr>
        <w:tabs>
          <w:tab w:val="left" w:pos="0"/>
        </w:tabs>
        <w:spacing w:line="560" w:lineRule="exact"/>
        <w:ind w:firstLine="477" w:firstLineChars="199"/>
      </w:pPr>
    </w:p>
    <w:p>
      <w:pPr>
        <w:tabs>
          <w:tab w:val="left" w:pos="567"/>
        </w:tabs>
        <w:spacing w:line="560" w:lineRule="exact"/>
      </w:pPr>
      <w:r>
        <w:rPr>
          <w:rFonts w:hint="eastAsia"/>
        </w:rPr>
        <w:t>附件：1.报价文件、响应文件</w:t>
      </w:r>
    </w:p>
    <w:p>
      <w:pPr>
        <w:tabs>
          <w:tab w:val="left" w:pos="567"/>
        </w:tabs>
        <w:spacing w:line="560" w:lineRule="exact"/>
        <w:ind w:firstLine="720" w:firstLineChars="300"/>
      </w:pPr>
      <w:r>
        <w:rPr>
          <w:rFonts w:hint="eastAsia"/>
        </w:rPr>
        <w:t>2.用户需求书</w:t>
      </w:r>
    </w:p>
    <w:p>
      <w:pPr>
        <w:tabs>
          <w:tab w:val="left" w:pos="567"/>
        </w:tabs>
        <w:spacing w:line="560" w:lineRule="exact"/>
        <w:ind w:firstLine="720" w:firstLineChars="300"/>
      </w:pPr>
      <w:r>
        <w:rPr>
          <w:rFonts w:hint="eastAsia"/>
        </w:rPr>
        <w:t>3.承诺书</w:t>
      </w:r>
    </w:p>
    <w:p>
      <w:pPr>
        <w:tabs>
          <w:tab w:val="left" w:pos="567"/>
        </w:tabs>
        <w:spacing w:line="560" w:lineRule="exact"/>
        <w:ind w:firstLine="720" w:firstLineChars="300"/>
      </w:pPr>
      <w:r>
        <w:rPr>
          <w:rFonts w:hint="eastAsia"/>
        </w:rPr>
        <w:t>4.阳光合作告知函及回执</w:t>
      </w:r>
    </w:p>
    <w:p>
      <w:pPr>
        <w:tabs>
          <w:tab w:val="left" w:pos="567"/>
        </w:tabs>
        <w:spacing w:line="560" w:lineRule="exact"/>
        <w:ind w:firstLine="720" w:firstLineChars="300"/>
      </w:pPr>
      <w:r>
        <w:rPr>
          <w:rFonts w:hint="eastAsia"/>
        </w:rPr>
        <w:t>5.保密协议</w:t>
      </w:r>
    </w:p>
    <w:p>
      <w:pPr>
        <w:tabs>
          <w:tab w:val="left" w:pos="567"/>
        </w:tabs>
        <w:spacing w:line="560" w:lineRule="exact"/>
        <w:ind w:firstLine="720" w:firstLineChars="300"/>
      </w:pPr>
      <w:r>
        <w:rPr>
          <w:rFonts w:hint="eastAsia"/>
        </w:rPr>
        <w:t>6.项目要求配备人员清单</w:t>
      </w:r>
    </w:p>
    <w:p/>
    <w:p/>
    <w:p>
      <w:pPr>
        <w:spacing w:before="332" w:beforeLines="100" w:after="332" w:afterLines="100" w:line="360" w:lineRule="auto"/>
        <w:rPr>
          <w:sz w:val="21"/>
          <w:szCs w:val="21"/>
        </w:rPr>
      </w:pPr>
      <w:r>
        <w:rPr>
          <w:rFonts w:hint="eastAsia"/>
          <w:sz w:val="21"/>
          <w:szCs w:val="21"/>
        </w:rPr>
        <w:t xml:space="preserve">甲方1：东莞市水务集团管网有限公司           甲方2：东莞市莞泽水环境投资有限公司       </w:t>
      </w:r>
    </w:p>
    <w:p>
      <w:pPr>
        <w:spacing w:before="332" w:beforeLines="100" w:after="332" w:afterLines="100" w:line="360" w:lineRule="auto"/>
        <w:rPr>
          <w:sz w:val="21"/>
          <w:szCs w:val="21"/>
        </w:rPr>
      </w:pPr>
      <w:r>
        <w:rPr>
          <w:rFonts w:hint="eastAsia"/>
          <w:sz w:val="21"/>
          <w:szCs w:val="21"/>
        </w:rPr>
        <w:t>法定代表（或负责）人：                      法定代表（或负责）人：</w:t>
      </w:r>
    </w:p>
    <w:p>
      <w:pPr>
        <w:spacing w:before="332" w:beforeLines="100" w:after="332" w:afterLines="100" w:line="360" w:lineRule="auto"/>
        <w:rPr>
          <w:sz w:val="21"/>
          <w:szCs w:val="21"/>
        </w:rPr>
      </w:pPr>
      <w:r>
        <w:rPr>
          <w:rFonts w:hint="eastAsia"/>
          <w:sz w:val="21"/>
          <w:szCs w:val="21"/>
        </w:rPr>
        <w:t xml:space="preserve">           </w:t>
      </w:r>
    </w:p>
    <w:p>
      <w:pPr>
        <w:spacing w:before="332" w:beforeLines="100" w:after="332" w:afterLines="100" w:line="360" w:lineRule="auto"/>
        <w:rPr>
          <w:sz w:val="21"/>
          <w:szCs w:val="21"/>
        </w:rPr>
      </w:pPr>
      <w:r>
        <w:rPr>
          <w:rFonts w:hint="eastAsia"/>
          <w:sz w:val="21"/>
          <w:szCs w:val="21"/>
        </w:rPr>
        <w:t xml:space="preserve">甲方3：东莞市东信水环境投资有限公司         甲方4：东莞市东泽水环境投资有限公司       </w:t>
      </w:r>
    </w:p>
    <w:p>
      <w:pPr>
        <w:spacing w:before="332" w:beforeLines="100" w:after="332" w:afterLines="100" w:line="360" w:lineRule="auto"/>
        <w:rPr>
          <w:sz w:val="21"/>
          <w:szCs w:val="21"/>
        </w:rPr>
      </w:pPr>
      <w:r>
        <w:rPr>
          <w:rFonts w:hint="eastAsia"/>
          <w:sz w:val="21"/>
          <w:szCs w:val="21"/>
        </w:rPr>
        <w:t>法定代表（或负责）人：                      法定代表（或负责）人：</w:t>
      </w:r>
    </w:p>
    <w:p>
      <w:pPr>
        <w:spacing w:before="332" w:beforeLines="100" w:after="332" w:afterLines="100" w:line="360" w:lineRule="auto"/>
        <w:rPr>
          <w:sz w:val="21"/>
          <w:szCs w:val="21"/>
        </w:rPr>
      </w:pPr>
      <w:r>
        <w:rPr>
          <w:rFonts w:hint="eastAsia"/>
          <w:sz w:val="21"/>
          <w:szCs w:val="21"/>
        </w:rPr>
        <w:t xml:space="preserve">                                                                                           </w:t>
      </w:r>
    </w:p>
    <w:p>
      <w:pPr>
        <w:spacing w:before="332" w:beforeLines="100" w:after="332" w:afterLines="100" w:line="360" w:lineRule="auto"/>
        <w:rPr>
          <w:sz w:val="21"/>
          <w:szCs w:val="21"/>
        </w:rPr>
      </w:pPr>
      <w:r>
        <w:rPr>
          <w:rFonts w:hint="eastAsia"/>
          <w:sz w:val="21"/>
          <w:szCs w:val="21"/>
        </w:rPr>
        <w:t xml:space="preserve">甲方5：东莞市清泽水环境投资有限公司        甲方6：东莞市莞清水环境投资有限公司       </w:t>
      </w:r>
    </w:p>
    <w:p>
      <w:pPr>
        <w:spacing w:before="332" w:beforeLines="100" w:after="332" w:afterLines="100" w:line="360" w:lineRule="auto"/>
        <w:rPr>
          <w:sz w:val="21"/>
          <w:szCs w:val="21"/>
        </w:rPr>
      </w:pPr>
      <w:r>
        <w:rPr>
          <w:rFonts w:hint="eastAsia"/>
          <w:sz w:val="21"/>
          <w:szCs w:val="21"/>
        </w:rPr>
        <w:t>法定代表（或负责）人：                      法定代表（或负责）人：</w:t>
      </w:r>
    </w:p>
    <w:p>
      <w:pPr>
        <w:spacing w:before="332" w:beforeLines="100" w:after="332" w:afterLines="100" w:line="360" w:lineRule="auto"/>
        <w:rPr>
          <w:sz w:val="21"/>
          <w:szCs w:val="21"/>
        </w:rPr>
      </w:pPr>
      <w:r>
        <w:rPr>
          <w:rFonts w:hint="eastAsia"/>
          <w:sz w:val="21"/>
          <w:szCs w:val="21"/>
        </w:rPr>
        <w:t xml:space="preserve">                                                                                      </w:t>
      </w:r>
    </w:p>
    <w:p>
      <w:pPr>
        <w:spacing w:before="332" w:beforeLines="100" w:after="332" w:afterLines="100" w:line="360" w:lineRule="auto"/>
        <w:rPr>
          <w:sz w:val="21"/>
          <w:szCs w:val="21"/>
        </w:rPr>
      </w:pPr>
      <w:r>
        <w:rPr>
          <w:rFonts w:hint="eastAsia"/>
          <w:sz w:val="21"/>
          <w:szCs w:val="21"/>
        </w:rPr>
        <w:t>甲方7：东莞市东江水环境投资有限公司        乙方：</w:t>
      </w:r>
    </w:p>
    <w:p>
      <w:pPr>
        <w:spacing w:before="166" w:beforeLines="50" w:after="166" w:afterLines="50" w:line="360" w:lineRule="auto"/>
        <w:rPr>
          <w:sz w:val="21"/>
          <w:szCs w:val="21"/>
        </w:rPr>
      </w:pPr>
      <w:r>
        <w:rPr>
          <w:rFonts w:hint="eastAsia"/>
          <w:sz w:val="21"/>
          <w:szCs w:val="21"/>
        </w:rPr>
        <w:t xml:space="preserve">法定代表（或负责）人：                     法定代表（或负责）人：   </w:t>
      </w:r>
    </w:p>
    <w:p>
      <w:pPr>
        <w:spacing w:line="360" w:lineRule="auto"/>
        <w:rPr>
          <w:rFonts w:ascii="仿宋_GB2312" w:eastAsia="仿宋_GB2312"/>
          <w:sz w:val="28"/>
          <w:szCs w:val="28"/>
        </w:rPr>
      </w:pPr>
      <w:r>
        <w:rPr>
          <w:rFonts w:hint="eastAsia"/>
          <w:sz w:val="21"/>
          <w:szCs w:val="21"/>
        </w:rPr>
        <w:t xml:space="preserve">                                           委托代理人：（签章）     </w:t>
      </w:r>
    </w:p>
    <w:p/>
    <w:p/>
    <w:p/>
    <w:p>
      <w:r>
        <w:rPr>
          <w:rFonts w:hint="eastAsia"/>
          <w:b/>
          <w:bCs/>
        </w:rPr>
        <w:t>附件3：承诺书</w:t>
      </w:r>
    </w:p>
    <w:p>
      <w:pPr>
        <w:spacing w:line="360" w:lineRule="auto"/>
        <w:ind w:right="36" w:rightChars="15"/>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承诺书</w:t>
      </w:r>
    </w:p>
    <w:p>
      <w:pPr>
        <w:spacing w:line="360" w:lineRule="auto"/>
        <w:rPr>
          <w:szCs w:val="21"/>
          <w:u w:val="single"/>
        </w:rPr>
      </w:pPr>
    </w:p>
    <w:p>
      <w:pPr>
        <w:spacing w:line="360" w:lineRule="auto"/>
        <w:ind w:firstLine="420"/>
        <w:rPr>
          <w:sz w:val="21"/>
          <w:szCs w:val="21"/>
          <w:u w:val="single"/>
        </w:rPr>
      </w:pPr>
      <w:r>
        <w:rPr>
          <w:rFonts w:hint="eastAsia"/>
          <w:sz w:val="21"/>
          <w:szCs w:val="21"/>
          <w:u w:val="single"/>
        </w:rPr>
        <w:t xml:space="preserve">               （甲方主体）：</w:t>
      </w:r>
      <w:r>
        <w:rPr>
          <w:sz w:val="21"/>
          <w:szCs w:val="21"/>
          <w:u w:val="single"/>
        </w:rPr>
        <w:t xml:space="preserve"> </w:t>
      </w:r>
    </w:p>
    <w:p>
      <w:pPr>
        <w:spacing w:line="360" w:lineRule="auto"/>
        <w:ind w:firstLine="420"/>
        <w:rPr>
          <w:sz w:val="21"/>
          <w:szCs w:val="21"/>
        </w:rPr>
      </w:pPr>
      <w:r>
        <w:rPr>
          <w:rFonts w:hint="eastAsia"/>
          <w:sz w:val="21"/>
          <w:szCs w:val="21"/>
        </w:rPr>
        <w:t>我司根据《</w:t>
      </w:r>
      <w:r>
        <w:rPr>
          <w:rFonts w:hint="eastAsia"/>
          <w:sz w:val="21"/>
          <w:szCs w:val="21"/>
          <w:u w:val="single"/>
        </w:rPr>
        <w:t xml:space="preserve">              </w:t>
      </w:r>
      <w:r>
        <w:rPr>
          <w:rFonts w:hint="eastAsia"/>
          <w:sz w:val="21"/>
          <w:szCs w:val="21"/>
        </w:rPr>
        <w:t>项目合同》相关条款全力配合贵</w:t>
      </w:r>
      <w:r>
        <w:rPr>
          <w:sz w:val="21"/>
          <w:szCs w:val="21"/>
        </w:rPr>
        <w:t>公司</w:t>
      </w:r>
      <w:r>
        <w:rPr>
          <w:rFonts w:hint="eastAsia"/>
          <w:sz w:val="21"/>
          <w:szCs w:val="21"/>
        </w:rPr>
        <w:t>工作，并自愿作出</w:t>
      </w:r>
      <w:r>
        <w:rPr>
          <w:sz w:val="21"/>
          <w:szCs w:val="21"/>
        </w:rPr>
        <w:t>如下承诺</w:t>
      </w:r>
      <w:r>
        <w:rPr>
          <w:rFonts w:hint="eastAsia"/>
          <w:sz w:val="21"/>
          <w:szCs w:val="21"/>
        </w:rPr>
        <w:t>：</w:t>
      </w:r>
    </w:p>
    <w:p>
      <w:pPr>
        <w:spacing w:line="360" w:lineRule="auto"/>
        <w:ind w:firstLine="420"/>
        <w:rPr>
          <w:sz w:val="21"/>
          <w:szCs w:val="21"/>
        </w:rPr>
      </w:pPr>
      <w:r>
        <w:rPr>
          <w:rFonts w:hint="eastAsia"/>
          <w:sz w:val="21"/>
          <w:szCs w:val="21"/>
        </w:rPr>
        <w:t>（一）如</w:t>
      </w:r>
      <w:r>
        <w:rPr>
          <w:sz w:val="21"/>
          <w:szCs w:val="21"/>
        </w:rPr>
        <w:t>我司有</w:t>
      </w:r>
      <w:r>
        <w:rPr>
          <w:rFonts w:hint="eastAsia"/>
          <w:sz w:val="21"/>
          <w:szCs w:val="21"/>
        </w:rPr>
        <w:t>拖欠所雇用员工工资</w:t>
      </w:r>
      <w:r>
        <w:rPr>
          <w:sz w:val="21"/>
          <w:szCs w:val="21"/>
        </w:rPr>
        <w:t>等，</w:t>
      </w:r>
      <w:r>
        <w:rPr>
          <w:rFonts w:hint="eastAsia"/>
          <w:sz w:val="21"/>
          <w:szCs w:val="21"/>
        </w:rPr>
        <w:t>发生劳资纠纷、上访、闹事或其他影响贵公司生产经营等情况而未及时妥善处理的，我司同意贵公司可直接启用履约担保或从</w:t>
      </w:r>
      <w:r>
        <w:rPr>
          <w:sz w:val="21"/>
          <w:szCs w:val="21"/>
        </w:rPr>
        <w:t>未</w:t>
      </w:r>
      <w:r>
        <w:rPr>
          <w:rFonts w:hint="eastAsia"/>
          <w:sz w:val="21"/>
          <w:szCs w:val="21"/>
        </w:rPr>
        <w:t>付</w:t>
      </w:r>
      <w:r>
        <w:rPr>
          <w:sz w:val="21"/>
          <w:szCs w:val="21"/>
        </w:rPr>
        <w:t>款</w:t>
      </w:r>
      <w:r>
        <w:rPr>
          <w:rFonts w:hint="eastAsia"/>
          <w:sz w:val="21"/>
          <w:szCs w:val="21"/>
        </w:rPr>
        <w:t>中直接扣除相应款项</w:t>
      </w:r>
      <w:r>
        <w:rPr>
          <w:sz w:val="21"/>
          <w:szCs w:val="21"/>
        </w:rPr>
        <w:t>予以支付或</w:t>
      </w:r>
      <w:r>
        <w:rPr>
          <w:rFonts w:hint="eastAsia"/>
          <w:sz w:val="21"/>
          <w:szCs w:val="21"/>
        </w:rPr>
        <w:t>作出相应处理，由此产生的一切法律后果由我司承担；</w:t>
      </w:r>
    </w:p>
    <w:p>
      <w:pPr>
        <w:spacing w:line="360" w:lineRule="auto"/>
        <w:ind w:firstLine="420"/>
        <w:rPr>
          <w:sz w:val="21"/>
          <w:szCs w:val="21"/>
        </w:rPr>
      </w:pPr>
      <w:r>
        <w:rPr>
          <w:rFonts w:hint="eastAsia"/>
          <w:sz w:val="21"/>
          <w:szCs w:val="21"/>
        </w:rPr>
        <w:t>（二）如我司不履行、怠于履行或没有在约定时间内完成合同项下的全部义务，合同条款中有相应违约条款的，我司承诺将按照合同约定承担违约责任；其他无约定情形的，我司同意按照合同价（含税）的5%向贵公司承担违约金。同时，贵公司有权另行委派其他单位实施本项目，由此产生的差价及</w:t>
      </w:r>
      <w:r>
        <w:rPr>
          <w:sz w:val="21"/>
          <w:szCs w:val="21"/>
        </w:rPr>
        <w:t>相关</w:t>
      </w:r>
      <w:r>
        <w:rPr>
          <w:rFonts w:hint="eastAsia"/>
          <w:sz w:val="21"/>
          <w:szCs w:val="21"/>
        </w:rPr>
        <w:t>费用等由我司承担；</w:t>
      </w:r>
    </w:p>
    <w:p>
      <w:pPr>
        <w:spacing w:line="360" w:lineRule="auto"/>
        <w:ind w:firstLine="420"/>
        <w:rPr>
          <w:sz w:val="21"/>
          <w:szCs w:val="21"/>
        </w:rPr>
      </w:pPr>
      <w:r>
        <w:rPr>
          <w:rFonts w:hint="eastAsia"/>
          <w:sz w:val="21"/>
          <w:szCs w:val="21"/>
        </w:rPr>
        <w:t>（三）如我司有违反本项目管理及合同约定等行为，我司将同意并接受贵公司根据相关约定对我司进行处罚；</w:t>
      </w:r>
    </w:p>
    <w:p>
      <w:pPr>
        <w:spacing w:line="360" w:lineRule="auto"/>
        <w:ind w:firstLine="420"/>
        <w:rPr>
          <w:sz w:val="21"/>
          <w:szCs w:val="21"/>
        </w:rPr>
      </w:pPr>
      <w:r>
        <w:rPr>
          <w:rFonts w:hint="eastAsia"/>
          <w:sz w:val="21"/>
          <w:szCs w:val="21"/>
        </w:rPr>
        <w:t>（四）如我</w:t>
      </w:r>
      <w:r>
        <w:rPr>
          <w:sz w:val="21"/>
          <w:szCs w:val="21"/>
        </w:rPr>
        <w:t>司</w:t>
      </w:r>
      <w:r>
        <w:rPr>
          <w:rFonts w:hint="eastAsia"/>
          <w:sz w:val="21"/>
          <w:szCs w:val="21"/>
        </w:rPr>
        <w:t>有违反本项目管理及合同约定等行为，贵公司有权将我司列入贵公司母公司东莞市水务集团有限公司“黑名单”，我公司清楚并接受后续因此无法承接贵公司及贵公司母公司相关项目的后果；且我司将同意并接受贵公司向东莞阳光网、东莞日报等媒体公开我司失信行为，并上报东莞市住建局、东莞市水污染治理现场指挥部等部门要求取消我司参加东莞市公开招标项目的投标资格等，并愿按相关规定接受处理，由此产生的影响将由我司承担。</w:t>
      </w:r>
    </w:p>
    <w:p>
      <w:pPr>
        <w:spacing w:line="360" w:lineRule="auto"/>
        <w:ind w:firstLine="420"/>
        <w:rPr>
          <w:sz w:val="21"/>
          <w:szCs w:val="21"/>
        </w:rPr>
      </w:pPr>
    </w:p>
    <w:p>
      <w:pPr>
        <w:spacing w:line="360" w:lineRule="auto"/>
        <w:ind w:right="2268"/>
        <w:jc w:val="right"/>
        <w:rPr>
          <w:sz w:val="21"/>
          <w:szCs w:val="21"/>
        </w:rPr>
      </w:pPr>
      <w:r>
        <w:rPr>
          <w:rFonts w:hint="eastAsia"/>
          <w:sz w:val="21"/>
          <w:szCs w:val="21"/>
        </w:rPr>
        <w:t>承诺单位（盖章）：</w:t>
      </w:r>
    </w:p>
    <w:p>
      <w:pPr>
        <w:spacing w:line="360" w:lineRule="auto"/>
        <w:ind w:right="2268"/>
        <w:jc w:val="right"/>
        <w:rPr>
          <w:sz w:val="21"/>
          <w:szCs w:val="21"/>
        </w:rPr>
      </w:pPr>
      <w:r>
        <w:rPr>
          <w:rFonts w:hint="eastAsia"/>
          <w:sz w:val="21"/>
          <w:szCs w:val="21"/>
        </w:rPr>
        <w:t>法人代表人</w:t>
      </w:r>
      <w:r>
        <w:rPr>
          <w:sz w:val="21"/>
          <w:szCs w:val="21"/>
        </w:rPr>
        <w:t>（</w:t>
      </w:r>
      <w:r>
        <w:rPr>
          <w:rFonts w:hint="eastAsia"/>
          <w:sz w:val="21"/>
          <w:szCs w:val="21"/>
        </w:rPr>
        <w:t>授权</w:t>
      </w:r>
      <w:r>
        <w:rPr>
          <w:sz w:val="21"/>
          <w:szCs w:val="21"/>
        </w:rPr>
        <w:t>代理人）</w:t>
      </w:r>
      <w:r>
        <w:rPr>
          <w:rFonts w:hint="eastAsia"/>
          <w:sz w:val="21"/>
          <w:szCs w:val="21"/>
        </w:rPr>
        <w:t>签名（或盖私章）：</w:t>
      </w:r>
    </w:p>
    <w:p>
      <w:pPr>
        <w:spacing w:line="360" w:lineRule="auto"/>
        <w:ind w:right="2268"/>
        <w:jc w:val="center"/>
        <w:rPr>
          <w:sz w:val="21"/>
          <w:szCs w:val="21"/>
        </w:rPr>
      </w:pPr>
      <w:r>
        <w:rPr>
          <w:rFonts w:hint="eastAsia"/>
          <w:sz w:val="21"/>
          <w:szCs w:val="21"/>
        </w:rPr>
        <w:t xml:space="preserve">                                        年 </w:t>
      </w:r>
      <w:r>
        <w:rPr>
          <w:sz w:val="21"/>
          <w:szCs w:val="21"/>
        </w:rPr>
        <w:t xml:space="preserve">   </w:t>
      </w:r>
      <w:r>
        <w:rPr>
          <w:rFonts w:hint="eastAsia"/>
          <w:sz w:val="21"/>
          <w:szCs w:val="21"/>
        </w:rPr>
        <w:t xml:space="preserve">月 </w:t>
      </w:r>
      <w:r>
        <w:rPr>
          <w:sz w:val="21"/>
          <w:szCs w:val="21"/>
        </w:rPr>
        <w:t xml:space="preserve">   </w:t>
      </w:r>
      <w:r>
        <w:rPr>
          <w:rFonts w:hint="eastAsia"/>
          <w:sz w:val="21"/>
          <w:szCs w:val="21"/>
        </w:rPr>
        <w:t>日</w:t>
      </w:r>
    </w:p>
    <w:p>
      <w:pPr>
        <w:ind w:firstLine="482"/>
        <w:rPr>
          <w:b/>
          <w:bCs/>
        </w:rPr>
      </w:pPr>
      <w:r>
        <w:rPr>
          <w:rFonts w:hint="eastAsia"/>
          <w:b/>
          <w:bCs/>
        </w:rPr>
        <w:br w:type="page"/>
      </w:r>
    </w:p>
    <w:p>
      <w:pPr>
        <w:rPr>
          <w:b/>
          <w:bCs/>
        </w:rPr>
      </w:pPr>
      <w:r>
        <w:rPr>
          <w:rFonts w:hint="eastAsia"/>
          <w:b/>
          <w:bCs/>
        </w:rPr>
        <w:t>附件4：阳光合作告知函</w:t>
      </w:r>
    </w:p>
    <w:p>
      <w:pPr>
        <w:spacing w:line="580" w:lineRule="exact"/>
        <w:jc w:val="center"/>
        <w:rPr>
          <w:rFonts w:eastAsia="方正小标宋简体"/>
          <w:bCs/>
          <w:color w:val="000000"/>
          <w:sz w:val="44"/>
          <w:szCs w:val="44"/>
        </w:rPr>
      </w:pPr>
      <w:r>
        <w:rPr>
          <w:rFonts w:eastAsia="方正小标宋简体"/>
          <w:bCs/>
          <w:color w:val="000000"/>
          <w:sz w:val="44"/>
          <w:szCs w:val="44"/>
        </w:rPr>
        <w:t>阳光合作告知函</w:t>
      </w:r>
    </w:p>
    <w:p>
      <w:pPr>
        <w:spacing w:line="560" w:lineRule="exact"/>
        <w:rPr>
          <w:rFonts w:ascii="Times New Roman" w:eastAsia="仿宋_GB2312"/>
          <w:b/>
          <w:bCs/>
          <w:sz w:val="21"/>
          <w:szCs w:val="21"/>
        </w:rPr>
      </w:pPr>
    </w:p>
    <w:p>
      <w:pPr>
        <w:spacing w:line="560" w:lineRule="exact"/>
        <w:rPr>
          <w:rFonts w:hAnsi="宋体" w:cs="宋体"/>
          <w:sz w:val="21"/>
          <w:szCs w:val="21"/>
        </w:rPr>
      </w:pPr>
      <w:r>
        <w:rPr>
          <w:rFonts w:hint="eastAsia" w:hAnsi="宋体" w:cs="宋体"/>
          <w:b/>
          <w:bCs/>
          <w:sz w:val="21"/>
          <w:szCs w:val="21"/>
        </w:rPr>
        <w:t>项目名称：</w:t>
      </w:r>
      <w:r>
        <w:rPr>
          <w:rFonts w:hint="eastAsia" w:hAnsi="宋体" w:cs="宋体"/>
          <w:sz w:val="21"/>
          <w:szCs w:val="21"/>
        </w:rPr>
        <w:t xml:space="preserve">                 （采购编号：</w:t>
      </w:r>
      <w:r>
        <w:rPr>
          <w:rFonts w:hint="eastAsia" w:hAnsi="宋体" w:cs="宋体"/>
          <w:sz w:val="21"/>
          <w:szCs w:val="21"/>
          <w:u w:val="single"/>
        </w:rPr>
        <w:t xml:space="preserve">            </w:t>
      </w:r>
      <w:r>
        <w:rPr>
          <w:rFonts w:hint="eastAsia" w:hAnsi="宋体" w:cs="宋体"/>
          <w:sz w:val="21"/>
          <w:szCs w:val="21"/>
        </w:rPr>
        <w:t>）</w:t>
      </w:r>
    </w:p>
    <w:p>
      <w:pPr>
        <w:pStyle w:val="64"/>
        <w:snapToGrid w:val="0"/>
        <w:spacing w:line="580" w:lineRule="exact"/>
        <w:ind w:firstLine="0"/>
        <w:rPr>
          <w:rFonts w:ascii="宋体" w:hAnsi="宋体" w:cs="宋体"/>
          <w:color w:val="000000"/>
          <w:u w:val="single"/>
        </w:rPr>
      </w:pPr>
      <w:r>
        <w:rPr>
          <w:rFonts w:hint="eastAsia" w:ascii="宋体" w:hAnsi="宋体" w:cs="宋体"/>
          <w:color w:val="000000"/>
          <w:u w:val="single"/>
        </w:rPr>
        <w:t xml:space="preserve">                   </w:t>
      </w:r>
      <w:r>
        <w:rPr>
          <w:rFonts w:hint="eastAsia" w:ascii="宋体" w:hAnsi="宋体" w:cs="宋体"/>
          <w:color w:val="000000"/>
        </w:rPr>
        <w:t xml:space="preserve">：                          </w:t>
      </w:r>
    </w:p>
    <w:p>
      <w:pPr>
        <w:pStyle w:val="64"/>
        <w:snapToGrid w:val="0"/>
        <w:spacing w:line="580" w:lineRule="exact"/>
        <w:ind w:firstLine="420" w:firstLineChars="200"/>
        <w:rPr>
          <w:rFonts w:ascii="宋体" w:hAnsi="宋体" w:cs="宋体"/>
        </w:rPr>
      </w:pPr>
      <w:r>
        <w:rPr>
          <w:rFonts w:hint="eastAsia" w:ascii="宋体" w:hAnsi="宋体" w:cs="宋体"/>
        </w:rPr>
        <w:t>为保证我集团人员廉洁从业，规范和鼓励诚信交易行为，防止腐败和商业贿赂发生，推动双方建立阳光合作关系，现将我方推行阳光合作的相关管理规定函告如下：</w:t>
      </w:r>
    </w:p>
    <w:p>
      <w:pPr>
        <w:pStyle w:val="64"/>
        <w:snapToGrid w:val="0"/>
        <w:spacing w:line="580" w:lineRule="exact"/>
        <w:ind w:firstLine="420" w:firstLineChars="200"/>
        <w:rPr>
          <w:rFonts w:ascii="宋体" w:hAnsi="宋体" w:cs="宋体"/>
        </w:rPr>
      </w:pPr>
      <w:r>
        <w:rPr>
          <w:rFonts w:hint="eastAsia" w:ascii="宋体" w:hAnsi="宋体" w:cs="宋体"/>
        </w:rPr>
        <w:t>一、我方负责对本单位有关人员进行阳光合作教育和管理。</w:t>
      </w:r>
    </w:p>
    <w:p>
      <w:pPr>
        <w:pStyle w:val="64"/>
        <w:snapToGrid w:val="0"/>
        <w:spacing w:line="580" w:lineRule="exact"/>
        <w:ind w:firstLine="420" w:firstLineChars="200"/>
        <w:rPr>
          <w:rFonts w:ascii="宋体" w:hAnsi="宋体" w:cs="宋体"/>
        </w:rPr>
      </w:pPr>
      <w:r>
        <w:rPr>
          <w:rFonts w:hint="eastAsia" w:ascii="宋体" w:hAnsi="宋体" w:cs="宋体"/>
        </w:rPr>
        <w:t>二、我方人员有责任向贵方介绍本单位有关阳光合作的相关规定。</w:t>
      </w:r>
    </w:p>
    <w:p>
      <w:pPr>
        <w:pStyle w:val="64"/>
        <w:snapToGrid w:val="0"/>
        <w:spacing w:line="580" w:lineRule="exact"/>
        <w:ind w:firstLine="420" w:firstLineChars="200"/>
        <w:rPr>
          <w:rFonts w:ascii="宋体" w:hAnsi="宋体" w:cs="宋体"/>
        </w:rPr>
      </w:pPr>
      <w:r>
        <w:rPr>
          <w:rFonts w:hint="eastAsia" w:ascii="宋体" w:hAnsi="宋体" w:cs="宋体"/>
        </w:rPr>
        <w:t>三、我方人员应本着诚实守信、公平公开、平等互利原则开展交易合作，遵守国家相关法律法规。</w:t>
      </w:r>
    </w:p>
    <w:p>
      <w:pPr>
        <w:pStyle w:val="64"/>
        <w:snapToGrid w:val="0"/>
        <w:spacing w:line="580" w:lineRule="exact"/>
        <w:ind w:firstLine="420" w:firstLineChars="200"/>
        <w:rPr>
          <w:rFonts w:ascii="宋体" w:hAnsi="宋体" w:cs="宋体"/>
        </w:rPr>
      </w:pPr>
      <w:r>
        <w:rPr>
          <w:rFonts w:hint="eastAsia" w:ascii="宋体" w:hAnsi="宋体" w:cs="宋体"/>
        </w:rPr>
        <w:t>四、我方人员应廉洁从业，自觉抵制商业贿赂及不正当交易行为，在交易业务中涉及本人、亲属或其他相关人员时，应主动提请回避。</w:t>
      </w:r>
    </w:p>
    <w:p>
      <w:pPr>
        <w:pStyle w:val="64"/>
        <w:snapToGrid w:val="0"/>
        <w:spacing w:line="580" w:lineRule="exact"/>
        <w:ind w:firstLine="420" w:firstLineChars="200"/>
        <w:rPr>
          <w:rFonts w:ascii="宋体" w:hAnsi="宋体" w:cs="宋体"/>
        </w:rPr>
      </w:pPr>
      <w:r>
        <w:rPr>
          <w:rFonts w:hint="eastAsia" w:ascii="宋体" w:hAnsi="宋体" w:cs="宋体"/>
        </w:rPr>
        <w:t>五、在业务合作过程中，我方人员不得有以下违法违规行为：</w:t>
      </w:r>
    </w:p>
    <w:p>
      <w:pPr>
        <w:pStyle w:val="64"/>
        <w:snapToGrid w:val="0"/>
        <w:spacing w:line="580" w:lineRule="exact"/>
        <w:ind w:firstLine="420" w:firstLineChars="200"/>
        <w:rPr>
          <w:rFonts w:ascii="宋体" w:hAnsi="宋体" w:cs="宋体"/>
        </w:rPr>
      </w:pPr>
      <w:r>
        <w:rPr>
          <w:rFonts w:hint="eastAsia" w:ascii="宋体" w:hAnsi="宋体" w:cs="宋体"/>
        </w:rPr>
        <w:t xml:space="preserve">（一）合作过程中通过各种方式向贵方索贿、行贿，或为亲属、其他相关人员索取其他协助或服务； </w:t>
      </w:r>
    </w:p>
    <w:p>
      <w:pPr>
        <w:pStyle w:val="64"/>
        <w:snapToGrid w:val="0"/>
        <w:spacing w:line="580" w:lineRule="exact"/>
        <w:ind w:firstLine="420" w:firstLineChars="200"/>
        <w:rPr>
          <w:rFonts w:ascii="宋体" w:hAnsi="宋体" w:cs="宋体"/>
        </w:rPr>
      </w:pPr>
      <w:r>
        <w:rPr>
          <w:rFonts w:hint="eastAsia" w:ascii="宋体" w:hAnsi="宋体" w:cs="宋体"/>
        </w:rPr>
        <w:t>（二）合作过程中通过各种方式收受贵方财物、服务，或为他人谋取不正当利益，包括但不限于：实物、现金、有价证券、礼券等有价物品（以下统称“财物”），不得参加贵方提供的旅游或其他可能影响职务廉洁的活动；</w:t>
      </w:r>
    </w:p>
    <w:p>
      <w:pPr>
        <w:pStyle w:val="64"/>
        <w:snapToGrid w:val="0"/>
        <w:spacing w:line="580" w:lineRule="exact"/>
        <w:ind w:firstLine="420" w:firstLineChars="200"/>
        <w:rPr>
          <w:rFonts w:ascii="宋体" w:hAnsi="宋体" w:cs="宋体"/>
        </w:rPr>
      </w:pPr>
      <w:r>
        <w:rPr>
          <w:rFonts w:hint="eastAsia" w:ascii="宋体" w:hAnsi="宋体" w:cs="宋体"/>
        </w:rPr>
        <w:t xml:space="preserve">（三）擅自截留、挪用或侵占贵方财物； </w:t>
      </w:r>
    </w:p>
    <w:p>
      <w:pPr>
        <w:pStyle w:val="64"/>
        <w:snapToGrid w:val="0"/>
        <w:spacing w:line="580" w:lineRule="exact"/>
        <w:ind w:firstLine="420" w:firstLineChars="200"/>
        <w:rPr>
          <w:rFonts w:ascii="宋体" w:hAnsi="宋体" w:cs="宋体"/>
        </w:rPr>
      </w:pPr>
      <w:r>
        <w:rPr>
          <w:rFonts w:hint="eastAsia" w:ascii="宋体" w:hAnsi="宋体" w:cs="宋体"/>
        </w:rPr>
        <w:t xml:space="preserve">（四）以各种形式参与民间借贷，帮助贵方过桥借贷； </w:t>
      </w:r>
    </w:p>
    <w:p>
      <w:pPr>
        <w:pStyle w:val="64"/>
        <w:snapToGrid w:val="0"/>
        <w:spacing w:line="580" w:lineRule="exact"/>
        <w:ind w:firstLine="420" w:firstLineChars="200"/>
        <w:rPr>
          <w:rFonts w:ascii="宋体" w:hAnsi="宋体" w:cs="宋体"/>
        </w:rPr>
      </w:pPr>
      <w:r>
        <w:rPr>
          <w:rFonts w:hint="eastAsia" w:ascii="宋体" w:hAnsi="宋体" w:cs="宋体"/>
        </w:rPr>
        <w:t>（五）参与黄、赌、毒等违法犯罪活动；</w:t>
      </w:r>
    </w:p>
    <w:p>
      <w:pPr>
        <w:pStyle w:val="64"/>
        <w:snapToGrid w:val="0"/>
        <w:spacing w:line="580" w:lineRule="exact"/>
        <w:ind w:firstLine="420" w:firstLineChars="200"/>
        <w:rPr>
          <w:rFonts w:ascii="宋体" w:hAnsi="宋体" w:cs="宋体"/>
        </w:rPr>
      </w:pPr>
      <w:r>
        <w:rPr>
          <w:rFonts w:hint="eastAsia" w:ascii="宋体" w:hAnsi="宋体" w:cs="宋体"/>
        </w:rPr>
        <w:t xml:space="preserve">（六）其他违反国家法律法规和违反廉洁从业的行为。 </w:t>
      </w:r>
    </w:p>
    <w:p>
      <w:pPr>
        <w:pStyle w:val="64"/>
        <w:snapToGrid w:val="0"/>
        <w:spacing w:line="580" w:lineRule="exact"/>
        <w:ind w:firstLine="420" w:firstLineChars="200"/>
        <w:rPr>
          <w:rFonts w:ascii="宋体" w:hAnsi="宋体" w:cs="宋体"/>
        </w:rPr>
      </w:pPr>
      <w:r>
        <w:rPr>
          <w:rFonts w:hint="eastAsia" w:ascii="宋体" w:hAnsi="宋体" w:cs="宋体"/>
        </w:rPr>
        <w:t>六、在业务合作期间，我方有权通过回访等方式监督阳光合作执行情况。贵方及贵方人员发现我方任何人员任何形式的行贿、索贿、受贿或其他违反阳光合作的行为，可及时向我方举报。</w:t>
      </w:r>
    </w:p>
    <w:p>
      <w:pPr>
        <w:pStyle w:val="64"/>
        <w:snapToGrid w:val="0"/>
        <w:spacing w:line="580" w:lineRule="exact"/>
        <w:ind w:firstLine="420" w:firstLineChars="200"/>
        <w:rPr>
          <w:rFonts w:ascii="宋体" w:hAnsi="宋体" w:cs="宋体"/>
        </w:rPr>
      </w:pPr>
      <w:r>
        <w:rPr>
          <w:rFonts w:hint="eastAsia" w:ascii="宋体" w:hAnsi="宋体" w:cs="宋体"/>
        </w:rPr>
        <w:t>七、烦请贵方及贵方人员在投诉举报时，积极配合我方的相关调查工作，并提供联系方式等，便于我方纪检监察机构联系与调查核实。我方承诺对贵方的投诉举报人进行保密。</w:t>
      </w:r>
    </w:p>
    <w:p>
      <w:pPr>
        <w:pStyle w:val="64"/>
        <w:snapToGrid w:val="0"/>
        <w:spacing w:line="580" w:lineRule="exact"/>
        <w:ind w:firstLine="420" w:firstLineChars="200"/>
        <w:rPr>
          <w:rFonts w:ascii="宋体" w:hAnsi="宋体" w:cs="宋体"/>
        </w:rPr>
      </w:pPr>
      <w:r>
        <w:rPr>
          <w:rFonts w:hint="eastAsia" w:ascii="宋体" w:hAnsi="宋体" w:cs="宋体"/>
        </w:rPr>
        <w:t>八、贵方投诉举报的情况，经查证属实，我方将视情节轻重和影响恶劣程度对相关人员进行内部处理；构成犯罪的，依法移送司法机关处置，并将调查结果及时向贵方反馈。</w:t>
      </w:r>
    </w:p>
    <w:p>
      <w:pPr>
        <w:pStyle w:val="64"/>
        <w:snapToGrid w:val="0"/>
        <w:spacing w:line="580" w:lineRule="exact"/>
        <w:ind w:firstLine="420" w:firstLineChars="200"/>
        <w:rPr>
          <w:rFonts w:ascii="宋体" w:hAnsi="宋体" w:cs="宋体"/>
        </w:rPr>
      </w:pPr>
      <w:r>
        <w:rPr>
          <w:rFonts w:hint="eastAsia" w:ascii="宋体" w:hAnsi="宋体" w:cs="宋体"/>
        </w:rPr>
        <w:t>九、如贵方经办人员或其他相关人员主动诱使我方人员作出本告知函第五点列明的违法违规行为的，我方有权终止双方的合作，由此造成的损失由贵方承担。</w:t>
      </w:r>
    </w:p>
    <w:p>
      <w:pPr>
        <w:pStyle w:val="64"/>
        <w:snapToGrid w:val="0"/>
        <w:spacing w:line="580" w:lineRule="exact"/>
        <w:ind w:firstLine="420" w:firstLineChars="200"/>
        <w:rPr>
          <w:rFonts w:ascii="宋体" w:hAnsi="宋体" w:cs="宋体"/>
        </w:rPr>
      </w:pPr>
      <w:r>
        <w:rPr>
          <w:rFonts w:hint="eastAsia" w:ascii="宋体" w:hAnsi="宋体" w:cs="宋体"/>
        </w:rPr>
        <w:t>十、我方对如实举报和严格遵守阳光合作精神的合作方，在同等条件下给予后续合作的优先权。</w:t>
      </w:r>
    </w:p>
    <w:p>
      <w:pPr>
        <w:pStyle w:val="64"/>
        <w:snapToGrid w:val="0"/>
        <w:spacing w:line="580" w:lineRule="exact"/>
        <w:ind w:firstLine="420" w:firstLineChars="200"/>
        <w:rPr>
          <w:rFonts w:ascii="宋体" w:hAnsi="宋体" w:cs="宋体"/>
        </w:rPr>
      </w:pPr>
      <w:r>
        <w:rPr>
          <w:rFonts w:hint="eastAsia" w:ascii="宋体" w:hAnsi="宋体" w:cs="宋体"/>
        </w:rPr>
        <w:t>十一、</w:t>
      </w:r>
      <w:bookmarkStart w:id="149" w:name="OLE_LINK1"/>
      <w:r>
        <w:rPr>
          <w:rFonts w:hint="eastAsia" w:ascii="宋体" w:hAnsi="宋体" w:cs="宋体"/>
        </w:rPr>
        <w:t>其他</w:t>
      </w:r>
    </w:p>
    <w:p>
      <w:pPr>
        <w:pStyle w:val="64"/>
        <w:snapToGrid w:val="0"/>
        <w:spacing w:line="580" w:lineRule="exact"/>
        <w:ind w:firstLine="420" w:firstLineChars="200"/>
        <w:rPr>
          <w:rFonts w:ascii="宋体" w:hAnsi="宋体" w:cs="宋体"/>
        </w:rPr>
      </w:pPr>
      <w:r>
        <w:rPr>
          <w:rFonts w:hint="eastAsia" w:ascii="宋体" w:hAnsi="宋体" w:cs="宋体"/>
        </w:rPr>
        <w:t>（一）本告知函所言“其他相关人员”是指经办人以外的与合作项目有直接或间接利益关系的人员，包括但不仅限于项目经办人的亲友。</w:t>
      </w:r>
    </w:p>
    <w:bookmarkEnd w:id="149"/>
    <w:p>
      <w:pPr>
        <w:pStyle w:val="64"/>
        <w:snapToGrid w:val="0"/>
        <w:spacing w:line="580" w:lineRule="exact"/>
        <w:ind w:firstLine="420" w:firstLineChars="200"/>
        <w:rPr>
          <w:rFonts w:ascii="宋体" w:hAnsi="宋体" w:cs="宋体"/>
        </w:rPr>
      </w:pPr>
      <w:r>
        <w:rPr>
          <w:rFonts w:hint="eastAsia" w:ascii="宋体" w:hAnsi="宋体" w:cs="宋体"/>
        </w:rPr>
        <w:t xml:space="preserve">（二）我方常设投诉举报受理部门及联系方式： </w:t>
      </w:r>
    </w:p>
    <w:p>
      <w:pPr>
        <w:pStyle w:val="64"/>
        <w:snapToGrid w:val="0"/>
        <w:spacing w:line="580" w:lineRule="exact"/>
        <w:ind w:firstLine="422" w:firstLineChars="200"/>
        <w:rPr>
          <w:rFonts w:ascii="宋体" w:hAnsi="宋体" w:cs="宋体"/>
        </w:rPr>
      </w:pPr>
      <w:r>
        <w:rPr>
          <w:rFonts w:hint="eastAsia" w:ascii="宋体" w:hAnsi="宋体" w:cs="宋体"/>
          <w:b/>
          <w:bCs/>
        </w:rPr>
        <w:t>1.投诉举报受理部门：</w:t>
      </w:r>
      <w:r>
        <w:rPr>
          <w:rFonts w:hint="eastAsia" w:ascii="宋体" w:hAnsi="宋体" w:cs="宋体"/>
        </w:rPr>
        <w:t>东莞市水务集团有限公司纪检监察部；</w:t>
      </w:r>
    </w:p>
    <w:p>
      <w:pPr>
        <w:pStyle w:val="64"/>
        <w:snapToGrid w:val="0"/>
        <w:spacing w:line="580" w:lineRule="exact"/>
        <w:ind w:firstLine="422" w:firstLineChars="200"/>
        <w:rPr>
          <w:rFonts w:ascii="宋体" w:hAnsi="宋体" w:cs="宋体"/>
        </w:rPr>
      </w:pPr>
      <w:r>
        <w:rPr>
          <w:rFonts w:hint="eastAsia" w:ascii="宋体" w:hAnsi="宋体" w:cs="宋体"/>
          <w:b/>
          <w:bCs/>
        </w:rPr>
        <w:t>2.投诉举报电话：</w:t>
      </w:r>
      <w:r>
        <w:rPr>
          <w:rFonts w:hint="eastAsia" w:ascii="宋体" w:hAnsi="宋体" w:cs="宋体"/>
        </w:rPr>
        <w:t>0769–28823293（星期一至星期五：8:30-17:30）；</w:t>
      </w:r>
    </w:p>
    <w:p>
      <w:pPr>
        <w:pStyle w:val="64"/>
        <w:snapToGrid w:val="0"/>
        <w:spacing w:line="580" w:lineRule="exact"/>
        <w:ind w:firstLine="422" w:firstLineChars="200"/>
        <w:rPr>
          <w:rFonts w:ascii="宋体" w:hAnsi="宋体" w:cs="宋体"/>
        </w:rPr>
      </w:pPr>
      <w:r>
        <w:rPr>
          <w:rFonts w:hint="eastAsia" w:ascii="宋体" w:hAnsi="宋体" w:cs="宋体"/>
          <w:b/>
          <w:bCs/>
        </w:rPr>
        <w:t>3.联系地址：</w:t>
      </w:r>
      <w:r>
        <w:rPr>
          <w:rFonts w:hint="eastAsia" w:ascii="宋体" w:hAnsi="宋体" w:cs="宋体"/>
        </w:rPr>
        <w:t>东莞市东城街道育华路1号；</w:t>
      </w:r>
    </w:p>
    <w:p>
      <w:pPr>
        <w:pStyle w:val="64"/>
        <w:snapToGrid w:val="0"/>
        <w:spacing w:line="580" w:lineRule="exact"/>
        <w:ind w:firstLine="422" w:firstLineChars="200"/>
        <w:rPr>
          <w:rFonts w:ascii="宋体" w:hAnsi="宋体" w:cs="宋体"/>
        </w:rPr>
      </w:pPr>
      <w:r>
        <w:rPr>
          <w:rFonts w:hint="eastAsia" w:ascii="宋体" w:hAnsi="宋体" w:cs="宋体"/>
          <w:b/>
          <w:bCs/>
        </w:rPr>
        <w:t>4.邮编：</w:t>
      </w:r>
      <w:r>
        <w:rPr>
          <w:rFonts w:hint="eastAsia" w:ascii="宋体" w:hAnsi="宋体" w:cs="宋体"/>
        </w:rPr>
        <w:t>523000。</w:t>
      </w:r>
    </w:p>
    <w:p>
      <w:pPr>
        <w:pStyle w:val="64"/>
        <w:snapToGrid w:val="0"/>
        <w:spacing w:line="580" w:lineRule="exact"/>
        <w:ind w:firstLine="420" w:firstLineChars="200"/>
        <w:rPr>
          <w:rFonts w:ascii="宋体" w:hAnsi="宋体" w:cs="宋体"/>
        </w:rPr>
      </w:pPr>
      <w:r>
        <w:rPr>
          <w:rFonts w:hint="eastAsia" w:ascii="宋体" w:hAnsi="宋体" w:cs="宋体"/>
        </w:rPr>
        <w:t>让我们共同为建立健康、公平的商业秩序和实现双赢而努力。</w:t>
      </w:r>
    </w:p>
    <w:p>
      <w:pPr>
        <w:pStyle w:val="64"/>
        <w:snapToGrid w:val="0"/>
        <w:spacing w:line="580" w:lineRule="exact"/>
        <w:ind w:firstLine="420" w:firstLineChars="200"/>
        <w:rPr>
          <w:rFonts w:ascii="宋体" w:hAnsi="宋体" w:cs="宋体"/>
        </w:rPr>
      </w:pPr>
      <w:r>
        <w:rPr>
          <w:rFonts w:hint="eastAsia" w:ascii="宋体" w:hAnsi="宋体" w:cs="宋体"/>
        </w:rPr>
        <w:t>特此致函。</w:t>
      </w:r>
    </w:p>
    <w:p>
      <w:pPr>
        <w:pStyle w:val="64"/>
        <w:snapToGrid w:val="0"/>
        <w:spacing w:line="580" w:lineRule="exact"/>
        <w:ind w:firstLine="0"/>
        <w:rPr>
          <w:rFonts w:ascii="宋体" w:hAnsi="宋体" w:cs="宋体"/>
        </w:rPr>
      </w:pPr>
    </w:p>
    <w:p>
      <w:pPr>
        <w:pStyle w:val="64"/>
        <w:snapToGrid w:val="0"/>
        <w:spacing w:line="580" w:lineRule="exact"/>
        <w:ind w:firstLine="0"/>
        <w:rPr>
          <w:rFonts w:ascii="宋体" w:hAnsi="宋体" w:cs="宋体"/>
        </w:rPr>
      </w:pPr>
    </w:p>
    <w:p>
      <w:pPr>
        <w:pStyle w:val="64"/>
        <w:snapToGrid w:val="0"/>
        <w:spacing w:line="580" w:lineRule="exact"/>
        <w:ind w:firstLine="0"/>
        <w:rPr>
          <w:rFonts w:ascii="宋体" w:hAnsi="宋体" w:cs="宋体"/>
        </w:rPr>
      </w:pPr>
    </w:p>
    <w:p>
      <w:pPr>
        <w:spacing w:before="332" w:beforeLines="100" w:after="332" w:afterLines="100" w:line="360" w:lineRule="auto"/>
        <w:rPr>
          <w:sz w:val="21"/>
          <w:szCs w:val="21"/>
        </w:rPr>
      </w:pPr>
      <w:r>
        <w:rPr>
          <w:rFonts w:hint="eastAsia" w:ascii="宋体" w:hAnsi="宋体" w:cs="宋体"/>
        </w:rPr>
        <w:t xml:space="preserve"> </w:t>
      </w:r>
      <w:r>
        <w:rPr>
          <w:rFonts w:hint="eastAsia"/>
          <w:sz w:val="21"/>
          <w:szCs w:val="21"/>
        </w:rPr>
        <w:t xml:space="preserve">甲方1：东莞市水务集团管网有限公司          甲方2：东莞市莞泽水环境投资有限公司       </w:t>
      </w:r>
    </w:p>
    <w:p>
      <w:pPr>
        <w:spacing w:before="332" w:beforeLines="100" w:after="332" w:afterLines="100" w:line="360" w:lineRule="auto"/>
        <w:rPr>
          <w:rFonts w:hint="eastAsia"/>
          <w:sz w:val="21"/>
          <w:szCs w:val="21"/>
        </w:rPr>
      </w:pPr>
    </w:p>
    <w:p>
      <w:pPr>
        <w:spacing w:before="332" w:beforeLines="100" w:after="332" w:afterLines="100" w:line="360" w:lineRule="auto"/>
        <w:rPr>
          <w:sz w:val="21"/>
          <w:szCs w:val="21"/>
        </w:rPr>
      </w:pPr>
      <w:r>
        <w:rPr>
          <w:rFonts w:hint="eastAsia"/>
          <w:sz w:val="21"/>
          <w:szCs w:val="21"/>
        </w:rPr>
        <w:t xml:space="preserve">甲方3：东莞市东信水环境投资有限公司         甲方4：东莞市东泽水环境投资有限公司       </w:t>
      </w:r>
    </w:p>
    <w:p>
      <w:pPr>
        <w:spacing w:before="332" w:beforeLines="100" w:after="332" w:afterLines="100" w:line="360" w:lineRule="auto"/>
        <w:rPr>
          <w:sz w:val="21"/>
          <w:szCs w:val="21"/>
        </w:rPr>
      </w:pPr>
    </w:p>
    <w:p>
      <w:pPr>
        <w:spacing w:before="332" w:beforeLines="100" w:after="332" w:afterLines="100" w:line="360" w:lineRule="auto"/>
        <w:rPr>
          <w:sz w:val="21"/>
          <w:szCs w:val="21"/>
        </w:rPr>
      </w:pPr>
      <w:r>
        <w:rPr>
          <w:rFonts w:hint="eastAsia"/>
          <w:sz w:val="21"/>
          <w:szCs w:val="21"/>
        </w:rPr>
        <w:t xml:space="preserve">甲方5：东莞市清泽水环境投资有限公司        甲方6：东莞市莞清水环境投资有限公司       </w:t>
      </w:r>
    </w:p>
    <w:p>
      <w:pPr>
        <w:spacing w:before="332" w:beforeLines="100" w:after="332" w:afterLines="100" w:line="360" w:lineRule="auto"/>
        <w:rPr>
          <w:sz w:val="21"/>
          <w:szCs w:val="21"/>
        </w:rPr>
      </w:pPr>
      <w:r>
        <w:rPr>
          <w:rFonts w:hint="eastAsia"/>
          <w:sz w:val="21"/>
          <w:szCs w:val="21"/>
        </w:rPr>
        <w:t xml:space="preserve">     </w:t>
      </w:r>
    </w:p>
    <w:p>
      <w:pPr>
        <w:spacing w:line="360" w:lineRule="auto"/>
        <w:rPr>
          <w:rFonts w:ascii="仿宋_GB2312" w:eastAsia="仿宋_GB2312"/>
          <w:sz w:val="28"/>
          <w:szCs w:val="28"/>
        </w:rPr>
      </w:pPr>
      <w:r>
        <w:rPr>
          <w:rFonts w:hint="eastAsia"/>
          <w:sz w:val="21"/>
          <w:szCs w:val="21"/>
        </w:rPr>
        <w:t xml:space="preserve">甲方7：东莞市东江水环境投资有限公司     </w:t>
      </w:r>
    </w:p>
    <w:p>
      <w:pPr>
        <w:pStyle w:val="64"/>
        <w:wordWrap w:val="0"/>
        <w:snapToGrid w:val="0"/>
        <w:spacing w:line="580" w:lineRule="exact"/>
        <w:ind w:firstLine="0"/>
        <w:jc w:val="right"/>
        <w:rPr>
          <w:rFonts w:ascii="宋体" w:hAnsi="宋体" w:cs="宋体"/>
        </w:rPr>
      </w:pPr>
    </w:p>
    <w:p>
      <w:pPr>
        <w:pStyle w:val="64"/>
        <w:snapToGrid w:val="0"/>
        <w:spacing w:line="580" w:lineRule="exact"/>
        <w:ind w:firstLine="0"/>
        <w:jc w:val="right"/>
        <w:rPr>
          <w:rFonts w:ascii="宋体" w:hAnsi="宋体" w:cs="宋体"/>
        </w:rPr>
      </w:pPr>
      <w:r>
        <w:rPr>
          <w:rFonts w:hint="eastAsia" w:ascii="宋体" w:hAnsi="宋体" w:cs="宋体"/>
        </w:rPr>
        <w:t xml:space="preserve">  年   月   日</w:t>
      </w:r>
      <w:bookmarkStart w:id="150" w:name="现场签证通知单"/>
      <w:bookmarkEnd w:id="150"/>
      <w:bookmarkStart w:id="151" w:name="设计变更通知单"/>
      <w:bookmarkEnd w:id="151"/>
    </w:p>
    <w:p>
      <w:pPr>
        <w:pStyle w:val="64"/>
        <w:snapToGrid w:val="0"/>
        <w:spacing w:line="580" w:lineRule="exact"/>
        <w:ind w:firstLine="0"/>
        <w:jc w:val="right"/>
        <w:rPr>
          <w:rFonts w:ascii="仿宋_GB2312" w:hAnsi="Times New Roman" w:eastAsia="仿宋_GB2312"/>
        </w:rPr>
      </w:pPr>
    </w:p>
    <w:p>
      <w:pPr>
        <w:pStyle w:val="64"/>
        <w:snapToGrid w:val="0"/>
        <w:spacing w:line="580" w:lineRule="exact"/>
        <w:ind w:firstLine="0"/>
        <w:jc w:val="right"/>
        <w:rPr>
          <w:rFonts w:ascii="仿宋_GB2312" w:hAnsi="Times New Roman" w:eastAsia="仿宋_GB2312"/>
        </w:rPr>
      </w:pPr>
    </w:p>
    <w:p>
      <w:pPr>
        <w:pStyle w:val="64"/>
        <w:snapToGrid w:val="0"/>
        <w:spacing w:line="580" w:lineRule="exact"/>
        <w:ind w:firstLine="0"/>
        <w:jc w:val="right"/>
        <w:rPr>
          <w:rFonts w:ascii="仿宋_GB2312" w:hAnsi="Times New Roman" w:eastAsia="仿宋_GB2312"/>
        </w:rPr>
      </w:pPr>
    </w:p>
    <w:p>
      <w:pPr>
        <w:pStyle w:val="64"/>
        <w:snapToGrid w:val="0"/>
        <w:spacing w:line="580" w:lineRule="exact"/>
        <w:ind w:firstLine="0"/>
        <w:jc w:val="right"/>
        <w:rPr>
          <w:rFonts w:ascii="仿宋_GB2312" w:hAnsi="Times New Roman" w:eastAsia="仿宋_GB2312"/>
        </w:rPr>
      </w:pPr>
    </w:p>
    <w:p>
      <w:pPr>
        <w:pStyle w:val="64"/>
        <w:snapToGrid w:val="0"/>
        <w:spacing w:line="580" w:lineRule="exact"/>
        <w:ind w:firstLine="0"/>
        <w:jc w:val="right"/>
        <w:rPr>
          <w:rFonts w:ascii="仿宋_GB2312" w:hAnsi="Times New Roman" w:eastAsia="仿宋_GB2312"/>
        </w:rPr>
      </w:pPr>
    </w:p>
    <w:p>
      <w:pPr>
        <w:pStyle w:val="64"/>
        <w:snapToGrid w:val="0"/>
        <w:spacing w:line="580" w:lineRule="exact"/>
        <w:ind w:firstLine="0"/>
        <w:jc w:val="right"/>
        <w:rPr>
          <w:rFonts w:ascii="仿宋_GB2312" w:hAnsi="Times New Roman" w:eastAsia="仿宋_GB2312"/>
        </w:rPr>
      </w:pPr>
    </w:p>
    <w:p>
      <w:pPr>
        <w:pStyle w:val="64"/>
        <w:snapToGrid w:val="0"/>
        <w:spacing w:line="580" w:lineRule="exact"/>
        <w:ind w:firstLine="0"/>
        <w:jc w:val="right"/>
        <w:rPr>
          <w:rFonts w:ascii="仿宋_GB2312" w:hAnsi="Times New Roman" w:eastAsia="仿宋_GB2312"/>
        </w:rPr>
      </w:pPr>
    </w:p>
    <w:p>
      <w:pPr>
        <w:pStyle w:val="64"/>
        <w:snapToGrid w:val="0"/>
        <w:spacing w:line="580" w:lineRule="exact"/>
        <w:ind w:firstLine="0"/>
        <w:jc w:val="right"/>
        <w:rPr>
          <w:rFonts w:ascii="仿宋_GB2312" w:hAnsi="Times New Roman" w:eastAsia="仿宋_GB2312"/>
        </w:rPr>
      </w:pPr>
    </w:p>
    <w:p>
      <w:pPr>
        <w:pStyle w:val="64"/>
        <w:snapToGrid w:val="0"/>
        <w:spacing w:line="580" w:lineRule="exact"/>
        <w:ind w:firstLine="0"/>
        <w:jc w:val="right"/>
        <w:rPr>
          <w:rFonts w:ascii="仿宋_GB2312" w:hAnsi="Times New Roman" w:eastAsia="仿宋_GB2312"/>
        </w:rPr>
      </w:pPr>
    </w:p>
    <w:p>
      <w:pPr>
        <w:pStyle w:val="64"/>
        <w:snapToGrid w:val="0"/>
        <w:spacing w:line="580" w:lineRule="exact"/>
        <w:ind w:firstLine="0"/>
        <w:jc w:val="right"/>
        <w:rPr>
          <w:rFonts w:ascii="仿宋_GB2312" w:hAnsi="Times New Roman" w:eastAsia="仿宋_GB2312"/>
        </w:rPr>
      </w:pPr>
    </w:p>
    <w:p>
      <w:pPr>
        <w:pStyle w:val="64"/>
        <w:snapToGrid w:val="0"/>
        <w:spacing w:line="580" w:lineRule="exact"/>
        <w:ind w:firstLine="0"/>
        <w:jc w:val="right"/>
        <w:rPr>
          <w:rFonts w:ascii="仿宋_GB2312" w:hAnsi="Times New Roman" w:eastAsia="仿宋_GB2312"/>
        </w:rPr>
      </w:pPr>
    </w:p>
    <w:p>
      <w:pPr>
        <w:pStyle w:val="64"/>
        <w:snapToGrid w:val="0"/>
        <w:spacing w:line="580" w:lineRule="exact"/>
        <w:ind w:firstLine="0"/>
        <w:jc w:val="right"/>
        <w:rPr>
          <w:rFonts w:ascii="仿宋_GB2312" w:hAnsi="Times New Roman" w:eastAsia="仿宋_GB2312"/>
        </w:rPr>
      </w:pPr>
    </w:p>
    <w:p>
      <w:pPr>
        <w:spacing w:line="580" w:lineRule="exact"/>
        <w:jc w:val="center"/>
        <w:rPr>
          <w:rFonts w:hAnsi="宋体" w:eastAsia="方正小标宋简体"/>
          <w:bCs/>
          <w:color w:val="000000"/>
          <w:sz w:val="44"/>
          <w:szCs w:val="44"/>
          <w:lang w:val="zh-CN"/>
        </w:rPr>
      </w:pPr>
      <w:r>
        <w:rPr>
          <w:rFonts w:hAnsi="宋体" w:eastAsia="方正小标宋简体"/>
          <w:bCs/>
          <w:color w:val="000000"/>
          <w:sz w:val="44"/>
          <w:szCs w:val="44"/>
          <w:lang w:val="zh-CN"/>
        </w:rPr>
        <w:t>阳光合作告知函回执</w:t>
      </w:r>
    </w:p>
    <w:p>
      <w:pPr>
        <w:pStyle w:val="64"/>
        <w:snapToGrid w:val="0"/>
        <w:spacing w:line="580" w:lineRule="exact"/>
        <w:ind w:firstLine="0"/>
        <w:jc w:val="center"/>
        <w:rPr>
          <w:rFonts w:ascii="Times New Roman" w:hAnsi="Times New Roman" w:eastAsia="仿宋_GB2312"/>
          <w:sz w:val="30"/>
          <w:szCs w:val="30"/>
        </w:rPr>
      </w:pPr>
      <w:r>
        <w:rPr>
          <w:rFonts w:ascii="Times New Roman" w:hAnsi="Times New Roman" w:eastAsia="仿宋_GB2312"/>
          <w:sz w:val="30"/>
          <w:szCs w:val="30"/>
        </w:rPr>
        <w:t xml:space="preserve">                            </w:t>
      </w:r>
    </w:p>
    <w:p>
      <w:pPr>
        <w:pStyle w:val="64"/>
        <w:snapToGrid w:val="0"/>
        <w:spacing w:line="580" w:lineRule="exact"/>
        <w:ind w:firstLine="0"/>
        <w:jc w:val="center"/>
        <w:rPr>
          <w:rFonts w:ascii="宋体" w:hAnsi="宋体" w:cs="宋体"/>
        </w:rPr>
      </w:pPr>
      <w:r>
        <w:rPr>
          <w:rFonts w:hint="eastAsia" w:ascii="宋体" w:hAnsi="宋体" w:cs="宋体"/>
        </w:rPr>
        <w:t xml:space="preserve">                                  </w:t>
      </w:r>
      <w:r>
        <w:rPr>
          <w:rFonts w:hint="eastAsia" w:ascii="宋体" w:hAnsi="宋体" w:cs="宋体"/>
          <w:lang w:val="zh-CN"/>
        </w:rPr>
        <w:t>编号：</w:t>
      </w:r>
      <w:r>
        <w:rPr>
          <w:rFonts w:hint="eastAsia" w:ascii="宋体" w:hAnsi="宋体" w:cs="宋体"/>
        </w:rPr>
        <w:t xml:space="preserve">   </w:t>
      </w:r>
    </w:p>
    <w:p>
      <w:pPr>
        <w:pStyle w:val="64"/>
        <w:snapToGrid w:val="0"/>
        <w:spacing w:line="580" w:lineRule="exact"/>
        <w:ind w:firstLine="0"/>
        <w:jc w:val="center"/>
        <w:rPr>
          <w:rFonts w:ascii="宋体" w:hAnsi="宋体" w:cs="宋体"/>
          <w:lang w:val="zh-CN"/>
        </w:rPr>
      </w:pPr>
    </w:p>
    <w:p>
      <w:pPr>
        <w:autoSpaceDE/>
        <w:autoSpaceDN/>
        <w:spacing w:line="580" w:lineRule="exact"/>
        <w:ind w:firstLine="420" w:firstLineChars="200"/>
        <w:rPr>
          <w:rFonts w:cs="宋体"/>
          <w:sz w:val="21"/>
          <w:szCs w:val="21"/>
          <w:lang w:val="zh-CN"/>
        </w:rPr>
      </w:pPr>
      <w:r>
        <w:rPr>
          <w:rFonts w:hint="eastAsia" w:cs="宋体"/>
          <w:sz w:val="21"/>
          <w:szCs w:val="21"/>
          <w:lang w:val="zh-CN"/>
        </w:rPr>
        <w:t>我单位于</w:t>
      </w:r>
      <w:r>
        <w:rPr>
          <w:rFonts w:hint="eastAsia" w:cs="宋体"/>
          <w:sz w:val="21"/>
          <w:szCs w:val="21"/>
          <w:u w:val="single"/>
          <w:lang w:val="zh-CN"/>
        </w:rPr>
        <w:t xml:space="preserve">       </w:t>
      </w:r>
      <w:r>
        <w:rPr>
          <w:rFonts w:hint="eastAsia" w:cs="宋体"/>
          <w:sz w:val="21"/>
          <w:szCs w:val="21"/>
          <w:lang w:val="zh-CN"/>
        </w:rPr>
        <w:t>年</w:t>
      </w:r>
      <w:r>
        <w:rPr>
          <w:rFonts w:hint="eastAsia" w:cs="宋体"/>
          <w:sz w:val="21"/>
          <w:szCs w:val="21"/>
          <w:u w:val="single"/>
          <w:lang w:val="zh-CN"/>
        </w:rPr>
        <w:t xml:space="preserve">    </w:t>
      </w:r>
      <w:r>
        <w:rPr>
          <w:rFonts w:hint="eastAsia" w:cs="宋体"/>
          <w:sz w:val="21"/>
          <w:szCs w:val="21"/>
          <w:lang w:val="zh-CN"/>
        </w:rPr>
        <w:t>月</w:t>
      </w:r>
      <w:r>
        <w:rPr>
          <w:rFonts w:hint="eastAsia" w:cs="宋体"/>
          <w:sz w:val="21"/>
          <w:szCs w:val="21"/>
          <w:u w:val="single"/>
          <w:lang w:val="zh-CN"/>
        </w:rPr>
        <w:t xml:space="preserve">    </w:t>
      </w:r>
      <w:r>
        <w:rPr>
          <w:rFonts w:hint="eastAsia" w:cs="宋体"/>
          <w:sz w:val="21"/>
          <w:szCs w:val="21"/>
          <w:lang w:val="zh-CN"/>
        </w:rPr>
        <w:t>日收到</w:t>
      </w:r>
      <w:r>
        <w:rPr>
          <w:rFonts w:hint="eastAsia" w:cs="宋体"/>
          <w:sz w:val="21"/>
          <w:szCs w:val="21"/>
          <w:u w:val="single"/>
        </w:rPr>
        <w:t xml:space="preserve">                 </w:t>
      </w:r>
      <w:r>
        <w:rPr>
          <w:rFonts w:hint="eastAsia" w:cs="宋体"/>
          <w:sz w:val="21"/>
          <w:szCs w:val="21"/>
        </w:rPr>
        <w:t>公司</w:t>
      </w:r>
      <w:r>
        <w:rPr>
          <w:rFonts w:hint="eastAsia" w:cs="宋体"/>
          <w:sz w:val="21"/>
          <w:szCs w:val="21"/>
          <w:lang w:val="zh-CN"/>
        </w:rPr>
        <w:t>的《阳光合作告知函》，承诺理解函告内容并告知相关人员严格执行其中规定。</w:t>
      </w:r>
    </w:p>
    <w:p>
      <w:pPr>
        <w:snapToGrid w:val="0"/>
        <w:spacing w:line="580" w:lineRule="exact"/>
        <w:rPr>
          <w:rFonts w:cs="宋体"/>
          <w:sz w:val="21"/>
          <w:szCs w:val="21"/>
          <w:lang w:val="zh-CN"/>
        </w:rPr>
      </w:pPr>
    </w:p>
    <w:p>
      <w:pPr>
        <w:snapToGrid w:val="0"/>
        <w:spacing w:line="580" w:lineRule="exact"/>
        <w:rPr>
          <w:rFonts w:cs="宋体"/>
          <w:sz w:val="21"/>
          <w:szCs w:val="21"/>
          <w:lang w:val="zh-CN"/>
        </w:rPr>
      </w:pPr>
      <w:r>
        <w:rPr>
          <w:rFonts w:hint="eastAsia" w:cs="宋体"/>
          <w:sz w:val="21"/>
          <w:szCs w:val="21"/>
          <w:lang w:val="zh-CN"/>
        </w:rPr>
        <w:t xml:space="preserve">                      </w:t>
      </w:r>
      <w:r>
        <w:rPr>
          <w:rFonts w:hint="eastAsia" w:hAnsi="宋体" w:cs="宋体"/>
          <w:bCs/>
          <w:sz w:val="21"/>
          <w:szCs w:val="21"/>
        </w:rPr>
        <w:t xml:space="preserve">         </w:t>
      </w:r>
      <w:r>
        <w:rPr>
          <w:rFonts w:hint="eastAsia" w:cs="宋体"/>
          <w:bCs/>
          <w:sz w:val="21"/>
          <w:szCs w:val="21"/>
        </w:rPr>
        <w:t xml:space="preserve">              </w:t>
      </w:r>
      <w:r>
        <w:rPr>
          <w:rFonts w:hint="eastAsia" w:hAnsi="宋体" w:cs="宋体"/>
          <w:bCs/>
          <w:sz w:val="21"/>
          <w:szCs w:val="21"/>
          <w:u w:val="single"/>
        </w:rPr>
        <w:t xml:space="preserve">    </w:t>
      </w:r>
      <w:r>
        <w:rPr>
          <w:rFonts w:hint="eastAsia" w:cs="宋体"/>
          <w:bCs/>
          <w:sz w:val="21"/>
          <w:szCs w:val="21"/>
          <w:u w:val="single"/>
        </w:rPr>
        <w:t xml:space="preserve">          </w:t>
      </w:r>
      <w:r>
        <w:rPr>
          <w:rFonts w:hint="eastAsia" w:hAnsi="宋体" w:cs="宋体"/>
          <w:bCs/>
          <w:sz w:val="21"/>
          <w:szCs w:val="21"/>
          <w:u w:val="single"/>
        </w:rPr>
        <w:t xml:space="preserve">        公司</w:t>
      </w:r>
      <w:r>
        <w:rPr>
          <w:rFonts w:hint="eastAsia" w:cs="宋体"/>
          <w:sz w:val="21"/>
          <w:szCs w:val="21"/>
          <w:lang w:val="zh-CN"/>
        </w:rPr>
        <w:t>（盖章）</w:t>
      </w:r>
    </w:p>
    <w:p>
      <w:pPr>
        <w:snapToGrid w:val="0"/>
        <w:spacing w:line="580" w:lineRule="exact"/>
        <w:rPr>
          <w:rFonts w:cs="宋体"/>
          <w:sz w:val="21"/>
          <w:szCs w:val="21"/>
          <w:lang w:val="zh-CN"/>
        </w:rPr>
      </w:pPr>
    </w:p>
    <w:p>
      <w:pPr>
        <w:snapToGrid w:val="0"/>
        <w:spacing w:line="580" w:lineRule="exact"/>
        <w:ind w:right="1280"/>
        <w:jc w:val="center"/>
        <w:rPr>
          <w:rFonts w:cs="宋体"/>
          <w:sz w:val="21"/>
          <w:szCs w:val="21"/>
        </w:rPr>
      </w:pPr>
      <w:r>
        <w:rPr>
          <w:rFonts w:hint="eastAsia" w:hAnsi="宋体" w:cs="宋体"/>
          <w:sz w:val="21"/>
          <w:szCs w:val="21"/>
        </w:rPr>
        <w:t xml:space="preserve">                                   </w:t>
      </w:r>
      <w:r>
        <w:rPr>
          <w:rFonts w:hint="eastAsia" w:cs="宋体"/>
          <w:sz w:val="21"/>
          <w:szCs w:val="21"/>
        </w:rPr>
        <w:t xml:space="preserve">法定代表人：   </w:t>
      </w:r>
      <w:r>
        <w:rPr>
          <w:rFonts w:hint="eastAsia" w:hAnsi="宋体" w:cs="宋体"/>
          <w:sz w:val="21"/>
          <w:szCs w:val="21"/>
        </w:rPr>
        <w:t xml:space="preserve">                       </w:t>
      </w:r>
      <w:r>
        <w:rPr>
          <w:rFonts w:hint="eastAsia" w:cs="宋体"/>
          <w:sz w:val="21"/>
          <w:szCs w:val="21"/>
        </w:rPr>
        <w:t xml:space="preserve">        </w:t>
      </w:r>
    </w:p>
    <w:p>
      <w:pPr>
        <w:wordWrap w:val="0"/>
        <w:snapToGrid w:val="0"/>
        <w:spacing w:line="580" w:lineRule="exact"/>
        <w:jc w:val="right"/>
        <w:rPr>
          <w:rFonts w:cs="宋体"/>
          <w:sz w:val="21"/>
          <w:szCs w:val="21"/>
        </w:rPr>
      </w:pPr>
      <w:r>
        <w:rPr>
          <w:rFonts w:hint="eastAsia" w:cs="宋体"/>
          <w:sz w:val="21"/>
          <w:szCs w:val="21"/>
        </w:rPr>
        <w:t xml:space="preserve"> </w:t>
      </w:r>
    </w:p>
    <w:p>
      <w:pPr>
        <w:pStyle w:val="64"/>
        <w:snapToGrid w:val="0"/>
        <w:spacing w:line="580" w:lineRule="exact"/>
        <w:ind w:firstLine="0"/>
        <w:jc w:val="right"/>
        <w:rPr>
          <w:rFonts w:ascii="宋体" w:hAnsi="宋体" w:cs="宋体"/>
        </w:rPr>
      </w:pPr>
      <w:r>
        <w:rPr>
          <w:rFonts w:hint="eastAsia" w:ascii="宋体" w:hAnsi="宋体" w:cs="宋体"/>
        </w:rPr>
        <w:t>年    月    日</w:t>
      </w:r>
    </w:p>
    <w:p>
      <w:pPr>
        <w:spacing w:line="560" w:lineRule="exact"/>
        <w:ind w:firstLine="420" w:firstLineChars="200"/>
        <w:rPr>
          <w:rFonts w:hAnsi="宋体" w:cs="宋体"/>
          <w:sz w:val="21"/>
          <w:szCs w:val="21"/>
        </w:rPr>
      </w:pPr>
    </w:p>
    <w:p>
      <w:pPr>
        <w:rPr>
          <w:b/>
          <w:bCs/>
        </w:rPr>
      </w:pPr>
      <w:r>
        <w:rPr>
          <w:rFonts w:hint="eastAsia"/>
          <w:b/>
          <w:bCs/>
        </w:rPr>
        <w:br w:type="page"/>
      </w:r>
    </w:p>
    <w:p>
      <w:pPr>
        <w:spacing w:line="360" w:lineRule="auto"/>
      </w:pPr>
      <w:r>
        <w:rPr>
          <w:rFonts w:hint="eastAsia"/>
          <w:b/>
          <w:bCs/>
        </w:rPr>
        <w:t>附件5：保密协议</w:t>
      </w:r>
    </w:p>
    <w:p>
      <w:pPr>
        <w:spacing w:line="360" w:lineRule="auto"/>
      </w:pPr>
    </w:p>
    <w:p>
      <w:pPr>
        <w:pStyle w:val="62"/>
        <w:spacing w:line="360" w:lineRule="auto"/>
        <w:ind w:firstLine="88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保 密 协 议</w:t>
      </w:r>
    </w:p>
    <w:p>
      <w:pPr>
        <w:pStyle w:val="62"/>
        <w:spacing w:line="360" w:lineRule="auto"/>
        <w:ind w:firstLine="420"/>
        <w:rPr>
          <w:rFonts w:eastAsia="宋体"/>
          <w:szCs w:val="21"/>
        </w:rPr>
      </w:pPr>
    </w:p>
    <w:p>
      <w:pPr>
        <w:pStyle w:val="63"/>
        <w:spacing w:line="360" w:lineRule="auto"/>
        <w:ind w:firstLine="420"/>
        <w:rPr>
          <w:sz w:val="21"/>
          <w:szCs w:val="21"/>
          <w:lang w:eastAsia="zh-CN"/>
        </w:rPr>
      </w:pPr>
      <w:r>
        <w:rPr>
          <w:rFonts w:hint="eastAsia"/>
          <w:sz w:val="21"/>
          <w:szCs w:val="21"/>
        </w:rPr>
        <w:t>甲方</w:t>
      </w:r>
      <w:r>
        <w:rPr>
          <w:rFonts w:hint="eastAsia"/>
          <w:sz w:val="21"/>
          <w:szCs w:val="21"/>
          <w:lang w:val="en-US" w:eastAsia="zh-CN"/>
        </w:rPr>
        <w:t>1</w:t>
      </w:r>
      <w:r>
        <w:rPr>
          <w:rFonts w:hint="eastAsia"/>
          <w:sz w:val="21"/>
          <w:szCs w:val="21"/>
        </w:rPr>
        <w:t>（委托人）</w:t>
      </w:r>
      <w:r>
        <w:rPr>
          <w:rFonts w:hint="eastAsia"/>
          <w:sz w:val="21"/>
          <w:szCs w:val="21"/>
          <w:lang w:eastAsia="zh-CN"/>
        </w:rPr>
        <w:t>：东莞市水务集团管网有限公司</w:t>
      </w:r>
    </w:p>
    <w:p>
      <w:pPr>
        <w:pStyle w:val="63"/>
        <w:spacing w:line="360" w:lineRule="auto"/>
        <w:ind w:firstLine="420"/>
        <w:rPr>
          <w:sz w:val="21"/>
          <w:szCs w:val="21"/>
          <w:lang w:eastAsia="zh-CN"/>
        </w:rPr>
      </w:pPr>
      <w:r>
        <w:rPr>
          <w:rFonts w:hint="eastAsia"/>
          <w:sz w:val="21"/>
          <w:szCs w:val="21"/>
        </w:rPr>
        <w:t>甲方</w:t>
      </w:r>
      <w:r>
        <w:rPr>
          <w:rFonts w:hint="eastAsia"/>
          <w:sz w:val="21"/>
          <w:szCs w:val="21"/>
          <w:lang w:val="en-US" w:eastAsia="zh-CN"/>
        </w:rPr>
        <w:t>2</w:t>
      </w:r>
      <w:r>
        <w:rPr>
          <w:rFonts w:hint="eastAsia"/>
          <w:sz w:val="21"/>
          <w:szCs w:val="21"/>
        </w:rPr>
        <w:t>（委托人）</w:t>
      </w:r>
      <w:r>
        <w:rPr>
          <w:rFonts w:hint="eastAsia"/>
          <w:sz w:val="21"/>
          <w:szCs w:val="21"/>
          <w:lang w:eastAsia="zh-CN"/>
        </w:rPr>
        <w:t>：东莞市莞泽水环境投资有限公司</w:t>
      </w:r>
    </w:p>
    <w:p>
      <w:pPr>
        <w:pStyle w:val="63"/>
        <w:spacing w:line="360" w:lineRule="auto"/>
        <w:ind w:firstLine="420"/>
        <w:rPr>
          <w:sz w:val="21"/>
          <w:szCs w:val="21"/>
          <w:lang w:eastAsia="zh-CN"/>
        </w:rPr>
      </w:pPr>
      <w:r>
        <w:rPr>
          <w:rFonts w:hint="eastAsia"/>
          <w:sz w:val="21"/>
          <w:szCs w:val="21"/>
        </w:rPr>
        <w:t>甲方</w:t>
      </w:r>
      <w:r>
        <w:rPr>
          <w:rFonts w:hint="eastAsia"/>
          <w:sz w:val="21"/>
          <w:szCs w:val="21"/>
          <w:lang w:val="en-US" w:eastAsia="zh-CN"/>
        </w:rPr>
        <w:t>3</w:t>
      </w:r>
      <w:r>
        <w:rPr>
          <w:rFonts w:hint="eastAsia"/>
          <w:sz w:val="21"/>
          <w:szCs w:val="21"/>
        </w:rPr>
        <w:t>（委托人）</w:t>
      </w:r>
      <w:r>
        <w:rPr>
          <w:rFonts w:hint="eastAsia"/>
          <w:sz w:val="21"/>
          <w:szCs w:val="21"/>
          <w:lang w:eastAsia="zh-CN"/>
        </w:rPr>
        <w:t>： 东莞市东信水环境投资有限公司</w:t>
      </w:r>
    </w:p>
    <w:p>
      <w:pPr>
        <w:pStyle w:val="63"/>
        <w:spacing w:line="360" w:lineRule="auto"/>
        <w:ind w:firstLine="420"/>
        <w:rPr>
          <w:sz w:val="21"/>
          <w:szCs w:val="21"/>
          <w:lang w:eastAsia="zh-CN"/>
        </w:rPr>
      </w:pPr>
      <w:r>
        <w:rPr>
          <w:rFonts w:hint="eastAsia"/>
          <w:sz w:val="21"/>
          <w:szCs w:val="21"/>
        </w:rPr>
        <w:t>甲方</w:t>
      </w:r>
      <w:r>
        <w:rPr>
          <w:rFonts w:hint="eastAsia"/>
          <w:sz w:val="21"/>
          <w:szCs w:val="21"/>
          <w:lang w:val="en-US" w:eastAsia="zh-CN"/>
        </w:rPr>
        <w:t>4</w:t>
      </w:r>
      <w:r>
        <w:rPr>
          <w:rFonts w:hint="eastAsia"/>
          <w:sz w:val="21"/>
          <w:szCs w:val="21"/>
        </w:rPr>
        <w:t>（委托人）</w:t>
      </w:r>
      <w:r>
        <w:rPr>
          <w:rFonts w:hint="eastAsia"/>
          <w:sz w:val="21"/>
          <w:szCs w:val="21"/>
          <w:lang w:eastAsia="zh-CN"/>
        </w:rPr>
        <w:t>：东莞市东泽水环境投资有限公司</w:t>
      </w:r>
    </w:p>
    <w:p>
      <w:pPr>
        <w:pStyle w:val="63"/>
        <w:spacing w:line="360" w:lineRule="auto"/>
        <w:ind w:firstLine="420"/>
        <w:rPr>
          <w:sz w:val="21"/>
          <w:szCs w:val="21"/>
          <w:lang w:eastAsia="zh-CN"/>
        </w:rPr>
      </w:pPr>
      <w:r>
        <w:rPr>
          <w:rFonts w:hint="eastAsia"/>
          <w:sz w:val="21"/>
          <w:szCs w:val="21"/>
        </w:rPr>
        <w:t>甲方</w:t>
      </w:r>
      <w:r>
        <w:rPr>
          <w:rFonts w:hint="eastAsia"/>
          <w:sz w:val="21"/>
          <w:szCs w:val="21"/>
          <w:lang w:val="en-US" w:eastAsia="zh-CN"/>
        </w:rPr>
        <w:t>5</w:t>
      </w:r>
      <w:r>
        <w:rPr>
          <w:rFonts w:hint="eastAsia"/>
          <w:sz w:val="21"/>
          <w:szCs w:val="21"/>
        </w:rPr>
        <w:t>（委托人）</w:t>
      </w:r>
      <w:r>
        <w:rPr>
          <w:rFonts w:hint="eastAsia"/>
          <w:sz w:val="21"/>
          <w:szCs w:val="21"/>
          <w:lang w:eastAsia="zh-CN"/>
        </w:rPr>
        <w:t>：东莞市清泽水环境投资有限公司</w:t>
      </w:r>
    </w:p>
    <w:p>
      <w:pPr>
        <w:pStyle w:val="63"/>
        <w:spacing w:line="360" w:lineRule="auto"/>
        <w:ind w:firstLine="420"/>
        <w:rPr>
          <w:sz w:val="21"/>
          <w:szCs w:val="21"/>
          <w:lang w:eastAsia="zh-CN"/>
        </w:rPr>
      </w:pPr>
      <w:r>
        <w:rPr>
          <w:rFonts w:hint="eastAsia"/>
          <w:sz w:val="21"/>
          <w:szCs w:val="21"/>
        </w:rPr>
        <w:t>甲方</w:t>
      </w:r>
      <w:r>
        <w:rPr>
          <w:rFonts w:hint="eastAsia"/>
          <w:sz w:val="21"/>
          <w:szCs w:val="21"/>
          <w:lang w:val="en-US" w:eastAsia="zh-CN"/>
        </w:rPr>
        <w:t>6</w:t>
      </w:r>
      <w:r>
        <w:rPr>
          <w:rFonts w:hint="eastAsia"/>
          <w:sz w:val="21"/>
          <w:szCs w:val="21"/>
        </w:rPr>
        <w:t>（委托人）</w:t>
      </w:r>
      <w:r>
        <w:rPr>
          <w:rFonts w:hint="eastAsia"/>
          <w:sz w:val="21"/>
          <w:szCs w:val="21"/>
          <w:lang w:eastAsia="zh-CN"/>
        </w:rPr>
        <w:t>：东莞市</w:t>
      </w:r>
      <w:r>
        <w:rPr>
          <w:rFonts w:hint="eastAsia"/>
          <w:sz w:val="21"/>
          <w:szCs w:val="21"/>
          <w:lang w:val="en-US" w:eastAsia="zh-CN"/>
        </w:rPr>
        <w:t>莞清</w:t>
      </w:r>
      <w:r>
        <w:rPr>
          <w:rFonts w:hint="eastAsia"/>
          <w:sz w:val="21"/>
          <w:szCs w:val="21"/>
          <w:lang w:eastAsia="zh-CN"/>
        </w:rPr>
        <w:t>水环境投资有限公司</w:t>
      </w:r>
    </w:p>
    <w:p>
      <w:pPr>
        <w:pStyle w:val="63"/>
        <w:spacing w:line="360" w:lineRule="auto"/>
        <w:ind w:firstLine="420"/>
        <w:rPr>
          <w:sz w:val="21"/>
          <w:szCs w:val="21"/>
          <w:lang w:eastAsia="zh-CN"/>
        </w:rPr>
      </w:pPr>
      <w:r>
        <w:rPr>
          <w:rFonts w:hint="eastAsia"/>
          <w:sz w:val="21"/>
          <w:szCs w:val="21"/>
        </w:rPr>
        <w:t>甲方</w:t>
      </w:r>
      <w:r>
        <w:rPr>
          <w:rFonts w:hint="eastAsia"/>
          <w:sz w:val="21"/>
          <w:szCs w:val="21"/>
          <w:lang w:val="en-US" w:eastAsia="zh-CN"/>
        </w:rPr>
        <w:t>7</w:t>
      </w:r>
      <w:r>
        <w:rPr>
          <w:rFonts w:hint="eastAsia"/>
          <w:sz w:val="21"/>
          <w:szCs w:val="21"/>
        </w:rPr>
        <w:t>（委托人）</w:t>
      </w:r>
      <w:r>
        <w:rPr>
          <w:rFonts w:hint="eastAsia"/>
          <w:sz w:val="21"/>
          <w:szCs w:val="21"/>
          <w:lang w:eastAsia="zh-CN"/>
        </w:rPr>
        <w:t>：东莞市</w:t>
      </w:r>
      <w:r>
        <w:rPr>
          <w:rFonts w:hint="eastAsia"/>
          <w:sz w:val="21"/>
          <w:szCs w:val="21"/>
          <w:lang w:val="en-US" w:eastAsia="zh-CN"/>
        </w:rPr>
        <w:t>东江</w:t>
      </w:r>
      <w:r>
        <w:rPr>
          <w:rFonts w:hint="eastAsia"/>
          <w:sz w:val="21"/>
          <w:szCs w:val="21"/>
          <w:lang w:eastAsia="zh-CN"/>
        </w:rPr>
        <w:t>水环境投资有限公司</w:t>
      </w:r>
    </w:p>
    <w:p>
      <w:pPr>
        <w:pStyle w:val="63"/>
        <w:spacing w:line="360" w:lineRule="auto"/>
        <w:ind w:firstLine="420"/>
        <w:rPr>
          <w:sz w:val="21"/>
          <w:szCs w:val="21"/>
          <w:lang w:val="en-US" w:eastAsia="zh-CN"/>
        </w:rPr>
      </w:pPr>
      <w:r>
        <w:rPr>
          <w:rFonts w:hint="eastAsia"/>
          <w:sz w:val="21"/>
          <w:szCs w:val="21"/>
        </w:rPr>
        <w:t>乙方（受托人）：</w:t>
      </w:r>
      <w:r>
        <w:rPr>
          <w:rFonts w:hint="eastAsia"/>
          <w:sz w:val="21"/>
          <w:szCs w:val="21"/>
          <w:lang w:val="en-US" w:eastAsia="zh-CN"/>
        </w:rPr>
        <w:t xml:space="preserve">  </w:t>
      </w:r>
    </w:p>
    <w:p>
      <w:pPr>
        <w:pStyle w:val="62"/>
        <w:spacing w:line="360" w:lineRule="auto"/>
        <w:ind w:firstLine="420"/>
        <w:rPr>
          <w:rFonts w:eastAsia="宋体"/>
          <w:szCs w:val="21"/>
        </w:rPr>
      </w:pPr>
      <w:r>
        <w:rPr>
          <w:rFonts w:hint="eastAsia" w:eastAsia="宋体"/>
          <w:szCs w:val="21"/>
        </w:rPr>
        <w:t xml:space="preserve">            </w:t>
      </w:r>
    </w:p>
    <w:p>
      <w:pPr>
        <w:pStyle w:val="62"/>
        <w:spacing w:line="360" w:lineRule="auto"/>
        <w:ind w:firstLine="420"/>
        <w:rPr>
          <w:rFonts w:eastAsia="宋体"/>
          <w:szCs w:val="21"/>
        </w:rPr>
      </w:pPr>
    </w:p>
    <w:p>
      <w:pPr>
        <w:pStyle w:val="62"/>
        <w:spacing w:line="360" w:lineRule="auto"/>
        <w:ind w:firstLine="420"/>
        <w:rPr>
          <w:rFonts w:eastAsia="宋体"/>
          <w:szCs w:val="21"/>
        </w:rPr>
      </w:pPr>
      <w:r>
        <w:rPr>
          <w:rFonts w:hint="eastAsia" w:eastAsia="宋体"/>
          <w:szCs w:val="21"/>
        </w:rPr>
        <w:t>为加强甲方的涉密资料的管理，确保甲方数据的安全保密，防止发生丢失泄密事件，防范非法使用行为，根据《中华人民共和国保守国家秘密法》及《中华人民共和国保守国家秘密法实施办法》等有关法律法规，特签订本协议。</w:t>
      </w:r>
    </w:p>
    <w:p>
      <w:pPr>
        <w:pStyle w:val="62"/>
        <w:spacing w:line="360" w:lineRule="auto"/>
        <w:ind w:firstLine="420"/>
        <w:rPr>
          <w:rFonts w:eastAsia="宋体"/>
          <w:szCs w:val="21"/>
        </w:rPr>
      </w:pPr>
    </w:p>
    <w:p>
      <w:pPr>
        <w:pStyle w:val="62"/>
        <w:spacing w:line="360" w:lineRule="auto"/>
        <w:ind w:firstLine="420"/>
        <w:rPr>
          <w:rFonts w:eastAsia="宋体"/>
          <w:szCs w:val="21"/>
        </w:rPr>
      </w:pPr>
      <w:r>
        <w:rPr>
          <w:rFonts w:hint="eastAsia" w:eastAsia="宋体"/>
          <w:szCs w:val="21"/>
        </w:rPr>
        <w:t>一、保密信息的定义</w:t>
      </w:r>
    </w:p>
    <w:p>
      <w:pPr>
        <w:pStyle w:val="62"/>
        <w:spacing w:line="360" w:lineRule="auto"/>
        <w:ind w:firstLine="420"/>
        <w:rPr>
          <w:rFonts w:eastAsia="宋体"/>
          <w:szCs w:val="21"/>
        </w:rPr>
      </w:pPr>
      <w:r>
        <w:rPr>
          <w:rFonts w:hint="eastAsia" w:eastAsia="宋体"/>
          <w:szCs w:val="21"/>
        </w:rPr>
        <w:t>本保密协议所称“保密信息”是指甲方（或其下属单位、关联单位）向乙方所提供的不为公众所知悉、能为权利人带来经济利益、具有实用性并经权利人采取保密措施的技术信息和经营信息，包括但不限于以下资料或信息：财务数据，商业和战略计划，商业培训和流程，个人信息，图纸，样品，设备，展示，技术信息，研究，产品，服务，客户名单及客户信息，市场，市场战略，计划，软件及相关的说明书和文件，开发，发明，程序和设计有关的任何信息，数据，技术密诀，文件或材料。</w:t>
      </w:r>
    </w:p>
    <w:p>
      <w:pPr>
        <w:pStyle w:val="62"/>
        <w:spacing w:line="360" w:lineRule="auto"/>
        <w:ind w:firstLine="420"/>
        <w:rPr>
          <w:rFonts w:eastAsia="宋体"/>
          <w:szCs w:val="21"/>
        </w:rPr>
      </w:pPr>
      <w:r>
        <w:rPr>
          <w:rFonts w:hint="eastAsia" w:eastAsia="宋体"/>
          <w:szCs w:val="21"/>
        </w:rPr>
        <w:t>双方确认，本协议保密信息主要指甲方向乙方提供的排水设施基础地理信息数据、业务数据、管网运营平台应用账号及内容数据、相关手册、源代码及资料等，同时，其他信息不论以口头、书面或电子形式为载体，亦不论是否标明或说明为保密信息，均属本协议所指保密信息。</w:t>
      </w:r>
    </w:p>
    <w:p>
      <w:pPr>
        <w:pStyle w:val="62"/>
        <w:spacing w:line="360" w:lineRule="auto"/>
        <w:ind w:firstLine="420"/>
        <w:rPr>
          <w:rFonts w:eastAsia="宋体"/>
          <w:szCs w:val="21"/>
        </w:rPr>
      </w:pPr>
      <w:r>
        <w:rPr>
          <w:rFonts w:hint="eastAsia" w:eastAsia="宋体"/>
          <w:szCs w:val="21"/>
        </w:rPr>
        <w:t>保密信息不包括接受方能够提出足够合理证据证明的下述信息、数据、技术密诀、文件或材料：</w:t>
      </w:r>
    </w:p>
    <w:p>
      <w:pPr>
        <w:pStyle w:val="62"/>
        <w:spacing w:line="360" w:lineRule="auto"/>
        <w:ind w:firstLine="420"/>
        <w:rPr>
          <w:rFonts w:eastAsia="宋体"/>
          <w:szCs w:val="21"/>
        </w:rPr>
      </w:pPr>
      <w:r>
        <w:rPr>
          <w:rFonts w:hint="eastAsia" w:eastAsia="宋体"/>
          <w:szCs w:val="21"/>
        </w:rPr>
        <w:t xml:space="preserve">1、在透露的时候，接受方已掌握的信息； </w:t>
      </w:r>
    </w:p>
    <w:p>
      <w:pPr>
        <w:pStyle w:val="62"/>
        <w:spacing w:line="360" w:lineRule="auto"/>
        <w:ind w:firstLine="420"/>
        <w:rPr>
          <w:rFonts w:eastAsia="宋体"/>
          <w:szCs w:val="21"/>
        </w:rPr>
      </w:pPr>
      <w:r>
        <w:rPr>
          <w:rFonts w:hint="eastAsia" w:eastAsia="宋体"/>
          <w:szCs w:val="21"/>
        </w:rPr>
        <w:t>2、在透露前或透露时，已成为公开的信息；</w:t>
      </w:r>
    </w:p>
    <w:p>
      <w:pPr>
        <w:pStyle w:val="62"/>
        <w:spacing w:line="360" w:lineRule="auto"/>
        <w:ind w:firstLine="420"/>
        <w:rPr>
          <w:rFonts w:eastAsia="宋体"/>
          <w:szCs w:val="21"/>
        </w:rPr>
      </w:pPr>
      <w:r>
        <w:rPr>
          <w:rFonts w:hint="eastAsia" w:eastAsia="宋体"/>
          <w:szCs w:val="21"/>
        </w:rPr>
        <w:t>3、提供方书面同意对外公开的信息。</w:t>
      </w:r>
    </w:p>
    <w:p>
      <w:pPr>
        <w:pStyle w:val="62"/>
        <w:spacing w:line="360" w:lineRule="auto"/>
        <w:ind w:firstLine="420"/>
        <w:rPr>
          <w:rFonts w:eastAsia="宋体"/>
          <w:szCs w:val="21"/>
        </w:rPr>
      </w:pPr>
      <w:r>
        <w:rPr>
          <w:rFonts w:hint="eastAsia" w:eastAsia="宋体"/>
          <w:szCs w:val="21"/>
        </w:rPr>
        <w:t>二、保密责任</w:t>
      </w:r>
    </w:p>
    <w:p>
      <w:pPr>
        <w:pStyle w:val="62"/>
        <w:spacing w:line="360" w:lineRule="auto"/>
        <w:ind w:firstLine="420"/>
        <w:rPr>
          <w:rFonts w:eastAsia="宋体"/>
          <w:szCs w:val="21"/>
        </w:rPr>
      </w:pPr>
      <w:r>
        <w:rPr>
          <w:rFonts w:hint="eastAsia" w:eastAsia="宋体"/>
          <w:szCs w:val="21"/>
        </w:rPr>
        <w:t>1、乙方保证将所接受之保密信息仅用于与合作有关的目的或用途；且不得于合作结束后或于合作项目外的其他业务中使用接受的商业秘密。</w:t>
      </w:r>
    </w:p>
    <w:p>
      <w:pPr>
        <w:pStyle w:val="62"/>
        <w:spacing w:line="360" w:lineRule="auto"/>
        <w:ind w:firstLine="420"/>
        <w:rPr>
          <w:rFonts w:eastAsia="宋体"/>
          <w:szCs w:val="21"/>
        </w:rPr>
      </w:pPr>
      <w:r>
        <w:rPr>
          <w:rFonts w:hint="eastAsia" w:eastAsia="宋体"/>
          <w:szCs w:val="21"/>
        </w:rPr>
        <w:t>2、在本协议实施过程中以及本协议履行完毕后，乙方均不得使用其获得的甲方的保密信息从事与甲方有竞争性的业务。</w:t>
      </w:r>
    </w:p>
    <w:p>
      <w:pPr>
        <w:pStyle w:val="62"/>
        <w:spacing w:line="360" w:lineRule="auto"/>
        <w:ind w:firstLine="420"/>
        <w:rPr>
          <w:rFonts w:eastAsia="宋体"/>
          <w:szCs w:val="21"/>
        </w:rPr>
      </w:pPr>
      <w:r>
        <w:rPr>
          <w:rFonts w:hint="eastAsia" w:eastAsia="宋体"/>
          <w:szCs w:val="21"/>
        </w:rPr>
        <w:t>3、乙方保证对所接受之保密信息妥善保管、按本协议之约定保密，并至少采取适用于对自己的保密信息同样的保护措施和审慎程度进行保密。未经甲方书面同意，乙方不得向第三方披露、公布、援引或许可第三方使用其所获得的保密信息。乙方承诺采取的保密措施包括但不限于：</w:t>
      </w:r>
    </w:p>
    <w:p>
      <w:pPr>
        <w:pStyle w:val="62"/>
        <w:spacing w:line="360" w:lineRule="auto"/>
        <w:ind w:firstLine="420"/>
        <w:rPr>
          <w:rFonts w:eastAsia="宋体"/>
          <w:szCs w:val="21"/>
        </w:rPr>
      </w:pPr>
      <w:r>
        <w:rPr>
          <w:rFonts w:hint="eastAsia" w:eastAsia="宋体"/>
          <w:szCs w:val="21"/>
        </w:rPr>
        <w:t>1)尽可能地减少知悉甲方保密信息的人员范围，知悉甲方保密信息的人员只能限于乙方有必要知悉保密信息的工作人员，工作人员包括乙方管理人员、职员及顾问。</w:t>
      </w:r>
    </w:p>
    <w:p>
      <w:pPr>
        <w:pStyle w:val="62"/>
        <w:spacing w:line="360" w:lineRule="auto"/>
        <w:ind w:firstLine="420"/>
        <w:rPr>
          <w:rFonts w:eastAsia="宋体"/>
          <w:szCs w:val="21"/>
        </w:rPr>
      </w:pPr>
      <w:r>
        <w:rPr>
          <w:rFonts w:hint="eastAsia" w:eastAsia="宋体"/>
          <w:szCs w:val="21"/>
        </w:rPr>
        <w:t>2)乙方将制定严格的保密制度，实行保密监察制度。</w:t>
      </w:r>
    </w:p>
    <w:p>
      <w:pPr>
        <w:pStyle w:val="62"/>
        <w:spacing w:line="360" w:lineRule="auto"/>
        <w:ind w:firstLine="420"/>
        <w:rPr>
          <w:rFonts w:eastAsia="宋体"/>
          <w:szCs w:val="21"/>
        </w:rPr>
      </w:pPr>
      <w:r>
        <w:rPr>
          <w:rFonts w:hint="eastAsia" w:eastAsia="宋体"/>
          <w:szCs w:val="21"/>
        </w:rPr>
        <w:t>4、乙方保证保密信息仅在其参与本合作项目的负责人和雇员范围内知悉，在上述人员知悉保密信息前应提示信息的保密性和应承担义务，并保证上述人员以书面形式接受本协议的约束。乙方不得向未参加本项目的工作人员透露保密信息。若上述人员故意或过失泄露了甲方的保密信息，乙方应承担所有法律责任。</w:t>
      </w:r>
    </w:p>
    <w:p>
      <w:pPr>
        <w:pStyle w:val="62"/>
        <w:spacing w:line="360" w:lineRule="auto"/>
        <w:ind w:firstLine="420"/>
        <w:rPr>
          <w:rFonts w:eastAsia="宋体"/>
          <w:szCs w:val="21"/>
        </w:rPr>
      </w:pPr>
      <w:r>
        <w:rPr>
          <w:rFonts w:hint="eastAsia" w:eastAsia="宋体"/>
          <w:szCs w:val="21"/>
        </w:rPr>
        <w:t>5、乙方一旦发现或应该发现保密信息被泄露、不正当使用或未经甲方授权使用，应立即通知甲方，并采取合理措施防止保密信息进一步的泄露或使用，尽量使秘密信息的泄露控制在最低程度。</w:t>
      </w:r>
    </w:p>
    <w:p>
      <w:pPr>
        <w:pStyle w:val="62"/>
        <w:spacing w:line="360" w:lineRule="auto"/>
        <w:ind w:firstLine="420"/>
        <w:rPr>
          <w:rFonts w:eastAsia="宋体"/>
          <w:szCs w:val="21"/>
        </w:rPr>
      </w:pPr>
      <w:r>
        <w:rPr>
          <w:rFonts w:hint="eastAsia" w:eastAsia="宋体"/>
          <w:szCs w:val="21"/>
        </w:rPr>
        <w:t>6、若法院、政府部门或有关机构按照法律法规要求乙方提供甲方保密信息，乙方应立即通知甲方，以便甲方能以保密为抗辩理由或取得保护措施。乙方应用尽所有可行的措施来保护该保密信息。</w:t>
      </w:r>
    </w:p>
    <w:p>
      <w:pPr>
        <w:pStyle w:val="62"/>
        <w:spacing w:line="360" w:lineRule="auto"/>
        <w:ind w:firstLine="420"/>
        <w:rPr>
          <w:rFonts w:eastAsia="宋体"/>
          <w:szCs w:val="21"/>
        </w:rPr>
      </w:pPr>
      <w:r>
        <w:rPr>
          <w:rFonts w:hint="eastAsia" w:eastAsia="宋体"/>
          <w:szCs w:val="21"/>
        </w:rPr>
        <w:t>7、甲方向乙方披露的保密信息和保密信息中任何形式的知识产权全部归属于信息拥有者。甲方向乙方披露保密信息并不表示甲方授予乙方对保密信息及保密信息中的知识产权享有任何权利、资格或权益。</w:t>
      </w:r>
    </w:p>
    <w:p>
      <w:pPr>
        <w:pStyle w:val="62"/>
        <w:spacing w:line="360" w:lineRule="auto"/>
        <w:ind w:firstLine="420"/>
        <w:rPr>
          <w:rFonts w:eastAsia="宋体"/>
          <w:szCs w:val="21"/>
        </w:rPr>
      </w:pPr>
      <w:r>
        <w:rPr>
          <w:rFonts w:hint="eastAsia" w:eastAsia="宋体"/>
          <w:szCs w:val="21"/>
        </w:rPr>
        <w:t>三、保密期限</w:t>
      </w:r>
    </w:p>
    <w:p>
      <w:pPr>
        <w:pStyle w:val="62"/>
        <w:spacing w:line="360" w:lineRule="auto"/>
        <w:ind w:firstLine="420"/>
        <w:rPr>
          <w:rFonts w:eastAsia="宋体"/>
          <w:szCs w:val="21"/>
        </w:rPr>
      </w:pPr>
      <w:r>
        <w:rPr>
          <w:rFonts w:hint="eastAsia" w:eastAsia="宋体"/>
          <w:szCs w:val="21"/>
        </w:rPr>
        <w:t>乙方对所接受之保密信息的保密期限：自保密信息披露时起（无论披露时间在本协议生效之前还是之后），至该信息被合法公开时止，乙方均应按本协议之约定承担保密义务。</w:t>
      </w:r>
    </w:p>
    <w:p>
      <w:pPr>
        <w:pStyle w:val="62"/>
        <w:spacing w:line="360" w:lineRule="auto"/>
        <w:ind w:firstLine="420"/>
        <w:rPr>
          <w:rFonts w:eastAsia="宋体"/>
          <w:szCs w:val="21"/>
        </w:rPr>
      </w:pPr>
      <w:r>
        <w:rPr>
          <w:rFonts w:hint="eastAsia" w:eastAsia="宋体"/>
          <w:szCs w:val="21"/>
        </w:rPr>
        <w:t>四、违约责任</w:t>
      </w:r>
    </w:p>
    <w:p>
      <w:pPr>
        <w:pStyle w:val="62"/>
        <w:spacing w:line="360" w:lineRule="auto"/>
        <w:ind w:firstLine="420"/>
        <w:rPr>
          <w:rFonts w:eastAsia="宋体"/>
          <w:szCs w:val="21"/>
        </w:rPr>
      </w:pPr>
      <w:r>
        <w:rPr>
          <w:rFonts w:hint="eastAsia" w:eastAsia="宋体"/>
          <w:szCs w:val="21"/>
        </w:rPr>
        <w:t>1.若乙方或乙方工作人员故意或过失违反本协议的保密义务，乙方应一次性向甲方支付违约金共计¥50000元；若前述费用不足以弥补甲方实际损失的，甲方有权另行追偿。</w:t>
      </w:r>
    </w:p>
    <w:p>
      <w:pPr>
        <w:pStyle w:val="62"/>
        <w:spacing w:line="360" w:lineRule="auto"/>
        <w:ind w:firstLine="420"/>
        <w:rPr>
          <w:rFonts w:eastAsia="宋体"/>
          <w:szCs w:val="21"/>
        </w:rPr>
      </w:pPr>
      <w:r>
        <w:rPr>
          <w:rFonts w:hint="eastAsia" w:eastAsia="宋体"/>
          <w:szCs w:val="21"/>
        </w:rPr>
        <w:t>2.甲方因调查乙方违约或侵权行为而支付的合理费用，包括但不限于律师费、公证费、取证费等，应当包含在损失赔偿之内。</w:t>
      </w:r>
    </w:p>
    <w:p>
      <w:pPr>
        <w:pStyle w:val="62"/>
        <w:spacing w:line="360" w:lineRule="auto"/>
        <w:ind w:firstLine="420"/>
        <w:rPr>
          <w:rFonts w:eastAsia="宋体"/>
          <w:szCs w:val="21"/>
        </w:rPr>
      </w:pPr>
      <w:r>
        <w:rPr>
          <w:rFonts w:hint="eastAsia" w:eastAsia="宋体"/>
          <w:szCs w:val="21"/>
        </w:rPr>
        <w:t>3.乙方违反本协议规定，甲方有权立即终止乙方使用及持有本协议规定保密信息的权利，并要求乙方将得到的全部保密信息立即返还给甲方，且乙方应向甲方提供完整的保密信息未经授权的使用者的名单。乙方返还甲方保密信息后，本协议规定的乙方法律责任仍然有效。</w:t>
      </w:r>
    </w:p>
    <w:p>
      <w:pPr>
        <w:pStyle w:val="62"/>
        <w:spacing w:line="360" w:lineRule="auto"/>
        <w:ind w:firstLine="420"/>
        <w:rPr>
          <w:rFonts w:eastAsia="宋体"/>
          <w:szCs w:val="21"/>
        </w:rPr>
      </w:pPr>
      <w:r>
        <w:rPr>
          <w:rFonts w:hint="eastAsia" w:eastAsia="宋体"/>
          <w:szCs w:val="21"/>
        </w:rPr>
        <w:t>4.任何有关本软件和本声明的争议、纠纷，均适用中华人民共和国的法律。本声明的解释权及对本软件使用的最终解释权均属甲方所有。任何有关本软件和本声明的争议，均由甲方所在地人民法院诉讼管辖。</w:t>
      </w:r>
    </w:p>
    <w:p>
      <w:pPr>
        <w:pStyle w:val="62"/>
        <w:spacing w:line="360" w:lineRule="auto"/>
        <w:ind w:firstLine="420"/>
        <w:rPr>
          <w:rFonts w:eastAsia="宋体"/>
          <w:szCs w:val="21"/>
        </w:rPr>
      </w:pPr>
      <w:r>
        <w:rPr>
          <w:rFonts w:hint="eastAsia" w:eastAsia="宋体"/>
          <w:szCs w:val="21"/>
        </w:rPr>
        <w:t>五、争议解决</w:t>
      </w:r>
    </w:p>
    <w:p>
      <w:pPr>
        <w:pStyle w:val="62"/>
        <w:spacing w:line="360" w:lineRule="auto"/>
        <w:ind w:firstLine="420"/>
        <w:rPr>
          <w:rFonts w:eastAsia="宋体"/>
          <w:szCs w:val="21"/>
        </w:rPr>
      </w:pPr>
      <w:r>
        <w:rPr>
          <w:rFonts w:hint="eastAsia" w:eastAsia="宋体"/>
          <w:szCs w:val="21"/>
        </w:rPr>
        <w:t>在协议履行过程中，凡因本协议引起的或与本协议有关的任何争议，双方应协商解决；协商不成的，任何一方均可向甲方所在地人民法院提起诉讼。</w:t>
      </w:r>
    </w:p>
    <w:p>
      <w:pPr>
        <w:pStyle w:val="62"/>
        <w:spacing w:line="360" w:lineRule="auto"/>
        <w:ind w:firstLine="420"/>
        <w:rPr>
          <w:rFonts w:eastAsia="宋体"/>
          <w:szCs w:val="21"/>
        </w:rPr>
      </w:pPr>
      <w:r>
        <w:rPr>
          <w:rFonts w:hint="eastAsia" w:eastAsia="宋体"/>
          <w:szCs w:val="21"/>
        </w:rPr>
        <w:t>六、法律适用</w:t>
      </w:r>
    </w:p>
    <w:p>
      <w:pPr>
        <w:pStyle w:val="62"/>
        <w:spacing w:line="360" w:lineRule="auto"/>
        <w:ind w:firstLine="420"/>
        <w:rPr>
          <w:rFonts w:eastAsia="宋体"/>
          <w:szCs w:val="21"/>
        </w:rPr>
      </w:pPr>
      <w:r>
        <w:rPr>
          <w:rFonts w:hint="eastAsia" w:eastAsia="宋体"/>
          <w:szCs w:val="21"/>
        </w:rPr>
        <w:t>本协议适用中华人民共和国法律法规。</w:t>
      </w:r>
    </w:p>
    <w:p>
      <w:pPr>
        <w:pStyle w:val="62"/>
        <w:spacing w:line="360" w:lineRule="auto"/>
        <w:ind w:firstLine="420"/>
        <w:rPr>
          <w:rFonts w:eastAsia="宋体"/>
          <w:szCs w:val="21"/>
        </w:rPr>
      </w:pPr>
      <w:r>
        <w:rPr>
          <w:rFonts w:hint="eastAsia" w:eastAsia="宋体"/>
          <w:szCs w:val="21"/>
        </w:rPr>
        <w:t>七、协议生效</w:t>
      </w:r>
    </w:p>
    <w:p>
      <w:pPr>
        <w:pStyle w:val="62"/>
        <w:spacing w:line="360" w:lineRule="auto"/>
        <w:ind w:firstLine="420"/>
        <w:rPr>
          <w:rFonts w:eastAsia="宋体"/>
          <w:szCs w:val="21"/>
        </w:rPr>
      </w:pPr>
      <w:r>
        <w:rPr>
          <w:rFonts w:hint="eastAsia" w:eastAsia="宋体"/>
          <w:szCs w:val="21"/>
        </w:rPr>
        <w:t>本协议自双方法定代表人（或授权代表）签字并盖章后生效。</w:t>
      </w:r>
    </w:p>
    <w:p>
      <w:pPr>
        <w:pStyle w:val="62"/>
        <w:spacing w:line="360" w:lineRule="auto"/>
        <w:ind w:firstLine="420"/>
        <w:rPr>
          <w:rFonts w:eastAsia="宋体"/>
          <w:szCs w:val="21"/>
        </w:rPr>
      </w:pPr>
      <w:r>
        <w:rPr>
          <w:rFonts w:hint="eastAsia" w:eastAsia="宋体"/>
          <w:szCs w:val="21"/>
        </w:rPr>
        <w:t>八、协议文本</w:t>
      </w:r>
    </w:p>
    <w:p>
      <w:pPr>
        <w:pStyle w:val="63"/>
        <w:spacing w:line="360" w:lineRule="auto"/>
        <w:ind w:firstLine="420"/>
        <w:rPr>
          <w:sz w:val="21"/>
          <w:szCs w:val="21"/>
        </w:rPr>
      </w:pPr>
      <w:r>
        <w:rPr>
          <w:rFonts w:hint="eastAsia"/>
          <w:color w:val="000000"/>
          <w:sz w:val="21"/>
          <w:szCs w:val="21"/>
          <w:lang w:val="en-US" w:eastAsia="zh-CN"/>
        </w:rPr>
        <w:t>一式伍份，甲方叁份，乙方贰份</w:t>
      </w:r>
      <w:r>
        <w:rPr>
          <w:rFonts w:hint="eastAsia"/>
          <w:sz w:val="21"/>
          <w:szCs w:val="21"/>
        </w:rPr>
        <w:t>，具有同等法律效力。</w:t>
      </w:r>
    </w:p>
    <w:p>
      <w:pPr>
        <w:spacing w:before="332" w:beforeLines="100" w:after="332" w:afterLines="100" w:line="360" w:lineRule="auto"/>
        <w:rPr>
          <w:sz w:val="21"/>
          <w:szCs w:val="21"/>
        </w:rPr>
      </w:pPr>
    </w:p>
    <w:p>
      <w:pPr>
        <w:pStyle w:val="8"/>
        <w:spacing w:line="360" w:lineRule="auto"/>
        <w:ind w:firstLine="210"/>
      </w:pPr>
    </w:p>
    <w:p>
      <w:pPr>
        <w:spacing w:before="332" w:beforeLines="100" w:after="332" w:afterLines="100" w:line="360" w:lineRule="auto"/>
        <w:rPr>
          <w:sz w:val="21"/>
          <w:szCs w:val="21"/>
        </w:rPr>
      </w:pPr>
      <w:r>
        <w:rPr>
          <w:rFonts w:hint="eastAsia"/>
          <w:sz w:val="21"/>
          <w:szCs w:val="21"/>
        </w:rPr>
        <w:t xml:space="preserve">甲方1：东莞市水务集团管网有限公司           甲方2：东莞市莞泽水环境投资有限公司       </w:t>
      </w:r>
    </w:p>
    <w:p>
      <w:pPr>
        <w:spacing w:before="332" w:beforeLines="100" w:after="332" w:afterLines="100" w:line="360" w:lineRule="auto"/>
        <w:rPr>
          <w:sz w:val="21"/>
          <w:szCs w:val="21"/>
        </w:rPr>
      </w:pPr>
      <w:r>
        <w:rPr>
          <w:rFonts w:hint="eastAsia"/>
          <w:sz w:val="21"/>
          <w:szCs w:val="21"/>
        </w:rPr>
        <w:t>法定代表（或负责）人：                      法定代表（或负责）人：</w:t>
      </w:r>
    </w:p>
    <w:p>
      <w:pPr>
        <w:spacing w:before="332" w:beforeLines="100" w:after="332" w:afterLines="100" w:line="360" w:lineRule="auto"/>
        <w:rPr>
          <w:sz w:val="21"/>
          <w:szCs w:val="21"/>
        </w:rPr>
      </w:pPr>
      <w:r>
        <w:rPr>
          <w:rFonts w:hint="eastAsia"/>
          <w:sz w:val="21"/>
          <w:szCs w:val="21"/>
        </w:rPr>
        <w:t xml:space="preserve">           </w:t>
      </w:r>
    </w:p>
    <w:p>
      <w:pPr>
        <w:spacing w:before="332" w:beforeLines="100" w:after="332" w:afterLines="100" w:line="360" w:lineRule="auto"/>
        <w:rPr>
          <w:sz w:val="21"/>
          <w:szCs w:val="21"/>
        </w:rPr>
      </w:pPr>
      <w:r>
        <w:rPr>
          <w:rFonts w:hint="eastAsia"/>
          <w:sz w:val="21"/>
          <w:szCs w:val="21"/>
        </w:rPr>
        <w:t xml:space="preserve">甲方3：东莞市东信水环境投资有限公司         甲方4：东莞市东泽水环境投资有限公司       </w:t>
      </w:r>
    </w:p>
    <w:p>
      <w:pPr>
        <w:spacing w:before="332" w:beforeLines="100" w:after="332" w:afterLines="100" w:line="360" w:lineRule="auto"/>
        <w:rPr>
          <w:sz w:val="21"/>
          <w:szCs w:val="21"/>
        </w:rPr>
      </w:pPr>
      <w:r>
        <w:rPr>
          <w:rFonts w:hint="eastAsia"/>
          <w:sz w:val="21"/>
          <w:szCs w:val="21"/>
        </w:rPr>
        <w:t>法定代表（或负责）人：                      法定代表（或负责）人：</w:t>
      </w:r>
    </w:p>
    <w:p>
      <w:pPr>
        <w:spacing w:before="332" w:beforeLines="100" w:after="332" w:afterLines="100" w:line="360" w:lineRule="auto"/>
        <w:rPr>
          <w:sz w:val="21"/>
          <w:szCs w:val="21"/>
        </w:rPr>
      </w:pPr>
      <w:r>
        <w:rPr>
          <w:rFonts w:hint="eastAsia"/>
          <w:sz w:val="21"/>
          <w:szCs w:val="21"/>
        </w:rPr>
        <w:t xml:space="preserve">                                                                                           </w:t>
      </w:r>
    </w:p>
    <w:p>
      <w:pPr>
        <w:spacing w:before="332" w:beforeLines="100" w:after="332" w:afterLines="100" w:line="360" w:lineRule="auto"/>
        <w:rPr>
          <w:sz w:val="21"/>
          <w:szCs w:val="21"/>
        </w:rPr>
      </w:pPr>
      <w:r>
        <w:rPr>
          <w:rFonts w:hint="eastAsia"/>
          <w:sz w:val="21"/>
          <w:szCs w:val="21"/>
        </w:rPr>
        <w:t xml:space="preserve">甲方5：东莞市清泽水环境投资有限公司        甲方6：东莞市莞清水环境投资有限公司       </w:t>
      </w:r>
    </w:p>
    <w:p>
      <w:pPr>
        <w:spacing w:before="332" w:beforeLines="100" w:after="332" w:afterLines="100" w:line="360" w:lineRule="auto"/>
        <w:rPr>
          <w:sz w:val="21"/>
          <w:szCs w:val="21"/>
        </w:rPr>
      </w:pPr>
      <w:r>
        <w:rPr>
          <w:rFonts w:hint="eastAsia"/>
          <w:sz w:val="21"/>
          <w:szCs w:val="21"/>
        </w:rPr>
        <w:t>法定代表（或负责）人：                      法定代表（或负责）人：</w:t>
      </w:r>
    </w:p>
    <w:p>
      <w:pPr>
        <w:spacing w:before="332" w:beforeLines="100" w:after="332" w:afterLines="100" w:line="360" w:lineRule="auto"/>
        <w:rPr>
          <w:sz w:val="21"/>
          <w:szCs w:val="21"/>
        </w:rPr>
      </w:pPr>
      <w:r>
        <w:rPr>
          <w:rFonts w:hint="eastAsia"/>
          <w:sz w:val="21"/>
          <w:szCs w:val="21"/>
        </w:rPr>
        <w:t xml:space="preserve">                                                                                      </w:t>
      </w:r>
    </w:p>
    <w:p>
      <w:pPr>
        <w:spacing w:before="332" w:beforeLines="100" w:after="332" w:afterLines="100" w:line="360" w:lineRule="auto"/>
        <w:rPr>
          <w:sz w:val="21"/>
          <w:szCs w:val="21"/>
        </w:rPr>
      </w:pPr>
      <w:r>
        <w:rPr>
          <w:rFonts w:hint="eastAsia"/>
          <w:sz w:val="21"/>
          <w:szCs w:val="21"/>
        </w:rPr>
        <w:t>甲方7：东莞市东江水环境投资有限公司        乙方：</w:t>
      </w:r>
    </w:p>
    <w:p>
      <w:pPr>
        <w:spacing w:before="166" w:beforeLines="50" w:after="166" w:afterLines="50" w:line="360" w:lineRule="auto"/>
        <w:rPr>
          <w:sz w:val="21"/>
          <w:szCs w:val="21"/>
        </w:rPr>
      </w:pPr>
      <w:r>
        <w:rPr>
          <w:rFonts w:hint="eastAsia"/>
          <w:sz w:val="21"/>
          <w:szCs w:val="21"/>
        </w:rPr>
        <w:t xml:space="preserve">法定代表（或负责）人：                     法定代表（或负责）人：   </w:t>
      </w:r>
    </w:p>
    <w:p>
      <w:pPr>
        <w:spacing w:line="360" w:lineRule="auto"/>
        <w:rPr>
          <w:rFonts w:ascii="仿宋_GB2312" w:eastAsia="仿宋_GB2312"/>
          <w:sz w:val="28"/>
          <w:szCs w:val="28"/>
        </w:rPr>
      </w:pPr>
      <w:r>
        <w:rPr>
          <w:rFonts w:hint="eastAsia"/>
          <w:sz w:val="21"/>
          <w:szCs w:val="21"/>
        </w:rPr>
        <w:t xml:space="preserve">                                           委托代理人：（签章）     </w:t>
      </w:r>
    </w:p>
    <w:p>
      <w:pPr>
        <w:pStyle w:val="7"/>
        <w:ind w:firstLine="1687"/>
      </w:pPr>
    </w:p>
    <w:p>
      <w:pPr>
        <w:pStyle w:val="8"/>
        <w:ind w:firstLine="210"/>
      </w:pPr>
    </w:p>
    <w:p>
      <w:pPr>
        <w:pStyle w:val="9"/>
        <w:ind w:left="480" w:firstLine="480"/>
      </w:pPr>
    </w:p>
    <w:p>
      <w:pPr>
        <w:pStyle w:val="8"/>
        <w:ind w:firstLine="210"/>
      </w:pPr>
    </w:p>
    <w:p>
      <w:pPr>
        <w:ind w:left="0"/>
      </w:pPr>
      <w:r>
        <w:br w:type="page"/>
      </w:r>
    </w:p>
    <w:p>
      <w:pPr>
        <w:rPr>
          <w:b/>
          <w:bCs/>
        </w:rPr>
      </w:pPr>
      <w:r>
        <w:rPr>
          <w:rFonts w:hint="eastAsia"/>
          <w:b/>
          <w:bCs/>
        </w:rPr>
        <w:t>附件6：项目要求配备人员清单</w:t>
      </w:r>
    </w:p>
    <w:p/>
    <w:p/>
    <w:p/>
    <w:p>
      <w:pPr>
        <w:spacing w:line="360" w:lineRule="auto"/>
        <w:rPr>
          <w:rFonts w:ascii="Times New Roman"/>
          <w:b/>
          <w:color w:val="000000"/>
          <w:sz w:val="28"/>
          <w:szCs w:val="28"/>
        </w:rPr>
      </w:pPr>
    </w:p>
    <w:p>
      <w:pPr>
        <w:spacing w:before="0" w:after="0"/>
        <w:jc w:val="center"/>
        <w:rPr>
          <w:rFonts w:hAnsi="宋体" w:cs="宋体"/>
          <w:szCs w:val="32"/>
        </w:rPr>
      </w:pPr>
      <w:r>
        <w:rPr>
          <w:rFonts w:hint="eastAsia" w:hAnsi="宋体" w:cs="宋体"/>
          <w:szCs w:val="32"/>
        </w:rPr>
        <w:br w:type="page"/>
      </w:r>
    </w:p>
    <w:p>
      <w:pPr>
        <w:pStyle w:val="2"/>
        <w:spacing w:before="0" w:after="0"/>
        <w:jc w:val="center"/>
        <w:rPr>
          <w:rFonts w:hAnsi="宋体" w:cs="宋体"/>
          <w:szCs w:val="32"/>
        </w:rPr>
      </w:pPr>
      <w:bookmarkStart w:id="152" w:name="_Toc11628"/>
      <w:r>
        <w:rPr>
          <w:rFonts w:hint="eastAsia" w:hAnsi="宋体" w:cs="宋体"/>
          <w:szCs w:val="32"/>
        </w:rPr>
        <w:t>第四章 报价须知</w:t>
      </w:r>
      <w:bookmarkEnd w:id="135"/>
      <w:bookmarkEnd w:id="152"/>
    </w:p>
    <w:p>
      <w:pPr>
        <w:spacing w:line="360" w:lineRule="auto"/>
        <w:rPr>
          <w:rFonts w:hAnsi="宋体" w:cs="宋体"/>
          <w:b/>
          <w:bCs/>
        </w:rPr>
      </w:pPr>
      <w:r>
        <w:rPr>
          <w:rFonts w:hint="eastAsia" w:hAnsi="宋体" w:cs="宋体"/>
          <w:b/>
          <w:bCs/>
        </w:rPr>
        <w:t>一、项目费用说明</w:t>
      </w:r>
    </w:p>
    <w:p>
      <w:pPr>
        <w:spacing w:line="360" w:lineRule="auto"/>
        <w:ind w:firstLine="424" w:firstLineChars="177"/>
        <w:rPr>
          <w:rFonts w:hAnsi="宋体" w:cs="宋体"/>
        </w:rPr>
      </w:pPr>
      <w:r>
        <w:rPr>
          <w:rFonts w:hint="eastAsia" w:hAnsi="宋体" w:cs="宋体"/>
        </w:rPr>
        <w:t>报价人应按询价文件要求及企业的自身情况进行报价。所报的价格包含完成询价文件规定的工作所需的全部费用，并承担所有相应项目风险。</w:t>
      </w:r>
    </w:p>
    <w:p>
      <w:pPr>
        <w:spacing w:line="360" w:lineRule="auto"/>
        <w:ind w:firstLine="424" w:firstLineChars="177"/>
        <w:rPr>
          <w:rFonts w:hAnsi="宋体" w:cs="宋体"/>
        </w:rPr>
      </w:pPr>
    </w:p>
    <w:p>
      <w:pPr>
        <w:spacing w:line="360" w:lineRule="auto"/>
        <w:rPr>
          <w:rFonts w:hAnsi="宋体" w:cs="宋体"/>
          <w:b/>
          <w:bCs/>
        </w:rPr>
      </w:pPr>
      <w:r>
        <w:rPr>
          <w:rFonts w:hint="eastAsia" w:hAnsi="宋体" w:cs="宋体"/>
          <w:b/>
          <w:bCs/>
        </w:rPr>
        <w:t>二、报价文件的组成</w:t>
      </w:r>
    </w:p>
    <w:p>
      <w:pPr>
        <w:spacing w:line="360" w:lineRule="auto"/>
        <w:ind w:firstLine="424" w:firstLineChars="177"/>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1.报价表；</w:t>
      </w:r>
    </w:p>
    <w:p>
      <w:pPr>
        <w:spacing w:line="360" w:lineRule="auto"/>
        <w:ind w:firstLine="424" w:firstLineChars="177"/>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2.用户需求偏离表；</w:t>
      </w:r>
    </w:p>
    <w:p>
      <w:pPr>
        <w:spacing w:line="360" w:lineRule="auto"/>
        <w:ind w:firstLine="424" w:firstLineChars="177"/>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3.合同条款偏离表；</w:t>
      </w:r>
    </w:p>
    <w:p>
      <w:pPr>
        <w:spacing w:line="360" w:lineRule="auto"/>
        <w:ind w:firstLine="424" w:firstLineChars="177"/>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4.营业执照；</w:t>
      </w:r>
    </w:p>
    <w:p>
      <w:pPr>
        <w:spacing w:line="360" w:lineRule="auto"/>
        <w:ind w:firstLine="424" w:firstLineChars="177"/>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5.资质证书；</w:t>
      </w:r>
    </w:p>
    <w:p>
      <w:pPr>
        <w:spacing w:line="360" w:lineRule="auto"/>
        <w:ind w:firstLine="424" w:firstLineChars="177"/>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6.报价人自2019年1月1日以来，至少具备一个污水管网或雨水管网管理相关内容的软件开发类信息化建设项目设计服务业绩（含设计、实施一体的项目</w:t>
      </w:r>
      <w:r>
        <w:rPr>
          <w:rFonts w:hint="eastAsia" w:hAnsi="宋体" w:cs="宋体"/>
          <w:color w:val="000000" w:themeColor="text1"/>
          <w:lang w:eastAsia="zh-CN"/>
          <w14:textFill>
            <w14:solidFill>
              <w14:schemeClr w14:val="tx1"/>
            </w14:solidFill>
          </w14:textFill>
        </w:rPr>
        <w:t>，</w:t>
      </w:r>
      <w:r>
        <w:rPr>
          <w:rFonts w:hint="eastAsia" w:hAnsi="宋体" w:cs="宋体"/>
          <w:color w:val="000000" w:themeColor="text1"/>
          <w:lang w:val="zh-CN" w:eastAsia="zh-CN"/>
          <w14:textFill>
            <w14:solidFill>
              <w14:schemeClr w14:val="tx1"/>
            </w14:solidFill>
          </w14:textFill>
        </w:rPr>
        <w:t>合同签订日期为</w:t>
      </w:r>
      <w:r>
        <w:rPr>
          <w:rFonts w:hint="eastAsia" w:hAnsi="宋体" w:cs="宋体"/>
          <w:color w:val="000000" w:themeColor="text1"/>
          <w:lang w:eastAsia="zh-CN"/>
          <w14:textFill>
            <w14:solidFill>
              <w14:schemeClr w14:val="tx1"/>
            </w14:solidFill>
          </w14:textFill>
        </w:rPr>
        <w:t>2019</w:t>
      </w:r>
      <w:r>
        <w:rPr>
          <w:rFonts w:hint="eastAsia" w:hAnsi="宋体" w:cs="宋体"/>
          <w:color w:val="000000" w:themeColor="text1"/>
          <w:lang w:val="zh-CN" w:eastAsia="zh-CN"/>
          <w14:textFill>
            <w14:solidFill>
              <w14:schemeClr w14:val="tx1"/>
            </w14:solidFill>
          </w14:textFill>
        </w:rPr>
        <w:t>年</w:t>
      </w:r>
      <w:r>
        <w:rPr>
          <w:rFonts w:hint="eastAsia" w:hAnsi="宋体" w:cs="宋体"/>
          <w:color w:val="000000" w:themeColor="text1"/>
          <w:lang w:eastAsia="zh-CN"/>
          <w14:textFill>
            <w14:solidFill>
              <w14:schemeClr w14:val="tx1"/>
            </w14:solidFill>
          </w14:textFill>
        </w:rPr>
        <w:t>1</w:t>
      </w:r>
      <w:r>
        <w:rPr>
          <w:rFonts w:hint="eastAsia" w:hAnsi="宋体" w:cs="宋体"/>
          <w:color w:val="000000" w:themeColor="text1"/>
          <w:lang w:val="zh-CN" w:eastAsia="zh-CN"/>
          <w14:textFill>
            <w14:solidFill>
              <w14:schemeClr w14:val="tx1"/>
            </w14:solidFill>
          </w14:textFill>
        </w:rPr>
        <w:t>月</w:t>
      </w:r>
      <w:r>
        <w:rPr>
          <w:rFonts w:hint="eastAsia" w:hAnsi="宋体" w:cs="宋体"/>
          <w:color w:val="000000" w:themeColor="text1"/>
          <w:lang w:eastAsia="zh-CN"/>
          <w14:textFill>
            <w14:solidFill>
              <w14:schemeClr w14:val="tx1"/>
            </w14:solidFill>
          </w14:textFill>
        </w:rPr>
        <w:t>1</w:t>
      </w:r>
      <w:r>
        <w:rPr>
          <w:rFonts w:hint="eastAsia" w:hAnsi="宋体" w:cs="宋体"/>
          <w:color w:val="000000" w:themeColor="text1"/>
          <w:lang w:val="zh-CN" w:eastAsia="zh-CN"/>
          <w14:textFill>
            <w14:solidFill>
              <w14:schemeClr w14:val="tx1"/>
            </w14:solidFill>
          </w14:textFill>
        </w:rPr>
        <w:t>日或以后</w:t>
      </w:r>
      <w:r>
        <w:rPr>
          <w:rFonts w:hint="eastAsia" w:hAnsi="宋体" w:cs="宋体"/>
          <w:color w:val="000000" w:themeColor="text1"/>
          <w14:textFill>
            <w14:solidFill>
              <w14:schemeClr w14:val="tx1"/>
            </w14:solidFill>
          </w14:textFill>
        </w:rPr>
        <w:t>）；</w:t>
      </w:r>
    </w:p>
    <w:p>
      <w:pPr>
        <w:spacing w:line="360" w:lineRule="auto"/>
        <w:ind w:firstLine="424" w:firstLineChars="177"/>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7.配备项目人员；</w:t>
      </w:r>
    </w:p>
    <w:p>
      <w:pPr>
        <w:spacing w:line="360" w:lineRule="auto"/>
        <w:ind w:firstLine="424" w:firstLineChars="177"/>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8.信用中国网站截图；</w:t>
      </w:r>
    </w:p>
    <w:p>
      <w:pPr>
        <w:spacing w:line="360" w:lineRule="auto"/>
        <w:ind w:firstLine="424" w:firstLineChars="177"/>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9.报价人认为有必要提供的资料</w:t>
      </w:r>
      <w:r>
        <w:rPr>
          <w:rStyle w:val="28"/>
          <w:rFonts w:hint="eastAsia"/>
          <w:sz w:val="24"/>
          <w:szCs w:val="24"/>
          <w:lang w:eastAsia="zh-CN"/>
        </w:rPr>
        <w:t>（</w:t>
      </w:r>
      <w:r>
        <w:rPr>
          <w:rStyle w:val="28"/>
          <w:rFonts w:hint="eastAsia"/>
          <w:sz w:val="24"/>
          <w:szCs w:val="24"/>
          <w:lang w:val="en-US" w:eastAsia="zh-CN"/>
        </w:rPr>
        <w:t>不做强制要求</w:t>
      </w:r>
      <w:r>
        <w:rPr>
          <w:rStyle w:val="28"/>
          <w:rFonts w:hint="eastAsia"/>
          <w:sz w:val="24"/>
          <w:szCs w:val="24"/>
          <w:lang w:eastAsia="zh-CN"/>
        </w:rPr>
        <w:t>）</w:t>
      </w:r>
      <w:r>
        <w:rPr>
          <w:rFonts w:hint="eastAsia" w:hAnsi="宋体" w:cs="宋体"/>
          <w:color w:val="000000" w:themeColor="text1"/>
          <w14:textFill>
            <w14:solidFill>
              <w14:schemeClr w14:val="tx1"/>
            </w14:solidFill>
          </w14:textFill>
        </w:rPr>
        <w:t>。</w:t>
      </w:r>
    </w:p>
    <w:p>
      <w:pPr>
        <w:spacing w:line="360" w:lineRule="auto"/>
        <w:rPr>
          <w:rFonts w:hAnsi="宋体" w:cs="宋体"/>
          <w:b/>
          <w:bCs/>
        </w:rPr>
      </w:pPr>
    </w:p>
    <w:p>
      <w:pPr>
        <w:spacing w:line="360" w:lineRule="auto"/>
        <w:rPr>
          <w:rFonts w:hAnsi="宋体" w:cs="宋体"/>
          <w:b/>
          <w:bCs/>
        </w:rPr>
      </w:pPr>
      <w:r>
        <w:rPr>
          <w:rFonts w:hint="eastAsia" w:hAnsi="宋体" w:cs="宋体"/>
          <w:b/>
          <w:bCs/>
        </w:rPr>
        <w:t>三、报价文件的封装和递交</w:t>
      </w:r>
    </w:p>
    <w:p>
      <w:pPr>
        <w:spacing w:line="360" w:lineRule="auto"/>
        <w:ind w:firstLine="424" w:firstLineChars="177"/>
        <w:rPr>
          <w:rFonts w:hAnsi="宋体" w:cs="宋体"/>
        </w:rPr>
      </w:pPr>
      <w:r>
        <w:rPr>
          <w:rFonts w:hint="eastAsia" w:ascii="Times New Roman" w:cs="宋体"/>
        </w:rPr>
        <w:t>1</w:t>
      </w:r>
      <w:r>
        <w:rPr>
          <w:rFonts w:hint="eastAsia" w:hAnsi="宋体" w:cs="宋体"/>
        </w:rPr>
        <w:t>.报价人应将报价文件一起密封在一个不透明的外层封装中。外层密封封装表面应正确标明报价人名称、地址、项目名称、报价文件名称、并注明报价文件递交截止时间之前不得开封（在封口位置的封条上标注注明），封口位置加盖报价人法人公章。</w:t>
      </w:r>
    </w:p>
    <w:p>
      <w:pPr>
        <w:spacing w:line="360" w:lineRule="auto"/>
        <w:ind w:firstLine="424" w:firstLineChars="177"/>
        <w:rPr>
          <w:rFonts w:ascii="Times New Roman"/>
        </w:rPr>
      </w:pPr>
      <w:r>
        <w:rPr>
          <w:rFonts w:ascii="Times New Roman"/>
        </w:rPr>
        <w:t xml:space="preserve">2. </w:t>
      </w:r>
      <w:r>
        <w:rPr>
          <w:rFonts w:hint="eastAsia" w:ascii="Times New Roman"/>
          <w:b/>
          <w:bCs/>
        </w:rPr>
        <w:t>报价文件无须装订成册。</w:t>
      </w:r>
      <w:r>
        <w:rPr>
          <w:rFonts w:ascii="Times New Roman"/>
        </w:rPr>
        <w:t>若报价文件装订成册，需同时提供电子文件，内容包括：签字、盖章后的报价文件扫描版PDF格式电子文件。电子文件不可设置密码，用U盘或DVD或CD-R光盘储存，并密封于</w:t>
      </w:r>
      <w:r>
        <w:rPr>
          <w:rFonts w:hint="eastAsia" w:hAnsi="宋体" w:cs="宋体"/>
        </w:rPr>
        <w:t>“电子文件”</w:t>
      </w:r>
      <w:r>
        <w:rPr>
          <w:rFonts w:ascii="Times New Roman"/>
        </w:rPr>
        <w:t>内（电子文件的包装封面需注明项目名称、项目编号、报价人单位名称，并加盖报价人法人公章）。</w:t>
      </w:r>
    </w:p>
    <w:p>
      <w:pPr>
        <w:spacing w:line="360" w:lineRule="auto"/>
        <w:ind w:firstLine="424" w:firstLineChars="177"/>
        <w:rPr>
          <w:rFonts w:hAnsi="宋体" w:cs="宋体"/>
        </w:rPr>
      </w:pPr>
      <w:r>
        <w:rPr>
          <w:rFonts w:hint="eastAsia" w:ascii="Times New Roman" w:cs="宋体"/>
        </w:rPr>
        <w:t>3</w:t>
      </w:r>
      <w:r>
        <w:rPr>
          <w:rFonts w:hint="eastAsia" w:hAnsi="宋体" w:cs="宋体"/>
        </w:rPr>
        <w:t>.</w:t>
      </w:r>
      <w:r>
        <w:rPr>
          <w:rFonts w:hint="eastAsia" w:hAnsi="宋体" w:cs="宋体"/>
          <w:b/>
          <w:bCs/>
        </w:rPr>
        <w:t>密封好的报价文件，应于询价邀请函中规定的截止时间前递交到采购人指定的递交地点，否则视为放弃参与本项目。</w:t>
      </w:r>
    </w:p>
    <w:p>
      <w:pPr>
        <w:spacing w:line="360" w:lineRule="auto"/>
        <w:rPr>
          <w:rFonts w:hAnsi="宋体" w:cs="宋体"/>
        </w:rPr>
      </w:pPr>
    </w:p>
    <w:p>
      <w:pPr>
        <w:spacing w:line="360" w:lineRule="auto"/>
        <w:rPr>
          <w:rFonts w:hAnsi="宋体" w:cs="宋体"/>
          <w:b/>
          <w:bCs/>
        </w:rPr>
      </w:pPr>
      <w:r>
        <w:rPr>
          <w:rFonts w:hint="eastAsia" w:hAnsi="宋体" w:cs="宋体"/>
          <w:b/>
          <w:bCs/>
        </w:rPr>
        <w:t>四、报价有效性说明</w:t>
      </w:r>
    </w:p>
    <w:p>
      <w:pPr>
        <w:spacing w:line="360" w:lineRule="auto"/>
        <w:ind w:firstLine="426" w:firstLineChars="177"/>
        <w:rPr>
          <w:rFonts w:ascii="Times New Roman" w:cs="宋体"/>
          <w:b/>
          <w:bCs/>
        </w:rPr>
      </w:pPr>
      <w:r>
        <w:rPr>
          <w:rFonts w:hint="eastAsia" w:ascii="Times New Roman" w:cs="宋体"/>
          <w:b/>
          <w:bCs/>
        </w:rPr>
        <w:t>1.含税总报价不得高于本项目含税最高限价，否则视为无效报价；</w:t>
      </w:r>
    </w:p>
    <w:p>
      <w:pPr>
        <w:spacing w:line="360" w:lineRule="auto"/>
        <w:ind w:firstLine="426" w:firstLineChars="177"/>
        <w:rPr>
          <w:rFonts w:ascii="Times New Roman" w:cs="宋体"/>
          <w:b/>
          <w:bCs/>
        </w:rPr>
      </w:pPr>
      <w:r>
        <w:rPr>
          <w:rFonts w:hint="eastAsia" w:ascii="Times New Roman" w:cs="宋体"/>
          <w:b/>
          <w:bCs/>
        </w:rPr>
        <w:t>2.对用户需求书、合同条款响应有负偏离的，按无效响应处理；</w:t>
      </w:r>
    </w:p>
    <w:p>
      <w:pPr>
        <w:spacing w:line="360" w:lineRule="auto"/>
        <w:ind w:firstLine="426" w:firstLineChars="177"/>
        <w:rPr>
          <w:rFonts w:ascii="Times New Roman" w:cs="宋体"/>
          <w:b/>
          <w:bCs/>
        </w:rPr>
      </w:pPr>
      <w:r>
        <w:rPr>
          <w:rFonts w:hint="eastAsia" w:ascii="Times New Roman" w:cs="宋体"/>
          <w:b/>
          <w:bCs/>
        </w:rPr>
        <w:t>3.报价人未按报价文件格式提供相应材料的，按无效报价处理；</w:t>
      </w:r>
    </w:p>
    <w:p>
      <w:pPr>
        <w:spacing w:line="360" w:lineRule="auto"/>
        <w:ind w:firstLine="426" w:firstLineChars="177"/>
        <w:rPr>
          <w:rFonts w:ascii="Times New Roman" w:cs="宋体"/>
          <w:b/>
          <w:bCs/>
        </w:rPr>
      </w:pPr>
      <w:r>
        <w:rPr>
          <w:rFonts w:hint="eastAsia" w:ascii="Times New Roman" w:cs="宋体"/>
          <w:b/>
          <w:bCs/>
        </w:rPr>
        <w:t>4.若有效报价文件不足三家时，采购人有权重新进行采购。在实质性满足采购需求的情况下，若2家以上（含本数）供应商报价一致且同为最低价时，报价相同的供应商再进行一次报价，且再次报价不得高于前一次报价，以此类推，最终价低者得。当报价文件完全响应需求的最低价供应商放弃成交资格或经确认未实质性满足采购需求时，我公司有权确定实质性满足采购需求的第二低价供应商作为成交供应商，或重新进行采购。</w:t>
      </w:r>
    </w:p>
    <w:p>
      <w:pPr>
        <w:spacing w:line="360" w:lineRule="auto"/>
        <w:ind w:firstLine="480" w:firstLineChars="200"/>
        <w:rPr>
          <w:rFonts w:hAnsi="宋体" w:cs="宋体"/>
        </w:rPr>
      </w:pPr>
    </w:p>
    <w:p>
      <w:pPr>
        <w:spacing w:line="360" w:lineRule="auto"/>
        <w:rPr>
          <w:rFonts w:hAnsi="宋体" w:cs="宋体"/>
        </w:rPr>
      </w:pPr>
      <w:r>
        <w:rPr>
          <w:rFonts w:hint="eastAsia" w:hAnsi="宋体" w:cs="宋体"/>
        </w:rPr>
        <w:br w:type="page"/>
      </w:r>
    </w:p>
    <w:p>
      <w:pPr>
        <w:pStyle w:val="2"/>
        <w:spacing w:before="0" w:after="0"/>
        <w:jc w:val="center"/>
        <w:rPr>
          <w:rFonts w:hAnsi="宋体" w:cs="宋体"/>
          <w:szCs w:val="32"/>
        </w:rPr>
      </w:pPr>
      <w:bookmarkStart w:id="153" w:name="_Toc2896"/>
      <w:bookmarkStart w:id="154" w:name="_Toc29476708"/>
      <w:r>
        <w:rPr>
          <w:rFonts w:hint="eastAsia" w:hAnsi="宋体" w:cs="宋体"/>
          <w:szCs w:val="32"/>
        </w:rPr>
        <w:t>第五章 报价文件（格式）</w:t>
      </w:r>
      <w:bookmarkEnd w:id="153"/>
      <w:bookmarkEnd w:id="154"/>
    </w:p>
    <w:p>
      <w:pPr>
        <w:spacing w:line="360" w:lineRule="auto"/>
        <w:rPr>
          <w:rFonts w:ascii="Times New Roman"/>
          <w:b/>
          <w:color w:val="000000"/>
          <w:sz w:val="28"/>
          <w:szCs w:val="28"/>
        </w:rPr>
      </w:pPr>
      <w:r>
        <w:rPr>
          <w:rFonts w:ascii="Times New Roman"/>
          <w:b/>
          <w:color w:val="000000"/>
          <w:sz w:val="28"/>
          <w:szCs w:val="28"/>
        </w:rPr>
        <w:t>1. 报价表</w:t>
      </w:r>
    </w:p>
    <w:tbl>
      <w:tblPr>
        <w:tblStyle w:val="23"/>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6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980" w:type="dxa"/>
            <w:shd w:val="clear" w:color="auto" w:fill="auto"/>
            <w:vAlign w:val="center"/>
          </w:tcPr>
          <w:p>
            <w:pPr>
              <w:pStyle w:val="13"/>
              <w:jc w:val="center"/>
              <w:rPr>
                <w:rFonts w:hAnsi="宋体" w:cs="宋体"/>
                <w:color w:val="000000"/>
                <w:sz w:val="24"/>
                <w:szCs w:val="28"/>
              </w:rPr>
            </w:pPr>
            <w:r>
              <w:rPr>
                <w:rFonts w:hint="eastAsia" w:hAnsi="宋体" w:cs="宋体"/>
                <w:color w:val="000000"/>
                <w:sz w:val="24"/>
                <w:szCs w:val="28"/>
              </w:rPr>
              <w:t>项目名称</w:t>
            </w:r>
          </w:p>
        </w:tc>
        <w:tc>
          <w:tcPr>
            <w:tcW w:w="6951" w:type="dxa"/>
            <w:shd w:val="clear" w:color="auto" w:fill="auto"/>
            <w:vAlign w:val="center"/>
          </w:tcPr>
          <w:p>
            <w:pPr>
              <w:autoSpaceDE/>
              <w:autoSpaceDN/>
              <w:adjustRightInd/>
              <w:jc w:val="center"/>
              <w:rPr>
                <w:rFonts w:hAnsi="宋体" w:cs="宋体"/>
                <w:color w:val="000000"/>
                <w:szCs w:val="28"/>
              </w:rPr>
            </w:pPr>
            <w:r>
              <w:rPr>
                <w:rFonts w:hint="eastAsia" w:hAnsi="宋体" w:cs="宋体"/>
                <w:color w:val="000000"/>
                <w:szCs w:val="28"/>
              </w:rPr>
              <w:t>东莞市管网运营平台雨污同治升级项目设计服务项目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1980" w:type="dxa"/>
            <w:shd w:val="clear" w:color="auto" w:fill="auto"/>
            <w:vAlign w:val="center"/>
          </w:tcPr>
          <w:p>
            <w:pPr>
              <w:pStyle w:val="13"/>
              <w:jc w:val="center"/>
              <w:rPr>
                <w:rFonts w:hAnsi="宋体" w:cs="宋体"/>
                <w:color w:val="000000"/>
                <w:sz w:val="24"/>
                <w:szCs w:val="28"/>
              </w:rPr>
            </w:pPr>
            <w:r>
              <w:rPr>
                <w:rFonts w:hint="eastAsia" w:hAnsi="宋体" w:cs="宋体"/>
                <w:color w:val="000000"/>
                <w:sz w:val="24"/>
                <w:szCs w:val="28"/>
              </w:rPr>
              <w:t>报价</w:t>
            </w:r>
          </w:p>
          <w:p>
            <w:pPr>
              <w:pStyle w:val="13"/>
              <w:jc w:val="center"/>
              <w:rPr>
                <w:rFonts w:hAnsi="宋体" w:cs="宋体"/>
                <w:color w:val="000000"/>
                <w:sz w:val="24"/>
                <w:szCs w:val="28"/>
              </w:rPr>
            </w:pPr>
            <w:r>
              <w:rPr>
                <w:rFonts w:hint="eastAsia" w:hAnsi="宋体" w:cs="宋体"/>
                <w:color w:val="000000"/>
                <w:sz w:val="24"/>
                <w:szCs w:val="28"/>
              </w:rPr>
              <w:t>（单位：元）</w:t>
            </w:r>
          </w:p>
        </w:tc>
        <w:tc>
          <w:tcPr>
            <w:tcW w:w="6951" w:type="dxa"/>
            <w:shd w:val="clear" w:color="auto" w:fill="auto"/>
            <w:vAlign w:val="center"/>
          </w:tcPr>
          <w:p>
            <w:pPr>
              <w:pStyle w:val="13"/>
              <w:spacing w:line="480" w:lineRule="auto"/>
            </w:pPr>
            <w:r>
              <w:rPr>
                <w:rFonts w:hint="eastAsia" w:hAnsi="宋体" w:cs="宋体"/>
                <w:color w:val="000000"/>
                <w:sz w:val="24"/>
                <w:szCs w:val="28"/>
              </w:rPr>
              <w:t>含税金额：小写</w:t>
            </w:r>
            <w:r>
              <w:rPr>
                <w:rFonts w:hint="eastAsia" w:hAnsi="宋体" w:cs="宋体"/>
                <w:color w:val="000000"/>
                <w:sz w:val="24"/>
                <w:szCs w:val="28"/>
                <w:u w:val="single"/>
              </w:rPr>
              <w:t xml:space="preserve">           元</w:t>
            </w:r>
          </w:p>
          <w:p>
            <w:pPr>
              <w:pStyle w:val="13"/>
              <w:spacing w:line="480" w:lineRule="auto"/>
              <w:rPr>
                <w:rFonts w:hAnsi="宋体" w:cs="宋体"/>
                <w:color w:val="000000"/>
                <w:sz w:val="24"/>
                <w:szCs w:val="28"/>
                <w:u w:val="single"/>
              </w:rPr>
            </w:pPr>
            <w:r>
              <w:rPr>
                <w:rFonts w:hint="eastAsia" w:hAnsi="宋体" w:cs="宋体"/>
                <w:color w:val="000000"/>
                <w:sz w:val="24"/>
                <w:szCs w:val="28"/>
              </w:rPr>
              <w:t>不含税金额：小写</w:t>
            </w:r>
            <w:r>
              <w:rPr>
                <w:rFonts w:hint="eastAsia" w:hAnsi="宋体" w:cs="宋体"/>
                <w:color w:val="000000"/>
                <w:sz w:val="24"/>
                <w:szCs w:val="28"/>
                <w:u w:val="single"/>
              </w:rPr>
              <w:t xml:space="preserve">           </w:t>
            </w:r>
            <w:r>
              <w:rPr>
                <w:rFonts w:hint="eastAsia" w:hAnsi="宋体" w:cs="宋体"/>
                <w:color w:val="000000"/>
                <w:sz w:val="24"/>
                <w:szCs w:val="28"/>
              </w:rPr>
              <w:t>元，税金</w:t>
            </w:r>
            <w:r>
              <w:rPr>
                <w:rFonts w:hint="eastAsia" w:hAnsi="宋体" w:cs="宋体"/>
                <w:color w:val="000000"/>
                <w:sz w:val="24"/>
                <w:szCs w:val="28"/>
                <w:u w:val="single"/>
              </w:rPr>
              <w:t xml:space="preserve">     </w:t>
            </w:r>
            <w:r>
              <w:rPr>
                <w:rFonts w:hint="eastAsia" w:hAnsi="宋体" w:cs="宋体"/>
                <w:color w:val="000000"/>
                <w:sz w:val="24"/>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980" w:type="dxa"/>
            <w:shd w:val="clear" w:color="auto" w:fill="auto"/>
            <w:vAlign w:val="center"/>
          </w:tcPr>
          <w:p>
            <w:pPr>
              <w:pStyle w:val="13"/>
              <w:jc w:val="center"/>
              <w:rPr>
                <w:rFonts w:hAnsi="宋体" w:cs="宋体"/>
                <w:color w:val="000000"/>
                <w:sz w:val="24"/>
                <w:szCs w:val="28"/>
                <w:u w:val="single"/>
              </w:rPr>
            </w:pPr>
            <w:r>
              <w:rPr>
                <w:rFonts w:hint="eastAsia" w:hAnsi="宋体" w:cs="宋体"/>
                <w:color w:val="000000"/>
                <w:sz w:val="24"/>
                <w:szCs w:val="28"/>
              </w:rPr>
              <w:t>完成时间</w:t>
            </w:r>
          </w:p>
        </w:tc>
        <w:tc>
          <w:tcPr>
            <w:tcW w:w="6951" w:type="dxa"/>
            <w:shd w:val="clear" w:color="auto" w:fill="auto"/>
            <w:vAlign w:val="center"/>
          </w:tcPr>
          <w:p>
            <w:pPr>
              <w:autoSpaceDE/>
              <w:autoSpaceDN/>
              <w:adjustRightInd/>
              <w:jc w:val="center"/>
              <w:rPr>
                <w:rFonts w:hAnsi="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980" w:type="dxa"/>
            <w:shd w:val="clear" w:color="auto" w:fill="auto"/>
            <w:vAlign w:val="center"/>
          </w:tcPr>
          <w:p>
            <w:pPr>
              <w:pStyle w:val="13"/>
              <w:jc w:val="center"/>
              <w:rPr>
                <w:rFonts w:hAnsi="宋体" w:cs="宋体"/>
                <w:color w:val="000000"/>
                <w:sz w:val="24"/>
                <w:szCs w:val="28"/>
              </w:rPr>
            </w:pPr>
            <w:r>
              <w:rPr>
                <w:rFonts w:hint="eastAsia" w:hAnsi="宋体" w:cs="宋体"/>
                <w:color w:val="000000"/>
                <w:sz w:val="24"/>
                <w:szCs w:val="28"/>
              </w:rPr>
              <w:t>报价人纳税类型</w:t>
            </w:r>
          </w:p>
        </w:tc>
        <w:tc>
          <w:tcPr>
            <w:tcW w:w="6951" w:type="dxa"/>
            <w:shd w:val="clear" w:color="auto" w:fill="auto"/>
            <w:vAlign w:val="center"/>
          </w:tcPr>
          <w:p>
            <w:pPr>
              <w:autoSpaceDE/>
              <w:autoSpaceDN/>
              <w:adjustRightInd/>
              <w:ind w:firstLine="1800" w:firstLineChars="750"/>
              <w:rPr>
                <w:rFonts w:hAnsi="宋体" w:cs="宋体"/>
                <w:szCs w:val="28"/>
              </w:rPr>
            </w:pPr>
            <w:r>
              <w:rPr>
                <w:rFonts w:hint="eastAsia" w:hAnsi="宋体" w:cs="宋体"/>
                <w:szCs w:val="28"/>
              </w:rPr>
              <w:t>□ 一般纳税人</w:t>
            </w:r>
          </w:p>
          <w:p>
            <w:pPr>
              <w:autoSpaceDE/>
              <w:autoSpaceDN/>
              <w:adjustRightInd/>
              <w:ind w:firstLine="1800" w:firstLineChars="750"/>
              <w:rPr>
                <w:rFonts w:hAnsi="宋体" w:cs="宋体"/>
                <w:szCs w:val="28"/>
              </w:rPr>
            </w:pPr>
            <w:r>
              <w:rPr>
                <w:rFonts w:hint="eastAsia" w:hAnsi="宋体" w:cs="宋体"/>
                <w:szCs w:val="28"/>
              </w:rPr>
              <w:t>□ 小规模纳税人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980" w:type="dxa"/>
            <w:shd w:val="clear" w:color="auto" w:fill="auto"/>
            <w:vAlign w:val="center"/>
          </w:tcPr>
          <w:p>
            <w:pPr>
              <w:pStyle w:val="13"/>
              <w:jc w:val="center"/>
              <w:rPr>
                <w:rFonts w:hAnsi="宋体" w:cs="宋体"/>
                <w:color w:val="000000"/>
                <w:sz w:val="24"/>
                <w:szCs w:val="28"/>
              </w:rPr>
            </w:pPr>
            <w:r>
              <w:rPr>
                <w:rFonts w:hint="eastAsia" w:hAnsi="宋体" w:cs="宋体"/>
                <w:color w:val="000000"/>
                <w:sz w:val="24"/>
                <w:szCs w:val="28"/>
              </w:rPr>
              <w:t>报价人提供的增值税专用发票的税率</w:t>
            </w:r>
          </w:p>
        </w:tc>
        <w:tc>
          <w:tcPr>
            <w:tcW w:w="6951" w:type="dxa"/>
            <w:shd w:val="clear" w:color="auto" w:fill="auto"/>
            <w:vAlign w:val="center"/>
          </w:tcPr>
          <w:p>
            <w:pPr>
              <w:autoSpaceDE/>
              <w:autoSpaceDN/>
              <w:adjustRightInd/>
              <w:jc w:val="center"/>
              <w:rPr>
                <w:rFonts w:hAnsi="宋体" w:cs="宋体"/>
                <w:szCs w:val="28"/>
              </w:rPr>
            </w:pPr>
            <w:r>
              <w:rPr>
                <w:rFonts w:hint="eastAsia" w:hAnsi="宋体" w:cs="宋体"/>
                <w:szCs w:val="28"/>
                <w:u w:val="single"/>
              </w:rPr>
              <w:t xml:space="preserve">     </w:t>
            </w:r>
            <w:r>
              <w:rPr>
                <w:rFonts w:ascii="Times New Roman"/>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4" w:hRule="atLeast"/>
          <w:jc w:val="center"/>
        </w:trPr>
        <w:tc>
          <w:tcPr>
            <w:tcW w:w="1980" w:type="dxa"/>
            <w:shd w:val="clear" w:color="auto" w:fill="auto"/>
            <w:vAlign w:val="center"/>
          </w:tcPr>
          <w:p>
            <w:pPr>
              <w:pStyle w:val="13"/>
              <w:jc w:val="center"/>
              <w:rPr>
                <w:rFonts w:hAnsi="宋体" w:cs="宋体"/>
                <w:color w:val="000000"/>
                <w:sz w:val="24"/>
                <w:szCs w:val="24"/>
              </w:rPr>
            </w:pPr>
            <w:r>
              <w:rPr>
                <w:rFonts w:hint="eastAsia" w:hAnsi="宋体" w:cs="宋体"/>
                <w:color w:val="000000"/>
                <w:sz w:val="24"/>
                <w:szCs w:val="24"/>
              </w:rPr>
              <w:t>备注</w:t>
            </w:r>
          </w:p>
        </w:tc>
        <w:tc>
          <w:tcPr>
            <w:tcW w:w="6951" w:type="dxa"/>
            <w:shd w:val="clear" w:color="auto" w:fill="auto"/>
            <w:vAlign w:val="center"/>
          </w:tcPr>
          <w:p>
            <w:pPr>
              <w:numPr>
                <w:ilvl w:val="0"/>
                <w:numId w:val="12"/>
              </w:numPr>
              <w:autoSpaceDE/>
              <w:autoSpaceDN/>
              <w:adjustRightInd/>
              <w:jc w:val="both"/>
              <w:rPr>
                <w:rFonts w:ascii="Times New Roman"/>
                <w:b/>
                <w:bCs/>
              </w:rPr>
            </w:pPr>
            <w:r>
              <w:rPr>
                <w:rFonts w:ascii="Times New Roman"/>
                <w:b/>
                <w:bCs/>
              </w:rPr>
              <w:t>本次所报价格为含销项税额，包含</w:t>
            </w:r>
            <w:r>
              <w:rPr>
                <w:rFonts w:hint="eastAsia" w:ascii="Times New Roman"/>
                <w:b/>
                <w:bCs/>
              </w:rPr>
              <w:t>供应</w:t>
            </w:r>
            <w:r>
              <w:rPr>
                <w:rFonts w:ascii="Times New Roman"/>
                <w:b/>
                <w:bCs/>
              </w:rPr>
              <w:t>商销项税额及完成本项目所需的全部费用。</w:t>
            </w:r>
          </w:p>
          <w:p>
            <w:pPr>
              <w:numPr>
                <w:ilvl w:val="0"/>
                <w:numId w:val="12"/>
              </w:numPr>
              <w:autoSpaceDE/>
              <w:autoSpaceDN/>
              <w:adjustRightInd/>
              <w:jc w:val="both"/>
              <w:rPr>
                <w:rFonts w:ascii="Times New Roman"/>
                <w:b/>
                <w:bCs/>
              </w:rPr>
            </w:pPr>
            <w:r>
              <w:rPr>
                <w:rFonts w:ascii="Times New Roman"/>
                <w:b/>
                <w:bCs/>
              </w:rPr>
              <w:t>含税总报价不得高于本项目含税最高限价</w:t>
            </w:r>
            <w:r>
              <w:rPr>
                <w:rFonts w:hint="eastAsia" w:ascii="Times New Roman"/>
                <w:b/>
                <w:bCs/>
              </w:rPr>
              <w:t>（</w:t>
            </w:r>
            <w:r>
              <w:rPr>
                <w:rFonts w:hint="eastAsia" w:hAnsi="宋体" w:cs="宋体"/>
                <w:b/>
                <w:bCs/>
                <w:color w:val="000000"/>
                <w:szCs w:val="21"/>
              </w:rPr>
              <w:t>180,000</w:t>
            </w:r>
            <w:r>
              <w:rPr>
                <w:rFonts w:hint="eastAsia" w:ascii="Times New Roman"/>
                <w:b/>
                <w:bCs/>
              </w:rPr>
              <w:t>元</w:t>
            </w:r>
            <w:r>
              <w:rPr>
                <w:rFonts w:ascii="Times New Roman"/>
                <w:b/>
                <w:bCs/>
              </w:rPr>
              <w:t>），否则视为无效报价。</w:t>
            </w:r>
          </w:p>
        </w:tc>
      </w:tr>
    </w:tbl>
    <w:p>
      <w:pPr>
        <w:pStyle w:val="13"/>
        <w:spacing w:line="360" w:lineRule="auto"/>
        <w:rPr>
          <w:rFonts w:hAnsi="宋体" w:cs="宋体"/>
          <w:color w:val="000000"/>
          <w:sz w:val="24"/>
          <w:szCs w:val="24"/>
        </w:rPr>
      </w:pPr>
    </w:p>
    <w:p>
      <w:pPr>
        <w:pStyle w:val="13"/>
        <w:spacing w:line="360" w:lineRule="auto"/>
        <w:rPr>
          <w:rFonts w:hAnsi="宋体" w:cs="宋体"/>
          <w:color w:val="000000"/>
          <w:sz w:val="24"/>
          <w:szCs w:val="28"/>
        </w:rPr>
      </w:pPr>
      <w:r>
        <w:rPr>
          <w:rFonts w:hint="eastAsia" w:hAnsi="宋体" w:cs="宋体"/>
          <w:color w:val="000000"/>
          <w:sz w:val="24"/>
          <w:szCs w:val="28"/>
        </w:rPr>
        <w:t>联系人：                          联系电话：</w:t>
      </w:r>
    </w:p>
    <w:p>
      <w:pPr>
        <w:pStyle w:val="13"/>
        <w:spacing w:line="360" w:lineRule="auto"/>
        <w:rPr>
          <w:rFonts w:hAnsi="宋体" w:cs="宋体"/>
          <w:color w:val="000000"/>
          <w:sz w:val="24"/>
          <w:szCs w:val="28"/>
        </w:rPr>
      </w:pPr>
      <w:r>
        <w:rPr>
          <w:rFonts w:hint="eastAsia" w:hAnsi="宋体" w:cs="宋体"/>
          <w:color w:val="000000"/>
          <w:sz w:val="24"/>
          <w:szCs w:val="28"/>
        </w:rPr>
        <w:t>联系地址：</w:t>
      </w:r>
    </w:p>
    <w:p>
      <w:pPr>
        <w:wordWrap w:val="0"/>
        <w:spacing w:line="360" w:lineRule="auto"/>
        <w:jc w:val="right"/>
        <w:rPr>
          <w:rFonts w:hAnsi="宋体" w:cs="宋体"/>
          <w:color w:val="000000"/>
          <w:kern w:val="2"/>
          <w:szCs w:val="28"/>
        </w:rPr>
      </w:pPr>
      <w:r>
        <w:rPr>
          <w:rFonts w:hint="eastAsia" w:hAnsi="宋体" w:cs="宋体"/>
          <w:color w:val="000000"/>
          <w:kern w:val="2"/>
          <w:szCs w:val="28"/>
          <w:lang w:val="zh-CN"/>
        </w:rPr>
        <w:t>报价人：（公章）</w:t>
      </w:r>
      <w:r>
        <w:rPr>
          <w:rFonts w:hint="eastAsia" w:hAnsi="宋体" w:cs="宋体"/>
          <w:color w:val="000000"/>
          <w:kern w:val="2"/>
          <w:szCs w:val="28"/>
        </w:rPr>
        <w:t xml:space="preserve">       </w:t>
      </w:r>
    </w:p>
    <w:p>
      <w:pPr>
        <w:spacing w:line="360" w:lineRule="auto"/>
        <w:jc w:val="right"/>
        <w:rPr>
          <w:rFonts w:hAnsi="宋体" w:cs="宋体"/>
          <w:color w:val="000000"/>
          <w:kern w:val="2"/>
          <w:szCs w:val="28"/>
          <w:lang w:val="zh-CN"/>
        </w:rPr>
      </w:pPr>
      <w:r>
        <w:rPr>
          <w:rFonts w:hint="eastAsia" w:hAnsi="宋体" w:cs="宋体"/>
          <w:color w:val="000000"/>
          <w:kern w:val="2"/>
          <w:szCs w:val="28"/>
          <w:lang w:val="zh-CN"/>
        </w:rPr>
        <w:t>日期：   年    月   日</w:t>
      </w:r>
    </w:p>
    <w:p>
      <w:pPr>
        <w:spacing w:line="360" w:lineRule="auto"/>
        <w:ind w:right="1680"/>
        <w:rPr>
          <w:rFonts w:hAnsi="宋体" w:cs="宋体"/>
          <w:color w:val="000000"/>
          <w:kern w:val="2"/>
          <w:szCs w:val="28"/>
        </w:rPr>
      </w:pPr>
    </w:p>
    <w:p>
      <w:pPr>
        <w:spacing w:line="360" w:lineRule="auto"/>
        <w:ind w:right="1680"/>
        <w:rPr>
          <w:rFonts w:hAnsi="宋体" w:cs="宋体"/>
          <w:color w:val="000000"/>
          <w:kern w:val="2"/>
          <w:szCs w:val="28"/>
        </w:rPr>
      </w:pPr>
    </w:p>
    <w:p>
      <w:pPr>
        <w:rPr>
          <w:rFonts w:hAnsi="宋体" w:cs="宋体"/>
          <w:color w:val="000000"/>
          <w:kern w:val="2"/>
          <w:szCs w:val="28"/>
        </w:rPr>
      </w:pPr>
      <w:r>
        <w:rPr>
          <w:rFonts w:hAnsi="宋体" w:cs="宋体"/>
          <w:color w:val="000000"/>
          <w:kern w:val="2"/>
          <w:szCs w:val="28"/>
        </w:rPr>
        <w:br w:type="page"/>
      </w:r>
    </w:p>
    <w:p>
      <w:pPr>
        <w:spacing w:line="360" w:lineRule="auto"/>
        <w:rPr>
          <w:rFonts w:ascii="Times New Roman"/>
          <w:b/>
          <w:color w:val="000000"/>
          <w:sz w:val="28"/>
          <w:szCs w:val="28"/>
        </w:rPr>
      </w:pPr>
      <w:r>
        <w:rPr>
          <w:rFonts w:ascii="Times New Roman"/>
          <w:b/>
          <w:color w:val="000000"/>
          <w:sz w:val="28"/>
          <w:szCs w:val="28"/>
        </w:rPr>
        <w:t>2.用户需求偏离表</w:t>
      </w:r>
    </w:p>
    <w:p>
      <w:pPr>
        <w:spacing w:line="360" w:lineRule="auto"/>
        <w:jc w:val="center"/>
        <w:rPr>
          <w:rFonts w:hAnsi="宋体" w:cs="宋体"/>
          <w:b/>
          <w:color w:val="000000"/>
          <w:sz w:val="28"/>
          <w:szCs w:val="28"/>
        </w:rPr>
      </w:pPr>
      <w:bookmarkStart w:id="155" w:name="_Hlk26973180"/>
      <w:r>
        <w:rPr>
          <w:rFonts w:hint="eastAsia" w:hAnsi="宋体" w:cs="宋体"/>
          <w:b/>
          <w:color w:val="000000"/>
          <w:sz w:val="28"/>
          <w:szCs w:val="28"/>
          <w:lang w:val="zh-CN"/>
        </w:rPr>
        <w:t>用户需求偏离表</w:t>
      </w:r>
    </w:p>
    <w:bookmarkEnd w:id="155"/>
    <w:tbl>
      <w:tblPr>
        <w:tblStyle w:val="23"/>
        <w:tblW w:w="10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046"/>
        <w:gridCol w:w="3690"/>
        <w:gridCol w:w="2151"/>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atLeast"/>
          <w:jc w:val="center"/>
        </w:trPr>
        <w:tc>
          <w:tcPr>
            <w:tcW w:w="993" w:type="dxa"/>
            <w:vMerge w:val="restart"/>
            <w:vAlign w:val="center"/>
          </w:tcPr>
          <w:p>
            <w:pPr>
              <w:spacing w:line="360" w:lineRule="auto"/>
              <w:jc w:val="center"/>
              <w:rPr>
                <w:rFonts w:hAnsi="宋体" w:cs="宋体"/>
                <w:b/>
                <w:bCs/>
                <w:color w:val="000000"/>
                <w:szCs w:val="21"/>
              </w:rPr>
            </w:pPr>
            <w:r>
              <w:rPr>
                <w:rFonts w:hint="eastAsia" w:hAnsi="宋体" w:cs="宋体"/>
                <w:b/>
                <w:bCs/>
                <w:color w:val="000000"/>
                <w:szCs w:val="21"/>
              </w:rPr>
              <w:t>序号</w:t>
            </w:r>
          </w:p>
        </w:tc>
        <w:tc>
          <w:tcPr>
            <w:tcW w:w="4736" w:type="dxa"/>
            <w:gridSpan w:val="2"/>
            <w:vAlign w:val="center"/>
          </w:tcPr>
          <w:p>
            <w:pPr>
              <w:spacing w:line="360" w:lineRule="auto"/>
              <w:jc w:val="center"/>
              <w:rPr>
                <w:rFonts w:hAnsi="宋体" w:cs="宋体"/>
                <w:b/>
                <w:bCs/>
                <w:color w:val="000000"/>
                <w:szCs w:val="21"/>
              </w:rPr>
            </w:pPr>
            <w:r>
              <w:rPr>
                <w:rFonts w:hint="eastAsia" w:hAnsi="宋体" w:cs="宋体"/>
                <w:b/>
                <w:bCs/>
                <w:color w:val="000000"/>
                <w:szCs w:val="21"/>
              </w:rPr>
              <w:t>需求书要求</w:t>
            </w:r>
          </w:p>
        </w:tc>
        <w:tc>
          <w:tcPr>
            <w:tcW w:w="4469" w:type="dxa"/>
            <w:gridSpan w:val="2"/>
            <w:vAlign w:val="center"/>
          </w:tcPr>
          <w:p>
            <w:pPr>
              <w:spacing w:line="360" w:lineRule="auto"/>
              <w:jc w:val="center"/>
              <w:rPr>
                <w:rFonts w:hAnsi="宋体" w:cs="宋体"/>
                <w:b/>
                <w:bCs/>
                <w:color w:val="000000"/>
                <w:szCs w:val="21"/>
              </w:rPr>
            </w:pPr>
            <w:r>
              <w:rPr>
                <w:rFonts w:hint="eastAsia" w:hAnsi="宋体" w:cs="宋体"/>
                <w:b/>
                <w:bCs/>
                <w:color w:val="000000"/>
                <w:szCs w:val="21"/>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atLeast"/>
          <w:jc w:val="center"/>
        </w:trPr>
        <w:tc>
          <w:tcPr>
            <w:tcW w:w="993" w:type="dxa"/>
            <w:vMerge w:val="continue"/>
            <w:vAlign w:val="center"/>
          </w:tcPr>
          <w:p>
            <w:pPr>
              <w:spacing w:line="360" w:lineRule="auto"/>
              <w:jc w:val="center"/>
              <w:rPr>
                <w:rFonts w:hAnsi="宋体" w:cs="宋体"/>
                <w:b/>
                <w:bCs/>
                <w:color w:val="000000"/>
                <w:szCs w:val="21"/>
              </w:rPr>
            </w:pPr>
          </w:p>
        </w:tc>
        <w:tc>
          <w:tcPr>
            <w:tcW w:w="1046" w:type="dxa"/>
            <w:vAlign w:val="center"/>
          </w:tcPr>
          <w:p>
            <w:pPr>
              <w:spacing w:line="360" w:lineRule="auto"/>
              <w:jc w:val="center"/>
              <w:rPr>
                <w:rFonts w:hAnsi="宋体" w:cs="宋体"/>
                <w:b/>
                <w:bCs/>
                <w:color w:val="000000"/>
                <w:szCs w:val="21"/>
              </w:rPr>
            </w:pPr>
            <w:r>
              <w:rPr>
                <w:rFonts w:hint="eastAsia" w:hAnsi="宋体" w:cs="宋体"/>
                <w:b/>
                <w:bCs/>
                <w:color w:val="000000"/>
                <w:szCs w:val="21"/>
              </w:rPr>
              <w:t>条款号</w:t>
            </w:r>
          </w:p>
        </w:tc>
        <w:tc>
          <w:tcPr>
            <w:tcW w:w="3690" w:type="dxa"/>
            <w:vAlign w:val="center"/>
          </w:tcPr>
          <w:p>
            <w:pPr>
              <w:spacing w:line="360" w:lineRule="auto"/>
              <w:jc w:val="center"/>
              <w:rPr>
                <w:rFonts w:hAnsi="宋体" w:cs="宋体"/>
                <w:b/>
                <w:bCs/>
                <w:color w:val="000000"/>
                <w:szCs w:val="21"/>
              </w:rPr>
            </w:pPr>
            <w:r>
              <w:rPr>
                <w:rFonts w:hint="eastAsia" w:hAnsi="宋体" w:cs="宋体"/>
                <w:b/>
                <w:bCs/>
                <w:color w:val="000000"/>
                <w:szCs w:val="21"/>
              </w:rPr>
              <w:t>简要内容</w:t>
            </w:r>
          </w:p>
        </w:tc>
        <w:tc>
          <w:tcPr>
            <w:tcW w:w="2151" w:type="dxa"/>
            <w:vAlign w:val="center"/>
          </w:tcPr>
          <w:p>
            <w:pPr>
              <w:spacing w:line="360" w:lineRule="auto"/>
              <w:jc w:val="center"/>
              <w:rPr>
                <w:rFonts w:hAnsi="宋体" w:cs="宋体"/>
                <w:b/>
                <w:bCs/>
                <w:color w:val="000000"/>
                <w:szCs w:val="21"/>
              </w:rPr>
            </w:pPr>
            <w:r>
              <w:rPr>
                <w:rFonts w:hint="eastAsia" w:hAnsi="宋体" w:cs="宋体"/>
                <w:b/>
                <w:bCs/>
                <w:color w:val="000000"/>
                <w:szCs w:val="21"/>
              </w:rPr>
              <w:t>偏离情况</w:t>
            </w:r>
          </w:p>
        </w:tc>
        <w:tc>
          <w:tcPr>
            <w:tcW w:w="2318" w:type="dxa"/>
            <w:vAlign w:val="center"/>
          </w:tcPr>
          <w:p>
            <w:pPr>
              <w:spacing w:line="360" w:lineRule="auto"/>
              <w:jc w:val="center"/>
              <w:rPr>
                <w:rFonts w:hAnsi="宋体" w:cs="宋体"/>
                <w:b/>
                <w:bCs/>
                <w:color w:val="000000"/>
                <w:szCs w:val="21"/>
              </w:rPr>
            </w:pPr>
            <w:r>
              <w:rPr>
                <w:rFonts w:hint="eastAsia" w:hAnsi="宋体" w:cs="宋体"/>
                <w:b/>
                <w:bCs/>
                <w:color w:val="000000"/>
                <w:szCs w:val="21"/>
              </w:rPr>
              <w:t>具体偏离内容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993" w:type="dxa"/>
            <w:vAlign w:val="center"/>
          </w:tcPr>
          <w:p>
            <w:pPr>
              <w:spacing w:line="480" w:lineRule="auto"/>
              <w:jc w:val="center"/>
              <w:rPr>
                <w:rFonts w:hAnsi="宋体" w:cs="宋体"/>
                <w:color w:val="000000"/>
                <w:szCs w:val="21"/>
              </w:rPr>
            </w:pPr>
            <w:r>
              <w:rPr>
                <w:rFonts w:hint="eastAsia" w:ascii="Times New Roman" w:cs="宋体"/>
                <w:color w:val="000000"/>
                <w:szCs w:val="21"/>
              </w:rPr>
              <w:t>1</w:t>
            </w:r>
          </w:p>
        </w:tc>
        <w:tc>
          <w:tcPr>
            <w:tcW w:w="1046" w:type="dxa"/>
            <w:vAlign w:val="center"/>
          </w:tcPr>
          <w:p>
            <w:pPr>
              <w:spacing w:line="480" w:lineRule="auto"/>
              <w:jc w:val="center"/>
              <w:rPr>
                <w:rFonts w:hAnsi="宋体" w:cs="宋体"/>
                <w:color w:val="000000"/>
                <w:szCs w:val="21"/>
              </w:rPr>
            </w:pPr>
            <w:r>
              <w:rPr>
                <w:rFonts w:hint="eastAsia" w:hAnsi="宋体" w:cs="宋体"/>
                <w:color w:val="000000"/>
                <w:szCs w:val="21"/>
              </w:rPr>
              <w:t>一</w:t>
            </w:r>
          </w:p>
        </w:tc>
        <w:tc>
          <w:tcPr>
            <w:tcW w:w="3690" w:type="dxa"/>
            <w:vAlign w:val="center"/>
          </w:tcPr>
          <w:p>
            <w:pPr>
              <w:spacing w:line="480" w:lineRule="auto"/>
              <w:jc w:val="center"/>
              <w:rPr>
                <w:rFonts w:hAnsi="宋体" w:cs="宋体"/>
                <w:color w:val="000000"/>
                <w:szCs w:val="21"/>
              </w:rPr>
            </w:pPr>
          </w:p>
        </w:tc>
        <w:tc>
          <w:tcPr>
            <w:tcW w:w="2151" w:type="dxa"/>
            <w:vAlign w:val="center"/>
          </w:tcPr>
          <w:p>
            <w:pPr>
              <w:spacing w:line="480" w:lineRule="auto"/>
              <w:jc w:val="center"/>
              <w:rPr>
                <w:rFonts w:hAnsi="宋体" w:cs="宋体"/>
                <w:color w:val="000000"/>
                <w:szCs w:val="21"/>
              </w:rPr>
            </w:pPr>
          </w:p>
        </w:tc>
        <w:tc>
          <w:tcPr>
            <w:tcW w:w="2318" w:type="dxa"/>
            <w:vAlign w:val="center"/>
          </w:tcPr>
          <w:p>
            <w:pPr>
              <w:spacing w:line="480" w:lineRule="auto"/>
              <w:jc w:val="center"/>
              <w:rPr>
                <w:rFonts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993" w:type="dxa"/>
            <w:vAlign w:val="center"/>
          </w:tcPr>
          <w:p>
            <w:pPr>
              <w:spacing w:line="480" w:lineRule="auto"/>
              <w:jc w:val="center"/>
              <w:rPr>
                <w:rFonts w:hAnsi="宋体" w:cs="宋体"/>
                <w:color w:val="000000"/>
                <w:szCs w:val="21"/>
              </w:rPr>
            </w:pPr>
            <w:r>
              <w:rPr>
                <w:rFonts w:hint="eastAsia" w:ascii="Times New Roman" w:cs="宋体"/>
                <w:color w:val="000000"/>
                <w:szCs w:val="21"/>
              </w:rPr>
              <w:t>2</w:t>
            </w:r>
          </w:p>
        </w:tc>
        <w:tc>
          <w:tcPr>
            <w:tcW w:w="1046" w:type="dxa"/>
            <w:vAlign w:val="center"/>
          </w:tcPr>
          <w:p>
            <w:pPr>
              <w:spacing w:line="480" w:lineRule="auto"/>
              <w:jc w:val="center"/>
              <w:rPr>
                <w:rFonts w:hAnsi="宋体" w:cs="宋体"/>
                <w:color w:val="000000"/>
                <w:szCs w:val="21"/>
              </w:rPr>
            </w:pPr>
            <w:r>
              <w:rPr>
                <w:rFonts w:hint="eastAsia" w:hAnsi="宋体" w:cs="宋体"/>
                <w:color w:val="000000"/>
                <w:szCs w:val="21"/>
              </w:rPr>
              <w:t>二</w:t>
            </w:r>
          </w:p>
        </w:tc>
        <w:tc>
          <w:tcPr>
            <w:tcW w:w="3690" w:type="dxa"/>
            <w:vAlign w:val="center"/>
          </w:tcPr>
          <w:p>
            <w:pPr>
              <w:spacing w:line="480" w:lineRule="auto"/>
              <w:jc w:val="center"/>
              <w:rPr>
                <w:rFonts w:hAnsi="宋体" w:cs="宋体"/>
                <w:color w:val="000000"/>
                <w:szCs w:val="21"/>
              </w:rPr>
            </w:pPr>
          </w:p>
        </w:tc>
        <w:tc>
          <w:tcPr>
            <w:tcW w:w="2151" w:type="dxa"/>
            <w:vAlign w:val="center"/>
          </w:tcPr>
          <w:p>
            <w:pPr>
              <w:spacing w:line="480" w:lineRule="auto"/>
              <w:jc w:val="center"/>
              <w:rPr>
                <w:rFonts w:hAnsi="宋体" w:cs="宋体"/>
                <w:color w:val="000000"/>
                <w:szCs w:val="21"/>
              </w:rPr>
            </w:pPr>
          </w:p>
        </w:tc>
        <w:tc>
          <w:tcPr>
            <w:tcW w:w="2318" w:type="dxa"/>
            <w:vAlign w:val="center"/>
          </w:tcPr>
          <w:p>
            <w:pPr>
              <w:spacing w:line="480" w:lineRule="auto"/>
              <w:jc w:val="center"/>
              <w:rPr>
                <w:rFonts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993" w:type="dxa"/>
            <w:vAlign w:val="center"/>
          </w:tcPr>
          <w:p>
            <w:pPr>
              <w:spacing w:line="480" w:lineRule="auto"/>
              <w:jc w:val="center"/>
              <w:rPr>
                <w:rFonts w:hAnsi="宋体" w:cs="宋体"/>
                <w:color w:val="000000"/>
                <w:szCs w:val="21"/>
              </w:rPr>
            </w:pPr>
            <w:r>
              <w:rPr>
                <w:rFonts w:hint="eastAsia" w:ascii="Times New Roman" w:cs="宋体"/>
                <w:color w:val="000000"/>
                <w:szCs w:val="21"/>
              </w:rPr>
              <w:t>3</w:t>
            </w:r>
          </w:p>
        </w:tc>
        <w:tc>
          <w:tcPr>
            <w:tcW w:w="1046" w:type="dxa"/>
            <w:vAlign w:val="center"/>
          </w:tcPr>
          <w:p>
            <w:pPr>
              <w:spacing w:line="480" w:lineRule="auto"/>
              <w:jc w:val="center"/>
              <w:rPr>
                <w:rFonts w:hAnsi="宋体" w:cs="宋体"/>
                <w:color w:val="000000"/>
                <w:szCs w:val="21"/>
              </w:rPr>
            </w:pPr>
            <w:r>
              <w:rPr>
                <w:rFonts w:hint="eastAsia" w:hAnsi="宋体" w:cs="宋体"/>
                <w:color w:val="000000"/>
                <w:szCs w:val="21"/>
              </w:rPr>
              <w:t>三</w:t>
            </w:r>
          </w:p>
        </w:tc>
        <w:tc>
          <w:tcPr>
            <w:tcW w:w="3690" w:type="dxa"/>
            <w:vAlign w:val="center"/>
          </w:tcPr>
          <w:p>
            <w:pPr>
              <w:spacing w:line="480" w:lineRule="auto"/>
              <w:jc w:val="center"/>
              <w:rPr>
                <w:rFonts w:hAnsi="宋体" w:cs="宋体"/>
                <w:color w:val="000000"/>
                <w:szCs w:val="21"/>
              </w:rPr>
            </w:pPr>
          </w:p>
        </w:tc>
        <w:tc>
          <w:tcPr>
            <w:tcW w:w="2151" w:type="dxa"/>
            <w:vAlign w:val="center"/>
          </w:tcPr>
          <w:p>
            <w:pPr>
              <w:spacing w:line="480" w:lineRule="auto"/>
              <w:jc w:val="center"/>
              <w:rPr>
                <w:rFonts w:hAnsi="宋体" w:cs="宋体"/>
                <w:color w:val="000000"/>
                <w:szCs w:val="21"/>
              </w:rPr>
            </w:pPr>
          </w:p>
        </w:tc>
        <w:tc>
          <w:tcPr>
            <w:tcW w:w="2318" w:type="dxa"/>
            <w:vAlign w:val="center"/>
          </w:tcPr>
          <w:p>
            <w:pPr>
              <w:spacing w:line="480" w:lineRule="auto"/>
              <w:jc w:val="center"/>
              <w:rPr>
                <w:rFonts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993" w:type="dxa"/>
            <w:vAlign w:val="center"/>
          </w:tcPr>
          <w:p>
            <w:pPr>
              <w:spacing w:line="480" w:lineRule="auto"/>
              <w:jc w:val="center"/>
              <w:rPr>
                <w:rFonts w:hAnsi="宋体" w:cs="宋体"/>
                <w:color w:val="000000"/>
                <w:szCs w:val="21"/>
              </w:rPr>
            </w:pPr>
            <w:r>
              <w:rPr>
                <w:rFonts w:hint="eastAsia" w:ascii="Times New Roman" w:cs="宋体"/>
                <w:color w:val="000000"/>
                <w:szCs w:val="21"/>
              </w:rPr>
              <w:t>4</w:t>
            </w:r>
          </w:p>
        </w:tc>
        <w:tc>
          <w:tcPr>
            <w:tcW w:w="1046" w:type="dxa"/>
            <w:vAlign w:val="center"/>
          </w:tcPr>
          <w:p>
            <w:pPr>
              <w:spacing w:line="480" w:lineRule="auto"/>
              <w:jc w:val="center"/>
              <w:rPr>
                <w:rFonts w:hAnsi="宋体" w:cs="宋体"/>
                <w:color w:val="000000"/>
                <w:szCs w:val="21"/>
              </w:rPr>
            </w:pPr>
            <w:r>
              <w:rPr>
                <w:rFonts w:hint="eastAsia" w:hAnsi="宋体" w:cs="宋体"/>
                <w:color w:val="000000"/>
                <w:szCs w:val="21"/>
              </w:rPr>
              <w:t>四</w:t>
            </w:r>
          </w:p>
        </w:tc>
        <w:tc>
          <w:tcPr>
            <w:tcW w:w="3690" w:type="dxa"/>
            <w:vAlign w:val="center"/>
          </w:tcPr>
          <w:p>
            <w:pPr>
              <w:spacing w:line="480" w:lineRule="auto"/>
              <w:jc w:val="center"/>
              <w:rPr>
                <w:rFonts w:hAnsi="宋体" w:cs="宋体"/>
                <w:color w:val="000000"/>
                <w:szCs w:val="21"/>
              </w:rPr>
            </w:pPr>
          </w:p>
        </w:tc>
        <w:tc>
          <w:tcPr>
            <w:tcW w:w="2151" w:type="dxa"/>
            <w:vAlign w:val="center"/>
          </w:tcPr>
          <w:p>
            <w:pPr>
              <w:spacing w:line="480" w:lineRule="auto"/>
              <w:jc w:val="center"/>
              <w:rPr>
                <w:rFonts w:hAnsi="宋体" w:cs="宋体"/>
                <w:color w:val="000000"/>
                <w:szCs w:val="21"/>
              </w:rPr>
            </w:pPr>
          </w:p>
        </w:tc>
        <w:tc>
          <w:tcPr>
            <w:tcW w:w="2318" w:type="dxa"/>
            <w:vAlign w:val="center"/>
          </w:tcPr>
          <w:p>
            <w:pPr>
              <w:spacing w:line="480" w:lineRule="auto"/>
              <w:jc w:val="center"/>
              <w:rPr>
                <w:rFonts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993" w:type="dxa"/>
            <w:vAlign w:val="center"/>
          </w:tcPr>
          <w:p>
            <w:pPr>
              <w:spacing w:line="480" w:lineRule="auto"/>
              <w:jc w:val="center"/>
              <w:rPr>
                <w:rFonts w:hAnsi="宋体" w:cs="宋体"/>
                <w:color w:val="000000"/>
                <w:szCs w:val="21"/>
              </w:rPr>
            </w:pPr>
            <w:r>
              <w:rPr>
                <w:rFonts w:hint="eastAsia" w:ascii="Times New Roman" w:cs="宋体"/>
                <w:color w:val="000000" w:themeColor="text1"/>
                <w:szCs w:val="21"/>
                <w14:textFill>
                  <w14:solidFill>
                    <w14:schemeClr w14:val="tx1"/>
                  </w14:solidFill>
                </w14:textFill>
              </w:rPr>
              <w:t>5</w:t>
            </w:r>
          </w:p>
        </w:tc>
        <w:tc>
          <w:tcPr>
            <w:tcW w:w="1046" w:type="dxa"/>
            <w:vAlign w:val="center"/>
          </w:tcPr>
          <w:p>
            <w:pPr>
              <w:spacing w:line="480" w:lineRule="auto"/>
              <w:jc w:val="center"/>
              <w:rPr>
                <w:rFonts w:hAnsi="宋体" w:cs="宋体"/>
                <w:color w:val="000000"/>
                <w:szCs w:val="21"/>
              </w:rPr>
            </w:pPr>
            <w:r>
              <w:rPr>
                <w:rFonts w:hint="eastAsia" w:hAnsi="宋体" w:cs="宋体"/>
                <w:color w:val="000000" w:themeColor="text1"/>
                <w:szCs w:val="21"/>
                <w14:textFill>
                  <w14:solidFill>
                    <w14:schemeClr w14:val="tx1"/>
                  </w14:solidFill>
                </w14:textFill>
              </w:rPr>
              <w:t>五</w:t>
            </w:r>
          </w:p>
        </w:tc>
        <w:tc>
          <w:tcPr>
            <w:tcW w:w="3690" w:type="dxa"/>
            <w:vAlign w:val="center"/>
          </w:tcPr>
          <w:p>
            <w:pPr>
              <w:spacing w:line="480" w:lineRule="auto"/>
              <w:jc w:val="center"/>
              <w:rPr>
                <w:rFonts w:hAnsi="宋体" w:cs="宋体"/>
                <w:color w:val="000000"/>
                <w:szCs w:val="21"/>
              </w:rPr>
            </w:pPr>
          </w:p>
        </w:tc>
        <w:tc>
          <w:tcPr>
            <w:tcW w:w="2151" w:type="dxa"/>
            <w:vAlign w:val="center"/>
          </w:tcPr>
          <w:p>
            <w:pPr>
              <w:spacing w:line="480" w:lineRule="auto"/>
              <w:jc w:val="center"/>
              <w:rPr>
                <w:rFonts w:hAnsi="宋体" w:cs="宋体"/>
                <w:color w:val="000000"/>
                <w:szCs w:val="21"/>
              </w:rPr>
            </w:pPr>
          </w:p>
        </w:tc>
        <w:tc>
          <w:tcPr>
            <w:tcW w:w="2318" w:type="dxa"/>
            <w:vAlign w:val="center"/>
          </w:tcPr>
          <w:p>
            <w:pPr>
              <w:spacing w:line="480" w:lineRule="auto"/>
              <w:jc w:val="center"/>
              <w:rPr>
                <w:rFonts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993" w:type="dxa"/>
            <w:vAlign w:val="center"/>
          </w:tcPr>
          <w:p>
            <w:pPr>
              <w:spacing w:line="480" w:lineRule="auto"/>
              <w:jc w:val="center"/>
              <w:rPr>
                <w:rFonts w:ascii="Times New Roman" w:cs="宋体"/>
                <w:color w:val="000000" w:themeColor="text1"/>
                <w:szCs w:val="21"/>
                <w14:textFill>
                  <w14:solidFill>
                    <w14:schemeClr w14:val="tx1"/>
                  </w14:solidFill>
                </w14:textFill>
              </w:rPr>
            </w:pPr>
            <w:r>
              <w:rPr>
                <w:rFonts w:hint="eastAsia" w:ascii="Times New Roman" w:cs="宋体"/>
                <w:color w:val="000000" w:themeColor="text1"/>
                <w:szCs w:val="21"/>
                <w14:textFill>
                  <w14:solidFill>
                    <w14:schemeClr w14:val="tx1"/>
                  </w14:solidFill>
                </w14:textFill>
              </w:rPr>
              <w:t>...</w:t>
            </w:r>
          </w:p>
        </w:tc>
        <w:tc>
          <w:tcPr>
            <w:tcW w:w="1046" w:type="dxa"/>
            <w:vAlign w:val="center"/>
          </w:tcPr>
          <w:p>
            <w:pPr>
              <w:spacing w:line="480" w:lineRule="auto"/>
              <w:jc w:val="center"/>
              <w:rPr>
                <w:rFonts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w:t>
            </w:r>
          </w:p>
        </w:tc>
        <w:tc>
          <w:tcPr>
            <w:tcW w:w="3690" w:type="dxa"/>
            <w:vAlign w:val="center"/>
          </w:tcPr>
          <w:p>
            <w:pPr>
              <w:spacing w:line="480" w:lineRule="auto"/>
              <w:jc w:val="center"/>
              <w:rPr>
                <w:rFonts w:hAnsi="宋体" w:cs="宋体"/>
                <w:color w:val="000000"/>
                <w:szCs w:val="21"/>
              </w:rPr>
            </w:pPr>
          </w:p>
        </w:tc>
        <w:tc>
          <w:tcPr>
            <w:tcW w:w="2151" w:type="dxa"/>
            <w:vAlign w:val="center"/>
          </w:tcPr>
          <w:p>
            <w:pPr>
              <w:spacing w:line="480" w:lineRule="auto"/>
              <w:jc w:val="center"/>
              <w:rPr>
                <w:rFonts w:hAnsi="宋体" w:cs="宋体"/>
                <w:color w:val="000000"/>
                <w:szCs w:val="21"/>
              </w:rPr>
            </w:pPr>
          </w:p>
        </w:tc>
        <w:tc>
          <w:tcPr>
            <w:tcW w:w="2318" w:type="dxa"/>
            <w:vAlign w:val="center"/>
          </w:tcPr>
          <w:p>
            <w:pPr>
              <w:spacing w:line="480" w:lineRule="auto"/>
              <w:jc w:val="center"/>
              <w:rPr>
                <w:rFonts w:hAnsi="宋体" w:cs="宋体"/>
                <w:color w:val="000000"/>
                <w:szCs w:val="21"/>
              </w:rPr>
            </w:pPr>
          </w:p>
        </w:tc>
      </w:tr>
    </w:tbl>
    <w:p>
      <w:pPr>
        <w:spacing w:line="360" w:lineRule="auto"/>
        <w:ind w:firstLine="422" w:firstLineChars="200"/>
        <w:rPr>
          <w:rFonts w:ascii="Times New Roman"/>
          <w:b/>
          <w:bCs/>
          <w:color w:val="000000"/>
          <w:sz w:val="21"/>
          <w:szCs w:val="21"/>
        </w:rPr>
      </w:pPr>
      <w:r>
        <w:rPr>
          <w:rFonts w:ascii="Times New Roman"/>
          <w:b/>
          <w:bCs/>
          <w:color w:val="000000"/>
          <w:sz w:val="21"/>
          <w:szCs w:val="21"/>
        </w:rPr>
        <w:t>备注：</w:t>
      </w:r>
    </w:p>
    <w:p>
      <w:pPr>
        <w:numPr>
          <w:ilvl w:val="0"/>
          <w:numId w:val="13"/>
        </w:numPr>
        <w:spacing w:line="360" w:lineRule="auto"/>
        <w:ind w:firstLine="422" w:firstLineChars="200"/>
        <w:rPr>
          <w:rFonts w:ascii="Times New Roman"/>
          <w:b/>
          <w:bCs/>
          <w:color w:val="000000"/>
          <w:sz w:val="21"/>
          <w:szCs w:val="21"/>
        </w:rPr>
      </w:pPr>
      <w:r>
        <w:rPr>
          <w:rFonts w:ascii="Times New Roman"/>
          <w:b/>
          <w:bCs/>
          <w:color w:val="000000"/>
          <w:sz w:val="21"/>
          <w:szCs w:val="21"/>
        </w:rPr>
        <w:t>报价人应对照</w:t>
      </w:r>
      <w:r>
        <w:rPr>
          <w:rFonts w:hint="eastAsia" w:hAnsi="宋体" w:cs="宋体"/>
          <w:b/>
          <w:bCs/>
          <w:color w:val="000000"/>
          <w:sz w:val="21"/>
          <w:szCs w:val="21"/>
        </w:rPr>
        <w:t>用户需求书响应，逐条、如实地填写“偏离情况”，若发现虚假填写本表，或伪造、变造证明材料，或对需求</w:t>
      </w:r>
      <w:r>
        <w:rPr>
          <w:rFonts w:ascii="Times New Roman"/>
          <w:b/>
          <w:bCs/>
          <w:color w:val="000000"/>
          <w:sz w:val="21"/>
          <w:szCs w:val="21"/>
        </w:rPr>
        <w:t>书及其附件响应有负偏离的，按无效响应处理。若发现此表未逐条填写视为完全响应用户需求书要求。</w:t>
      </w:r>
    </w:p>
    <w:p>
      <w:pPr>
        <w:numPr>
          <w:ilvl w:val="0"/>
          <w:numId w:val="13"/>
        </w:numPr>
        <w:spacing w:line="360" w:lineRule="auto"/>
        <w:ind w:firstLine="422" w:firstLineChars="200"/>
        <w:rPr>
          <w:rFonts w:ascii="Times New Roman"/>
          <w:b/>
          <w:bCs/>
          <w:color w:val="000000"/>
          <w:sz w:val="21"/>
          <w:szCs w:val="21"/>
        </w:rPr>
      </w:pPr>
      <w:r>
        <w:rPr>
          <w:rFonts w:ascii="Times New Roman"/>
          <w:b/>
          <w:bCs/>
          <w:color w:val="000000"/>
          <w:sz w:val="21"/>
          <w:szCs w:val="21"/>
        </w:rPr>
        <w:t>偏离情况分为：正偏离、负偏离、无偏离。正偏离是指报价人提供的</w:t>
      </w:r>
      <w:r>
        <w:rPr>
          <w:rFonts w:hint="eastAsia" w:ascii="Times New Roman"/>
          <w:b/>
          <w:bCs/>
          <w:color w:val="000000"/>
          <w:sz w:val="21"/>
          <w:szCs w:val="21"/>
        </w:rPr>
        <w:t>货物（或</w:t>
      </w:r>
      <w:r>
        <w:rPr>
          <w:rFonts w:ascii="Times New Roman"/>
          <w:b/>
          <w:bCs/>
          <w:color w:val="000000"/>
          <w:sz w:val="21"/>
          <w:szCs w:val="21"/>
        </w:rPr>
        <w:t>服务）优于用户需求书的要求；负偏离是指报价人提供的货物（或服务）不满足或不完全响应用户需求书的要求；无偏离是指报价人提供的货物（或服务）完全响应用户需求书的要求。</w:t>
      </w:r>
    </w:p>
    <w:p>
      <w:pPr>
        <w:numPr>
          <w:ilvl w:val="0"/>
          <w:numId w:val="13"/>
        </w:numPr>
        <w:spacing w:line="360" w:lineRule="auto"/>
        <w:ind w:firstLine="422" w:firstLineChars="200"/>
        <w:rPr>
          <w:rFonts w:ascii="Times New Roman"/>
          <w:b/>
          <w:bCs/>
          <w:color w:val="000000"/>
          <w:sz w:val="21"/>
          <w:szCs w:val="21"/>
        </w:rPr>
      </w:pPr>
      <w:r>
        <w:rPr>
          <w:rFonts w:hint="eastAsia" w:hAnsi="宋体" w:cs="宋体"/>
          <w:b/>
          <w:bCs/>
          <w:color w:val="000000"/>
          <w:sz w:val="21"/>
          <w:szCs w:val="21"/>
        </w:rPr>
        <w:t>“偏离情况”项为正偏离（或负偏离）的，必须在“具体偏离内容”项内详细说明与用户需求书的偏离内容，“偏离情况”项为无偏离的，在“具体偏离内容”项内填“无”</w:t>
      </w:r>
      <w:r>
        <w:rPr>
          <w:rFonts w:ascii="Times New Roman"/>
          <w:b/>
          <w:bCs/>
          <w:color w:val="000000"/>
          <w:sz w:val="21"/>
          <w:szCs w:val="21"/>
        </w:rPr>
        <w:t xml:space="preserve">。 </w:t>
      </w:r>
    </w:p>
    <w:p>
      <w:pPr>
        <w:numPr>
          <w:ilvl w:val="0"/>
          <w:numId w:val="13"/>
        </w:numPr>
        <w:spacing w:line="360" w:lineRule="auto"/>
        <w:ind w:firstLine="422" w:firstLineChars="200"/>
        <w:rPr>
          <w:rFonts w:ascii="Times New Roman"/>
          <w:color w:val="000000"/>
          <w:sz w:val="21"/>
          <w:szCs w:val="21"/>
        </w:rPr>
      </w:pPr>
      <w:r>
        <w:rPr>
          <w:rFonts w:ascii="Times New Roman"/>
          <w:b/>
          <w:bCs/>
          <w:color w:val="000000"/>
          <w:sz w:val="21"/>
          <w:szCs w:val="21"/>
        </w:rPr>
        <w:t>如报价人差异内容较多可另附页说明。</w:t>
      </w:r>
    </w:p>
    <w:p>
      <w:pPr>
        <w:spacing w:line="360" w:lineRule="auto"/>
        <w:ind w:firstLine="5040" w:firstLineChars="2400"/>
        <w:jc w:val="right"/>
        <w:rPr>
          <w:rFonts w:hAnsi="宋体" w:cs="宋体"/>
          <w:color w:val="000000"/>
          <w:kern w:val="2"/>
          <w:sz w:val="21"/>
          <w:lang w:val="zh-CN"/>
        </w:rPr>
      </w:pPr>
      <w:r>
        <w:rPr>
          <w:rFonts w:ascii="Times New Roman"/>
          <w:color w:val="000000"/>
          <w:kern w:val="2"/>
          <w:sz w:val="21"/>
          <w:lang w:val="zh-CN"/>
        </w:rPr>
        <w:t>报价</w:t>
      </w:r>
      <w:r>
        <w:rPr>
          <w:rFonts w:hint="eastAsia" w:hAnsi="宋体" w:cs="宋体"/>
          <w:color w:val="000000"/>
          <w:kern w:val="2"/>
          <w:sz w:val="21"/>
          <w:lang w:val="zh-CN"/>
        </w:rPr>
        <w:t>人：（加盖报价人公章）</w:t>
      </w:r>
    </w:p>
    <w:p>
      <w:pPr>
        <w:spacing w:line="360" w:lineRule="auto"/>
        <w:ind w:firstLine="5040" w:firstLineChars="2400"/>
        <w:jc w:val="right"/>
        <w:rPr>
          <w:rFonts w:hAnsi="宋体" w:cs="宋体"/>
          <w:color w:val="000000"/>
          <w:kern w:val="2"/>
          <w:sz w:val="21"/>
          <w:lang w:val="zh-CN"/>
        </w:rPr>
      </w:pPr>
      <w:r>
        <w:rPr>
          <w:rFonts w:hint="eastAsia" w:hAnsi="宋体" w:cs="宋体"/>
          <w:color w:val="000000"/>
          <w:kern w:val="2"/>
          <w:sz w:val="21"/>
          <w:lang w:val="zh-CN"/>
        </w:rPr>
        <w:t xml:space="preserve">日  期：  </w:t>
      </w:r>
      <w:r>
        <w:rPr>
          <w:rFonts w:hint="eastAsia" w:hAnsi="宋体" w:cs="宋体"/>
          <w:color w:val="000000"/>
          <w:kern w:val="2"/>
          <w:sz w:val="21"/>
        </w:rPr>
        <w:t xml:space="preserve">  </w:t>
      </w:r>
      <w:r>
        <w:rPr>
          <w:rFonts w:hint="eastAsia" w:hAnsi="宋体" w:cs="宋体"/>
          <w:color w:val="000000"/>
          <w:kern w:val="2"/>
          <w:sz w:val="21"/>
          <w:lang w:val="zh-CN"/>
        </w:rPr>
        <w:t xml:space="preserve"> 年   月   日</w:t>
      </w:r>
      <w:bookmarkStart w:id="156" w:name="_Toc513226437"/>
      <w:bookmarkStart w:id="157" w:name="_Toc534701786"/>
      <w:bookmarkStart w:id="158" w:name="_Toc534278252"/>
    </w:p>
    <w:p>
      <w:pPr>
        <w:spacing w:line="360" w:lineRule="auto"/>
        <w:ind w:firstLine="420" w:firstLineChars="200"/>
        <w:rPr>
          <w:rFonts w:hAnsi="宋体" w:cs="宋体"/>
          <w:color w:val="000000"/>
          <w:sz w:val="21"/>
          <w:szCs w:val="21"/>
        </w:rPr>
        <w:sectPr>
          <w:footerReference r:id="rId7" w:type="default"/>
          <w:pgSz w:w="11906" w:h="16838"/>
          <w:pgMar w:top="1440" w:right="1803" w:bottom="1440" w:left="1803" w:header="851" w:footer="992" w:gutter="0"/>
          <w:cols w:space="0" w:num="1"/>
          <w:docGrid w:type="lines" w:linePitch="332" w:charSpace="0"/>
        </w:sectPr>
      </w:pPr>
    </w:p>
    <w:p>
      <w:pPr>
        <w:spacing w:line="360" w:lineRule="auto"/>
        <w:rPr>
          <w:rFonts w:ascii="Times New Roman"/>
          <w:b/>
          <w:color w:val="000000" w:themeColor="text1"/>
          <w:sz w:val="28"/>
          <w:szCs w:val="28"/>
          <w14:textFill>
            <w14:solidFill>
              <w14:schemeClr w14:val="tx1"/>
            </w14:solidFill>
          </w14:textFill>
        </w:rPr>
      </w:pPr>
      <w:r>
        <w:rPr>
          <w:rFonts w:ascii="Times New Roman"/>
          <w:b/>
          <w:color w:val="000000" w:themeColor="text1"/>
          <w:sz w:val="28"/>
          <w:szCs w:val="28"/>
          <w14:textFill>
            <w14:solidFill>
              <w14:schemeClr w14:val="tx1"/>
            </w14:solidFill>
          </w14:textFill>
        </w:rPr>
        <w:t>3.合同条款偏离表</w:t>
      </w:r>
    </w:p>
    <w:p>
      <w:pPr>
        <w:spacing w:line="360" w:lineRule="auto"/>
        <w:jc w:val="center"/>
        <w:rPr>
          <w:rFonts w:hAnsi="宋体" w:cs="宋体"/>
          <w:b/>
          <w:color w:val="000000" w:themeColor="text1"/>
          <w:sz w:val="28"/>
          <w:szCs w:val="28"/>
          <w14:textFill>
            <w14:solidFill>
              <w14:schemeClr w14:val="tx1"/>
            </w14:solidFill>
          </w14:textFill>
        </w:rPr>
      </w:pPr>
      <w:r>
        <w:rPr>
          <w:rFonts w:hint="eastAsia" w:hAnsi="宋体" w:cs="宋体"/>
          <w:b/>
          <w:color w:val="000000" w:themeColor="text1"/>
          <w:sz w:val="28"/>
          <w:szCs w:val="28"/>
          <w:lang w:val="zh-CN"/>
          <w14:textFill>
            <w14:solidFill>
              <w14:schemeClr w14:val="tx1"/>
            </w14:solidFill>
          </w14:textFill>
        </w:rPr>
        <w:t>合同条款偏离表</w:t>
      </w:r>
    </w:p>
    <w:tbl>
      <w:tblPr>
        <w:tblStyle w:val="23"/>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954"/>
        <w:gridCol w:w="2955"/>
        <w:gridCol w:w="1722"/>
        <w:gridCol w:w="3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906" w:type="dxa"/>
            <w:vMerge w:val="restart"/>
            <w:vAlign w:val="center"/>
          </w:tcPr>
          <w:p>
            <w:pPr>
              <w:spacing w:line="360" w:lineRule="auto"/>
              <w:jc w:val="center"/>
              <w:rPr>
                <w:rFonts w:hAnsi="宋体" w:cs="宋体"/>
                <w:b/>
                <w:color w:val="000000" w:themeColor="text1"/>
                <w:szCs w:val="21"/>
                <w14:textFill>
                  <w14:solidFill>
                    <w14:schemeClr w14:val="tx1"/>
                  </w14:solidFill>
                </w14:textFill>
              </w:rPr>
            </w:pPr>
            <w:r>
              <w:rPr>
                <w:rFonts w:hint="eastAsia" w:hAnsi="宋体" w:cs="宋体"/>
                <w:b/>
                <w:color w:val="000000" w:themeColor="text1"/>
                <w:szCs w:val="21"/>
                <w14:textFill>
                  <w14:solidFill>
                    <w14:schemeClr w14:val="tx1"/>
                  </w14:solidFill>
                </w14:textFill>
              </w:rPr>
              <w:t>序号</w:t>
            </w:r>
          </w:p>
        </w:tc>
        <w:tc>
          <w:tcPr>
            <w:tcW w:w="3909" w:type="dxa"/>
            <w:gridSpan w:val="2"/>
            <w:vAlign w:val="center"/>
          </w:tcPr>
          <w:p>
            <w:pPr>
              <w:spacing w:line="360" w:lineRule="auto"/>
              <w:jc w:val="center"/>
              <w:rPr>
                <w:rFonts w:hAnsi="宋体" w:cs="宋体"/>
                <w:b/>
                <w:color w:val="000000" w:themeColor="text1"/>
                <w:szCs w:val="21"/>
                <w14:textFill>
                  <w14:solidFill>
                    <w14:schemeClr w14:val="tx1"/>
                  </w14:solidFill>
                </w14:textFill>
              </w:rPr>
            </w:pPr>
            <w:r>
              <w:rPr>
                <w:rFonts w:hint="eastAsia" w:hAnsi="宋体" w:cs="宋体"/>
                <w:b/>
                <w:color w:val="000000" w:themeColor="text1"/>
                <w:szCs w:val="21"/>
                <w14:textFill>
                  <w14:solidFill>
                    <w14:schemeClr w14:val="tx1"/>
                  </w14:solidFill>
                </w14:textFill>
              </w:rPr>
              <w:t>合同要求</w:t>
            </w:r>
          </w:p>
        </w:tc>
        <w:tc>
          <w:tcPr>
            <w:tcW w:w="4791" w:type="dxa"/>
            <w:gridSpan w:val="2"/>
            <w:vAlign w:val="center"/>
          </w:tcPr>
          <w:p>
            <w:pPr>
              <w:spacing w:line="360" w:lineRule="auto"/>
              <w:jc w:val="center"/>
              <w:rPr>
                <w:rFonts w:hAnsi="宋体" w:cs="宋体"/>
                <w:b/>
                <w:color w:val="000000" w:themeColor="text1"/>
                <w:szCs w:val="21"/>
                <w14:textFill>
                  <w14:solidFill>
                    <w14:schemeClr w14:val="tx1"/>
                  </w14:solidFill>
                </w14:textFill>
              </w:rPr>
            </w:pPr>
            <w:r>
              <w:rPr>
                <w:rFonts w:hint="eastAsia" w:hAnsi="宋体" w:cs="宋体"/>
                <w:b/>
                <w:color w:val="000000" w:themeColor="text1"/>
                <w:szCs w:val="21"/>
                <w14:textFill>
                  <w14:solidFill>
                    <w14:schemeClr w14:val="tx1"/>
                  </w14:solidFill>
                </w14:textFill>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906" w:type="dxa"/>
            <w:vMerge w:val="continue"/>
            <w:vAlign w:val="center"/>
          </w:tcPr>
          <w:p>
            <w:pPr>
              <w:spacing w:line="360" w:lineRule="auto"/>
              <w:jc w:val="center"/>
              <w:rPr>
                <w:rFonts w:hAnsi="宋体" w:cs="宋体"/>
                <w:b/>
                <w:color w:val="000000" w:themeColor="text1"/>
                <w:szCs w:val="21"/>
                <w14:textFill>
                  <w14:solidFill>
                    <w14:schemeClr w14:val="tx1"/>
                  </w14:solidFill>
                </w14:textFill>
              </w:rPr>
            </w:pPr>
          </w:p>
        </w:tc>
        <w:tc>
          <w:tcPr>
            <w:tcW w:w="954" w:type="dxa"/>
            <w:vAlign w:val="center"/>
          </w:tcPr>
          <w:p>
            <w:pPr>
              <w:spacing w:line="360" w:lineRule="auto"/>
              <w:jc w:val="center"/>
              <w:rPr>
                <w:rFonts w:hAnsi="宋体" w:cs="宋体"/>
                <w:b/>
                <w:color w:val="000000" w:themeColor="text1"/>
                <w:szCs w:val="21"/>
                <w14:textFill>
                  <w14:solidFill>
                    <w14:schemeClr w14:val="tx1"/>
                  </w14:solidFill>
                </w14:textFill>
              </w:rPr>
            </w:pPr>
            <w:r>
              <w:rPr>
                <w:rFonts w:hint="eastAsia" w:hAnsi="宋体" w:cs="宋体"/>
                <w:b/>
                <w:color w:val="000000" w:themeColor="text1"/>
                <w:szCs w:val="21"/>
                <w14:textFill>
                  <w14:solidFill>
                    <w14:schemeClr w14:val="tx1"/>
                  </w14:solidFill>
                </w14:textFill>
              </w:rPr>
              <w:t>条款号</w:t>
            </w:r>
          </w:p>
        </w:tc>
        <w:tc>
          <w:tcPr>
            <w:tcW w:w="2955" w:type="dxa"/>
            <w:vAlign w:val="center"/>
          </w:tcPr>
          <w:p>
            <w:pPr>
              <w:spacing w:line="360" w:lineRule="auto"/>
              <w:jc w:val="center"/>
              <w:rPr>
                <w:rFonts w:hAnsi="宋体" w:cs="宋体"/>
                <w:b/>
                <w:color w:val="000000" w:themeColor="text1"/>
                <w:szCs w:val="21"/>
                <w14:textFill>
                  <w14:solidFill>
                    <w14:schemeClr w14:val="tx1"/>
                  </w14:solidFill>
                </w14:textFill>
              </w:rPr>
            </w:pPr>
            <w:r>
              <w:rPr>
                <w:rFonts w:hint="eastAsia" w:hAnsi="宋体" w:cs="宋体"/>
                <w:b/>
                <w:color w:val="000000" w:themeColor="text1"/>
                <w:szCs w:val="21"/>
                <w14:textFill>
                  <w14:solidFill>
                    <w14:schemeClr w14:val="tx1"/>
                  </w14:solidFill>
                </w14:textFill>
              </w:rPr>
              <w:t>简要内容</w:t>
            </w:r>
          </w:p>
        </w:tc>
        <w:tc>
          <w:tcPr>
            <w:tcW w:w="1722" w:type="dxa"/>
            <w:vAlign w:val="center"/>
          </w:tcPr>
          <w:p>
            <w:pPr>
              <w:spacing w:line="360" w:lineRule="auto"/>
              <w:jc w:val="center"/>
              <w:rPr>
                <w:rFonts w:hAnsi="宋体" w:cs="宋体"/>
                <w:b/>
                <w:color w:val="000000" w:themeColor="text1"/>
                <w:szCs w:val="21"/>
                <w14:textFill>
                  <w14:solidFill>
                    <w14:schemeClr w14:val="tx1"/>
                  </w14:solidFill>
                </w14:textFill>
              </w:rPr>
            </w:pPr>
            <w:r>
              <w:rPr>
                <w:rFonts w:hint="eastAsia" w:hAnsi="宋体" w:cs="宋体"/>
                <w:b/>
                <w:color w:val="000000" w:themeColor="text1"/>
                <w:szCs w:val="21"/>
                <w14:textFill>
                  <w14:solidFill>
                    <w14:schemeClr w14:val="tx1"/>
                  </w14:solidFill>
                </w14:textFill>
              </w:rPr>
              <w:t>偏离情况</w:t>
            </w:r>
          </w:p>
        </w:tc>
        <w:tc>
          <w:tcPr>
            <w:tcW w:w="3069" w:type="dxa"/>
            <w:vAlign w:val="center"/>
          </w:tcPr>
          <w:p>
            <w:pPr>
              <w:spacing w:line="360" w:lineRule="auto"/>
              <w:jc w:val="center"/>
              <w:rPr>
                <w:rFonts w:hAnsi="宋体" w:cs="宋体"/>
                <w:b/>
                <w:color w:val="000000" w:themeColor="text1"/>
                <w:szCs w:val="21"/>
                <w14:textFill>
                  <w14:solidFill>
                    <w14:schemeClr w14:val="tx1"/>
                  </w14:solidFill>
                </w14:textFill>
              </w:rPr>
            </w:pPr>
            <w:r>
              <w:rPr>
                <w:rFonts w:hint="eastAsia" w:hAnsi="宋体" w:cs="宋体"/>
                <w:b/>
                <w:color w:val="000000" w:themeColor="text1"/>
                <w:szCs w:val="21"/>
                <w14:textFill>
                  <w14:solidFill>
                    <w14:schemeClr w14:val="tx1"/>
                  </w14:solidFill>
                </w14:textFill>
              </w:rPr>
              <w:t>具体偏离内容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6"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ascii="Times New Roman" w:cs="宋体"/>
                <w:color w:val="000000" w:themeColor="text1"/>
                <w:szCs w:val="21"/>
                <w14:textFill>
                  <w14:solidFill>
                    <w14:schemeClr w14:val="tx1"/>
                  </w14:solidFill>
                </w14:textFill>
              </w:rPr>
              <w:t>1</w:t>
            </w:r>
          </w:p>
        </w:tc>
        <w:tc>
          <w:tcPr>
            <w:tcW w:w="954"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一</w:t>
            </w:r>
          </w:p>
        </w:tc>
        <w:tc>
          <w:tcPr>
            <w:tcW w:w="2955" w:type="dxa"/>
            <w:vAlign w:val="center"/>
          </w:tcPr>
          <w:p>
            <w:pPr>
              <w:spacing w:line="360" w:lineRule="auto"/>
              <w:jc w:val="center"/>
              <w:rPr>
                <w:rFonts w:hAnsi="宋体" w:cs="宋体"/>
                <w:color w:val="000000" w:themeColor="text1"/>
                <w:szCs w:val="21"/>
                <w:highlight w:val="yellow"/>
                <w14:textFill>
                  <w14:solidFill>
                    <w14:schemeClr w14:val="tx1"/>
                  </w14:solidFill>
                </w14:textFill>
              </w:rPr>
            </w:pPr>
          </w:p>
        </w:tc>
        <w:tc>
          <w:tcPr>
            <w:tcW w:w="1722"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3069" w:type="dxa"/>
            <w:vAlign w:val="center"/>
          </w:tcPr>
          <w:p>
            <w:pPr>
              <w:spacing w:line="360" w:lineRule="auto"/>
              <w:jc w:val="center"/>
              <w:rPr>
                <w:rFonts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6"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ascii="Times New Roman" w:cs="宋体"/>
                <w:color w:val="000000" w:themeColor="text1"/>
                <w:szCs w:val="21"/>
                <w14:textFill>
                  <w14:solidFill>
                    <w14:schemeClr w14:val="tx1"/>
                  </w14:solidFill>
                </w14:textFill>
              </w:rPr>
              <w:t>2</w:t>
            </w:r>
          </w:p>
        </w:tc>
        <w:tc>
          <w:tcPr>
            <w:tcW w:w="954"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二</w:t>
            </w:r>
          </w:p>
        </w:tc>
        <w:tc>
          <w:tcPr>
            <w:tcW w:w="2955"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1722"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3069" w:type="dxa"/>
            <w:vAlign w:val="center"/>
          </w:tcPr>
          <w:p>
            <w:pPr>
              <w:spacing w:line="360" w:lineRule="auto"/>
              <w:jc w:val="center"/>
              <w:rPr>
                <w:rFonts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6"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ascii="Times New Roman" w:cs="宋体"/>
                <w:color w:val="000000" w:themeColor="text1"/>
                <w:szCs w:val="21"/>
                <w14:textFill>
                  <w14:solidFill>
                    <w14:schemeClr w14:val="tx1"/>
                  </w14:solidFill>
                </w14:textFill>
              </w:rPr>
              <w:t>3</w:t>
            </w:r>
          </w:p>
        </w:tc>
        <w:tc>
          <w:tcPr>
            <w:tcW w:w="954"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三</w:t>
            </w:r>
          </w:p>
        </w:tc>
        <w:tc>
          <w:tcPr>
            <w:tcW w:w="2955"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1722"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3069" w:type="dxa"/>
            <w:vAlign w:val="center"/>
          </w:tcPr>
          <w:p>
            <w:pPr>
              <w:spacing w:line="360" w:lineRule="auto"/>
              <w:jc w:val="center"/>
              <w:rPr>
                <w:rFonts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6"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ascii="Times New Roman" w:cs="宋体"/>
                <w:color w:val="000000" w:themeColor="text1"/>
                <w:szCs w:val="21"/>
                <w14:textFill>
                  <w14:solidFill>
                    <w14:schemeClr w14:val="tx1"/>
                  </w14:solidFill>
                </w14:textFill>
              </w:rPr>
              <w:t>4</w:t>
            </w:r>
          </w:p>
        </w:tc>
        <w:tc>
          <w:tcPr>
            <w:tcW w:w="954"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四</w:t>
            </w:r>
          </w:p>
        </w:tc>
        <w:tc>
          <w:tcPr>
            <w:tcW w:w="2955"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1722"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3069" w:type="dxa"/>
            <w:vAlign w:val="center"/>
          </w:tcPr>
          <w:p>
            <w:pPr>
              <w:spacing w:line="360" w:lineRule="auto"/>
              <w:jc w:val="center"/>
              <w:rPr>
                <w:rFonts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6"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ascii="Times New Roman" w:cs="宋体"/>
                <w:color w:val="000000" w:themeColor="text1"/>
                <w:szCs w:val="21"/>
                <w14:textFill>
                  <w14:solidFill>
                    <w14:schemeClr w14:val="tx1"/>
                  </w14:solidFill>
                </w14:textFill>
              </w:rPr>
              <w:t>5</w:t>
            </w:r>
          </w:p>
        </w:tc>
        <w:tc>
          <w:tcPr>
            <w:tcW w:w="954"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五</w:t>
            </w:r>
          </w:p>
        </w:tc>
        <w:tc>
          <w:tcPr>
            <w:tcW w:w="2955"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1722"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3069" w:type="dxa"/>
            <w:vAlign w:val="center"/>
          </w:tcPr>
          <w:p>
            <w:pPr>
              <w:spacing w:line="360" w:lineRule="auto"/>
              <w:jc w:val="center"/>
              <w:rPr>
                <w:rFonts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6"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ascii="Times New Roman" w:cs="宋体"/>
                <w:color w:val="000000" w:themeColor="text1"/>
                <w:szCs w:val="21"/>
                <w14:textFill>
                  <w14:solidFill>
                    <w14:schemeClr w14:val="tx1"/>
                  </w14:solidFill>
                </w14:textFill>
              </w:rPr>
              <w:t>6</w:t>
            </w:r>
          </w:p>
        </w:tc>
        <w:tc>
          <w:tcPr>
            <w:tcW w:w="954"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六</w:t>
            </w:r>
          </w:p>
        </w:tc>
        <w:tc>
          <w:tcPr>
            <w:tcW w:w="2955"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1722"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3069" w:type="dxa"/>
            <w:vAlign w:val="center"/>
          </w:tcPr>
          <w:p>
            <w:pPr>
              <w:spacing w:line="360" w:lineRule="auto"/>
              <w:jc w:val="center"/>
              <w:rPr>
                <w:rFonts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6"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ascii="Times New Roman" w:cs="宋体"/>
                <w:color w:val="000000" w:themeColor="text1"/>
                <w:szCs w:val="21"/>
                <w14:textFill>
                  <w14:solidFill>
                    <w14:schemeClr w14:val="tx1"/>
                  </w14:solidFill>
                </w14:textFill>
              </w:rPr>
              <w:t>7</w:t>
            </w:r>
          </w:p>
        </w:tc>
        <w:tc>
          <w:tcPr>
            <w:tcW w:w="954"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七</w:t>
            </w:r>
          </w:p>
        </w:tc>
        <w:tc>
          <w:tcPr>
            <w:tcW w:w="2955"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1722"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3069" w:type="dxa"/>
            <w:vAlign w:val="center"/>
          </w:tcPr>
          <w:p>
            <w:pPr>
              <w:spacing w:line="360" w:lineRule="auto"/>
              <w:jc w:val="center"/>
              <w:rPr>
                <w:rFonts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6"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ascii="Times New Roman" w:cs="宋体"/>
                <w:color w:val="000000" w:themeColor="text1"/>
                <w:szCs w:val="21"/>
                <w14:textFill>
                  <w14:solidFill>
                    <w14:schemeClr w14:val="tx1"/>
                  </w14:solidFill>
                </w14:textFill>
              </w:rPr>
              <w:t>8</w:t>
            </w:r>
          </w:p>
        </w:tc>
        <w:tc>
          <w:tcPr>
            <w:tcW w:w="954"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八</w:t>
            </w:r>
          </w:p>
        </w:tc>
        <w:tc>
          <w:tcPr>
            <w:tcW w:w="2955"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1722"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3069" w:type="dxa"/>
            <w:vAlign w:val="center"/>
          </w:tcPr>
          <w:p>
            <w:pPr>
              <w:spacing w:line="360" w:lineRule="auto"/>
              <w:jc w:val="center"/>
              <w:rPr>
                <w:rFonts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6"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ascii="Times New Roman" w:cs="宋体"/>
                <w:color w:val="000000" w:themeColor="text1"/>
                <w:szCs w:val="21"/>
                <w14:textFill>
                  <w14:solidFill>
                    <w14:schemeClr w14:val="tx1"/>
                  </w14:solidFill>
                </w14:textFill>
              </w:rPr>
              <w:t>9</w:t>
            </w:r>
          </w:p>
        </w:tc>
        <w:tc>
          <w:tcPr>
            <w:tcW w:w="954"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九</w:t>
            </w:r>
          </w:p>
        </w:tc>
        <w:tc>
          <w:tcPr>
            <w:tcW w:w="2955"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1722"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3069" w:type="dxa"/>
            <w:vAlign w:val="center"/>
          </w:tcPr>
          <w:p>
            <w:pPr>
              <w:spacing w:line="360" w:lineRule="auto"/>
              <w:jc w:val="center"/>
              <w:rPr>
                <w:rFonts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6"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ascii="Times New Roman" w:cs="宋体"/>
                <w:color w:val="000000" w:themeColor="text1"/>
                <w:szCs w:val="21"/>
                <w14:textFill>
                  <w14:solidFill>
                    <w14:schemeClr w14:val="tx1"/>
                  </w14:solidFill>
                </w14:textFill>
              </w:rPr>
              <w:t>10</w:t>
            </w:r>
          </w:p>
        </w:tc>
        <w:tc>
          <w:tcPr>
            <w:tcW w:w="954"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十</w:t>
            </w:r>
          </w:p>
        </w:tc>
        <w:tc>
          <w:tcPr>
            <w:tcW w:w="2955"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1722"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3069" w:type="dxa"/>
            <w:vAlign w:val="center"/>
          </w:tcPr>
          <w:p>
            <w:pPr>
              <w:spacing w:line="360" w:lineRule="auto"/>
              <w:jc w:val="center"/>
              <w:rPr>
                <w:rFonts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6" w:type="dxa"/>
            <w:vAlign w:val="center"/>
          </w:tcPr>
          <w:p>
            <w:pPr>
              <w:spacing w:line="360" w:lineRule="auto"/>
              <w:jc w:val="center"/>
              <w:rPr>
                <w:rFonts w:ascii="Times New Roman" w:cs="宋体"/>
                <w:color w:val="000000" w:themeColor="text1"/>
                <w:szCs w:val="21"/>
                <w14:textFill>
                  <w14:solidFill>
                    <w14:schemeClr w14:val="tx1"/>
                  </w14:solidFill>
                </w14:textFill>
              </w:rPr>
            </w:pPr>
            <w:r>
              <w:rPr>
                <w:rFonts w:hint="eastAsia" w:ascii="Times New Roman" w:cs="宋体"/>
                <w:color w:val="000000" w:themeColor="text1"/>
                <w:szCs w:val="21"/>
                <w14:textFill>
                  <w14:solidFill>
                    <w14:schemeClr w14:val="tx1"/>
                  </w14:solidFill>
                </w14:textFill>
              </w:rPr>
              <w:t>1</w:t>
            </w:r>
            <w:r>
              <w:rPr>
                <w:rFonts w:ascii="Times New Roman" w:cs="宋体"/>
                <w:color w:val="000000" w:themeColor="text1"/>
                <w:szCs w:val="21"/>
                <w14:textFill>
                  <w14:solidFill>
                    <w14:schemeClr w14:val="tx1"/>
                  </w14:solidFill>
                </w14:textFill>
              </w:rPr>
              <w:t>1</w:t>
            </w:r>
          </w:p>
        </w:tc>
        <w:tc>
          <w:tcPr>
            <w:tcW w:w="954"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十一</w:t>
            </w:r>
          </w:p>
        </w:tc>
        <w:tc>
          <w:tcPr>
            <w:tcW w:w="2955"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1722"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3069" w:type="dxa"/>
            <w:vAlign w:val="center"/>
          </w:tcPr>
          <w:p>
            <w:pPr>
              <w:spacing w:line="360" w:lineRule="auto"/>
              <w:jc w:val="center"/>
              <w:rPr>
                <w:rFonts w:hAnsi="宋体" w:cs="宋体"/>
                <w:color w:val="000000" w:themeColor="text1"/>
                <w:szCs w:val="21"/>
                <w14:textFill>
                  <w14:solidFill>
                    <w14:schemeClr w14:val="tx1"/>
                  </w14:solidFill>
                </w14:textFill>
              </w:rPr>
            </w:pPr>
          </w:p>
        </w:tc>
      </w:tr>
    </w:tbl>
    <w:p>
      <w:pPr>
        <w:spacing w:line="360" w:lineRule="auto"/>
        <w:ind w:right="139" w:rightChars="58" w:firstLine="426" w:firstLineChars="202"/>
        <w:rPr>
          <w:rFonts w:ascii="Times New Roman"/>
          <w:b/>
          <w:bCs/>
          <w:color w:val="000000" w:themeColor="text1"/>
          <w:sz w:val="21"/>
          <w:szCs w:val="21"/>
          <w14:textFill>
            <w14:solidFill>
              <w14:schemeClr w14:val="tx1"/>
            </w14:solidFill>
          </w14:textFill>
        </w:rPr>
      </w:pPr>
      <w:r>
        <w:rPr>
          <w:rFonts w:hint="eastAsia" w:hAnsi="宋体" w:cs="宋体"/>
          <w:b/>
          <w:bCs/>
          <w:color w:val="000000" w:themeColor="text1"/>
          <w:sz w:val="21"/>
          <w:szCs w:val="21"/>
          <w14:textFill>
            <w14:solidFill>
              <w14:schemeClr w14:val="tx1"/>
            </w14:solidFill>
          </w14:textFill>
        </w:rPr>
        <w:t>备</w:t>
      </w:r>
      <w:r>
        <w:rPr>
          <w:rFonts w:ascii="Times New Roman"/>
          <w:b/>
          <w:bCs/>
          <w:color w:val="000000" w:themeColor="text1"/>
          <w:sz w:val="21"/>
          <w:szCs w:val="21"/>
          <w14:textFill>
            <w14:solidFill>
              <w14:schemeClr w14:val="tx1"/>
            </w14:solidFill>
          </w14:textFill>
        </w:rPr>
        <w:t>注：</w:t>
      </w:r>
    </w:p>
    <w:p>
      <w:pPr>
        <w:numPr>
          <w:ilvl w:val="0"/>
          <w:numId w:val="14"/>
        </w:numPr>
        <w:spacing w:line="360" w:lineRule="auto"/>
        <w:ind w:right="139" w:rightChars="58" w:firstLine="426" w:firstLineChars="202"/>
        <w:rPr>
          <w:rFonts w:ascii="Times New Roman"/>
          <w:b/>
          <w:bCs/>
          <w:color w:val="000000" w:themeColor="text1"/>
          <w:sz w:val="21"/>
          <w:szCs w:val="21"/>
          <w14:textFill>
            <w14:solidFill>
              <w14:schemeClr w14:val="tx1"/>
            </w14:solidFill>
          </w14:textFill>
        </w:rPr>
      </w:pPr>
      <w:r>
        <w:rPr>
          <w:rFonts w:ascii="Times New Roman"/>
          <w:b/>
          <w:bCs/>
          <w:color w:val="000000" w:themeColor="text1"/>
          <w:sz w:val="21"/>
          <w:szCs w:val="21"/>
          <w14:textFill>
            <w14:solidFill>
              <w14:schemeClr w14:val="tx1"/>
            </w14:solidFill>
          </w14:textFill>
        </w:rPr>
        <w:t>报价人</w:t>
      </w:r>
      <w:r>
        <w:rPr>
          <w:rFonts w:hint="eastAsia" w:hAnsi="宋体" w:cs="宋体"/>
          <w:b/>
          <w:bCs/>
          <w:color w:val="000000" w:themeColor="text1"/>
          <w:sz w:val="21"/>
          <w:szCs w:val="21"/>
          <w14:textFill>
            <w14:solidFill>
              <w14:schemeClr w14:val="tx1"/>
            </w14:solidFill>
          </w14:textFill>
        </w:rPr>
        <w:t>应对照合同响应，逐条、如实地填写“偏离情况”，若发现虚假填写本表，或伪造、变造证明材料，或对合同及其附件响应有负偏离的，按无效响应处理。若发现此表未逐条</w:t>
      </w:r>
      <w:r>
        <w:rPr>
          <w:rFonts w:ascii="Times New Roman"/>
          <w:b/>
          <w:bCs/>
          <w:color w:val="000000" w:themeColor="text1"/>
          <w:sz w:val="21"/>
          <w:szCs w:val="21"/>
          <w14:textFill>
            <w14:solidFill>
              <w14:schemeClr w14:val="tx1"/>
            </w14:solidFill>
          </w14:textFill>
        </w:rPr>
        <w:t>填写视为完全响应合同要求。</w:t>
      </w:r>
    </w:p>
    <w:p>
      <w:pPr>
        <w:numPr>
          <w:ilvl w:val="0"/>
          <w:numId w:val="14"/>
        </w:numPr>
        <w:spacing w:line="360" w:lineRule="auto"/>
        <w:ind w:right="139" w:rightChars="58" w:firstLine="426" w:firstLineChars="202"/>
        <w:rPr>
          <w:rFonts w:ascii="Times New Roman"/>
          <w:b/>
          <w:bCs/>
          <w:color w:val="000000" w:themeColor="text1"/>
          <w:sz w:val="21"/>
          <w:szCs w:val="21"/>
          <w14:textFill>
            <w14:solidFill>
              <w14:schemeClr w14:val="tx1"/>
            </w14:solidFill>
          </w14:textFill>
        </w:rPr>
      </w:pPr>
      <w:r>
        <w:rPr>
          <w:rFonts w:ascii="Times New Roman"/>
          <w:b/>
          <w:bCs/>
          <w:color w:val="000000" w:themeColor="text1"/>
          <w:sz w:val="21"/>
          <w:szCs w:val="21"/>
          <w14:textFill>
            <w14:solidFill>
              <w14:schemeClr w14:val="tx1"/>
            </w14:solidFill>
          </w14:textFill>
        </w:rPr>
        <w:t>偏离情况分为：正偏离、负偏离、无偏离。正偏离是指报价人提供的货物（或服务）优于合同的要求；负偏离是指报价人提供的货物（或服务）不满足或不完全响应合同的要求；无偏离是指报价人提供的货物（或服务）完全响应合同的要求。</w:t>
      </w:r>
    </w:p>
    <w:p>
      <w:pPr>
        <w:numPr>
          <w:ilvl w:val="0"/>
          <w:numId w:val="14"/>
        </w:numPr>
        <w:spacing w:line="360" w:lineRule="auto"/>
        <w:ind w:right="139" w:rightChars="58" w:firstLine="426" w:firstLineChars="202"/>
        <w:rPr>
          <w:rFonts w:ascii="Times New Roman"/>
          <w:b/>
          <w:bCs/>
          <w:color w:val="000000" w:themeColor="text1"/>
          <w:sz w:val="21"/>
          <w:szCs w:val="21"/>
          <w14:textFill>
            <w14:solidFill>
              <w14:schemeClr w14:val="tx1"/>
            </w14:solidFill>
          </w14:textFill>
        </w:rPr>
      </w:pPr>
      <w:r>
        <w:rPr>
          <w:rFonts w:hint="eastAsia" w:hAnsi="宋体" w:cs="宋体"/>
          <w:b/>
          <w:bCs/>
          <w:color w:val="000000" w:themeColor="text1"/>
          <w:sz w:val="21"/>
          <w:szCs w:val="21"/>
          <w14:textFill>
            <w14:solidFill>
              <w14:schemeClr w14:val="tx1"/>
            </w14:solidFill>
          </w14:textFill>
        </w:rPr>
        <w:t>“偏离情况”项为正偏离（或负偏离）的，必须在“具体偏离内容”项内详细说明与合同的偏离内容，“偏离情况”项为无偏离的，在“具体偏离内容”项内填“无”</w:t>
      </w:r>
      <w:r>
        <w:rPr>
          <w:rFonts w:ascii="Times New Roman"/>
          <w:b/>
          <w:bCs/>
          <w:color w:val="000000" w:themeColor="text1"/>
          <w:sz w:val="21"/>
          <w:szCs w:val="21"/>
          <w14:textFill>
            <w14:solidFill>
              <w14:schemeClr w14:val="tx1"/>
            </w14:solidFill>
          </w14:textFill>
        </w:rPr>
        <w:t xml:space="preserve">。 </w:t>
      </w:r>
    </w:p>
    <w:p>
      <w:pPr>
        <w:numPr>
          <w:ilvl w:val="0"/>
          <w:numId w:val="14"/>
        </w:numPr>
        <w:spacing w:line="360" w:lineRule="auto"/>
        <w:ind w:right="139" w:rightChars="58" w:firstLine="426" w:firstLineChars="202"/>
        <w:rPr>
          <w:rFonts w:ascii="Times New Roman"/>
          <w:b/>
          <w:bCs/>
          <w:color w:val="000000" w:themeColor="text1"/>
          <w:sz w:val="21"/>
          <w:szCs w:val="21"/>
          <w14:textFill>
            <w14:solidFill>
              <w14:schemeClr w14:val="tx1"/>
            </w14:solidFill>
          </w14:textFill>
        </w:rPr>
      </w:pPr>
      <w:r>
        <w:rPr>
          <w:rFonts w:ascii="Times New Roman"/>
          <w:b/>
          <w:bCs/>
          <w:color w:val="000000" w:themeColor="text1"/>
          <w:sz w:val="21"/>
          <w:szCs w:val="21"/>
          <w14:textFill>
            <w14:solidFill>
              <w14:schemeClr w14:val="tx1"/>
            </w14:solidFill>
          </w14:textFill>
        </w:rPr>
        <w:t>如报价人差异内容较多可另附页说明。</w:t>
      </w:r>
    </w:p>
    <w:p>
      <w:pPr>
        <w:spacing w:line="360" w:lineRule="auto"/>
        <w:ind w:firstLine="420" w:firstLineChars="200"/>
        <w:rPr>
          <w:rFonts w:ascii="Times New Roman"/>
          <w:color w:val="000000" w:themeColor="text1"/>
          <w:sz w:val="21"/>
          <w:szCs w:val="21"/>
          <w14:textFill>
            <w14:solidFill>
              <w14:schemeClr w14:val="tx1"/>
            </w14:solidFill>
          </w14:textFill>
        </w:rPr>
      </w:pPr>
    </w:p>
    <w:p>
      <w:pPr>
        <w:spacing w:line="360" w:lineRule="auto"/>
        <w:ind w:firstLine="5040" w:firstLineChars="2400"/>
        <w:jc w:val="right"/>
        <w:rPr>
          <w:rFonts w:hAnsi="宋体" w:cs="宋体"/>
          <w:color w:val="000000" w:themeColor="text1"/>
          <w:kern w:val="2"/>
          <w:sz w:val="21"/>
          <w:lang w:val="zh-CN"/>
          <w14:textFill>
            <w14:solidFill>
              <w14:schemeClr w14:val="tx1"/>
            </w14:solidFill>
          </w14:textFill>
        </w:rPr>
      </w:pPr>
      <w:r>
        <w:rPr>
          <w:rFonts w:ascii="Times New Roman"/>
          <w:color w:val="000000" w:themeColor="text1"/>
          <w:kern w:val="2"/>
          <w:sz w:val="21"/>
          <w:lang w:val="zh-CN"/>
          <w14:textFill>
            <w14:solidFill>
              <w14:schemeClr w14:val="tx1"/>
            </w14:solidFill>
          </w14:textFill>
        </w:rPr>
        <w:t>报价</w:t>
      </w:r>
      <w:r>
        <w:rPr>
          <w:rFonts w:hint="eastAsia" w:hAnsi="宋体" w:cs="宋体"/>
          <w:color w:val="000000" w:themeColor="text1"/>
          <w:kern w:val="2"/>
          <w:sz w:val="21"/>
          <w:lang w:val="zh-CN"/>
          <w14:textFill>
            <w14:solidFill>
              <w14:schemeClr w14:val="tx1"/>
            </w14:solidFill>
          </w14:textFill>
        </w:rPr>
        <w:t>人：（加盖报价人公章）</w:t>
      </w:r>
    </w:p>
    <w:p>
      <w:pPr>
        <w:spacing w:line="360" w:lineRule="auto"/>
        <w:ind w:firstLine="5040" w:firstLineChars="2400"/>
        <w:jc w:val="right"/>
        <w:rPr>
          <w:rFonts w:hAnsi="宋体" w:cs="宋体"/>
          <w:color w:val="000000" w:themeColor="text1"/>
          <w:kern w:val="2"/>
          <w:sz w:val="21"/>
          <w:lang w:val="zh-CN"/>
          <w14:textFill>
            <w14:solidFill>
              <w14:schemeClr w14:val="tx1"/>
            </w14:solidFill>
          </w14:textFill>
        </w:rPr>
      </w:pPr>
      <w:r>
        <w:rPr>
          <w:rFonts w:hint="eastAsia" w:hAnsi="宋体" w:cs="宋体"/>
          <w:color w:val="000000" w:themeColor="text1"/>
          <w:kern w:val="2"/>
          <w:sz w:val="21"/>
          <w:lang w:val="zh-CN"/>
          <w14:textFill>
            <w14:solidFill>
              <w14:schemeClr w14:val="tx1"/>
            </w14:solidFill>
          </w14:textFill>
        </w:rPr>
        <w:t xml:space="preserve">日  期： </w:t>
      </w:r>
      <w:r>
        <w:rPr>
          <w:rFonts w:hint="eastAsia" w:hAnsi="宋体" w:cs="宋体"/>
          <w:color w:val="000000" w:themeColor="text1"/>
          <w:kern w:val="2"/>
          <w:sz w:val="21"/>
          <w14:textFill>
            <w14:solidFill>
              <w14:schemeClr w14:val="tx1"/>
            </w14:solidFill>
          </w14:textFill>
        </w:rPr>
        <w:t xml:space="preserve">  </w:t>
      </w:r>
      <w:r>
        <w:rPr>
          <w:rFonts w:hint="eastAsia" w:hAnsi="宋体" w:cs="宋体"/>
          <w:color w:val="000000" w:themeColor="text1"/>
          <w:kern w:val="2"/>
          <w:sz w:val="21"/>
          <w:lang w:val="zh-CN"/>
          <w14:textFill>
            <w14:solidFill>
              <w14:schemeClr w14:val="tx1"/>
            </w14:solidFill>
          </w14:textFill>
        </w:rPr>
        <w:t xml:space="preserve">  年   月   日</w:t>
      </w:r>
    </w:p>
    <w:p>
      <w:pPr>
        <w:spacing w:line="360" w:lineRule="auto"/>
        <w:ind w:firstLine="420" w:firstLineChars="200"/>
        <w:rPr>
          <w:rFonts w:hAnsi="宋体" w:cs="宋体"/>
          <w:color w:val="000000"/>
          <w:sz w:val="21"/>
          <w:szCs w:val="21"/>
        </w:rPr>
      </w:pPr>
    </w:p>
    <w:p>
      <w:pPr>
        <w:spacing w:line="360" w:lineRule="auto"/>
        <w:ind w:firstLine="420" w:firstLineChars="200"/>
        <w:rPr>
          <w:rFonts w:hAnsi="宋体" w:cs="宋体"/>
          <w:color w:val="000000"/>
          <w:sz w:val="21"/>
          <w:szCs w:val="21"/>
        </w:rPr>
      </w:pPr>
    </w:p>
    <w:p>
      <w:pPr>
        <w:spacing w:line="360" w:lineRule="auto"/>
        <w:ind w:firstLine="420" w:firstLineChars="200"/>
        <w:rPr>
          <w:rFonts w:hAnsi="宋体" w:cs="宋体"/>
          <w:color w:val="000000"/>
          <w:sz w:val="21"/>
          <w:szCs w:val="21"/>
        </w:rPr>
      </w:pPr>
    </w:p>
    <w:p>
      <w:pPr>
        <w:spacing w:line="360" w:lineRule="auto"/>
        <w:ind w:firstLine="420" w:firstLineChars="200"/>
        <w:rPr>
          <w:rFonts w:hAnsi="宋体" w:cs="宋体"/>
          <w:color w:val="000000"/>
          <w:sz w:val="21"/>
          <w:szCs w:val="21"/>
        </w:rPr>
      </w:pPr>
    </w:p>
    <w:p>
      <w:pPr>
        <w:spacing w:line="360" w:lineRule="auto"/>
        <w:ind w:firstLine="420" w:firstLineChars="200"/>
        <w:rPr>
          <w:rFonts w:hAnsi="宋体" w:cs="宋体"/>
          <w:color w:val="000000"/>
          <w:sz w:val="21"/>
          <w:szCs w:val="21"/>
        </w:rPr>
      </w:pPr>
    </w:p>
    <w:p>
      <w:pPr>
        <w:spacing w:line="360" w:lineRule="auto"/>
        <w:ind w:firstLine="420" w:firstLineChars="200"/>
        <w:rPr>
          <w:rFonts w:hAnsi="宋体" w:cs="宋体"/>
          <w:color w:val="000000"/>
          <w:sz w:val="21"/>
          <w:szCs w:val="21"/>
        </w:rPr>
      </w:pPr>
    </w:p>
    <w:p>
      <w:pPr>
        <w:spacing w:line="360" w:lineRule="auto"/>
        <w:ind w:firstLine="420" w:firstLineChars="200"/>
        <w:rPr>
          <w:rFonts w:hAnsi="宋体" w:cs="宋体"/>
          <w:color w:val="000000"/>
          <w:sz w:val="21"/>
          <w:szCs w:val="21"/>
        </w:rPr>
      </w:pPr>
    </w:p>
    <w:p>
      <w:pPr>
        <w:spacing w:line="360" w:lineRule="auto"/>
        <w:ind w:firstLine="420" w:firstLineChars="200"/>
        <w:rPr>
          <w:rFonts w:hAnsi="宋体" w:cs="宋体"/>
          <w:color w:val="000000"/>
          <w:sz w:val="21"/>
          <w:szCs w:val="21"/>
        </w:rPr>
      </w:pPr>
    </w:p>
    <w:p>
      <w:pPr>
        <w:spacing w:line="360" w:lineRule="auto"/>
        <w:ind w:firstLine="420" w:firstLineChars="200"/>
        <w:rPr>
          <w:rFonts w:hAnsi="宋体" w:cs="宋体"/>
          <w:color w:val="000000"/>
          <w:sz w:val="21"/>
          <w:szCs w:val="21"/>
        </w:rPr>
      </w:pPr>
    </w:p>
    <w:p>
      <w:pPr>
        <w:spacing w:line="360" w:lineRule="auto"/>
        <w:ind w:firstLine="420" w:firstLineChars="200"/>
        <w:rPr>
          <w:rFonts w:hAnsi="宋体" w:cs="宋体"/>
          <w:color w:val="000000"/>
          <w:sz w:val="21"/>
          <w:szCs w:val="21"/>
        </w:rPr>
      </w:pPr>
    </w:p>
    <w:p>
      <w:pPr>
        <w:spacing w:line="360" w:lineRule="auto"/>
        <w:ind w:firstLine="420" w:firstLineChars="200"/>
        <w:rPr>
          <w:rFonts w:hAnsi="宋体" w:cs="宋体"/>
          <w:color w:val="000000"/>
          <w:sz w:val="21"/>
          <w:szCs w:val="21"/>
        </w:rPr>
      </w:pPr>
    </w:p>
    <w:p>
      <w:pPr>
        <w:spacing w:line="360" w:lineRule="auto"/>
        <w:ind w:firstLine="420" w:firstLineChars="200"/>
        <w:rPr>
          <w:rFonts w:hAnsi="宋体" w:cs="宋体"/>
          <w:color w:val="000000"/>
          <w:sz w:val="21"/>
          <w:szCs w:val="21"/>
        </w:rPr>
      </w:pPr>
    </w:p>
    <w:p>
      <w:pPr>
        <w:spacing w:line="360" w:lineRule="auto"/>
        <w:ind w:firstLine="420" w:firstLineChars="200"/>
        <w:rPr>
          <w:rFonts w:hAnsi="宋体" w:cs="宋体"/>
          <w:color w:val="000000"/>
          <w:sz w:val="21"/>
          <w:szCs w:val="21"/>
        </w:rPr>
      </w:pPr>
    </w:p>
    <w:p>
      <w:pPr>
        <w:spacing w:line="360" w:lineRule="auto"/>
        <w:ind w:firstLine="420" w:firstLineChars="200"/>
        <w:rPr>
          <w:rFonts w:hAnsi="宋体" w:cs="宋体"/>
          <w:color w:val="000000"/>
          <w:sz w:val="21"/>
          <w:szCs w:val="21"/>
        </w:rPr>
      </w:pPr>
    </w:p>
    <w:p>
      <w:pPr>
        <w:spacing w:line="360" w:lineRule="auto"/>
        <w:rPr>
          <w:rFonts w:hAnsi="宋体" w:cs="宋体"/>
          <w:color w:val="000000"/>
          <w:kern w:val="2"/>
          <w:sz w:val="21"/>
          <w:lang w:val="zh-CN"/>
        </w:rPr>
      </w:pPr>
    </w:p>
    <w:p>
      <w:pPr>
        <w:spacing w:line="360" w:lineRule="auto"/>
        <w:rPr>
          <w:rFonts w:hAnsi="宋体" w:cs="宋体"/>
          <w:color w:val="000000"/>
          <w:kern w:val="2"/>
          <w:sz w:val="21"/>
          <w:lang w:val="zh-CN"/>
        </w:rPr>
      </w:pPr>
    </w:p>
    <w:p>
      <w:pPr>
        <w:rPr>
          <w:rFonts w:hAnsi="宋体" w:cs="宋体"/>
          <w:color w:val="000000"/>
          <w:kern w:val="2"/>
          <w:sz w:val="21"/>
          <w:lang w:val="zh-CN"/>
        </w:rPr>
      </w:pPr>
      <w:r>
        <w:rPr>
          <w:rFonts w:hAnsi="宋体" w:cs="宋体"/>
          <w:color w:val="000000"/>
          <w:kern w:val="2"/>
          <w:sz w:val="21"/>
          <w:lang w:val="zh-CN"/>
        </w:rPr>
        <w:br w:type="page"/>
      </w:r>
    </w:p>
    <w:p>
      <w:pPr>
        <w:spacing w:line="360" w:lineRule="auto"/>
        <w:rPr>
          <w:rFonts w:ascii="Times New Roman"/>
          <w:b/>
          <w:sz w:val="28"/>
          <w:szCs w:val="28"/>
        </w:rPr>
      </w:pPr>
      <w:r>
        <w:rPr>
          <w:rFonts w:hint="eastAsia" w:ascii="Times New Roman"/>
          <w:b/>
          <w:sz w:val="28"/>
          <w:szCs w:val="28"/>
        </w:rPr>
        <w:t>4.营业执照</w:t>
      </w:r>
    </w:p>
    <w:p>
      <w:pPr>
        <w:pStyle w:val="8"/>
        <w:ind w:firstLine="0" w:firstLineChars="0"/>
      </w:pPr>
    </w:p>
    <w:p>
      <w:r>
        <w:br w:type="page"/>
      </w:r>
    </w:p>
    <w:p>
      <w:pPr>
        <w:pStyle w:val="8"/>
        <w:ind w:firstLine="281"/>
      </w:pPr>
      <w:r>
        <w:rPr>
          <w:rFonts w:hint="eastAsia"/>
          <w:b/>
          <w:sz w:val="28"/>
          <w:szCs w:val="28"/>
          <w:lang w:val="en-US"/>
        </w:rPr>
        <w:t>5、资质证书（报价人应具备《工程设计资质证书》综合或电子通信广电行业甲级或电子通信广电行业（电子系统工程）专业甲级资质）</w:t>
      </w:r>
    </w:p>
    <w:p>
      <w:r>
        <w:br w:type="page"/>
      </w:r>
    </w:p>
    <w:p>
      <w:pPr>
        <w:spacing w:line="360" w:lineRule="auto"/>
        <w:rPr>
          <w:rFonts w:hAnsi="宋体" w:cs="宋体"/>
          <w:b/>
          <w:sz w:val="28"/>
          <w:szCs w:val="28"/>
        </w:rPr>
      </w:pPr>
      <w:r>
        <w:rPr>
          <w:rFonts w:hint="eastAsia" w:hAnsi="宋体" w:cs="宋体"/>
          <w:b/>
          <w:sz w:val="28"/>
          <w:szCs w:val="28"/>
        </w:rPr>
        <w:t>6.报价人自2019年1月1日以来，至少具备一个污水管网或雨水管网管理相关内容的软件开发类信息化建设项目设计服务业绩（含设计、实施一体的项目</w:t>
      </w:r>
      <w:r>
        <w:rPr>
          <w:rFonts w:hint="eastAsia" w:hAnsi="宋体" w:cs="宋体"/>
          <w:b/>
          <w:sz w:val="28"/>
          <w:szCs w:val="28"/>
          <w:lang w:eastAsia="zh-CN"/>
        </w:rPr>
        <w:t>，</w:t>
      </w:r>
      <w:r>
        <w:rPr>
          <w:rFonts w:hint="eastAsia" w:hAnsi="宋体" w:cs="宋体"/>
          <w:b/>
          <w:sz w:val="28"/>
          <w:szCs w:val="28"/>
          <w:lang w:val="zh-CN" w:eastAsia="zh-CN"/>
        </w:rPr>
        <w:t>合同签订日期为</w:t>
      </w:r>
      <w:r>
        <w:rPr>
          <w:rFonts w:hint="eastAsia" w:hAnsi="宋体" w:cs="宋体"/>
          <w:b/>
          <w:sz w:val="28"/>
          <w:szCs w:val="28"/>
          <w:lang w:eastAsia="zh-CN"/>
        </w:rPr>
        <w:t>2019</w:t>
      </w:r>
      <w:r>
        <w:rPr>
          <w:rFonts w:hint="eastAsia" w:hAnsi="宋体" w:cs="宋体"/>
          <w:b/>
          <w:sz w:val="28"/>
          <w:szCs w:val="28"/>
          <w:lang w:val="zh-CN" w:eastAsia="zh-CN"/>
        </w:rPr>
        <w:t>年</w:t>
      </w:r>
      <w:r>
        <w:rPr>
          <w:rFonts w:hint="eastAsia" w:hAnsi="宋体" w:cs="宋体"/>
          <w:b/>
          <w:sz w:val="28"/>
          <w:szCs w:val="28"/>
          <w:lang w:eastAsia="zh-CN"/>
        </w:rPr>
        <w:t>1</w:t>
      </w:r>
      <w:r>
        <w:rPr>
          <w:rFonts w:hint="eastAsia" w:hAnsi="宋体" w:cs="宋体"/>
          <w:b/>
          <w:sz w:val="28"/>
          <w:szCs w:val="28"/>
          <w:lang w:val="zh-CN" w:eastAsia="zh-CN"/>
        </w:rPr>
        <w:t>月</w:t>
      </w:r>
      <w:r>
        <w:rPr>
          <w:rFonts w:hint="eastAsia" w:hAnsi="宋体" w:cs="宋体"/>
          <w:b/>
          <w:sz w:val="28"/>
          <w:szCs w:val="28"/>
          <w:lang w:eastAsia="zh-CN"/>
        </w:rPr>
        <w:t>1</w:t>
      </w:r>
      <w:r>
        <w:rPr>
          <w:rFonts w:hint="eastAsia" w:hAnsi="宋体" w:cs="宋体"/>
          <w:b/>
          <w:sz w:val="28"/>
          <w:szCs w:val="28"/>
          <w:lang w:val="zh-CN" w:eastAsia="zh-CN"/>
        </w:rPr>
        <w:t>日或以后</w:t>
      </w:r>
      <w:r>
        <w:rPr>
          <w:rFonts w:hint="eastAsia" w:hAnsi="宋体" w:cs="宋体"/>
          <w:b/>
          <w:sz w:val="28"/>
          <w:szCs w:val="28"/>
        </w:rPr>
        <w:t>）（需提供项目合同要点：包括签约时间、项目名称、关键服务内容、合同金额、双方盖章等关键页，若合同无法反映上述要点，需合同买方出具书面情况说明文件（加盖买方公章））</w:t>
      </w:r>
    </w:p>
    <w:p>
      <w:pPr>
        <w:pStyle w:val="9"/>
        <w:ind w:left="0" w:leftChars="0" w:firstLine="0" w:firstLineChars="0"/>
      </w:pPr>
    </w:p>
    <w:p>
      <w:pPr>
        <w:pStyle w:val="8"/>
        <w:ind w:firstLine="210"/>
        <w:rPr>
          <w:lang w:val="en-US"/>
        </w:rPr>
      </w:pPr>
    </w:p>
    <w:p>
      <w:pPr>
        <w:spacing w:line="360" w:lineRule="auto"/>
        <w:rPr>
          <w:rFonts w:hAnsi="宋体" w:cs="宋体"/>
          <w:b/>
          <w:sz w:val="28"/>
          <w:szCs w:val="28"/>
        </w:rPr>
      </w:pPr>
    </w:p>
    <w:p>
      <w:pPr>
        <w:spacing w:line="360" w:lineRule="auto"/>
        <w:rPr>
          <w:rFonts w:hAnsi="宋体" w:cs="宋体"/>
          <w:b/>
          <w:sz w:val="28"/>
          <w:szCs w:val="28"/>
        </w:rPr>
      </w:pPr>
    </w:p>
    <w:p>
      <w:pPr>
        <w:spacing w:line="360" w:lineRule="auto"/>
        <w:rPr>
          <w:rFonts w:hAnsi="宋体" w:cs="宋体"/>
          <w:b/>
          <w:sz w:val="28"/>
          <w:szCs w:val="28"/>
        </w:rPr>
      </w:pPr>
    </w:p>
    <w:p>
      <w:pPr>
        <w:spacing w:line="360" w:lineRule="auto"/>
        <w:rPr>
          <w:rFonts w:hAnsi="宋体" w:cs="宋体"/>
          <w:b/>
          <w:sz w:val="28"/>
          <w:szCs w:val="28"/>
        </w:rPr>
      </w:pPr>
    </w:p>
    <w:p>
      <w:pPr>
        <w:spacing w:line="360" w:lineRule="auto"/>
        <w:rPr>
          <w:rFonts w:hAnsi="宋体" w:cs="宋体"/>
          <w:b/>
          <w:sz w:val="28"/>
          <w:szCs w:val="28"/>
        </w:rPr>
      </w:pPr>
    </w:p>
    <w:p>
      <w:pPr>
        <w:spacing w:line="360" w:lineRule="auto"/>
        <w:rPr>
          <w:rFonts w:hAnsi="宋体" w:cs="宋体"/>
          <w:b/>
          <w:sz w:val="28"/>
          <w:szCs w:val="28"/>
        </w:rPr>
      </w:pPr>
    </w:p>
    <w:p>
      <w:pPr>
        <w:spacing w:line="360" w:lineRule="auto"/>
        <w:rPr>
          <w:rFonts w:hAnsi="宋体" w:cs="宋体"/>
          <w:b/>
          <w:sz w:val="28"/>
          <w:szCs w:val="28"/>
        </w:rPr>
      </w:pPr>
    </w:p>
    <w:p>
      <w:pPr>
        <w:spacing w:line="360" w:lineRule="auto"/>
        <w:rPr>
          <w:rFonts w:hAnsi="宋体" w:cs="宋体"/>
          <w:b/>
          <w:sz w:val="28"/>
          <w:szCs w:val="28"/>
        </w:rPr>
      </w:pPr>
    </w:p>
    <w:p>
      <w:pPr>
        <w:spacing w:line="360" w:lineRule="auto"/>
        <w:rPr>
          <w:rFonts w:hAnsi="宋体" w:cs="宋体"/>
          <w:b/>
          <w:sz w:val="28"/>
          <w:szCs w:val="28"/>
        </w:rPr>
      </w:pPr>
    </w:p>
    <w:p>
      <w:pPr>
        <w:spacing w:line="360" w:lineRule="auto"/>
        <w:rPr>
          <w:rFonts w:hAnsi="宋体" w:cs="宋体"/>
          <w:b/>
          <w:sz w:val="28"/>
          <w:szCs w:val="28"/>
        </w:rPr>
      </w:pPr>
    </w:p>
    <w:p>
      <w:pPr>
        <w:spacing w:line="360" w:lineRule="auto"/>
        <w:rPr>
          <w:rFonts w:hAnsi="宋体" w:cs="宋体"/>
          <w:b/>
          <w:sz w:val="28"/>
          <w:szCs w:val="28"/>
        </w:rPr>
      </w:pPr>
    </w:p>
    <w:p>
      <w:pPr>
        <w:spacing w:line="360" w:lineRule="auto"/>
        <w:rPr>
          <w:rFonts w:hAnsi="宋体" w:cs="宋体"/>
          <w:b/>
          <w:sz w:val="28"/>
          <w:szCs w:val="28"/>
        </w:rPr>
      </w:pPr>
    </w:p>
    <w:p>
      <w:pPr>
        <w:spacing w:line="360" w:lineRule="auto"/>
        <w:rPr>
          <w:rFonts w:hAnsi="宋体" w:cs="宋体"/>
          <w:b/>
          <w:sz w:val="28"/>
          <w:szCs w:val="28"/>
        </w:rPr>
      </w:pPr>
    </w:p>
    <w:p>
      <w:pPr>
        <w:spacing w:line="360" w:lineRule="auto"/>
        <w:rPr>
          <w:rFonts w:ascii="Times New Roman"/>
          <w:b/>
          <w:sz w:val="28"/>
          <w:szCs w:val="28"/>
        </w:rPr>
      </w:pPr>
      <w:r>
        <w:rPr>
          <w:rFonts w:hint="eastAsia" w:ascii="Times New Roman"/>
          <w:b/>
          <w:sz w:val="28"/>
          <w:szCs w:val="28"/>
        </w:rPr>
        <w:t>7.配备项目人员</w:t>
      </w:r>
    </w:p>
    <w:tbl>
      <w:tblPr>
        <w:tblStyle w:val="23"/>
        <w:tblW w:w="54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7"/>
        <w:gridCol w:w="1353"/>
        <w:gridCol w:w="1465"/>
        <w:gridCol w:w="1561"/>
        <w:gridCol w:w="3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1" w:hRule="atLeast"/>
          <w:jc w:val="center"/>
        </w:trPr>
        <w:tc>
          <w:tcPr>
            <w:tcW w:w="389" w:type="pct"/>
            <w:shd w:val="clear" w:color="auto" w:fill="auto"/>
            <w:tcMar>
              <w:top w:w="15" w:type="dxa"/>
              <w:left w:w="15" w:type="dxa"/>
              <w:right w:w="15" w:type="dxa"/>
            </w:tcMar>
            <w:vAlign w:val="center"/>
          </w:tcPr>
          <w:p>
            <w:pPr>
              <w:jc w:val="center"/>
              <w:rPr>
                <w:rFonts w:hAnsi="宋体" w:cs="宋体"/>
                <w:b/>
                <w:bCs/>
                <w:color w:val="000000" w:themeColor="text1"/>
                <w:lang w:bidi="ar"/>
                <w14:textFill>
                  <w14:solidFill>
                    <w14:schemeClr w14:val="tx1"/>
                  </w14:solidFill>
                </w14:textFill>
              </w:rPr>
            </w:pPr>
            <w:r>
              <w:rPr>
                <w:rFonts w:hint="eastAsia" w:hAnsi="宋体" w:cs="宋体"/>
                <w:b/>
                <w:bCs/>
                <w:color w:val="000000" w:themeColor="text1"/>
                <w:lang w:bidi="ar"/>
                <w14:textFill>
                  <w14:solidFill>
                    <w14:schemeClr w14:val="tx1"/>
                  </w14:solidFill>
                </w14:textFill>
              </w:rPr>
              <w:t>序号</w:t>
            </w:r>
          </w:p>
        </w:tc>
        <w:tc>
          <w:tcPr>
            <w:tcW w:w="745" w:type="pct"/>
            <w:shd w:val="clear" w:color="auto" w:fill="auto"/>
            <w:tcMar>
              <w:top w:w="15" w:type="dxa"/>
              <w:left w:w="15" w:type="dxa"/>
              <w:right w:w="15" w:type="dxa"/>
            </w:tcMar>
            <w:vAlign w:val="center"/>
          </w:tcPr>
          <w:p>
            <w:pPr>
              <w:jc w:val="center"/>
              <w:rPr>
                <w:rFonts w:hAnsi="宋体" w:cs="宋体"/>
                <w:b/>
                <w:bCs/>
                <w:color w:val="000000" w:themeColor="text1"/>
                <w:lang w:bidi="ar"/>
                <w14:textFill>
                  <w14:solidFill>
                    <w14:schemeClr w14:val="tx1"/>
                  </w14:solidFill>
                </w14:textFill>
              </w:rPr>
            </w:pPr>
            <w:r>
              <w:rPr>
                <w:rFonts w:hint="eastAsia" w:hAnsi="宋体" w:cs="宋体"/>
                <w:b/>
                <w:bCs/>
                <w:color w:val="000000" w:themeColor="text1"/>
                <w:lang w:bidi="ar"/>
                <w14:textFill>
                  <w14:solidFill>
                    <w14:schemeClr w14:val="tx1"/>
                  </w14:solidFill>
                </w14:textFill>
              </w:rPr>
              <w:t>职位</w:t>
            </w:r>
          </w:p>
        </w:tc>
        <w:tc>
          <w:tcPr>
            <w:tcW w:w="807" w:type="pct"/>
            <w:shd w:val="clear" w:color="auto" w:fill="auto"/>
            <w:tcMar>
              <w:top w:w="15" w:type="dxa"/>
              <w:left w:w="15" w:type="dxa"/>
              <w:right w:w="15" w:type="dxa"/>
            </w:tcMar>
            <w:vAlign w:val="center"/>
          </w:tcPr>
          <w:p>
            <w:pPr>
              <w:jc w:val="center"/>
              <w:rPr>
                <w:rFonts w:hAnsi="宋体" w:cs="宋体"/>
                <w:b/>
                <w:bCs/>
                <w:color w:val="000000" w:themeColor="text1"/>
                <w:lang w:bidi="ar"/>
                <w14:textFill>
                  <w14:solidFill>
                    <w14:schemeClr w14:val="tx1"/>
                  </w14:solidFill>
                </w14:textFill>
              </w:rPr>
            </w:pPr>
            <w:r>
              <w:rPr>
                <w:rFonts w:hint="eastAsia" w:hAnsi="宋体" w:cs="宋体"/>
                <w:b/>
                <w:bCs/>
                <w:color w:val="000000" w:themeColor="text1"/>
                <w:lang w:bidi="ar"/>
                <w14:textFill>
                  <w14:solidFill>
                    <w14:schemeClr w14:val="tx1"/>
                  </w14:solidFill>
                </w14:textFill>
              </w:rPr>
              <w:t>姓名</w:t>
            </w:r>
          </w:p>
        </w:tc>
        <w:tc>
          <w:tcPr>
            <w:tcW w:w="859" w:type="pct"/>
            <w:shd w:val="clear" w:color="auto" w:fill="auto"/>
            <w:tcMar>
              <w:top w:w="15" w:type="dxa"/>
              <w:left w:w="15" w:type="dxa"/>
              <w:right w:w="15" w:type="dxa"/>
            </w:tcMar>
            <w:vAlign w:val="center"/>
          </w:tcPr>
          <w:p>
            <w:pPr>
              <w:jc w:val="center"/>
              <w:rPr>
                <w:rFonts w:hAnsi="宋体" w:cs="宋体"/>
                <w:b/>
                <w:bCs/>
                <w:color w:val="000000" w:themeColor="text1"/>
                <w:lang w:bidi="ar"/>
                <w14:textFill>
                  <w14:solidFill>
                    <w14:schemeClr w14:val="tx1"/>
                  </w14:solidFill>
                </w14:textFill>
              </w:rPr>
            </w:pPr>
            <w:r>
              <w:rPr>
                <w:rFonts w:hint="eastAsia" w:hAnsi="宋体" w:cs="宋体"/>
                <w:b/>
                <w:bCs/>
                <w:color w:val="000000" w:themeColor="text1"/>
                <w:lang w:bidi="ar"/>
                <w14:textFill>
                  <w14:solidFill>
                    <w14:schemeClr w14:val="tx1"/>
                  </w14:solidFill>
                </w14:textFill>
              </w:rPr>
              <w:t>学历</w:t>
            </w:r>
          </w:p>
        </w:tc>
        <w:tc>
          <w:tcPr>
            <w:tcW w:w="2197" w:type="pct"/>
            <w:shd w:val="clear" w:color="auto" w:fill="auto"/>
            <w:tcMar>
              <w:top w:w="15" w:type="dxa"/>
              <w:left w:w="15" w:type="dxa"/>
              <w:right w:w="15" w:type="dxa"/>
            </w:tcMar>
            <w:vAlign w:val="center"/>
          </w:tcPr>
          <w:p>
            <w:pPr>
              <w:jc w:val="center"/>
              <w:rPr>
                <w:rFonts w:hAnsi="宋体" w:cs="宋体"/>
                <w:b/>
                <w:bCs/>
                <w:color w:val="000000" w:themeColor="text1"/>
                <w:lang w:bidi="ar"/>
                <w14:textFill>
                  <w14:solidFill>
                    <w14:schemeClr w14:val="tx1"/>
                  </w14:solidFill>
                </w14:textFill>
              </w:rPr>
            </w:pPr>
            <w:r>
              <w:rPr>
                <w:rFonts w:hint="eastAsia" w:hAnsi="宋体" w:cs="宋体"/>
                <w:b/>
                <w:bCs/>
                <w:color w:val="000000" w:themeColor="text1"/>
                <w:lang w:bidi="ar"/>
                <w14:textFill>
                  <w14:solidFill>
                    <w14:schemeClr w14:val="tx1"/>
                  </w14:solidFill>
                </w14:textFill>
              </w:rPr>
              <w:t>职称及工作经验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7" w:hRule="atLeast"/>
          <w:jc w:val="center"/>
        </w:trPr>
        <w:tc>
          <w:tcPr>
            <w:tcW w:w="389" w:type="pct"/>
            <w:shd w:val="clear" w:color="auto" w:fill="auto"/>
            <w:tcMar>
              <w:top w:w="15" w:type="dxa"/>
              <w:left w:w="15" w:type="dxa"/>
              <w:right w:w="15" w:type="dxa"/>
            </w:tcMar>
            <w:vAlign w:val="center"/>
          </w:tcPr>
          <w:p>
            <w:pPr>
              <w:jc w:val="center"/>
              <w:rPr>
                <w:rFonts w:hAnsi="宋体" w:cs="宋体"/>
                <w:lang w:bidi="ar"/>
              </w:rPr>
            </w:pPr>
            <w:r>
              <w:rPr>
                <w:rFonts w:hint="eastAsia" w:hAnsi="宋体" w:cs="宋体"/>
                <w:lang w:bidi="ar"/>
              </w:rPr>
              <w:t>1</w:t>
            </w:r>
          </w:p>
        </w:tc>
        <w:tc>
          <w:tcPr>
            <w:tcW w:w="745" w:type="pct"/>
            <w:tcBorders>
              <w:bottom w:val="single" w:color="auto" w:sz="4" w:space="0"/>
            </w:tcBorders>
            <w:shd w:val="clear" w:color="auto" w:fill="auto"/>
            <w:tcMar>
              <w:top w:w="15" w:type="dxa"/>
              <w:left w:w="15" w:type="dxa"/>
              <w:right w:w="15" w:type="dxa"/>
            </w:tcMar>
            <w:vAlign w:val="center"/>
          </w:tcPr>
          <w:p>
            <w:pPr>
              <w:jc w:val="center"/>
              <w:rPr>
                <w:rFonts w:hAnsi="宋体" w:cs="宋体"/>
                <w:lang w:bidi="ar"/>
              </w:rPr>
            </w:pPr>
          </w:p>
        </w:tc>
        <w:tc>
          <w:tcPr>
            <w:tcW w:w="807" w:type="pct"/>
            <w:tcBorders>
              <w:bottom w:val="single" w:color="auto" w:sz="4" w:space="0"/>
            </w:tcBorders>
            <w:shd w:val="clear" w:color="auto" w:fill="auto"/>
            <w:tcMar>
              <w:top w:w="15" w:type="dxa"/>
              <w:left w:w="15" w:type="dxa"/>
              <w:right w:w="15" w:type="dxa"/>
            </w:tcMar>
            <w:vAlign w:val="center"/>
          </w:tcPr>
          <w:p>
            <w:pPr>
              <w:jc w:val="center"/>
              <w:rPr>
                <w:rFonts w:hAnsi="宋体" w:cs="宋体"/>
                <w:lang w:bidi="ar"/>
              </w:rPr>
            </w:pPr>
          </w:p>
        </w:tc>
        <w:tc>
          <w:tcPr>
            <w:tcW w:w="859" w:type="pct"/>
            <w:tcBorders>
              <w:bottom w:val="single" w:color="auto" w:sz="4" w:space="0"/>
            </w:tcBorders>
            <w:shd w:val="clear" w:color="auto" w:fill="auto"/>
            <w:tcMar>
              <w:top w:w="15" w:type="dxa"/>
              <w:left w:w="15" w:type="dxa"/>
              <w:right w:w="15" w:type="dxa"/>
            </w:tcMar>
            <w:vAlign w:val="center"/>
          </w:tcPr>
          <w:p>
            <w:pPr>
              <w:jc w:val="center"/>
              <w:rPr>
                <w:rFonts w:hAnsi="宋体" w:cs="宋体"/>
                <w:lang w:bidi="ar"/>
              </w:rPr>
            </w:pPr>
          </w:p>
        </w:tc>
        <w:tc>
          <w:tcPr>
            <w:tcW w:w="2197" w:type="pct"/>
            <w:tcBorders>
              <w:bottom w:val="single" w:color="auto" w:sz="4" w:space="0"/>
            </w:tcBorders>
            <w:shd w:val="clear" w:color="auto" w:fill="auto"/>
            <w:tcMar>
              <w:top w:w="15" w:type="dxa"/>
              <w:left w:w="15" w:type="dxa"/>
              <w:right w:w="15" w:type="dxa"/>
            </w:tcMar>
            <w:vAlign w:val="center"/>
          </w:tcPr>
          <w:p>
            <w:pPr>
              <w:jc w:val="center"/>
              <w:rPr>
                <w:rFonts w:hAnsi="宋体" w:cs="宋体"/>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7" w:hRule="atLeast"/>
          <w:jc w:val="center"/>
        </w:trPr>
        <w:tc>
          <w:tcPr>
            <w:tcW w:w="389" w:type="pct"/>
            <w:shd w:val="clear" w:color="auto" w:fill="auto"/>
            <w:tcMar>
              <w:top w:w="15" w:type="dxa"/>
              <w:left w:w="15" w:type="dxa"/>
              <w:right w:w="15" w:type="dxa"/>
            </w:tcMar>
            <w:vAlign w:val="center"/>
          </w:tcPr>
          <w:p>
            <w:pPr>
              <w:jc w:val="center"/>
              <w:rPr>
                <w:rFonts w:hAnsi="宋体" w:cs="宋体"/>
                <w:lang w:bidi="ar"/>
              </w:rPr>
            </w:pPr>
            <w:r>
              <w:rPr>
                <w:rFonts w:hint="eastAsia" w:hAnsi="宋体" w:cs="宋体"/>
                <w:lang w:bidi="ar"/>
              </w:rPr>
              <w:t>2</w:t>
            </w:r>
          </w:p>
        </w:tc>
        <w:tc>
          <w:tcPr>
            <w:tcW w:w="745"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jc w:val="center"/>
              <w:rPr>
                <w:rFonts w:hAnsi="宋体" w:cs="宋体"/>
                <w:lang w:bidi="ar"/>
              </w:rPr>
            </w:pPr>
          </w:p>
        </w:tc>
        <w:tc>
          <w:tcPr>
            <w:tcW w:w="807"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jc w:val="center"/>
              <w:rPr>
                <w:rFonts w:hAnsi="宋体" w:cs="宋体"/>
                <w:lang w:bidi="ar"/>
              </w:rPr>
            </w:pPr>
          </w:p>
        </w:tc>
        <w:tc>
          <w:tcPr>
            <w:tcW w:w="859"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jc w:val="center"/>
              <w:rPr>
                <w:rFonts w:hAnsi="宋体" w:cs="宋体"/>
                <w:lang w:bidi="ar"/>
              </w:rPr>
            </w:pPr>
          </w:p>
        </w:tc>
        <w:tc>
          <w:tcPr>
            <w:tcW w:w="2197"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jc w:val="center"/>
              <w:rPr>
                <w:rFonts w:hAnsi="宋体" w:cs="宋体"/>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7" w:hRule="atLeast"/>
          <w:jc w:val="center"/>
        </w:trPr>
        <w:tc>
          <w:tcPr>
            <w:tcW w:w="389" w:type="pct"/>
            <w:shd w:val="clear" w:color="auto" w:fill="auto"/>
            <w:tcMar>
              <w:top w:w="15" w:type="dxa"/>
              <w:left w:w="15" w:type="dxa"/>
              <w:right w:w="15" w:type="dxa"/>
            </w:tcMar>
            <w:vAlign w:val="center"/>
          </w:tcPr>
          <w:p>
            <w:pPr>
              <w:jc w:val="center"/>
              <w:rPr>
                <w:rFonts w:hAnsi="宋体" w:cs="宋体"/>
                <w:lang w:bidi="ar"/>
              </w:rPr>
            </w:pPr>
            <w:r>
              <w:rPr>
                <w:rFonts w:hint="eastAsia" w:hAnsi="宋体" w:cs="宋体"/>
                <w:lang w:bidi="ar"/>
              </w:rPr>
              <w:t>3</w:t>
            </w:r>
          </w:p>
        </w:tc>
        <w:tc>
          <w:tcPr>
            <w:tcW w:w="745" w:type="pct"/>
            <w:tcBorders>
              <w:left w:val="single" w:color="auto" w:sz="4" w:space="0"/>
              <w:right w:val="single" w:color="auto" w:sz="4" w:space="0"/>
            </w:tcBorders>
            <w:shd w:val="clear" w:color="auto" w:fill="auto"/>
            <w:tcMar>
              <w:top w:w="15" w:type="dxa"/>
              <w:left w:w="15" w:type="dxa"/>
              <w:right w:w="15" w:type="dxa"/>
            </w:tcMar>
            <w:vAlign w:val="center"/>
          </w:tcPr>
          <w:p>
            <w:pPr>
              <w:rPr>
                <w:rFonts w:hAnsi="宋体" w:cs="宋体"/>
                <w:lang w:bidi="ar"/>
              </w:rPr>
            </w:pPr>
          </w:p>
        </w:tc>
        <w:tc>
          <w:tcPr>
            <w:tcW w:w="807" w:type="pct"/>
            <w:tcBorders>
              <w:left w:val="single" w:color="auto" w:sz="4" w:space="0"/>
              <w:right w:val="single" w:color="auto" w:sz="4" w:space="0"/>
            </w:tcBorders>
            <w:shd w:val="clear" w:color="auto" w:fill="auto"/>
            <w:tcMar>
              <w:top w:w="15" w:type="dxa"/>
              <w:left w:w="15" w:type="dxa"/>
              <w:right w:w="15" w:type="dxa"/>
            </w:tcMar>
            <w:vAlign w:val="center"/>
          </w:tcPr>
          <w:p>
            <w:pPr>
              <w:rPr>
                <w:rFonts w:hAnsi="宋体" w:cs="宋体"/>
                <w:lang w:bidi="ar"/>
              </w:rPr>
            </w:pPr>
          </w:p>
        </w:tc>
        <w:tc>
          <w:tcPr>
            <w:tcW w:w="859" w:type="pct"/>
            <w:tcBorders>
              <w:left w:val="single" w:color="auto" w:sz="4" w:space="0"/>
              <w:right w:val="single" w:color="auto" w:sz="4" w:space="0"/>
            </w:tcBorders>
            <w:shd w:val="clear" w:color="auto" w:fill="auto"/>
            <w:tcMar>
              <w:top w:w="15" w:type="dxa"/>
              <w:left w:w="15" w:type="dxa"/>
              <w:right w:w="15" w:type="dxa"/>
            </w:tcMar>
            <w:vAlign w:val="center"/>
          </w:tcPr>
          <w:p>
            <w:pPr>
              <w:jc w:val="center"/>
              <w:rPr>
                <w:rFonts w:hAnsi="宋体" w:cs="宋体"/>
                <w:lang w:bidi="ar"/>
              </w:rPr>
            </w:pPr>
          </w:p>
        </w:tc>
        <w:tc>
          <w:tcPr>
            <w:tcW w:w="2197" w:type="pct"/>
            <w:tcBorders>
              <w:left w:val="single" w:color="auto" w:sz="4" w:space="0"/>
              <w:right w:val="single" w:color="auto" w:sz="4" w:space="0"/>
            </w:tcBorders>
            <w:shd w:val="clear" w:color="auto" w:fill="auto"/>
            <w:tcMar>
              <w:top w:w="15" w:type="dxa"/>
              <w:left w:w="15" w:type="dxa"/>
              <w:right w:w="15" w:type="dxa"/>
            </w:tcMar>
            <w:vAlign w:val="center"/>
          </w:tcPr>
          <w:p>
            <w:pPr>
              <w:jc w:val="center"/>
              <w:rPr>
                <w:rFonts w:hAnsi="宋体" w:cs="宋体"/>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7" w:hRule="atLeast"/>
          <w:jc w:val="center"/>
        </w:trPr>
        <w:tc>
          <w:tcPr>
            <w:tcW w:w="389" w:type="pct"/>
            <w:shd w:val="clear" w:color="auto" w:fill="auto"/>
            <w:tcMar>
              <w:top w:w="15" w:type="dxa"/>
              <w:left w:w="15" w:type="dxa"/>
              <w:right w:w="15" w:type="dxa"/>
            </w:tcMar>
            <w:vAlign w:val="center"/>
          </w:tcPr>
          <w:p>
            <w:pPr>
              <w:jc w:val="center"/>
              <w:rPr>
                <w:rFonts w:hAnsi="宋体" w:cs="宋体"/>
                <w:lang w:bidi="ar"/>
              </w:rPr>
            </w:pPr>
            <w:r>
              <w:rPr>
                <w:rFonts w:hint="eastAsia" w:hAnsi="宋体" w:cs="宋体"/>
                <w:lang w:bidi="ar"/>
              </w:rPr>
              <w:t>4</w:t>
            </w:r>
          </w:p>
        </w:tc>
        <w:tc>
          <w:tcPr>
            <w:tcW w:w="745" w:type="pct"/>
            <w:tcBorders>
              <w:left w:val="single" w:color="auto" w:sz="4" w:space="0"/>
              <w:right w:val="single" w:color="auto" w:sz="4" w:space="0"/>
            </w:tcBorders>
            <w:shd w:val="clear" w:color="auto" w:fill="auto"/>
            <w:tcMar>
              <w:top w:w="15" w:type="dxa"/>
              <w:left w:w="15" w:type="dxa"/>
              <w:right w:w="15" w:type="dxa"/>
            </w:tcMar>
            <w:vAlign w:val="center"/>
          </w:tcPr>
          <w:p>
            <w:pPr>
              <w:rPr>
                <w:rFonts w:hAnsi="宋体" w:cs="宋体"/>
                <w:lang w:bidi="ar"/>
              </w:rPr>
            </w:pPr>
          </w:p>
        </w:tc>
        <w:tc>
          <w:tcPr>
            <w:tcW w:w="807" w:type="pct"/>
            <w:tcBorders>
              <w:left w:val="single" w:color="auto" w:sz="4" w:space="0"/>
              <w:right w:val="single" w:color="auto" w:sz="4" w:space="0"/>
            </w:tcBorders>
            <w:shd w:val="clear" w:color="auto" w:fill="auto"/>
            <w:tcMar>
              <w:top w:w="15" w:type="dxa"/>
              <w:left w:w="15" w:type="dxa"/>
              <w:right w:w="15" w:type="dxa"/>
            </w:tcMar>
            <w:vAlign w:val="center"/>
          </w:tcPr>
          <w:p>
            <w:pPr>
              <w:rPr>
                <w:rFonts w:hAnsi="宋体" w:cs="宋体"/>
                <w:lang w:bidi="ar"/>
              </w:rPr>
            </w:pPr>
          </w:p>
        </w:tc>
        <w:tc>
          <w:tcPr>
            <w:tcW w:w="859" w:type="pct"/>
            <w:tcBorders>
              <w:left w:val="single" w:color="auto" w:sz="4" w:space="0"/>
              <w:right w:val="single" w:color="auto" w:sz="4" w:space="0"/>
            </w:tcBorders>
            <w:shd w:val="clear" w:color="auto" w:fill="auto"/>
            <w:tcMar>
              <w:top w:w="15" w:type="dxa"/>
              <w:left w:w="15" w:type="dxa"/>
              <w:right w:w="15" w:type="dxa"/>
            </w:tcMar>
            <w:vAlign w:val="center"/>
          </w:tcPr>
          <w:p>
            <w:pPr>
              <w:jc w:val="center"/>
              <w:rPr>
                <w:rFonts w:hAnsi="宋体" w:cs="宋体"/>
                <w:lang w:bidi="ar"/>
              </w:rPr>
            </w:pPr>
          </w:p>
        </w:tc>
        <w:tc>
          <w:tcPr>
            <w:tcW w:w="2197" w:type="pct"/>
            <w:tcBorders>
              <w:left w:val="single" w:color="auto" w:sz="4" w:space="0"/>
              <w:right w:val="single" w:color="auto" w:sz="4" w:space="0"/>
            </w:tcBorders>
            <w:shd w:val="clear" w:color="auto" w:fill="auto"/>
            <w:tcMar>
              <w:top w:w="15" w:type="dxa"/>
              <w:left w:w="15" w:type="dxa"/>
              <w:right w:w="15" w:type="dxa"/>
            </w:tcMar>
            <w:vAlign w:val="center"/>
          </w:tcPr>
          <w:p>
            <w:pPr>
              <w:jc w:val="center"/>
              <w:rPr>
                <w:rFonts w:hAnsi="宋体" w:cs="宋体"/>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7" w:hRule="atLeast"/>
          <w:jc w:val="center"/>
        </w:trPr>
        <w:tc>
          <w:tcPr>
            <w:tcW w:w="389" w:type="pct"/>
            <w:shd w:val="clear" w:color="auto" w:fill="auto"/>
            <w:tcMar>
              <w:top w:w="15" w:type="dxa"/>
              <w:left w:w="15" w:type="dxa"/>
              <w:right w:w="15" w:type="dxa"/>
            </w:tcMar>
            <w:vAlign w:val="center"/>
          </w:tcPr>
          <w:p>
            <w:pPr>
              <w:jc w:val="center"/>
              <w:rPr>
                <w:rFonts w:hAnsi="宋体" w:cs="宋体"/>
                <w:lang w:bidi="ar"/>
              </w:rPr>
            </w:pPr>
            <w:r>
              <w:rPr>
                <w:rFonts w:hint="eastAsia" w:hAnsi="宋体" w:cs="宋体"/>
                <w:lang w:bidi="ar"/>
              </w:rPr>
              <w:t>5</w:t>
            </w:r>
          </w:p>
        </w:tc>
        <w:tc>
          <w:tcPr>
            <w:tcW w:w="745" w:type="pct"/>
            <w:tcBorders>
              <w:left w:val="single" w:color="auto" w:sz="4" w:space="0"/>
              <w:right w:val="single" w:color="auto" w:sz="4" w:space="0"/>
            </w:tcBorders>
            <w:shd w:val="clear" w:color="auto" w:fill="auto"/>
            <w:tcMar>
              <w:top w:w="15" w:type="dxa"/>
              <w:left w:w="15" w:type="dxa"/>
              <w:right w:w="15" w:type="dxa"/>
            </w:tcMar>
            <w:vAlign w:val="center"/>
          </w:tcPr>
          <w:p>
            <w:pPr>
              <w:rPr>
                <w:rFonts w:hAnsi="宋体" w:cs="宋体"/>
                <w:lang w:bidi="ar"/>
              </w:rPr>
            </w:pPr>
          </w:p>
        </w:tc>
        <w:tc>
          <w:tcPr>
            <w:tcW w:w="807" w:type="pct"/>
            <w:tcBorders>
              <w:left w:val="single" w:color="auto" w:sz="4" w:space="0"/>
              <w:right w:val="single" w:color="auto" w:sz="4" w:space="0"/>
            </w:tcBorders>
            <w:shd w:val="clear" w:color="auto" w:fill="auto"/>
            <w:tcMar>
              <w:top w:w="15" w:type="dxa"/>
              <w:left w:w="15" w:type="dxa"/>
              <w:right w:w="15" w:type="dxa"/>
            </w:tcMar>
            <w:vAlign w:val="center"/>
          </w:tcPr>
          <w:p>
            <w:pPr>
              <w:rPr>
                <w:rFonts w:hAnsi="宋体" w:cs="宋体"/>
                <w:lang w:bidi="ar"/>
              </w:rPr>
            </w:pPr>
          </w:p>
        </w:tc>
        <w:tc>
          <w:tcPr>
            <w:tcW w:w="859" w:type="pct"/>
            <w:tcBorders>
              <w:left w:val="single" w:color="auto" w:sz="4" w:space="0"/>
              <w:right w:val="single" w:color="auto" w:sz="4" w:space="0"/>
            </w:tcBorders>
            <w:shd w:val="clear" w:color="auto" w:fill="auto"/>
            <w:tcMar>
              <w:top w:w="15" w:type="dxa"/>
              <w:left w:w="15" w:type="dxa"/>
              <w:right w:w="15" w:type="dxa"/>
            </w:tcMar>
            <w:vAlign w:val="center"/>
          </w:tcPr>
          <w:p>
            <w:pPr>
              <w:jc w:val="center"/>
              <w:rPr>
                <w:rFonts w:hAnsi="宋体" w:cs="宋体"/>
                <w:lang w:bidi="ar"/>
              </w:rPr>
            </w:pPr>
          </w:p>
        </w:tc>
        <w:tc>
          <w:tcPr>
            <w:tcW w:w="2197" w:type="pct"/>
            <w:tcBorders>
              <w:left w:val="single" w:color="auto" w:sz="4" w:space="0"/>
              <w:right w:val="single" w:color="auto" w:sz="4" w:space="0"/>
            </w:tcBorders>
            <w:shd w:val="clear" w:color="auto" w:fill="auto"/>
            <w:tcMar>
              <w:top w:w="15" w:type="dxa"/>
              <w:left w:w="15" w:type="dxa"/>
              <w:right w:w="15" w:type="dxa"/>
            </w:tcMar>
            <w:vAlign w:val="center"/>
          </w:tcPr>
          <w:p>
            <w:pPr>
              <w:jc w:val="center"/>
              <w:rPr>
                <w:rFonts w:hAnsi="宋体" w:cs="宋体"/>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7" w:hRule="atLeast"/>
          <w:jc w:val="center"/>
        </w:trPr>
        <w:tc>
          <w:tcPr>
            <w:tcW w:w="389" w:type="pct"/>
            <w:shd w:val="clear" w:color="auto" w:fill="auto"/>
            <w:tcMar>
              <w:top w:w="15" w:type="dxa"/>
              <w:left w:w="15" w:type="dxa"/>
              <w:right w:w="15" w:type="dxa"/>
            </w:tcMar>
            <w:vAlign w:val="center"/>
          </w:tcPr>
          <w:p>
            <w:pPr>
              <w:jc w:val="center"/>
              <w:rPr>
                <w:rFonts w:hAnsi="宋体" w:cs="宋体"/>
                <w:lang w:bidi="ar"/>
              </w:rPr>
            </w:pPr>
            <w:r>
              <w:rPr>
                <w:rFonts w:hint="eastAsia" w:hAnsi="宋体" w:cs="宋体"/>
                <w:lang w:bidi="ar"/>
              </w:rPr>
              <w:t>...</w:t>
            </w:r>
          </w:p>
        </w:tc>
        <w:tc>
          <w:tcPr>
            <w:tcW w:w="745" w:type="pct"/>
            <w:tcBorders>
              <w:left w:val="single" w:color="auto" w:sz="4" w:space="0"/>
              <w:right w:val="single" w:color="auto" w:sz="4" w:space="0"/>
            </w:tcBorders>
            <w:shd w:val="clear" w:color="auto" w:fill="auto"/>
            <w:tcMar>
              <w:top w:w="15" w:type="dxa"/>
              <w:left w:w="15" w:type="dxa"/>
              <w:right w:w="15" w:type="dxa"/>
            </w:tcMar>
            <w:vAlign w:val="center"/>
          </w:tcPr>
          <w:p>
            <w:pPr>
              <w:rPr>
                <w:rFonts w:hAnsi="宋体" w:cs="宋体"/>
                <w:lang w:bidi="ar"/>
              </w:rPr>
            </w:pPr>
          </w:p>
        </w:tc>
        <w:tc>
          <w:tcPr>
            <w:tcW w:w="807" w:type="pct"/>
            <w:tcBorders>
              <w:left w:val="single" w:color="auto" w:sz="4" w:space="0"/>
              <w:right w:val="single" w:color="auto" w:sz="4" w:space="0"/>
            </w:tcBorders>
            <w:shd w:val="clear" w:color="auto" w:fill="auto"/>
            <w:tcMar>
              <w:top w:w="15" w:type="dxa"/>
              <w:left w:w="15" w:type="dxa"/>
              <w:right w:w="15" w:type="dxa"/>
            </w:tcMar>
            <w:vAlign w:val="center"/>
          </w:tcPr>
          <w:p>
            <w:pPr>
              <w:rPr>
                <w:rFonts w:hAnsi="宋体" w:cs="宋体"/>
                <w:lang w:bidi="ar"/>
              </w:rPr>
            </w:pPr>
          </w:p>
        </w:tc>
        <w:tc>
          <w:tcPr>
            <w:tcW w:w="859" w:type="pct"/>
            <w:tcBorders>
              <w:left w:val="single" w:color="auto" w:sz="4" w:space="0"/>
              <w:right w:val="single" w:color="auto" w:sz="4" w:space="0"/>
            </w:tcBorders>
            <w:shd w:val="clear" w:color="auto" w:fill="auto"/>
            <w:tcMar>
              <w:top w:w="15" w:type="dxa"/>
              <w:left w:w="15" w:type="dxa"/>
              <w:right w:w="15" w:type="dxa"/>
            </w:tcMar>
            <w:vAlign w:val="center"/>
          </w:tcPr>
          <w:p>
            <w:pPr>
              <w:jc w:val="center"/>
              <w:rPr>
                <w:rFonts w:hAnsi="宋体" w:cs="宋体"/>
                <w:lang w:bidi="ar"/>
              </w:rPr>
            </w:pPr>
          </w:p>
        </w:tc>
        <w:tc>
          <w:tcPr>
            <w:tcW w:w="2197" w:type="pct"/>
            <w:tcBorders>
              <w:left w:val="single" w:color="auto" w:sz="4" w:space="0"/>
              <w:right w:val="single" w:color="auto" w:sz="4" w:space="0"/>
            </w:tcBorders>
            <w:shd w:val="clear" w:color="auto" w:fill="auto"/>
            <w:tcMar>
              <w:top w:w="15" w:type="dxa"/>
              <w:left w:w="15" w:type="dxa"/>
              <w:right w:w="15" w:type="dxa"/>
            </w:tcMar>
            <w:vAlign w:val="center"/>
          </w:tcPr>
          <w:p>
            <w:pPr>
              <w:jc w:val="center"/>
              <w:rPr>
                <w:rFonts w:hAnsi="宋体" w:cs="宋体"/>
                <w:lang w:bidi="ar"/>
              </w:rPr>
            </w:pPr>
          </w:p>
        </w:tc>
      </w:tr>
    </w:tbl>
    <w:p>
      <w:pPr>
        <w:spacing w:line="360" w:lineRule="auto"/>
        <w:rPr>
          <w:rFonts w:ascii="Times New Roman"/>
          <w:b/>
          <w:color w:val="000000"/>
          <w:sz w:val="21"/>
          <w:szCs w:val="21"/>
        </w:rPr>
      </w:pPr>
    </w:p>
    <w:p>
      <w:pPr>
        <w:spacing w:line="360" w:lineRule="auto"/>
        <w:ind w:firstLine="422" w:firstLineChars="200"/>
        <w:rPr>
          <w:rFonts w:ascii="Times New Roman"/>
          <w:b/>
          <w:color w:val="000000"/>
          <w:sz w:val="21"/>
          <w:szCs w:val="21"/>
        </w:rPr>
      </w:pPr>
      <w:r>
        <w:rPr>
          <w:rFonts w:hint="eastAsia" w:ascii="Times New Roman"/>
          <w:b/>
          <w:color w:val="000000"/>
          <w:sz w:val="21"/>
          <w:szCs w:val="21"/>
        </w:rPr>
        <w:t>备注：配备的人员要求如下（提供证明材料）：</w:t>
      </w:r>
    </w:p>
    <w:p>
      <w:pPr>
        <w:adjustRightInd/>
        <w:spacing w:line="360" w:lineRule="auto"/>
        <w:ind w:firstLine="422" w:firstLineChars="200"/>
        <w:rPr>
          <w:rFonts w:ascii="Times New Roman"/>
          <w:b/>
          <w:color w:val="000000"/>
          <w:sz w:val="21"/>
          <w:szCs w:val="21"/>
          <w:highlight w:val="none"/>
        </w:rPr>
      </w:pPr>
      <w:r>
        <w:rPr>
          <w:rFonts w:hint="eastAsia" w:ascii="Times New Roman"/>
          <w:b/>
          <w:color w:val="000000"/>
          <w:sz w:val="21"/>
          <w:szCs w:val="21"/>
          <w:highlight w:val="none"/>
        </w:rPr>
        <w:t>（1）项目负责人1名，至少具有信息化类项目管理、咨询、建造、信息安全等相关专业其中一项专业的高级职称（需提供相关证书的复印件）；</w:t>
      </w:r>
    </w:p>
    <w:p>
      <w:pPr>
        <w:adjustRightInd/>
        <w:spacing w:line="360" w:lineRule="auto"/>
        <w:ind w:firstLine="422" w:firstLineChars="200"/>
        <w:rPr>
          <w:rFonts w:ascii="Times New Roman"/>
          <w:b/>
          <w:color w:val="000000"/>
          <w:sz w:val="21"/>
          <w:szCs w:val="21"/>
          <w:highlight w:val="none"/>
        </w:rPr>
      </w:pPr>
      <w:r>
        <w:rPr>
          <w:rFonts w:hint="eastAsia" w:ascii="Times New Roman"/>
          <w:b/>
          <w:color w:val="000000"/>
          <w:sz w:val="21"/>
          <w:szCs w:val="21"/>
          <w:highlight w:val="none"/>
        </w:rPr>
        <w:t>（2）设计工程师不少于2人，一半</w:t>
      </w:r>
      <w:r>
        <w:rPr>
          <w:rFonts w:hint="eastAsia" w:ascii="Times New Roman" w:hAnsi="Times New Roman" w:cs="Times New Roman"/>
          <w:b/>
          <w:color w:val="000000"/>
          <w:kern w:val="0"/>
          <w:sz w:val="21"/>
          <w:szCs w:val="21"/>
          <w:highlight w:val="none"/>
          <w:lang w:eastAsia="zh-CN" w:bidi="ar"/>
        </w:rPr>
        <w:t>（</w:t>
      </w:r>
      <w:r>
        <w:rPr>
          <w:rFonts w:hint="eastAsia" w:ascii="Times New Roman" w:hAnsi="Times New Roman" w:cs="Times New Roman"/>
          <w:b/>
          <w:color w:val="000000"/>
          <w:kern w:val="0"/>
          <w:sz w:val="21"/>
          <w:szCs w:val="21"/>
          <w:highlight w:val="none"/>
          <w:lang w:val="en-US" w:eastAsia="zh-CN" w:bidi="ar"/>
        </w:rPr>
        <w:t>向上取整</w:t>
      </w:r>
      <w:r>
        <w:rPr>
          <w:rFonts w:hint="eastAsia" w:ascii="Times New Roman" w:hAnsi="Times New Roman" w:cs="Times New Roman"/>
          <w:b/>
          <w:color w:val="000000"/>
          <w:kern w:val="0"/>
          <w:sz w:val="21"/>
          <w:szCs w:val="21"/>
          <w:highlight w:val="none"/>
          <w:lang w:eastAsia="zh-CN" w:bidi="ar"/>
        </w:rPr>
        <w:t>）</w:t>
      </w:r>
      <w:r>
        <w:rPr>
          <w:rFonts w:hint="eastAsia" w:ascii="Times New Roman"/>
          <w:b/>
          <w:color w:val="000000"/>
          <w:sz w:val="21"/>
          <w:szCs w:val="21"/>
          <w:highlight w:val="none"/>
        </w:rPr>
        <w:t>或以上人员至少具备信息化类项目管理、咨询、建造、信息安全等相关专业其中一项专业的中级或以上职称（需提供相关证书的复印件）；</w:t>
      </w:r>
    </w:p>
    <w:p>
      <w:pPr>
        <w:adjustRightInd/>
        <w:spacing w:line="360" w:lineRule="auto"/>
        <w:ind w:firstLine="422" w:firstLineChars="200"/>
        <w:rPr>
          <w:rFonts w:ascii="Times New Roman"/>
          <w:b/>
          <w:color w:val="000000"/>
          <w:sz w:val="21"/>
          <w:szCs w:val="21"/>
          <w:highlight w:val="none"/>
        </w:rPr>
      </w:pPr>
      <w:r>
        <w:rPr>
          <w:rFonts w:hint="eastAsia" w:ascii="Times New Roman"/>
          <w:b/>
          <w:color w:val="000000"/>
          <w:sz w:val="21"/>
          <w:szCs w:val="21"/>
          <w:highlight w:val="none"/>
        </w:rPr>
        <w:t>（3）报价人需提供其为所配备的项目人员</w:t>
      </w:r>
      <w:r>
        <w:rPr>
          <w:rFonts w:hint="eastAsia" w:ascii="Times New Roman"/>
          <w:b/>
          <w:color w:val="000000"/>
          <w:sz w:val="21"/>
          <w:szCs w:val="21"/>
          <w:highlight w:val="none"/>
          <w:lang w:val="en-US" w:eastAsia="zh-CN"/>
        </w:rPr>
        <w:t>连续</w:t>
      </w:r>
      <w:r>
        <w:rPr>
          <w:rFonts w:hint="eastAsia" w:ascii="Times New Roman"/>
          <w:b/>
          <w:color w:val="000000"/>
          <w:sz w:val="21"/>
          <w:szCs w:val="21"/>
          <w:highlight w:val="none"/>
        </w:rPr>
        <w:t>近3个月（202</w:t>
      </w:r>
      <w:r>
        <w:rPr>
          <w:rFonts w:hint="eastAsia" w:ascii="Times New Roman"/>
          <w:b/>
          <w:color w:val="000000"/>
          <w:sz w:val="21"/>
          <w:szCs w:val="21"/>
          <w:highlight w:val="none"/>
          <w:lang w:val="en-US" w:eastAsia="zh-CN"/>
        </w:rPr>
        <w:t>4</w:t>
      </w:r>
      <w:r>
        <w:rPr>
          <w:rFonts w:hint="eastAsia" w:ascii="Times New Roman"/>
          <w:b/>
          <w:color w:val="000000"/>
          <w:sz w:val="21"/>
          <w:szCs w:val="21"/>
          <w:highlight w:val="none"/>
        </w:rPr>
        <w:t>年1月-2024年</w:t>
      </w:r>
      <w:r>
        <w:rPr>
          <w:rFonts w:hint="eastAsia" w:ascii="Times New Roman"/>
          <w:b/>
          <w:color w:val="000000"/>
          <w:sz w:val="21"/>
          <w:szCs w:val="21"/>
          <w:highlight w:val="none"/>
          <w:lang w:val="en-US" w:eastAsia="zh-CN"/>
        </w:rPr>
        <w:t>3</w:t>
      </w:r>
      <w:r>
        <w:rPr>
          <w:rFonts w:hint="eastAsia" w:ascii="Times New Roman"/>
          <w:b/>
          <w:color w:val="000000"/>
          <w:sz w:val="21"/>
          <w:szCs w:val="21"/>
          <w:highlight w:val="none"/>
        </w:rPr>
        <w:t>月份）的社保</w:t>
      </w:r>
      <w:r>
        <w:rPr>
          <w:rFonts w:hint="eastAsia" w:ascii="Times New Roman"/>
          <w:b/>
          <w:color w:val="000000"/>
          <w:sz w:val="21"/>
          <w:szCs w:val="21"/>
          <w:highlight w:val="none"/>
          <w:lang w:val="en-US" w:eastAsia="zh-CN"/>
        </w:rPr>
        <w:t>缴纳</w:t>
      </w:r>
      <w:r>
        <w:rPr>
          <w:rFonts w:hint="eastAsia" w:ascii="Times New Roman"/>
          <w:b/>
          <w:color w:val="000000"/>
          <w:sz w:val="21"/>
          <w:szCs w:val="21"/>
          <w:highlight w:val="none"/>
        </w:rPr>
        <w:t>证明。</w:t>
      </w:r>
    </w:p>
    <w:p>
      <w:pPr>
        <w:spacing w:line="360" w:lineRule="auto"/>
        <w:rPr>
          <w:rFonts w:ascii="Times New Roman"/>
          <w:b/>
          <w:color w:val="000000"/>
          <w:sz w:val="28"/>
          <w:szCs w:val="28"/>
        </w:rPr>
      </w:pPr>
    </w:p>
    <w:p>
      <w:pPr>
        <w:spacing w:line="360" w:lineRule="auto"/>
        <w:rPr>
          <w:rFonts w:ascii="Times New Roman"/>
          <w:b/>
          <w:color w:val="000000"/>
          <w:sz w:val="28"/>
          <w:szCs w:val="28"/>
        </w:rPr>
        <w:sectPr>
          <w:pgSz w:w="11906" w:h="16838"/>
          <w:pgMar w:top="1440" w:right="1803" w:bottom="1440" w:left="1803" w:header="851" w:footer="992" w:gutter="0"/>
          <w:cols w:space="0" w:num="1"/>
          <w:docGrid w:type="lines" w:linePitch="332" w:charSpace="0"/>
        </w:sectPr>
      </w:pPr>
    </w:p>
    <w:bookmarkEnd w:id="156"/>
    <w:bookmarkEnd w:id="157"/>
    <w:bookmarkEnd w:id="158"/>
    <w:p>
      <w:pPr>
        <w:spacing w:line="360" w:lineRule="auto"/>
        <w:rPr>
          <w:rFonts w:ascii="Times New Roman"/>
          <w:b/>
          <w:sz w:val="28"/>
          <w:szCs w:val="28"/>
        </w:rPr>
      </w:pPr>
      <w:r>
        <w:rPr>
          <w:rFonts w:hint="eastAsia" w:ascii="Times New Roman"/>
          <w:b/>
          <w:sz w:val="28"/>
          <w:szCs w:val="28"/>
        </w:rPr>
        <w:t>8</w:t>
      </w:r>
      <w:r>
        <w:rPr>
          <w:rFonts w:ascii="Times New Roman"/>
          <w:b/>
          <w:sz w:val="28"/>
          <w:szCs w:val="28"/>
        </w:rPr>
        <w:t>.</w:t>
      </w:r>
      <w:r>
        <w:rPr>
          <w:rFonts w:hint="eastAsia" w:ascii="Times New Roman"/>
          <w:b/>
          <w:sz w:val="28"/>
          <w:szCs w:val="28"/>
        </w:rPr>
        <w:t>信用中国网站截图</w:t>
      </w:r>
    </w:p>
    <w:p>
      <w:pPr>
        <w:spacing w:line="360" w:lineRule="auto"/>
        <w:rPr>
          <w:rFonts w:hAnsi="宋体" w:cs="宋体"/>
          <w:b/>
          <w:color w:val="000000"/>
        </w:rPr>
      </w:pPr>
      <w:r>
        <w:rPr>
          <w:rFonts w:hint="eastAsia" w:hAnsi="宋体" w:cs="宋体"/>
          <w:b/>
          <w:color w:val="000000"/>
        </w:rPr>
        <w:t>报价人未被列入“信用中国”网站（www.creditchina.gov.cn）失信被执行人、重大税收违法失信主体、</w:t>
      </w:r>
      <w:r>
        <w:rPr>
          <w:rFonts w:hint="eastAsia" w:hAnsi="宋体" w:cs="宋体"/>
          <w:b/>
          <w:color w:val="000000"/>
          <w:lang w:val="en-US" w:eastAsia="zh-CN"/>
        </w:rPr>
        <w:t>政府采购</w:t>
      </w:r>
      <w:r>
        <w:rPr>
          <w:rFonts w:hint="eastAsia" w:hAnsi="宋体" w:cs="宋体"/>
          <w:b/>
          <w:color w:val="000000"/>
          <w:lang w:val="zh-CN"/>
        </w:rPr>
        <w:t>严重违法失信行为记录名单</w:t>
      </w:r>
      <w:r>
        <w:rPr>
          <w:rFonts w:hint="eastAsia" w:hAnsi="宋体" w:cs="宋体"/>
          <w:b/>
          <w:color w:val="000000"/>
        </w:rPr>
        <w:t>（处罚期限届满的除外）</w:t>
      </w:r>
    </w:p>
    <w:p>
      <w:pPr>
        <w:numPr>
          <w:ilvl w:val="255"/>
          <w:numId w:val="0"/>
        </w:numPr>
        <w:rPr>
          <w:rFonts w:hAnsi="宋体" w:cs="宋体"/>
          <w:b/>
          <w:color w:val="000000"/>
        </w:rPr>
      </w:pPr>
    </w:p>
    <w:p>
      <w:pPr>
        <w:numPr>
          <w:ilvl w:val="255"/>
          <w:numId w:val="0"/>
        </w:numPr>
        <w:rPr>
          <w:rFonts w:hAnsi="宋体" w:cs="宋体"/>
          <w:b/>
          <w:color w:val="000000"/>
        </w:rPr>
      </w:pPr>
    </w:p>
    <w:p>
      <w:pPr>
        <w:numPr>
          <w:ilvl w:val="255"/>
          <w:numId w:val="0"/>
        </w:numPr>
        <w:rPr>
          <w:rFonts w:hAnsi="宋体" w:cs="宋体"/>
          <w:b/>
          <w:color w:val="000000"/>
        </w:rPr>
      </w:pPr>
      <w:r>
        <w:rPr>
          <w:rFonts w:hint="eastAsia" w:hAnsi="宋体" w:cs="宋体"/>
          <w:b/>
          <w:color w:val="000000"/>
        </w:rPr>
        <w:br w:type="page"/>
      </w:r>
    </w:p>
    <w:p>
      <w:pPr>
        <w:spacing w:line="360" w:lineRule="auto"/>
        <w:rPr>
          <w:rFonts w:ascii="Times New Roman"/>
          <w:b/>
          <w:color w:val="000000"/>
          <w:sz w:val="28"/>
          <w:szCs w:val="28"/>
        </w:rPr>
      </w:pPr>
      <w:r>
        <w:rPr>
          <w:rFonts w:hint="eastAsia" w:hAnsi="宋体" w:cs="宋体"/>
          <w:b/>
          <w:color w:val="000000"/>
          <w:sz w:val="28"/>
          <w:szCs w:val="28"/>
        </w:rPr>
        <w:t>9.报价人认为有必要提供的资料</w:t>
      </w:r>
      <w:r>
        <w:rPr>
          <w:rFonts w:hint="eastAsia" w:ascii="宋体" w:hAnsi="宋体" w:eastAsia="宋体" w:cs="宋体"/>
          <w:b/>
          <w:color w:val="000000"/>
          <w:sz w:val="28"/>
          <w:szCs w:val="28"/>
          <w:lang w:eastAsia="zh-CN"/>
        </w:rPr>
        <w:t>（</w:t>
      </w:r>
      <w:r>
        <w:rPr>
          <w:rFonts w:hint="eastAsia" w:ascii="宋体" w:hAnsi="宋体" w:eastAsia="宋体" w:cs="宋体"/>
          <w:b/>
          <w:color w:val="000000"/>
          <w:sz w:val="28"/>
          <w:szCs w:val="28"/>
          <w:lang w:val="en-US" w:eastAsia="zh-CN"/>
        </w:rPr>
        <w:t>不做强制要求</w:t>
      </w:r>
      <w:r>
        <w:rPr>
          <w:rFonts w:hint="eastAsia" w:ascii="宋体" w:hAnsi="宋体" w:eastAsia="宋体" w:cs="宋体"/>
          <w:b/>
          <w:color w:val="000000"/>
          <w:sz w:val="28"/>
          <w:szCs w:val="28"/>
          <w:lang w:eastAsia="zh-CN"/>
        </w:rPr>
        <w:t>）</w:t>
      </w:r>
    </w:p>
    <w:sectPr>
      <w:pgSz w:w="11906" w:h="16838"/>
      <w:pgMar w:top="1440" w:right="1803" w:bottom="1440" w:left="1803" w:header="851" w:footer="992" w:gutter="0"/>
      <w:cols w:space="0" w:num="1"/>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ascii="Times New Roman" w:hAnsi="Times New Roman" w:eastAsia="宋体"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5"/>
                      <w:rPr>
                        <w:rFonts w:ascii="Times New Roman" w:hAnsi="Times New Roman" w:eastAsia="宋体"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ascii="Times New Roman" w:hAnsi="Times New Roman" w:eastAsia="宋体"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5"/>
                      <w:rPr>
                        <w:rFonts w:ascii="Times New Roman" w:hAnsi="Times New Roman" w:eastAsia="宋体"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spacing w:line="360" w:lineRule="auto"/>
      <w:ind w:firstLine="360" w:firstLineChars="200"/>
      <w:jc w:val="center"/>
      <w:rPr>
        <w:rFonts w:hAnsi="宋体" w:cs="宋体"/>
        <w:kern w:val="2"/>
        <w:sz w:val="18"/>
        <w:szCs w:val="18"/>
        <w:lang w:bidi="en-US"/>
      </w:rPr>
    </w:pPr>
    <w:r>
      <w:rPr>
        <w:rFonts w:hAnsi="宋体" w:cs="宋体"/>
        <w:kern w:val="2"/>
        <w:sz w:val="18"/>
        <w:szCs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snapToGrid w:val="0"/>
                            <w:spacing w:line="360" w:lineRule="auto"/>
                            <w:ind w:firstLine="360" w:firstLineChars="200"/>
                            <w:jc w:val="center"/>
                            <w:rPr>
                              <w:rFonts w:hAnsi="宋体" w:cs="宋体"/>
                              <w:kern w:val="2"/>
                              <w:sz w:val="18"/>
                              <w:szCs w:val="18"/>
                              <w:lang w:bidi="en-US"/>
                            </w:rPr>
                          </w:pPr>
                          <w:r>
                            <w:rPr>
                              <w:rFonts w:hAnsi="宋体" w:cs="宋体"/>
                              <w:kern w:val="2"/>
                              <w:sz w:val="18"/>
                              <w:szCs w:val="18"/>
                              <w:lang w:bidi="en-US"/>
                            </w:rPr>
                            <w:fldChar w:fldCharType="begin"/>
                          </w:r>
                          <w:r>
                            <w:rPr>
                              <w:rFonts w:hAnsi="宋体" w:cs="宋体"/>
                              <w:kern w:val="2"/>
                              <w:sz w:val="18"/>
                              <w:szCs w:val="18"/>
                              <w:lang w:bidi="en-US"/>
                            </w:rPr>
                            <w:instrText xml:space="preserve">PAGE   \* MERGEFORMAT</w:instrText>
                          </w:r>
                          <w:r>
                            <w:rPr>
                              <w:rFonts w:hAnsi="宋体" w:cs="宋体"/>
                              <w:kern w:val="2"/>
                              <w:sz w:val="18"/>
                              <w:szCs w:val="18"/>
                              <w:lang w:bidi="en-US"/>
                            </w:rPr>
                            <w:fldChar w:fldCharType="separate"/>
                          </w:r>
                          <w:r>
                            <w:rPr>
                              <w:rFonts w:hAnsi="宋体" w:cs="宋体"/>
                              <w:kern w:val="2"/>
                              <w:sz w:val="18"/>
                              <w:szCs w:val="18"/>
                              <w:lang w:val="zh-CN" w:bidi="en-US"/>
                            </w:rPr>
                            <w:t>16</w:t>
                          </w:r>
                          <w:r>
                            <w:rPr>
                              <w:rFonts w:hAnsi="宋体" w:cs="宋体"/>
                              <w:kern w:val="2"/>
                              <w:sz w:val="18"/>
                              <w:szCs w:val="18"/>
                              <w:lang w:bidi="en-US"/>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Kux4z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vr8bpwcUDcKljrEjT0MNESl3p0Qrt&#10;ru157kxxAk1nuknxlm9qlLJlPtwzh9FA+ViecIdPKQ1Smt6ipDLu67/uYzw6Bi8lDUYtpxqbRYn8&#10;oNFJAIbBcIOxGwx9ULcGszvBUlqeTDxwQQ5m6Yz6go1axRxwMc2RKadhMG9DN+7YSC5WqxSE2bMs&#10;bPWD5RE6yuPt6hAgZ1I5itIpge7EA6Yv9anflDjef55T1NO/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QKux4zAgAAZQQAAA4AAAAAAAAAAQAgAAAAHwEAAGRycy9lMm9Eb2MueG1sUEsF&#10;BgAAAAAGAAYAWQEAAMQFAAAAAA==&#10;">
              <v:fill on="f" focussize="0,0"/>
              <v:stroke on="f" weight="0.5pt"/>
              <v:imagedata o:title=""/>
              <o:lock v:ext="edit" aspectratio="f"/>
              <v:textbox inset="0mm,0mm,0mm,0mm" style="mso-fit-shape-to-text:t;">
                <w:txbxContent>
                  <w:p>
                    <w:pPr>
                      <w:tabs>
                        <w:tab w:val="center" w:pos="4153"/>
                        <w:tab w:val="right" w:pos="8306"/>
                      </w:tabs>
                      <w:snapToGrid w:val="0"/>
                      <w:spacing w:line="360" w:lineRule="auto"/>
                      <w:ind w:firstLine="360" w:firstLineChars="200"/>
                      <w:jc w:val="center"/>
                      <w:rPr>
                        <w:rFonts w:hAnsi="宋体" w:cs="宋体"/>
                        <w:kern w:val="2"/>
                        <w:sz w:val="18"/>
                        <w:szCs w:val="18"/>
                        <w:lang w:bidi="en-US"/>
                      </w:rPr>
                    </w:pPr>
                    <w:r>
                      <w:rPr>
                        <w:rFonts w:hAnsi="宋体" w:cs="宋体"/>
                        <w:kern w:val="2"/>
                        <w:sz w:val="18"/>
                        <w:szCs w:val="18"/>
                        <w:lang w:bidi="en-US"/>
                      </w:rPr>
                      <w:fldChar w:fldCharType="begin"/>
                    </w:r>
                    <w:r>
                      <w:rPr>
                        <w:rFonts w:hAnsi="宋体" w:cs="宋体"/>
                        <w:kern w:val="2"/>
                        <w:sz w:val="18"/>
                        <w:szCs w:val="18"/>
                        <w:lang w:bidi="en-US"/>
                      </w:rPr>
                      <w:instrText xml:space="preserve">PAGE   \* MERGEFORMAT</w:instrText>
                    </w:r>
                    <w:r>
                      <w:rPr>
                        <w:rFonts w:hAnsi="宋体" w:cs="宋体"/>
                        <w:kern w:val="2"/>
                        <w:sz w:val="18"/>
                        <w:szCs w:val="18"/>
                        <w:lang w:bidi="en-US"/>
                      </w:rPr>
                      <w:fldChar w:fldCharType="separate"/>
                    </w:r>
                    <w:r>
                      <w:rPr>
                        <w:rFonts w:hAnsi="宋体" w:cs="宋体"/>
                        <w:kern w:val="2"/>
                        <w:sz w:val="18"/>
                        <w:szCs w:val="18"/>
                        <w:lang w:val="zh-CN" w:bidi="en-US"/>
                      </w:rPr>
                      <w:t>16</w:t>
                    </w:r>
                    <w:r>
                      <w:rPr>
                        <w:rFonts w:hAnsi="宋体" w:cs="宋体"/>
                        <w:kern w:val="2"/>
                        <w:sz w:val="18"/>
                        <w:szCs w:val="18"/>
                        <w:lang w:bidi="en-US"/>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rPr>
        <w:rFonts w:ascii="Calibri" w:hAnsi="Calibri"/>
        <w:sz w:val="18"/>
        <w:szCs w:val="18"/>
      </w:rPr>
    </w:pPr>
    <w:r>
      <w:rPr>
        <w:rFonts w:ascii="Calibri" w:hAnsi="Calibri"/>
        <w:sz w:val="18"/>
        <w:szCs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ascii="Calibri" w:hAnsi="Calibri"/>
                              <w:sz w:val="18"/>
                              <w:szCs w:val="18"/>
                            </w:rPr>
                          </w:pPr>
                          <w:r>
                            <w:rPr>
                              <w:rFonts w:hint="eastAsia" w:ascii="Calibri" w:hAnsi="Calibri"/>
                              <w:sz w:val="18"/>
                              <w:szCs w:val="18"/>
                            </w:rPr>
                            <w:t xml:space="preserve">— </w:t>
                          </w:r>
                          <w:r>
                            <w:rPr>
                              <w:rFonts w:ascii="Times New Roman"/>
                            </w:rPr>
                            <w:fldChar w:fldCharType="begin"/>
                          </w:r>
                          <w:r>
                            <w:rPr>
                              <w:rFonts w:ascii="Times New Roman"/>
                            </w:rPr>
                            <w:instrText xml:space="preserve"> PAGE  \* MERGEFORMAT </w:instrText>
                          </w:r>
                          <w:r>
                            <w:rPr>
                              <w:rFonts w:ascii="Times New Roman"/>
                            </w:rPr>
                            <w:fldChar w:fldCharType="separate"/>
                          </w:r>
                          <w:r>
                            <w:rPr>
                              <w:rFonts w:ascii="Times New Roman"/>
                            </w:rPr>
                            <w:t>20</w:t>
                          </w:r>
                          <w:r>
                            <w:rPr>
                              <w:rFonts w:ascii="Times New Roman"/>
                            </w:rPr>
                            <w:fldChar w:fldCharType="end"/>
                          </w:r>
                          <w:r>
                            <w:rPr>
                              <w:rFonts w:ascii="Times New Roman"/>
                              <w:sz w:val="28"/>
                              <w:szCs w:val="28"/>
                            </w:rPr>
                            <w:t xml:space="preserve"> </w:t>
                          </w:r>
                          <w:r>
                            <w:rPr>
                              <w:rFonts w:hint="eastAsia" w:ascii="Calibri" w:hAnsi="Calibri"/>
                              <w:sz w:val="18"/>
                              <w:szCs w:val="18"/>
                            </w:rPr>
                            <w:t>—</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zq8sIBAACN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M6vLCAQAAjQMAAA4AAAAAAAAAAQAgAAAAHgEAAGRycy9lMm9Eb2MueG1sUEsF&#10;BgAAAAAGAAYAWQEAAFIFAAAAAA==&#10;">
              <v:fill on="f" focussize="0,0"/>
              <v:stroke on="f"/>
              <v:imagedata o:title=""/>
              <o:lock v:ext="edit" aspectratio="f"/>
              <v:textbox inset="0mm,0mm,0mm,0mm" style="mso-fit-shape-to-text:t;">
                <w:txbxContent>
                  <w:p>
                    <w:pPr>
                      <w:snapToGrid w:val="0"/>
                      <w:rPr>
                        <w:rFonts w:ascii="Calibri" w:hAnsi="Calibri"/>
                        <w:sz w:val="18"/>
                        <w:szCs w:val="18"/>
                      </w:rPr>
                    </w:pPr>
                    <w:r>
                      <w:rPr>
                        <w:rFonts w:hint="eastAsia" w:ascii="Calibri" w:hAnsi="Calibri"/>
                        <w:sz w:val="18"/>
                        <w:szCs w:val="18"/>
                      </w:rPr>
                      <w:t xml:space="preserve">— </w:t>
                    </w:r>
                    <w:r>
                      <w:rPr>
                        <w:rFonts w:ascii="Times New Roman"/>
                      </w:rPr>
                      <w:fldChar w:fldCharType="begin"/>
                    </w:r>
                    <w:r>
                      <w:rPr>
                        <w:rFonts w:ascii="Times New Roman"/>
                      </w:rPr>
                      <w:instrText xml:space="preserve"> PAGE  \* MERGEFORMAT </w:instrText>
                    </w:r>
                    <w:r>
                      <w:rPr>
                        <w:rFonts w:ascii="Times New Roman"/>
                      </w:rPr>
                      <w:fldChar w:fldCharType="separate"/>
                    </w:r>
                    <w:r>
                      <w:rPr>
                        <w:rFonts w:ascii="Times New Roman"/>
                      </w:rPr>
                      <w:t>20</w:t>
                    </w:r>
                    <w:r>
                      <w:rPr>
                        <w:rFonts w:ascii="Times New Roman"/>
                      </w:rPr>
                      <w:fldChar w:fldCharType="end"/>
                    </w:r>
                    <w:r>
                      <w:rPr>
                        <w:rFonts w:ascii="Times New Roman"/>
                        <w:sz w:val="28"/>
                        <w:szCs w:val="28"/>
                      </w:rPr>
                      <w:t xml:space="preserve"> </w:t>
                    </w:r>
                    <w:r>
                      <w:rPr>
                        <w:rFonts w:hint="eastAsia" w:ascii="Calibri" w:hAnsi="Calibri"/>
                        <w:sz w:val="18"/>
                        <w:szCs w:val="1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ascii="Times New Roman" w:hAnsi="Times New Roman" w:eastAsia="宋体"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60</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5"/>
                      <w:rPr>
                        <w:rFonts w:ascii="Times New Roman" w:hAnsi="Times New Roman" w:eastAsia="宋体"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60</w:t>
                    </w:r>
                    <w:r>
                      <w:rPr>
                        <w:rFonts w:ascii="Times New Roman" w:hAnsi="Times New Roman" w:cs="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0E907E"/>
    <w:multiLevelType w:val="singleLevel"/>
    <w:tmpl w:val="A80E907E"/>
    <w:lvl w:ilvl="0" w:tentative="0">
      <w:start w:val="1"/>
      <w:numFmt w:val="decimal"/>
      <w:lvlText w:val="%1."/>
      <w:lvlJc w:val="left"/>
      <w:pPr>
        <w:tabs>
          <w:tab w:val="left" w:pos="312"/>
        </w:tabs>
      </w:pPr>
    </w:lvl>
  </w:abstractNum>
  <w:abstractNum w:abstractNumId="1">
    <w:nsid w:val="B5392300"/>
    <w:multiLevelType w:val="singleLevel"/>
    <w:tmpl w:val="B5392300"/>
    <w:lvl w:ilvl="0" w:tentative="0">
      <w:start w:val="1"/>
      <w:numFmt w:val="decimal"/>
      <w:suff w:val="nothing"/>
      <w:lvlText w:val="（%1）"/>
      <w:lvlJc w:val="left"/>
    </w:lvl>
  </w:abstractNum>
  <w:abstractNum w:abstractNumId="2">
    <w:nsid w:val="BBC90858"/>
    <w:multiLevelType w:val="singleLevel"/>
    <w:tmpl w:val="BBC90858"/>
    <w:lvl w:ilvl="0" w:tentative="0">
      <w:start w:val="1"/>
      <w:numFmt w:val="chineseCounting"/>
      <w:suff w:val="nothing"/>
      <w:lvlText w:val="（%1）"/>
      <w:lvlJc w:val="left"/>
      <w:pPr>
        <w:ind w:left="0" w:firstLine="420"/>
      </w:pPr>
      <w:rPr>
        <w:rFonts w:hint="eastAsia"/>
      </w:rPr>
    </w:lvl>
  </w:abstractNum>
  <w:abstractNum w:abstractNumId="3">
    <w:nsid w:val="E0CF9525"/>
    <w:multiLevelType w:val="singleLevel"/>
    <w:tmpl w:val="E0CF9525"/>
    <w:lvl w:ilvl="0" w:tentative="0">
      <w:start w:val="1"/>
      <w:numFmt w:val="decimal"/>
      <w:lvlText w:val="%1."/>
      <w:lvlJc w:val="left"/>
      <w:pPr>
        <w:tabs>
          <w:tab w:val="left" w:pos="312"/>
        </w:tabs>
      </w:pPr>
    </w:lvl>
  </w:abstractNum>
  <w:abstractNum w:abstractNumId="4">
    <w:nsid w:val="F470DF19"/>
    <w:multiLevelType w:val="singleLevel"/>
    <w:tmpl w:val="F470DF19"/>
    <w:lvl w:ilvl="0" w:tentative="0">
      <w:start w:val="1"/>
      <w:numFmt w:val="chineseCounting"/>
      <w:suff w:val="nothing"/>
      <w:lvlText w:val="（%1）"/>
      <w:lvlJc w:val="left"/>
      <w:pPr>
        <w:ind w:left="0" w:firstLine="420"/>
      </w:pPr>
      <w:rPr>
        <w:rFonts w:hint="eastAsia"/>
      </w:rPr>
    </w:lvl>
  </w:abstractNum>
  <w:abstractNum w:abstractNumId="5">
    <w:nsid w:val="FE1D2219"/>
    <w:multiLevelType w:val="singleLevel"/>
    <w:tmpl w:val="FE1D2219"/>
    <w:lvl w:ilvl="0" w:tentative="0">
      <w:start w:val="1"/>
      <w:numFmt w:val="decimal"/>
      <w:suff w:val="space"/>
      <w:lvlText w:val="%1."/>
      <w:lvlJc w:val="left"/>
    </w:lvl>
  </w:abstractNum>
  <w:abstractNum w:abstractNumId="6">
    <w:nsid w:val="2C3A7159"/>
    <w:multiLevelType w:val="multilevel"/>
    <w:tmpl w:val="2C3A7159"/>
    <w:lvl w:ilvl="0" w:tentative="0">
      <w:start w:val="1"/>
      <w:numFmt w:val="chineseCountingThousand"/>
      <w:pStyle w:val="55"/>
      <w:suff w:val="space"/>
      <w:lvlText w:val="%1."/>
      <w:lvlJc w:val="left"/>
      <w:pPr>
        <w:ind w:left="0" w:firstLine="0"/>
      </w:pPr>
      <w:rPr>
        <w:rFonts w:hint="eastAsia" w:ascii="宋体" w:hAnsi="宋体" w:eastAsia="黑体"/>
        <w:b w:val="0"/>
        <w:i w:val="0"/>
        <w:sz w:val="22"/>
      </w:rPr>
    </w:lvl>
    <w:lvl w:ilvl="1" w:tentative="0">
      <w:start w:val="1"/>
      <w:numFmt w:val="decimal"/>
      <w:isLgl/>
      <w:suff w:val="space"/>
      <w:lvlText w:val="%1.%2."/>
      <w:lvlJc w:val="left"/>
      <w:pPr>
        <w:ind w:left="0" w:firstLine="0"/>
      </w:pPr>
      <w:rPr>
        <w:rFonts w:hint="eastAsia" w:ascii="宋体" w:hAnsi="宋体" w:eastAsia="黑体"/>
        <w:b w:val="0"/>
        <w:i w:val="0"/>
        <w:sz w:val="22"/>
      </w:rPr>
    </w:lvl>
    <w:lvl w:ilvl="2" w:tentative="0">
      <w:start w:val="1"/>
      <w:numFmt w:val="decimal"/>
      <w:isLgl/>
      <w:suff w:val="space"/>
      <w:lvlText w:val="%1.%2.%3."/>
      <w:lvlJc w:val="left"/>
      <w:pPr>
        <w:ind w:left="0" w:firstLine="0"/>
      </w:pPr>
      <w:rPr>
        <w:rFonts w:hint="eastAsia" w:ascii="宋体" w:hAnsi="宋体" w:eastAsia="黑体" w:cs="Times New Roman"/>
        <w:b w:val="0"/>
        <w:i w:val="0"/>
        <w:sz w:val="22"/>
        <w:szCs w:val="28"/>
      </w:rPr>
    </w:lvl>
    <w:lvl w:ilvl="3" w:tentative="0">
      <w:start w:val="1"/>
      <w:numFmt w:val="decimal"/>
      <w:isLgl/>
      <w:suff w:val="space"/>
      <w:lvlText w:val="%1.%2.%3.%4."/>
      <w:lvlJc w:val="left"/>
      <w:pPr>
        <w:ind w:left="0" w:firstLine="0"/>
      </w:pPr>
      <w:rPr>
        <w:rFonts w:hint="eastAsia" w:ascii="宋体" w:hAnsi="宋体" w:eastAsia="黑体"/>
        <w:b w:val="0"/>
        <w:i w:val="0"/>
        <w:sz w:val="30"/>
      </w:rPr>
    </w:lvl>
    <w:lvl w:ilvl="4" w:tentative="0">
      <w:start w:val="1"/>
      <w:numFmt w:val="decimal"/>
      <w:isLgl/>
      <w:suff w:val="space"/>
      <w:lvlText w:val="%1.%2.%3.%4.%5."/>
      <w:lvlJc w:val="left"/>
      <w:pPr>
        <w:ind w:left="0" w:firstLine="0"/>
      </w:pPr>
      <w:rPr>
        <w:rFonts w:hint="eastAsia" w:ascii="宋体" w:hAnsi="宋体" w:eastAsia="黑体"/>
        <w:b w:val="0"/>
        <w:i w:val="0"/>
        <w:sz w:val="28"/>
      </w:rPr>
    </w:lvl>
    <w:lvl w:ilvl="5" w:tentative="0">
      <w:start w:val="1"/>
      <w:numFmt w:val="decimal"/>
      <w:isLgl/>
      <w:suff w:val="space"/>
      <w:lvlText w:val="%1.%2.%3.%4.%5.%6."/>
      <w:lvlJc w:val="left"/>
      <w:pPr>
        <w:ind w:left="0" w:firstLine="0"/>
      </w:pPr>
      <w:rPr>
        <w:rFonts w:hint="eastAsia" w:ascii="宋体" w:hAnsi="宋体" w:eastAsia="黑体"/>
        <w:b w:val="0"/>
        <w:i w:val="0"/>
        <w:sz w:val="28"/>
      </w:rPr>
    </w:lvl>
    <w:lvl w:ilvl="6" w:tentative="0">
      <w:start w:val="1"/>
      <w:numFmt w:val="decimal"/>
      <w:isLgl/>
      <w:suff w:val="space"/>
      <w:lvlText w:val="%1.%2.%3.%4.%5.%6.%7."/>
      <w:lvlJc w:val="left"/>
      <w:pPr>
        <w:ind w:left="0" w:firstLine="0"/>
      </w:pPr>
      <w:rPr>
        <w:rFonts w:hint="eastAsia" w:ascii="宋体" w:hAnsi="宋体" w:eastAsia="黑体"/>
        <w:b w:val="0"/>
        <w:i w:val="0"/>
        <w:sz w:val="28"/>
      </w:rPr>
    </w:lvl>
    <w:lvl w:ilvl="7" w:tentative="0">
      <w:start w:val="1"/>
      <w:numFmt w:val="decimal"/>
      <w:isLgl/>
      <w:suff w:val="nothing"/>
      <w:lvlText w:val="%1.%2.%3.%4.%5.%6.%7.%8."/>
      <w:lvlJc w:val="left"/>
      <w:pPr>
        <w:ind w:left="2552" w:firstLine="0"/>
      </w:pPr>
      <w:rPr>
        <w:rFonts w:hint="eastAsia" w:ascii="宋体" w:hAnsi="宋体" w:eastAsia="黑体"/>
        <w:b w:val="0"/>
        <w:i w:val="0"/>
        <w:sz w:val="24"/>
      </w:rPr>
    </w:lvl>
    <w:lvl w:ilvl="8" w:tentative="0">
      <w:start w:val="1"/>
      <w:numFmt w:val="decimal"/>
      <w:isLgl/>
      <w:lvlText w:val="%1.%2.%3.%4.%5.%6.%7.%8.%9."/>
      <w:lvlJc w:val="left"/>
      <w:pPr>
        <w:ind w:left="0" w:firstLine="0"/>
      </w:pPr>
      <w:rPr>
        <w:rFonts w:hint="eastAsia"/>
      </w:rPr>
    </w:lvl>
  </w:abstractNum>
  <w:abstractNum w:abstractNumId="7">
    <w:nsid w:val="365C3D4D"/>
    <w:multiLevelType w:val="singleLevel"/>
    <w:tmpl w:val="365C3D4D"/>
    <w:lvl w:ilvl="0" w:tentative="0">
      <w:start w:val="1"/>
      <w:numFmt w:val="decimal"/>
      <w:lvlText w:val="%1."/>
      <w:lvlJc w:val="left"/>
      <w:pPr>
        <w:tabs>
          <w:tab w:val="left" w:pos="312"/>
        </w:tabs>
      </w:pPr>
    </w:lvl>
  </w:abstractNum>
  <w:abstractNum w:abstractNumId="8">
    <w:nsid w:val="44C0D9F0"/>
    <w:multiLevelType w:val="singleLevel"/>
    <w:tmpl w:val="44C0D9F0"/>
    <w:lvl w:ilvl="0" w:tentative="0">
      <w:start w:val="1"/>
      <w:numFmt w:val="decimal"/>
      <w:suff w:val="space"/>
      <w:lvlText w:val="(%1)"/>
      <w:lvlJc w:val="left"/>
    </w:lvl>
  </w:abstractNum>
  <w:abstractNum w:abstractNumId="9">
    <w:nsid w:val="481B6FC2"/>
    <w:multiLevelType w:val="singleLevel"/>
    <w:tmpl w:val="481B6FC2"/>
    <w:lvl w:ilvl="0" w:tentative="0">
      <w:start w:val="1"/>
      <w:numFmt w:val="decimal"/>
      <w:suff w:val="space"/>
      <w:lvlText w:val="(%1)"/>
      <w:lvlJc w:val="left"/>
    </w:lvl>
  </w:abstractNum>
  <w:abstractNum w:abstractNumId="10">
    <w:nsid w:val="64BCCAC8"/>
    <w:multiLevelType w:val="singleLevel"/>
    <w:tmpl w:val="64BCCAC8"/>
    <w:lvl w:ilvl="0" w:tentative="0">
      <w:start w:val="1"/>
      <w:numFmt w:val="decimal"/>
      <w:lvlText w:val="%1."/>
      <w:lvlJc w:val="left"/>
      <w:pPr>
        <w:tabs>
          <w:tab w:val="left" w:pos="312"/>
        </w:tabs>
      </w:pPr>
    </w:lvl>
  </w:abstractNum>
  <w:abstractNum w:abstractNumId="11">
    <w:nsid w:val="70048D82"/>
    <w:multiLevelType w:val="singleLevel"/>
    <w:tmpl w:val="70048D82"/>
    <w:lvl w:ilvl="0" w:tentative="0">
      <w:start w:val="1"/>
      <w:numFmt w:val="decimal"/>
      <w:lvlText w:val="%1."/>
      <w:lvlJc w:val="left"/>
      <w:pPr>
        <w:tabs>
          <w:tab w:val="left" w:pos="312"/>
        </w:tabs>
      </w:pPr>
    </w:lvl>
  </w:abstractNum>
  <w:abstractNum w:abstractNumId="12">
    <w:nsid w:val="7AFD5403"/>
    <w:multiLevelType w:val="singleLevel"/>
    <w:tmpl w:val="7AFD5403"/>
    <w:lvl w:ilvl="0" w:tentative="0">
      <w:start w:val="1"/>
      <w:numFmt w:val="decimal"/>
      <w:lvlText w:val="%1."/>
      <w:lvlJc w:val="left"/>
      <w:pPr>
        <w:tabs>
          <w:tab w:val="left" w:pos="312"/>
        </w:tabs>
      </w:pPr>
    </w:lvl>
  </w:abstractNum>
  <w:abstractNum w:abstractNumId="13">
    <w:nsid w:val="7ED7605C"/>
    <w:multiLevelType w:val="multilevel"/>
    <w:tmpl w:val="7ED7605C"/>
    <w:lvl w:ilvl="0" w:tentative="0">
      <w:start w:val="1"/>
      <w:numFmt w:val="decimal"/>
      <w:suff w:val="space"/>
      <w:lvlText w:val="第%1章"/>
      <w:lvlJc w:val="left"/>
      <w:pPr>
        <w:ind w:left="840" w:firstLine="0"/>
      </w:pPr>
      <w:rPr>
        <w:rFonts w:hint="default" w:ascii="Times New Roman" w:hAnsi="Times New Roman" w:eastAsia="宋体"/>
        <w:b/>
        <w:i w:val="0"/>
      </w:rPr>
    </w:lvl>
    <w:lvl w:ilvl="1" w:tentative="0">
      <w:start w:val="1"/>
      <w:numFmt w:val="decimal"/>
      <w:suff w:val="space"/>
      <w:lvlText w:val="%1.%2"/>
      <w:lvlJc w:val="left"/>
      <w:pPr>
        <w:ind w:left="840" w:firstLine="0"/>
      </w:pPr>
      <w:rPr>
        <w:color w:val="auto"/>
      </w:rPr>
    </w:lvl>
    <w:lvl w:ilvl="2" w:tentative="0">
      <w:start w:val="1"/>
      <w:numFmt w:val="decimal"/>
      <w:suff w:val="space"/>
      <w:lvlText w:val="%1.%2.%3"/>
      <w:lvlJc w:val="left"/>
      <w:pPr>
        <w:ind w:left="840" w:firstLine="0"/>
      </w:pPr>
      <w:rPr>
        <w:rFonts w:hint="default" w:ascii="Times New Roman" w:hAnsi="Times New Roman" w:eastAsia="宋体"/>
        <w:b/>
        <w:i w:val="0"/>
      </w:rPr>
    </w:lvl>
    <w:lvl w:ilvl="3" w:tentative="0">
      <w:start w:val="1"/>
      <w:numFmt w:val="decimal"/>
      <w:suff w:val="space"/>
      <w:lvlText w:val="%1.%2.%3.%4"/>
      <w:lvlJc w:val="left"/>
      <w:pPr>
        <w:ind w:left="840" w:firstLine="0"/>
      </w:pPr>
      <w:rPr>
        <w:rFonts w:hint="default" w:ascii="Times New Roman" w:hAnsi="Times New Roman" w:eastAsia="宋体"/>
        <w:b/>
        <w:i w:val="0"/>
      </w:rPr>
    </w:lvl>
    <w:lvl w:ilvl="4" w:tentative="0">
      <w:start w:val="1"/>
      <w:numFmt w:val="decimal"/>
      <w:suff w:val="space"/>
      <w:lvlText w:val="%1.%2.%3.%4.%5"/>
      <w:lvlJc w:val="left"/>
      <w:pPr>
        <w:ind w:left="840" w:firstLine="0"/>
      </w:pPr>
      <w:rPr>
        <w:rFonts w:hint="default" w:ascii="Times New Roman" w:hAnsi="Times New Roman" w:eastAsia="宋体"/>
        <w:b/>
        <w:i w:val="0"/>
      </w:rPr>
    </w:lvl>
    <w:lvl w:ilvl="5" w:tentative="0">
      <w:start w:val="1"/>
      <w:numFmt w:val="decimal"/>
      <w:suff w:val="space"/>
      <w:lvlText w:val="%1.%2.%3.%4.%5.%6"/>
      <w:lvlJc w:val="left"/>
      <w:pPr>
        <w:ind w:left="840" w:firstLine="0"/>
      </w:pPr>
      <w:rPr>
        <w:rFonts w:hint="default" w:ascii="Times New Roman" w:hAnsi="Times New Roman" w:eastAsia="宋体"/>
        <w:b/>
        <w:i w:val="0"/>
      </w:rPr>
    </w:lvl>
    <w:lvl w:ilvl="6" w:tentative="0">
      <w:start w:val="1"/>
      <w:numFmt w:val="decimal"/>
      <w:suff w:val="space"/>
      <w:lvlText w:val="%1.%2.%3.%4.%5.%6.%7"/>
      <w:lvlJc w:val="left"/>
      <w:pPr>
        <w:ind w:left="840" w:firstLine="0"/>
      </w:pPr>
      <w:rPr>
        <w:rFonts w:hint="default" w:ascii="Times New Roman" w:hAnsi="Times New Roman" w:eastAsia="宋体"/>
        <w:b/>
        <w:i w:val="0"/>
      </w:rPr>
    </w:lvl>
    <w:lvl w:ilvl="7" w:tentative="0">
      <w:start w:val="1"/>
      <w:numFmt w:val="decimal"/>
      <w:suff w:val="space"/>
      <w:lvlText w:val="%1.%2.%3.%4.%5.%6.%7.%8"/>
      <w:lvlJc w:val="left"/>
      <w:pPr>
        <w:ind w:left="840" w:firstLine="0"/>
      </w:pPr>
      <w:rPr>
        <w:rFonts w:hint="default" w:ascii="Times New Roman" w:hAnsi="Times New Roman" w:eastAsia="宋体"/>
        <w:b/>
        <w:i w:val="0"/>
      </w:rPr>
    </w:lvl>
    <w:lvl w:ilvl="8" w:tentative="0">
      <w:start w:val="1"/>
      <w:numFmt w:val="decimal"/>
      <w:suff w:val="space"/>
      <w:lvlText w:val="%1.%2.%3.%4.%5.%6.%7.%8.%9"/>
      <w:lvlJc w:val="left"/>
      <w:pPr>
        <w:ind w:left="840" w:firstLine="0"/>
      </w:pPr>
      <w:rPr>
        <w:rFonts w:hint="default" w:ascii="Times New Roman" w:hAnsi="Times New Roman" w:eastAsia="宋体"/>
        <w:b/>
        <w:i w:val="0"/>
      </w:rPr>
    </w:lvl>
  </w:abstractNum>
  <w:num w:numId="1">
    <w:abstractNumId w:val="6"/>
  </w:num>
  <w:num w:numId="2">
    <w:abstractNumId w:val="10"/>
  </w:num>
  <w:num w:numId="3">
    <w:abstractNumId w:val="3"/>
  </w:num>
  <w:num w:numId="4">
    <w:abstractNumId w:val="11"/>
  </w:num>
  <w:num w:numId="5">
    <w:abstractNumId w:val="7"/>
  </w:num>
  <w:num w:numId="6">
    <w:abstractNumId w:val="12"/>
  </w:num>
  <w:num w:numId="7">
    <w:abstractNumId w:val="0"/>
  </w:num>
  <w:num w:numId="8">
    <w:abstractNumId w:val="4"/>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5"/>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doNotDisplayPageBoundaries w:val="1"/>
  <w:embedSystemFonts/>
  <w:bordersDoNotSurroundHeader w:val="1"/>
  <w:bordersDoNotSurroundFooter w:val="1"/>
  <w:documentProtection w:enforcement="0"/>
  <w:defaultTabStop w:val="420"/>
  <w:drawingGridHorizontalSpacing w:val="206"/>
  <w:drawingGridVerticalSpacing w:val="16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czMDg3NGRkMzliMGFhNDMyMjYwMjkxNDM4NWIwMzYifQ=="/>
  </w:docVars>
  <w:rsids>
    <w:rsidRoot w:val="6F420807"/>
    <w:rsid w:val="00056455"/>
    <w:rsid w:val="000877EE"/>
    <w:rsid w:val="000936C4"/>
    <w:rsid w:val="000A73FD"/>
    <w:rsid w:val="000C3DC4"/>
    <w:rsid w:val="000D7F46"/>
    <w:rsid w:val="001277AD"/>
    <w:rsid w:val="00130C34"/>
    <w:rsid w:val="00142D74"/>
    <w:rsid w:val="001430E3"/>
    <w:rsid w:val="001575CC"/>
    <w:rsid w:val="001C4E88"/>
    <w:rsid w:val="001D52F6"/>
    <w:rsid w:val="001E3F91"/>
    <w:rsid w:val="001F7380"/>
    <w:rsid w:val="0021086E"/>
    <w:rsid w:val="00213880"/>
    <w:rsid w:val="00220FA1"/>
    <w:rsid w:val="0023708C"/>
    <w:rsid w:val="002533B7"/>
    <w:rsid w:val="00272C5F"/>
    <w:rsid w:val="002861E1"/>
    <w:rsid w:val="002C29FB"/>
    <w:rsid w:val="002C59A2"/>
    <w:rsid w:val="002D11BA"/>
    <w:rsid w:val="002E3BD3"/>
    <w:rsid w:val="00335ADA"/>
    <w:rsid w:val="003451AD"/>
    <w:rsid w:val="003A4927"/>
    <w:rsid w:val="003B7BA2"/>
    <w:rsid w:val="003C4080"/>
    <w:rsid w:val="003C52D7"/>
    <w:rsid w:val="003E34BC"/>
    <w:rsid w:val="003F09A2"/>
    <w:rsid w:val="003F5D9B"/>
    <w:rsid w:val="00417A22"/>
    <w:rsid w:val="00440D93"/>
    <w:rsid w:val="00450793"/>
    <w:rsid w:val="004536B9"/>
    <w:rsid w:val="00460DA6"/>
    <w:rsid w:val="004668C5"/>
    <w:rsid w:val="0047208D"/>
    <w:rsid w:val="0048608D"/>
    <w:rsid w:val="004A0792"/>
    <w:rsid w:val="004B49D4"/>
    <w:rsid w:val="004C1B24"/>
    <w:rsid w:val="004E1AB3"/>
    <w:rsid w:val="00506965"/>
    <w:rsid w:val="00520060"/>
    <w:rsid w:val="00550342"/>
    <w:rsid w:val="00575CE7"/>
    <w:rsid w:val="00576FC0"/>
    <w:rsid w:val="00581C68"/>
    <w:rsid w:val="00592AF5"/>
    <w:rsid w:val="005939E4"/>
    <w:rsid w:val="005A22A8"/>
    <w:rsid w:val="005B5AFF"/>
    <w:rsid w:val="005B7598"/>
    <w:rsid w:val="005E1087"/>
    <w:rsid w:val="005E4914"/>
    <w:rsid w:val="005E532B"/>
    <w:rsid w:val="00604AE0"/>
    <w:rsid w:val="00612300"/>
    <w:rsid w:val="00622EDA"/>
    <w:rsid w:val="00635EA9"/>
    <w:rsid w:val="00656404"/>
    <w:rsid w:val="006A0C51"/>
    <w:rsid w:val="006D3240"/>
    <w:rsid w:val="006E6C27"/>
    <w:rsid w:val="007114E2"/>
    <w:rsid w:val="00727FD1"/>
    <w:rsid w:val="00731B42"/>
    <w:rsid w:val="00761855"/>
    <w:rsid w:val="00770F5B"/>
    <w:rsid w:val="00786AEA"/>
    <w:rsid w:val="007913E8"/>
    <w:rsid w:val="007A57A7"/>
    <w:rsid w:val="007B613E"/>
    <w:rsid w:val="007E6CDC"/>
    <w:rsid w:val="008015B3"/>
    <w:rsid w:val="00806A29"/>
    <w:rsid w:val="00852936"/>
    <w:rsid w:val="008603E5"/>
    <w:rsid w:val="00867E40"/>
    <w:rsid w:val="0087336F"/>
    <w:rsid w:val="00892DEC"/>
    <w:rsid w:val="008A57B2"/>
    <w:rsid w:val="008B1A03"/>
    <w:rsid w:val="009117CA"/>
    <w:rsid w:val="009213F7"/>
    <w:rsid w:val="0094384C"/>
    <w:rsid w:val="00964520"/>
    <w:rsid w:val="009675C0"/>
    <w:rsid w:val="00981B8E"/>
    <w:rsid w:val="009B5937"/>
    <w:rsid w:val="009D033A"/>
    <w:rsid w:val="009D6EEC"/>
    <w:rsid w:val="009E5061"/>
    <w:rsid w:val="00A04E05"/>
    <w:rsid w:val="00A14EF1"/>
    <w:rsid w:val="00A15517"/>
    <w:rsid w:val="00A30B04"/>
    <w:rsid w:val="00A75B6C"/>
    <w:rsid w:val="00A91D5D"/>
    <w:rsid w:val="00AB5C13"/>
    <w:rsid w:val="00AC0261"/>
    <w:rsid w:val="00AC72E8"/>
    <w:rsid w:val="00B00F70"/>
    <w:rsid w:val="00B2564D"/>
    <w:rsid w:val="00B3048B"/>
    <w:rsid w:val="00B44D9E"/>
    <w:rsid w:val="00B577DA"/>
    <w:rsid w:val="00B72CF5"/>
    <w:rsid w:val="00B73C22"/>
    <w:rsid w:val="00B74EAC"/>
    <w:rsid w:val="00BB6875"/>
    <w:rsid w:val="00BD0A68"/>
    <w:rsid w:val="00BD116D"/>
    <w:rsid w:val="00BD2C9F"/>
    <w:rsid w:val="00BE30CA"/>
    <w:rsid w:val="00BF0326"/>
    <w:rsid w:val="00BF23B3"/>
    <w:rsid w:val="00C15CAE"/>
    <w:rsid w:val="00C47EF1"/>
    <w:rsid w:val="00C54EDF"/>
    <w:rsid w:val="00C81BCF"/>
    <w:rsid w:val="00CB0949"/>
    <w:rsid w:val="00CB31B3"/>
    <w:rsid w:val="00CD7B0D"/>
    <w:rsid w:val="00CE0466"/>
    <w:rsid w:val="00CE73B7"/>
    <w:rsid w:val="00D12814"/>
    <w:rsid w:val="00D40DE6"/>
    <w:rsid w:val="00D66911"/>
    <w:rsid w:val="00D72128"/>
    <w:rsid w:val="00D84B4B"/>
    <w:rsid w:val="00D8721B"/>
    <w:rsid w:val="00D9595C"/>
    <w:rsid w:val="00DB1934"/>
    <w:rsid w:val="00E031E7"/>
    <w:rsid w:val="00E078F8"/>
    <w:rsid w:val="00E24003"/>
    <w:rsid w:val="00E2498C"/>
    <w:rsid w:val="00E50F9B"/>
    <w:rsid w:val="00E77CB1"/>
    <w:rsid w:val="00E81726"/>
    <w:rsid w:val="00EA060E"/>
    <w:rsid w:val="00EB3DF3"/>
    <w:rsid w:val="00ED69B5"/>
    <w:rsid w:val="00F07ECE"/>
    <w:rsid w:val="00F36E08"/>
    <w:rsid w:val="00F53F51"/>
    <w:rsid w:val="00F56153"/>
    <w:rsid w:val="00F722EE"/>
    <w:rsid w:val="00F923D8"/>
    <w:rsid w:val="00F95110"/>
    <w:rsid w:val="00FB4F9D"/>
    <w:rsid w:val="00FF58C5"/>
    <w:rsid w:val="00FF628A"/>
    <w:rsid w:val="011B0745"/>
    <w:rsid w:val="01BE7376"/>
    <w:rsid w:val="025A704C"/>
    <w:rsid w:val="026C06C3"/>
    <w:rsid w:val="02A13352"/>
    <w:rsid w:val="02D149AD"/>
    <w:rsid w:val="02FF5B2D"/>
    <w:rsid w:val="03563865"/>
    <w:rsid w:val="045B5207"/>
    <w:rsid w:val="053C47BA"/>
    <w:rsid w:val="06452DD5"/>
    <w:rsid w:val="067601CC"/>
    <w:rsid w:val="06BB2083"/>
    <w:rsid w:val="06E27ADA"/>
    <w:rsid w:val="07DD7527"/>
    <w:rsid w:val="0815696F"/>
    <w:rsid w:val="0829264B"/>
    <w:rsid w:val="084770B8"/>
    <w:rsid w:val="08BA0D09"/>
    <w:rsid w:val="09597D53"/>
    <w:rsid w:val="099E67F9"/>
    <w:rsid w:val="09E9702E"/>
    <w:rsid w:val="0A25006A"/>
    <w:rsid w:val="0AA74DF8"/>
    <w:rsid w:val="0B39378A"/>
    <w:rsid w:val="0B4A3BB8"/>
    <w:rsid w:val="0B890F49"/>
    <w:rsid w:val="0BB80C16"/>
    <w:rsid w:val="0C1F3707"/>
    <w:rsid w:val="0D016266"/>
    <w:rsid w:val="0DCE08EE"/>
    <w:rsid w:val="0E870673"/>
    <w:rsid w:val="0ECB36BC"/>
    <w:rsid w:val="0FAE59F1"/>
    <w:rsid w:val="0FED4B09"/>
    <w:rsid w:val="1057106E"/>
    <w:rsid w:val="105A290D"/>
    <w:rsid w:val="10D176A3"/>
    <w:rsid w:val="11C24C0D"/>
    <w:rsid w:val="12903F3A"/>
    <w:rsid w:val="12A7275D"/>
    <w:rsid w:val="12CE7208"/>
    <w:rsid w:val="13737F6D"/>
    <w:rsid w:val="13A02C26"/>
    <w:rsid w:val="13A32591"/>
    <w:rsid w:val="13B157D8"/>
    <w:rsid w:val="13DA5B3A"/>
    <w:rsid w:val="166C3E5C"/>
    <w:rsid w:val="16A14DF1"/>
    <w:rsid w:val="16A918E4"/>
    <w:rsid w:val="17103B2C"/>
    <w:rsid w:val="1811628C"/>
    <w:rsid w:val="183502AF"/>
    <w:rsid w:val="18504D21"/>
    <w:rsid w:val="18AE4DF3"/>
    <w:rsid w:val="18D70F9E"/>
    <w:rsid w:val="18DD40DB"/>
    <w:rsid w:val="18E110BB"/>
    <w:rsid w:val="19535605"/>
    <w:rsid w:val="1978271D"/>
    <w:rsid w:val="1992026F"/>
    <w:rsid w:val="1A0A7E1B"/>
    <w:rsid w:val="1A3D0AA7"/>
    <w:rsid w:val="1A404921"/>
    <w:rsid w:val="1A9B5FFB"/>
    <w:rsid w:val="1AE066F3"/>
    <w:rsid w:val="1B013AAD"/>
    <w:rsid w:val="1B971E28"/>
    <w:rsid w:val="1D580A6A"/>
    <w:rsid w:val="1DF1576A"/>
    <w:rsid w:val="1E171E3D"/>
    <w:rsid w:val="1EF24489"/>
    <w:rsid w:val="1F974FE3"/>
    <w:rsid w:val="1FB060A5"/>
    <w:rsid w:val="1FD47FE6"/>
    <w:rsid w:val="20234AC9"/>
    <w:rsid w:val="20D46142"/>
    <w:rsid w:val="21217D8A"/>
    <w:rsid w:val="21BA320B"/>
    <w:rsid w:val="225F31DD"/>
    <w:rsid w:val="233A7678"/>
    <w:rsid w:val="2386555D"/>
    <w:rsid w:val="23A93537"/>
    <w:rsid w:val="23C56D6B"/>
    <w:rsid w:val="24025E43"/>
    <w:rsid w:val="243E1228"/>
    <w:rsid w:val="246D6C5B"/>
    <w:rsid w:val="24ED38F7"/>
    <w:rsid w:val="25C84CAA"/>
    <w:rsid w:val="25F211C5"/>
    <w:rsid w:val="27E162AD"/>
    <w:rsid w:val="27F05816"/>
    <w:rsid w:val="28173D01"/>
    <w:rsid w:val="281C077C"/>
    <w:rsid w:val="28477EAB"/>
    <w:rsid w:val="28DE6843"/>
    <w:rsid w:val="29057462"/>
    <w:rsid w:val="292673D8"/>
    <w:rsid w:val="2992129A"/>
    <w:rsid w:val="29E140BF"/>
    <w:rsid w:val="29FC107C"/>
    <w:rsid w:val="2A631000"/>
    <w:rsid w:val="2AD43590"/>
    <w:rsid w:val="2B177920"/>
    <w:rsid w:val="2B4D6E9E"/>
    <w:rsid w:val="2C365B84"/>
    <w:rsid w:val="2D2325AC"/>
    <w:rsid w:val="2D6A5D92"/>
    <w:rsid w:val="2D9708A4"/>
    <w:rsid w:val="2DCF44E2"/>
    <w:rsid w:val="2DD83397"/>
    <w:rsid w:val="2DE0049D"/>
    <w:rsid w:val="2E5F13C2"/>
    <w:rsid w:val="31903F88"/>
    <w:rsid w:val="319E0453"/>
    <w:rsid w:val="31F501C8"/>
    <w:rsid w:val="32382656"/>
    <w:rsid w:val="33BD1232"/>
    <w:rsid w:val="3552722A"/>
    <w:rsid w:val="36217F68"/>
    <w:rsid w:val="383A69FC"/>
    <w:rsid w:val="3858329B"/>
    <w:rsid w:val="38CF183A"/>
    <w:rsid w:val="38D05860"/>
    <w:rsid w:val="38D16C69"/>
    <w:rsid w:val="39534219"/>
    <w:rsid w:val="39C90037"/>
    <w:rsid w:val="3A331955"/>
    <w:rsid w:val="3A5A4F69"/>
    <w:rsid w:val="3B3B6D13"/>
    <w:rsid w:val="3BA4073D"/>
    <w:rsid w:val="3E491747"/>
    <w:rsid w:val="3F266D20"/>
    <w:rsid w:val="3F516B05"/>
    <w:rsid w:val="3F724CCD"/>
    <w:rsid w:val="3FA91100"/>
    <w:rsid w:val="40204729"/>
    <w:rsid w:val="40AB0497"/>
    <w:rsid w:val="41840582"/>
    <w:rsid w:val="41AC44C7"/>
    <w:rsid w:val="425D4E8D"/>
    <w:rsid w:val="430345BA"/>
    <w:rsid w:val="43E20674"/>
    <w:rsid w:val="44156F3C"/>
    <w:rsid w:val="45350C77"/>
    <w:rsid w:val="468D6EA3"/>
    <w:rsid w:val="46933EA7"/>
    <w:rsid w:val="471843AC"/>
    <w:rsid w:val="4758341B"/>
    <w:rsid w:val="4792431F"/>
    <w:rsid w:val="47941C85"/>
    <w:rsid w:val="486E0728"/>
    <w:rsid w:val="487B2804"/>
    <w:rsid w:val="48E00EFA"/>
    <w:rsid w:val="49060960"/>
    <w:rsid w:val="49920446"/>
    <w:rsid w:val="499F2B63"/>
    <w:rsid w:val="49DB1989"/>
    <w:rsid w:val="4A0B60A8"/>
    <w:rsid w:val="4A5971B6"/>
    <w:rsid w:val="4A6873F9"/>
    <w:rsid w:val="4AFB1716"/>
    <w:rsid w:val="4B142F47"/>
    <w:rsid w:val="4BCD7E5B"/>
    <w:rsid w:val="4C221A9A"/>
    <w:rsid w:val="4C2630C7"/>
    <w:rsid w:val="4CA24568"/>
    <w:rsid w:val="4CDD0DC9"/>
    <w:rsid w:val="4CE73E5F"/>
    <w:rsid w:val="4DC81F78"/>
    <w:rsid w:val="4E26125D"/>
    <w:rsid w:val="4E544B2E"/>
    <w:rsid w:val="4E807407"/>
    <w:rsid w:val="4EED4604"/>
    <w:rsid w:val="4F7244C4"/>
    <w:rsid w:val="4FE706D9"/>
    <w:rsid w:val="4FEB08B0"/>
    <w:rsid w:val="502142D2"/>
    <w:rsid w:val="50A540BB"/>
    <w:rsid w:val="51492FE2"/>
    <w:rsid w:val="51962A9D"/>
    <w:rsid w:val="51B80C66"/>
    <w:rsid w:val="5221637D"/>
    <w:rsid w:val="52354064"/>
    <w:rsid w:val="52B24016"/>
    <w:rsid w:val="53CF7D1F"/>
    <w:rsid w:val="53E72715"/>
    <w:rsid w:val="54CC7603"/>
    <w:rsid w:val="5561317F"/>
    <w:rsid w:val="55722A29"/>
    <w:rsid w:val="55832AC1"/>
    <w:rsid w:val="55E02539"/>
    <w:rsid w:val="55E067C4"/>
    <w:rsid w:val="563A7E9B"/>
    <w:rsid w:val="56576AEF"/>
    <w:rsid w:val="567904B6"/>
    <w:rsid w:val="5763051D"/>
    <w:rsid w:val="57F347A6"/>
    <w:rsid w:val="57F95B34"/>
    <w:rsid w:val="58F85EFA"/>
    <w:rsid w:val="59AF0BA0"/>
    <w:rsid w:val="59CB6A71"/>
    <w:rsid w:val="5A0A6B56"/>
    <w:rsid w:val="5A894A59"/>
    <w:rsid w:val="5AA3760F"/>
    <w:rsid w:val="5AAD5D0D"/>
    <w:rsid w:val="5CC511BD"/>
    <w:rsid w:val="5CFD1C22"/>
    <w:rsid w:val="5E7D126D"/>
    <w:rsid w:val="5E9F7435"/>
    <w:rsid w:val="5EFF21BC"/>
    <w:rsid w:val="5F265461"/>
    <w:rsid w:val="5F9D2B92"/>
    <w:rsid w:val="5F9F5213"/>
    <w:rsid w:val="5FD44EBD"/>
    <w:rsid w:val="60A60CCB"/>
    <w:rsid w:val="615A5895"/>
    <w:rsid w:val="61E02DF0"/>
    <w:rsid w:val="61FB5972"/>
    <w:rsid w:val="62210161"/>
    <w:rsid w:val="624B51DE"/>
    <w:rsid w:val="6294252A"/>
    <w:rsid w:val="63143EF4"/>
    <w:rsid w:val="63460310"/>
    <w:rsid w:val="638C55FC"/>
    <w:rsid w:val="64531837"/>
    <w:rsid w:val="651066AD"/>
    <w:rsid w:val="652E0EE6"/>
    <w:rsid w:val="65316E3C"/>
    <w:rsid w:val="65711400"/>
    <w:rsid w:val="66076BC8"/>
    <w:rsid w:val="66C7577B"/>
    <w:rsid w:val="66D6776C"/>
    <w:rsid w:val="67C95996"/>
    <w:rsid w:val="67DD4B2A"/>
    <w:rsid w:val="67E67E83"/>
    <w:rsid w:val="6894168D"/>
    <w:rsid w:val="69A3518D"/>
    <w:rsid w:val="69E403F2"/>
    <w:rsid w:val="6AB828C2"/>
    <w:rsid w:val="6AE92B65"/>
    <w:rsid w:val="6AED5C1F"/>
    <w:rsid w:val="6B093F9D"/>
    <w:rsid w:val="6B2D6CE9"/>
    <w:rsid w:val="6B8C6F93"/>
    <w:rsid w:val="6B8D1266"/>
    <w:rsid w:val="6D365409"/>
    <w:rsid w:val="6DCD696E"/>
    <w:rsid w:val="6E4F6056"/>
    <w:rsid w:val="6E82669E"/>
    <w:rsid w:val="6EC573AB"/>
    <w:rsid w:val="6EFB7CBF"/>
    <w:rsid w:val="6F420807"/>
    <w:rsid w:val="706B131D"/>
    <w:rsid w:val="70714B0F"/>
    <w:rsid w:val="70A04437"/>
    <w:rsid w:val="70CC15D0"/>
    <w:rsid w:val="70D34D1C"/>
    <w:rsid w:val="7106269A"/>
    <w:rsid w:val="71840FD7"/>
    <w:rsid w:val="71F7509A"/>
    <w:rsid w:val="729606F7"/>
    <w:rsid w:val="72B17D99"/>
    <w:rsid w:val="73B452D9"/>
    <w:rsid w:val="73C31078"/>
    <w:rsid w:val="747D0EAE"/>
    <w:rsid w:val="75710C82"/>
    <w:rsid w:val="757D35FD"/>
    <w:rsid w:val="75F37D3E"/>
    <w:rsid w:val="763936E1"/>
    <w:rsid w:val="76F1566C"/>
    <w:rsid w:val="771A5453"/>
    <w:rsid w:val="77205DB3"/>
    <w:rsid w:val="775F730A"/>
    <w:rsid w:val="78721163"/>
    <w:rsid w:val="7872416D"/>
    <w:rsid w:val="79D7762B"/>
    <w:rsid w:val="79E63D12"/>
    <w:rsid w:val="7A2D1FFE"/>
    <w:rsid w:val="7B034F43"/>
    <w:rsid w:val="7C595588"/>
    <w:rsid w:val="7CC77961"/>
    <w:rsid w:val="7D1442A3"/>
    <w:rsid w:val="7D591BDB"/>
    <w:rsid w:val="7DB31192"/>
    <w:rsid w:val="7DC46119"/>
    <w:rsid w:val="7F271274"/>
    <w:rsid w:val="7FAE70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pPr>
    <w:rPr>
      <w:rFonts w:ascii="宋体" w:hAnsi="Times New Roman" w:eastAsia="宋体" w:cs="Times New Roman"/>
      <w:sz w:val="24"/>
      <w:szCs w:val="24"/>
      <w:lang w:val="en-US" w:eastAsia="zh-CN" w:bidi="ar-SA"/>
    </w:rPr>
  </w:style>
  <w:style w:type="paragraph" w:styleId="2">
    <w:name w:val="heading 1"/>
    <w:basedOn w:val="1"/>
    <w:next w:val="1"/>
    <w:qFormat/>
    <w:uiPriority w:val="9"/>
    <w:pPr>
      <w:keepNext/>
      <w:keepLines/>
      <w:spacing w:before="340" w:after="330" w:line="360" w:lineRule="auto"/>
      <w:outlineLvl w:val="0"/>
    </w:pPr>
    <w:rPr>
      <w:b/>
      <w:bCs/>
      <w:kern w:val="44"/>
      <w:sz w:val="32"/>
      <w:szCs w:val="44"/>
    </w:rPr>
  </w:style>
  <w:style w:type="paragraph" w:styleId="3">
    <w:name w:val="heading 2"/>
    <w:basedOn w:val="1"/>
    <w:next w:val="1"/>
    <w:qFormat/>
    <w:uiPriority w:val="0"/>
    <w:pPr>
      <w:keepNext/>
      <w:keepLines/>
      <w:spacing w:line="480" w:lineRule="exact"/>
      <w:jc w:val="both"/>
      <w:outlineLvl w:val="1"/>
    </w:pPr>
    <w:rPr>
      <w:rFonts w:ascii="Arial" w:hAnsi="Arial"/>
      <w:kern w:val="2"/>
      <w:szCs w:val="20"/>
    </w:rPr>
  </w:style>
  <w:style w:type="paragraph" w:styleId="4">
    <w:name w:val="heading 3"/>
    <w:next w:val="1"/>
    <w:qFormat/>
    <w:uiPriority w:val="0"/>
    <w:pPr>
      <w:keepNext/>
      <w:keepLines/>
      <w:widowControl w:val="0"/>
      <w:spacing w:line="600" w:lineRule="exact"/>
      <w:jc w:val="both"/>
      <w:outlineLvl w:val="2"/>
    </w:pPr>
    <w:rPr>
      <w:rFonts w:ascii="Arial" w:hAnsi="Arial" w:eastAsia="仿宋_GB2312" w:cs="Times New Roman"/>
      <w:kern w:val="2"/>
      <w:sz w:val="32"/>
      <w:lang w:val="en-US" w:eastAsia="zh-CN" w:bidi="ar-SA"/>
    </w:rPr>
  </w:style>
  <w:style w:type="paragraph" w:styleId="5">
    <w:name w:val="heading 9"/>
    <w:basedOn w:val="1"/>
    <w:next w:val="1"/>
    <w:link w:val="44"/>
    <w:semiHidden/>
    <w:unhideWhenUsed/>
    <w:qFormat/>
    <w:uiPriority w:val="0"/>
    <w:pPr>
      <w:keepNext/>
      <w:keepLines/>
      <w:widowControl/>
      <w:autoSpaceDE/>
      <w:autoSpaceDN/>
      <w:adjustRightInd/>
      <w:spacing w:before="240" w:after="64" w:line="320" w:lineRule="auto"/>
      <w:jc w:val="both"/>
      <w:outlineLvl w:val="8"/>
    </w:pPr>
    <w:rPr>
      <w:rFonts w:ascii="等线 Light" w:hAnsi="等线 Light" w:eastAsia="等线 Light"/>
      <w:kern w:val="2"/>
      <w:sz w:val="21"/>
      <w:szCs w:val="21"/>
    </w:rPr>
  </w:style>
  <w:style w:type="character" w:default="1" w:styleId="25">
    <w:name w:val="Default Paragraph Font"/>
    <w:autoRedefine/>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5"/>
    <w:qFormat/>
    <w:uiPriority w:val="0"/>
  </w:style>
  <w:style w:type="paragraph" w:styleId="7">
    <w:name w:val="Body Text"/>
    <w:basedOn w:val="1"/>
    <w:next w:val="8"/>
    <w:link w:val="37"/>
    <w:autoRedefine/>
    <w:qFormat/>
    <w:uiPriority w:val="0"/>
    <w:pPr>
      <w:spacing w:after="120"/>
    </w:pPr>
    <w:rPr>
      <w:rFonts w:ascii="Times New Roman"/>
    </w:rPr>
  </w:style>
  <w:style w:type="paragraph" w:styleId="8">
    <w:name w:val="Body Text First Indent"/>
    <w:basedOn w:val="7"/>
    <w:next w:val="9"/>
    <w:link w:val="38"/>
    <w:qFormat/>
    <w:uiPriority w:val="0"/>
    <w:pPr>
      <w:ind w:firstLine="420" w:firstLineChars="100"/>
      <w:jc w:val="both"/>
    </w:pPr>
    <w:rPr>
      <w:kern w:val="2"/>
      <w:sz w:val="21"/>
      <w:lang w:val="zh-CN"/>
    </w:rPr>
  </w:style>
  <w:style w:type="paragraph" w:styleId="9">
    <w:name w:val="Body Text First Indent 2"/>
    <w:basedOn w:val="10"/>
    <w:next w:val="8"/>
    <w:link w:val="54"/>
    <w:qFormat/>
    <w:uiPriority w:val="0"/>
    <w:pPr>
      <w:autoSpaceDE w:val="0"/>
      <w:autoSpaceDN w:val="0"/>
      <w:adjustRightInd w:val="0"/>
      <w:spacing w:after="120" w:line="240" w:lineRule="auto"/>
      <w:ind w:left="420" w:leftChars="200" w:firstLine="420"/>
      <w:jc w:val="left"/>
    </w:pPr>
    <w:rPr>
      <w:rFonts w:hAnsi="Times New Roman"/>
      <w:kern w:val="0"/>
      <w:sz w:val="24"/>
    </w:rPr>
  </w:style>
  <w:style w:type="paragraph" w:styleId="10">
    <w:name w:val="Body Text Indent"/>
    <w:basedOn w:val="1"/>
    <w:next w:val="11"/>
    <w:link w:val="49"/>
    <w:autoRedefine/>
    <w:qFormat/>
    <w:uiPriority w:val="0"/>
    <w:pPr>
      <w:autoSpaceDE/>
      <w:autoSpaceDN/>
      <w:adjustRightInd/>
      <w:spacing w:line="480" w:lineRule="exact"/>
      <w:ind w:firstLine="560" w:firstLineChars="200"/>
      <w:jc w:val="both"/>
    </w:pPr>
    <w:rPr>
      <w:rFonts w:hAnsi="宋体"/>
      <w:kern w:val="2"/>
      <w:sz w:val="28"/>
    </w:rPr>
  </w:style>
  <w:style w:type="paragraph" w:styleId="11">
    <w:name w:val="envelope return"/>
    <w:basedOn w:val="1"/>
    <w:semiHidden/>
    <w:qFormat/>
    <w:uiPriority w:val="0"/>
    <w:pPr>
      <w:snapToGrid w:val="0"/>
      <w:spacing w:line="480" w:lineRule="atLeast"/>
    </w:pPr>
    <w:rPr>
      <w:rFonts w:ascii="Arial" w:hAnsi="Arial" w:cs="Arial"/>
      <w:szCs w:val="20"/>
    </w:rPr>
  </w:style>
  <w:style w:type="paragraph" w:styleId="12">
    <w:name w:val="toc 3"/>
    <w:basedOn w:val="1"/>
    <w:next w:val="1"/>
    <w:uiPriority w:val="0"/>
    <w:pPr>
      <w:ind w:left="840" w:leftChars="400"/>
    </w:pPr>
  </w:style>
  <w:style w:type="paragraph" w:styleId="13">
    <w:name w:val="Plain Text"/>
    <w:basedOn w:val="1"/>
    <w:link w:val="43"/>
    <w:autoRedefine/>
    <w:qFormat/>
    <w:uiPriority w:val="0"/>
    <w:pPr>
      <w:autoSpaceDE/>
      <w:autoSpaceDN/>
      <w:adjustRightInd/>
      <w:jc w:val="both"/>
    </w:pPr>
    <w:rPr>
      <w:rFonts w:hAnsi="Courier New"/>
      <w:kern w:val="2"/>
      <w:sz w:val="21"/>
      <w:szCs w:val="20"/>
    </w:rPr>
  </w:style>
  <w:style w:type="paragraph" w:styleId="14">
    <w:name w:val="Balloon Text"/>
    <w:basedOn w:val="1"/>
    <w:link w:val="34"/>
    <w:autoRedefine/>
    <w:qFormat/>
    <w:uiPriority w:val="0"/>
    <w:rPr>
      <w:sz w:val="18"/>
      <w:szCs w:val="18"/>
    </w:rPr>
  </w:style>
  <w:style w:type="paragraph" w:styleId="15">
    <w:name w:val="footer"/>
    <w:basedOn w:val="1"/>
    <w:link w:val="45"/>
    <w:unhideWhenUsed/>
    <w:qFormat/>
    <w:uiPriority w:val="99"/>
    <w:pPr>
      <w:tabs>
        <w:tab w:val="center" w:pos="4153"/>
        <w:tab w:val="right" w:pos="8306"/>
      </w:tabs>
      <w:autoSpaceDE/>
      <w:autoSpaceDN/>
      <w:adjustRightInd/>
      <w:snapToGrid w:val="0"/>
    </w:pPr>
    <w:rPr>
      <w:rFonts w:asciiTheme="minorHAnsi" w:hAnsiTheme="minorHAnsi" w:eastAsiaTheme="minorEastAsia" w:cstheme="minorBidi"/>
      <w:kern w:val="2"/>
      <w:sz w:val="18"/>
      <w:szCs w:val="18"/>
    </w:rPr>
  </w:style>
  <w:style w:type="paragraph" w:styleId="16">
    <w:name w:val="header"/>
    <w:basedOn w:val="1"/>
    <w:link w:val="46"/>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7">
    <w:name w:val="toc 1"/>
    <w:basedOn w:val="1"/>
    <w:next w:val="1"/>
    <w:unhideWhenUsed/>
    <w:qFormat/>
    <w:uiPriority w:val="39"/>
    <w:pPr>
      <w:tabs>
        <w:tab w:val="right" w:leader="dot" w:pos="8296"/>
      </w:tabs>
      <w:spacing w:line="360" w:lineRule="auto"/>
    </w:pPr>
  </w:style>
  <w:style w:type="paragraph" w:styleId="18">
    <w:name w:val="Subtitle"/>
    <w:basedOn w:val="1"/>
    <w:next w:val="1"/>
    <w:link w:val="40"/>
    <w:qFormat/>
    <w:uiPriority w:val="11"/>
    <w:pPr>
      <w:spacing w:before="240" w:after="60" w:line="312" w:lineRule="auto"/>
      <w:jc w:val="center"/>
      <w:outlineLvl w:val="1"/>
    </w:pPr>
    <w:rPr>
      <w:rFonts w:ascii="Cambria" w:hAnsi="Cambria"/>
      <w:b/>
      <w:bCs/>
      <w:kern w:val="28"/>
      <w:sz w:val="32"/>
      <w:szCs w:val="32"/>
    </w:rPr>
  </w:style>
  <w:style w:type="paragraph" w:styleId="19">
    <w:name w:val="toc 6"/>
    <w:basedOn w:val="1"/>
    <w:next w:val="1"/>
    <w:unhideWhenUsed/>
    <w:qFormat/>
    <w:uiPriority w:val="39"/>
    <w:pPr>
      <w:ind w:left="1200"/>
    </w:pPr>
    <w:rPr>
      <w:rFonts w:ascii="Calibri" w:hAnsi="Calibri" w:cs="Calibri"/>
      <w:sz w:val="18"/>
      <w:szCs w:val="18"/>
    </w:rPr>
  </w:style>
  <w:style w:type="paragraph" w:styleId="20">
    <w:name w:val="toc 2"/>
    <w:basedOn w:val="1"/>
    <w:next w:val="1"/>
    <w:qFormat/>
    <w:uiPriority w:val="0"/>
    <w:pPr>
      <w:ind w:left="420" w:leftChars="200"/>
    </w:pPr>
  </w:style>
  <w:style w:type="paragraph" w:styleId="21">
    <w:name w:val="HTML Preformatted"/>
    <w:basedOn w:val="1"/>
    <w:link w:val="47"/>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hAnsi="宋体" w:cs="宋体"/>
    </w:rPr>
  </w:style>
  <w:style w:type="paragraph" w:styleId="22">
    <w:name w:val="annotation subject"/>
    <w:basedOn w:val="6"/>
    <w:next w:val="6"/>
    <w:link w:val="36"/>
    <w:qFormat/>
    <w:uiPriority w:val="0"/>
    <w:rPr>
      <w:b/>
      <w:bCs/>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954F72"/>
      <w:u w:val="single"/>
    </w:rPr>
  </w:style>
  <w:style w:type="character" w:styleId="27">
    <w:name w:val="Hyperlink"/>
    <w:basedOn w:val="25"/>
    <w:autoRedefine/>
    <w:unhideWhenUsed/>
    <w:qFormat/>
    <w:uiPriority w:val="99"/>
    <w:rPr>
      <w:color w:val="0563C1" w:themeColor="hyperlink"/>
      <w:u w:val="single"/>
      <w14:textFill>
        <w14:solidFill>
          <w14:schemeClr w14:val="hlink"/>
        </w14:solidFill>
      </w14:textFill>
    </w:rPr>
  </w:style>
  <w:style w:type="character" w:styleId="28">
    <w:name w:val="annotation reference"/>
    <w:basedOn w:val="25"/>
    <w:autoRedefine/>
    <w:qFormat/>
    <w:uiPriority w:val="0"/>
    <w:rPr>
      <w:sz w:val="21"/>
      <w:szCs w:val="21"/>
    </w:rPr>
  </w:style>
  <w:style w:type="paragraph" w:customStyle="1" w:styleId="29">
    <w:name w:val="TOC 标题1"/>
    <w:basedOn w:val="2"/>
    <w:next w:val="1"/>
    <w:autoRedefine/>
    <w:unhideWhenUsed/>
    <w:qFormat/>
    <w:uiPriority w:val="39"/>
    <w:pPr>
      <w:widowControl/>
      <w:autoSpaceDE/>
      <w:autoSpaceDN/>
      <w:adjustRightInd/>
      <w:spacing w:before="240" w:after="0" w:line="259" w:lineRule="auto"/>
      <w:outlineLvl w:val="9"/>
    </w:pPr>
    <w:rPr>
      <w:rFonts w:asciiTheme="majorHAnsi" w:hAnsiTheme="majorHAnsi" w:eastAsiaTheme="majorEastAsia" w:cstheme="majorBidi"/>
      <w:b w:val="0"/>
      <w:bCs w:val="0"/>
      <w:color w:val="2E75B6" w:themeColor="accent1" w:themeShade="BF"/>
      <w:kern w:val="0"/>
      <w:szCs w:val="32"/>
    </w:rPr>
  </w:style>
  <w:style w:type="paragraph" w:styleId="30">
    <w:name w:val="List Paragraph"/>
    <w:basedOn w:val="1"/>
    <w:qFormat/>
    <w:uiPriority w:val="34"/>
    <w:pPr>
      <w:autoSpaceDE/>
      <w:autoSpaceDN/>
      <w:adjustRightInd/>
      <w:spacing w:line="360" w:lineRule="auto"/>
      <w:ind w:firstLine="420" w:firstLineChars="200"/>
      <w:jc w:val="both"/>
    </w:pPr>
    <w:rPr>
      <w:rFonts w:ascii="Calibri" w:hAnsi="Calibri"/>
      <w:kern w:val="2"/>
      <w:sz w:val="21"/>
      <w:szCs w:val="22"/>
    </w:rPr>
  </w:style>
  <w:style w:type="paragraph" w:customStyle="1" w:styleId="31">
    <w:name w:val="彩色列表 - 强调文字颜色 11"/>
    <w:basedOn w:val="1"/>
    <w:autoRedefine/>
    <w:qFormat/>
    <w:uiPriority w:val="34"/>
    <w:pPr>
      <w:ind w:firstLine="420" w:firstLineChars="200"/>
    </w:pPr>
  </w:style>
  <w:style w:type="paragraph" w:customStyle="1" w:styleId="32">
    <w:name w:val="文本格式"/>
    <w:basedOn w:val="1"/>
    <w:link w:val="33"/>
    <w:autoRedefine/>
    <w:qFormat/>
    <w:uiPriority w:val="0"/>
    <w:pPr>
      <w:autoSpaceDE/>
      <w:autoSpaceDN/>
      <w:adjustRightInd/>
      <w:spacing w:before="60" w:after="60" w:line="360" w:lineRule="auto"/>
      <w:ind w:firstLine="480" w:firstLineChars="200"/>
    </w:pPr>
    <w:rPr>
      <w:rFonts w:ascii="Times New Roman"/>
      <w:kern w:val="2"/>
      <w:szCs w:val="28"/>
    </w:rPr>
  </w:style>
  <w:style w:type="character" w:customStyle="1" w:styleId="33">
    <w:name w:val="文本格式 Char"/>
    <w:basedOn w:val="25"/>
    <w:link w:val="32"/>
    <w:autoRedefine/>
    <w:qFormat/>
    <w:uiPriority w:val="0"/>
    <w:rPr>
      <w:kern w:val="2"/>
      <w:sz w:val="24"/>
      <w:szCs w:val="28"/>
    </w:rPr>
  </w:style>
  <w:style w:type="character" w:customStyle="1" w:styleId="34">
    <w:name w:val="批注框文本 字符"/>
    <w:basedOn w:val="25"/>
    <w:link w:val="14"/>
    <w:autoRedefine/>
    <w:qFormat/>
    <w:uiPriority w:val="0"/>
    <w:rPr>
      <w:rFonts w:ascii="宋体"/>
      <w:sz w:val="18"/>
      <w:szCs w:val="18"/>
    </w:rPr>
  </w:style>
  <w:style w:type="character" w:customStyle="1" w:styleId="35">
    <w:name w:val="批注文字 字符"/>
    <w:basedOn w:val="25"/>
    <w:link w:val="6"/>
    <w:qFormat/>
    <w:uiPriority w:val="0"/>
    <w:rPr>
      <w:rFonts w:ascii="宋体"/>
      <w:sz w:val="24"/>
      <w:szCs w:val="24"/>
    </w:rPr>
  </w:style>
  <w:style w:type="character" w:customStyle="1" w:styleId="36">
    <w:name w:val="批注主题 字符"/>
    <w:basedOn w:val="35"/>
    <w:link w:val="22"/>
    <w:autoRedefine/>
    <w:qFormat/>
    <w:uiPriority w:val="0"/>
    <w:rPr>
      <w:rFonts w:ascii="宋体"/>
      <w:b/>
      <w:bCs/>
      <w:sz w:val="24"/>
      <w:szCs w:val="24"/>
    </w:rPr>
  </w:style>
  <w:style w:type="character" w:customStyle="1" w:styleId="37">
    <w:name w:val="正文文本 字符"/>
    <w:basedOn w:val="25"/>
    <w:link w:val="7"/>
    <w:autoRedefine/>
    <w:qFormat/>
    <w:uiPriority w:val="0"/>
    <w:rPr>
      <w:sz w:val="24"/>
      <w:szCs w:val="24"/>
    </w:rPr>
  </w:style>
  <w:style w:type="character" w:customStyle="1" w:styleId="38">
    <w:name w:val="正文首行缩进 字符"/>
    <w:basedOn w:val="37"/>
    <w:link w:val="8"/>
    <w:autoRedefine/>
    <w:qFormat/>
    <w:uiPriority w:val="0"/>
    <w:rPr>
      <w:kern w:val="2"/>
      <w:sz w:val="21"/>
      <w:szCs w:val="24"/>
      <w:lang w:val="zh-CN"/>
    </w:rPr>
  </w:style>
  <w:style w:type="paragraph" w:customStyle="1" w:styleId="39">
    <w:name w:val="p0"/>
    <w:basedOn w:val="1"/>
    <w:autoRedefine/>
    <w:qFormat/>
    <w:uiPriority w:val="0"/>
    <w:pPr>
      <w:autoSpaceDE/>
      <w:autoSpaceDN/>
      <w:adjustRightInd/>
      <w:jc w:val="both"/>
    </w:pPr>
    <w:rPr>
      <w:rFonts w:ascii="Times New Roman"/>
      <w:sz w:val="21"/>
      <w:szCs w:val="21"/>
    </w:rPr>
  </w:style>
  <w:style w:type="character" w:customStyle="1" w:styleId="40">
    <w:name w:val="副标题 字符1"/>
    <w:link w:val="18"/>
    <w:qFormat/>
    <w:uiPriority w:val="11"/>
    <w:rPr>
      <w:rFonts w:ascii="Cambria" w:hAnsi="Cambria"/>
      <w:b/>
      <w:bCs/>
      <w:kern w:val="28"/>
      <w:sz w:val="32"/>
      <w:szCs w:val="32"/>
      <w:lang w:val="en-US" w:eastAsia="zh-CN"/>
    </w:rPr>
  </w:style>
  <w:style w:type="character" w:customStyle="1" w:styleId="41">
    <w:name w:val="副标题 字符"/>
    <w:basedOn w:val="25"/>
    <w:autoRedefine/>
    <w:qFormat/>
    <w:uiPriority w:val="0"/>
    <w:rPr>
      <w:rFonts w:asciiTheme="minorHAnsi" w:hAnsiTheme="minorHAnsi" w:eastAsiaTheme="minorEastAsia" w:cstheme="minorBidi"/>
      <w:b/>
      <w:bCs/>
      <w:kern w:val="28"/>
      <w:sz w:val="32"/>
      <w:szCs w:val="32"/>
    </w:rPr>
  </w:style>
  <w:style w:type="paragraph" w:customStyle="1" w:styleId="42">
    <w:name w:val="列出段落1"/>
    <w:basedOn w:val="1"/>
    <w:autoRedefine/>
    <w:qFormat/>
    <w:uiPriority w:val="34"/>
    <w:pPr>
      <w:autoSpaceDE/>
      <w:autoSpaceDN/>
      <w:adjustRightInd/>
      <w:ind w:firstLine="420" w:firstLineChars="200"/>
      <w:jc w:val="both"/>
    </w:pPr>
    <w:rPr>
      <w:rFonts w:ascii="Calibri" w:hAnsi="Calibri"/>
      <w:kern w:val="2"/>
      <w:sz w:val="21"/>
      <w:szCs w:val="22"/>
    </w:rPr>
  </w:style>
  <w:style w:type="character" w:customStyle="1" w:styleId="43">
    <w:name w:val="纯文本 字符"/>
    <w:basedOn w:val="25"/>
    <w:link w:val="13"/>
    <w:qFormat/>
    <w:uiPriority w:val="0"/>
    <w:rPr>
      <w:rFonts w:ascii="宋体" w:hAnsi="Courier New"/>
      <w:kern w:val="2"/>
      <w:sz w:val="21"/>
    </w:rPr>
  </w:style>
  <w:style w:type="character" w:customStyle="1" w:styleId="44">
    <w:name w:val="标题 9 字符"/>
    <w:basedOn w:val="25"/>
    <w:link w:val="5"/>
    <w:autoRedefine/>
    <w:semiHidden/>
    <w:qFormat/>
    <w:uiPriority w:val="0"/>
    <w:rPr>
      <w:rFonts w:ascii="等线 Light" w:hAnsi="等线 Light" w:eastAsia="等线 Light"/>
      <w:kern w:val="2"/>
      <w:sz w:val="21"/>
      <w:szCs w:val="21"/>
    </w:rPr>
  </w:style>
  <w:style w:type="character" w:customStyle="1" w:styleId="45">
    <w:name w:val="页脚 字符"/>
    <w:link w:val="15"/>
    <w:qFormat/>
    <w:uiPriority w:val="99"/>
    <w:rPr>
      <w:rFonts w:asciiTheme="minorHAnsi" w:hAnsiTheme="minorHAnsi" w:eastAsiaTheme="minorEastAsia" w:cstheme="minorBidi"/>
      <w:kern w:val="2"/>
      <w:sz w:val="18"/>
      <w:szCs w:val="18"/>
    </w:rPr>
  </w:style>
  <w:style w:type="character" w:customStyle="1" w:styleId="46">
    <w:name w:val="页眉 字符"/>
    <w:link w:val="16"/>
    <w:autoRedefine/>
    <w:qFormat/>
    <w:uiPriority w:val="99"/>
    <w:rPr>
      <w:rFonts w:ascii="宋体"/>
      <w:sz w:val="18"/>
      <w:szCs w:val="24"/>
    </w:rPr>
  </w:style>
  <w:style w:type="character" w:customStyle="1" w:styleId="47">
    <w:name w:val="HTML 预设格式 字符"/>
    <w:basedOn w:val="25"/>
    <w:link w:val="21"/>
    <w:autoRedefine/>
    <w:qFormat/>
    <w:uiPriority w:val="99"/>
    <w:rPr>
      <w:rFonts w:ascii="宋体" w:hAnsi="宋体" w:cs="宋体"/>
      <w:sz w:val="24"/>
      <w:szCs w:val="24"/>
    </w:rPr>
  </w:style>
  <w:style w:type="paragraph" w:customStyle="1" w:styleId="48">
    <w:name w:val="修订1"/>
    <w:autoRedefine/>
    <w:hidden/>
    <w:unhideWhenUsed/>
    <w:qFormat/>
    <w:uiPriority w:val="99"/>
    <w:rPr>
      <w:rFonts w:ascii="Times New Roman" w:hAnsi="Times New Roman" w:eastAsia="宋体" w:cs="Times New Roman"/>
      <w:kern w:val="2"/>
      <w:sz w:val="21"/>
      <w:lang w:val="en-US" w:eastAsia="zh-CN" w:bidi="ar-SA"/>
    </w:rPr>
  </w:style>
  <w:style w:type="character" w:customStyle="1" w:styleId="49">
    <w:name w:val="正文文本缩进 字符"/>
    <w:basedOn w:val="25"/>
    <w:link w:val="10"/>
    <w:autoRedefine/>
    <w:qFormat/>
    <w:uiPriority w:val="0"/>
    <w:rPr>
      <w:rFonts w:ascii="宋体" w:hAnsi="宋体"/>
      <w:kern w:val="2"/>
      <w:sz w:val="28"/>
      <w:szCs w:val="24"/>
    </w:rPr>
  </w:style>
  <w:style w:type="paragraph" w:customStyle="1" w:styleId="50">
    <w:name w:val="修订11"/>
    <w:autoRedefine/>
    <w:hidden/>
    <w:qFormat/>
    <w:uiPriority w:val="99"/>
    <w:rPr>
      <w:rFonts w:ascii="宋体" w:hAnsi="Times New Roman" w:eastAsia="宋体" w:cs="Times New Roman"/>
      <w:sz w:val="24"/>
      <w:szCs w:val="24"/>
      <w:lang w:val="en-US" w:eastAsia="zh-CN" w:bidi="ar-SA"/>
    </w:rPr>
  </w:style>
  <w:style w:type="character" w:customStyle="1" w:styleId="51">
    <w:name w:val="页脚 字符1"/>
    <w:basedOn w:val="25"/>
    <w:autoRedefine/>
    <w:semiHidden/>
    <w:qFormat/>
    <w:uiPriority w:val="99"/>
    <w:rPr>
      <w:rFonts w:ascii="Times New Roman" w:hAnsi="Times New Roman"/>
      <w:kern w:val="2"/>
      <w:sz w:val="18"/>
      <w:szCs w:val="18"/>
    </w:rPr>
  </w:style>
  <w:style w:type="character" w:customStyle="1" w:styleId="52">
    <w:name w:val="页眉 字符1"/>
    <w:basedOn w:val="25"/>
    <w:autoRedefine/>
    <w:semiHidden/>
    <w:qFormat/>
    <w:uiPriority w:val="99"/>
    <w:rPr>
      <w:rFonts w:ascii="Times New Roman" w:hAnsi="Times New Roman"/>
      <w:kern w:val="2"/>
      <w:sz w:val="18"/>
      <w:szCs w:val="18"/>
    </w:rPr>
  </w:style>
  <w:style w:type="table" w:customStyle="1" w:styleId="53">
    <w:name w:val="网格型1"/>
    <w:basedOn w:val="23"/>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4">
    <w:name w:val="正文首行缩进 2 字符"/>
    <w:basedOn w:val="49"/>
    <w:link w:val="9"/>
    <w:autoRedefine/>
    <w:qFormat/>
    <w:uiPriority w:val="0"/>
    <w:rPr>
      <w:rFonts w:ascii="宋体" w:hAnsi="宋体"/>
      <w:kern w:val="2"/>
      <w:sz w:val="24"/>
      <w:szCs w:val="24"/>
    </w:rPr>
  </w:style>
  <w:style w:type="paragraph" w:customStyle="1" w:styleId="55">
    <w:name w:val="CM标题2"/>
    <w:next w:val="56"/>
    <w:autoRedefine/>
    <w:qFormat/>
    <w:uiPriority w:val="0"/>
    <w:pPr>
      <w:keepNext/>
      <w:keepLines/>
      <w:widowControl w:val="0"/>
      <w:numPr>
        <w:ilvl w:val="0"/>
        <w:numId w:val="1"/>
      </w:numPr>
      <w:spacing w:before="50" w:beforeLines="50" w:after="50" w:afterLines="50"/>
      <w:outlineLvl w:val="1"/>
    </w:pPr>
    <w:rPr>
      <w:rFonts w:ascii="Calibri" w:hAnsi="Calibri" w:eastAsia="黑体" w:cs="Times New Roman"/>
      <w:kern w:val="2"/>
      <w:sz w:val="22"/>
      <w:szCs w:val="26"/>
      <w:lang w:val="en-US" w:eastAsia="zh-CN" w:bidi="ar-SA"/>
    </w:rPr>
  </w:style>
  <w:style w:type="paragraph" w:customStyle="1" w:styleId="56">
    <w:name w:val="CM正文不缩进"/>
    <w:qFormat/>
    <w:uiPriority w:val="0"/>
    <w:pPr>
      <w:widowControl w:val="0"/>
      <w:autoSpaceDE w:val="0"/>
      <w:autoSpaceDN w:val="0"/>
      <w:adjustRightInd w:val="0"/>
      <w:snapToGrid w:val="0"/>
      <w:spacing w:line="480" w:lineRule="exact"/>
      <w:jc w:val="both"/>
    </w:pPr>
    <w:rPr>
      <w:rFonts w:ascii="Calibri" w:hAnsi="Calibri" w:eastAsia="宋体" w:cs="Times New Roman"/>
      <w:b/>
      <w:snapToGrid w:val="0"/>
      <w:kern w:val="2"/>
      <w:sz w:val="24"/>
      <w:szCs w:val="21"/>
      <w:lang w:val="en-US" w:eastAsia="zh-CN" w:bidi="ar-SA"/>
    </w:rPr>
  </w:style>
  <w:style w:type="paragraph" w:customStyle="1" w:styleId="57">
    <w:name w:val="CM正文缩进"/>
    <w:qFormat/>
    <w:uiPriority w:val="0"/>
    <w:pPr>
      <w:widowControl w:val="0"/>
      <w:spacing w:beforeLines="50" w:afterLines="50" w:line="480" w:lineRule="exact"/>
      <w:ind w:firstLine="200" w:firstLineChars="200"/>
      <w:jc w:val="both"/>
    </w:pPr>
    <w:rPr>
      <w:rFonts w:ascii="Calibri" w:hAnsi="Calibri" w:eastAsia="宋体" w:cs="Times New Roman"/>
      <w:kern w:val="2"/>
      <w:sz w:val="22"/>
      <w:szCs w:val="22"/>
      <w:lang w:val="en-US" w:eastAsia="zh-CN" w:bidi="ar-SA"/>
    </w:rPr>
  </w:style>
  <w:style w:type="paragraph" w:customStyle="1" w:styleId="58">
    <w:name w:val="标题 2_0"/>
    <w:next w:val="59"/>
    <w:qFormat/>
    <w:uiPriority w:val="0"/>
    <w:pPr>
      <w:keepNext/>
      <w:keepLines/>
      <w:widowControl w:val="0"/>
      <w:adjustRightInd w:val="0"/>
      <w:snapToGrid w:val="0"/>
      <w:spacing w:line="360" w:lineRule="auto"/>
      <w:jc w:val="center"/>
      <w:outlineLvl w:val="1"/>
    </w:pPr>
    <w:rPr>
      <w:rFonts w:ascii="宋体" w:hAnsi="Arial" w:eastAsia="宋体" w:cs="Times New Roman"/>
      <w:sz w:val="32"/>
      <w:lang w:val="zh-CN" w:eastAsia="zh-CN" w:bidi="ar-SA"/>
    </w:rPr>
  </w:style>
  <w:style w:type="paragraph" w:customStyle="1" w:styleId="59">
    <w:name w:val="正文缩进_0"/>
    <w:autoRedefine/>
    <w:qFormat/>
    <w:uiPriority w:val="0"/>
    <w:pPr>
      <w:widowControl w:val="0"/>
      <w:ind w:firstLine="420"/>
      <w:jc w:val="both"/>
    </w:pPr>
    <w:rPr>
      <w:rFonts w:ascii="Calibri" w:hAnsi="Calibri" w:eastAsia="宋体" w:cs="Times New Roman"/>
      <w:kern w:val="2"/>
      <w:sz w:val="21"/>
      <w:szCs w:val="22"/>
      <w:lang w:val="en-US" w:eastAsia="zh-CN" w:bidi="ar-SA"/>
    </w:rPr>
  </w:style>
  <w:style w:type="paragraph" w:customStyle="1" w:styleId="60">
    <w:name w:val="正文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1">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62">
    <w:name w:val="0正文"/>
    <w:qFormat/>
    <w:uiPriority w:val="0"/>
    <w:pPr>
      <w:widowControl w:val="0"/>
      <w:ind w:firstLine="560" w:firstLineChars="200"/>
      <w:contextualSpacing/>
      <w:jc w:val="both"/>
      <w:textAlignment w:val="baseline"/>
    </w:pPr>
    <w:rPr>
      <w:rFonts w:ascii="Times New Roman" w:hAnsi="宋体" w:eastAsia="楷体" w:cs="Times New Roman"/>
      <w:kern w:val="2"/>
      <w:sz w:val="21"/>
      <w:szCs w:val="24"/>
      <w:lang w:val="en-US" w:eastAsia="zh-CN" w:bidi="ar-SA"/>
    </w:rPr>
  </w:style>
  <w:style w:type="paragraph" w:customStyle="1" w:styleId="63">
    <w:name w:val="Body text|1"/>
    <w:qFormat/>
    <w:uiPriority w:val="0"/>
    <w:pPr>
      <w:widowControl w:val="0"/>
      <w:spacing w:line="437" w:lineRule="auto"/>
      <w:ind w:firstLine="400"/>
      <w:jc w:val="both"/>
    </w:pPr>
    <w:rPr>
      <w:rFonts w:ascii="宋体" w:hAnsi="宋体" w:eastAsia="宋体" w:cs="宋体"/>
      <w:color w:val="29282A"/>
      <w:kern w:val="2"/>
      <w:lang w:val="zh-TW" w:eastAsia="zh-TW" w:bidi="zh-TW"/>
    </w:rPr>
  </w:style>
  <w:style w:type="paragraph" w:customStyle="1" w:styleId="64">
    <w:name w:val="正文文本缩进 21"/>
    <w:basedOn w:val="1"/>
    <w:qFormat/>
    <w:uiPriority w:val="0"/>
    <w:pPr>
      <w:spacing w:line="480" w:lineRule="auto"/>
      <w:ind w:firstLine="540"/>
      <w:textAlignment w:val="baseline"/>
    </w:pPr>
    <w:rPr>
      <w:rFonts w:ascii="Calibri" w:hAnsi="Calibri"/>
      <w:sz w:val="21"/>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emf"/><Relationship Id="rId15" Type="http://schemas.openxmlformats.org/officeDocument/2006/relationships/oleObject" Target="embeddings/oleObject3.bin"/><Relationship Id="rId14" Type="http://schemas.openxmlformats.org/officeDocument/2006/relationships/image" Target="media/image4.png"/><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png"/><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0C633E-9475-47E9-A314-8563CC58272D}">
  <ds:schemaRefs/>
</ds:datastoreItem>
</file>

<file path=docProps/app.xml><?xml version="1.0" encoding="utf-8"?>
<Properties xmlns="http://schemas.openxmlformats.org/officeDocument/2006/extended-properties" xmlns:vt="http://schemas.openxmlformats.org/officeDocument/2006/docPropsVTypes">
  <Template>Normal</Template>
  <Pages>61</Pages>
  <Words>4097</Words>
  <Characters>23357</Characters>
  <Lines>194</Lines>
  <Paragraphs>54</Paragraphs>
  <TotalTime>8</TotalTime>
  <ScaleCrop>false</ScaleCrop>
  <LinksUpToDate>false</LinksUpToDate>
  <CharactersWithSpaces>27400</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2020-10-14T01:34:00Z</dcterms:created>
  <dc:creator>LKC</dc:creator>
  <cp:lastModifiedBy>程骥维</cp:lastModifiedBy>
  <cp:lastPrinted>2024-01-12T03:20:00Z</cp:lastPrinted>
  <dcterms:modified xsi:type="dcterms:W3CDTF">2024-03-22T00:56:17Z</dcterms:modified>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D44AB5DA854943C3A6C08FC6388E5267_13</vt:lpwstr>
  </property>
</Properties>
</file>