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00" w:lineRule="exact"/>
        <w:jc w:val="center"/>
        <w:rPr>
          <w:rFonts w:hint="eastAsia" w:ascii="黑体" w:hAnsi="黑体" w:eastAsia="黑体"/>
          <w:b w:val="0"/>
          <w:bCs w:val="0"/>
          <w:color w:val="auto"/>
          <w:sz w:val="32"/>
          <w:highlight w:val="none"/>
        </w:rPr>
      </w:pPr>
      <w:bookmarkStart w:id="0" w:name="_Toc144974855"/>
      <w:bookmarkStart w:id="1" w:name="_Toc80105347"/>
      <w:bookmarkStart w:id="2" w:name="_Toc152045786"/>
      <w:bookmarkStart w:id="3" w:name="_Toc418599348"/>
      <w:bookmarkStart w:id="4" w:name="_Toc128505469"/>
      <w:bookmarkStart w:id="5" w:name="_Toc152042575"/>
      <w:bookmarkStart w:id="6" w:name="_Toc23615851"/>
      <w:r>
        <w:rPr>
          <w:rFonts w:hint="eastAsia" w:ascii="黑体" w:hAnsi="黑体" w:eastAsia="黑体"/>
          <w:b w:val="0"/>
          <w:bCs w:val="0"/>
          <w:color w:val="auto"/>
          <w:sz w:val="32"/>
          <w:highlight w:val="none"/>
        </w:rPr>
        <w:t>第七章  投标文件格式</w:t>
      </w:r>
      <w:bookmarkEnd w:id="0"/>
      <w:bookmarkEnd w:id="1"/>
      <w:bookmarkEnd w:id="2"/>
      <w:bookmarkEnd w:id="3"/>
      <w:bookmarkEnd w:id="4"/>
      <w:bookmarkEnd w:id="5"/>
      <w:bookmarkEnd w:id="6"/>
    </w:p>
    <w:p>
      <w:pPr>
        <w:spacing w:line="400" w:lineRule="exact"/>
        <w:rPr>
          <w:rFonts w:hint="eastAsia"/>
          <w:color w:val="auto"/>
          <w:highlight w:val="none"/>
        </w:rPr>
      </w:pPr>
    </w:p>
    <w:p>
      <w:pPr>
        <w:jc w:val="center"/>
        <w:rPr>
          <w:rFonts w:hint="eastAsia" w:eastAsia="黑体"/>
          <w:color w:val="auto"/>
          <w:sz w:val="20"/>
          <w:szCs w:val="20"/>
          <w:highlight w:val="none"/>
        </w:rPr>
      </w:pPr>
      <w:r>
        <w:rPr>
          <w:color w:val="auto"/>
          <w:highlight w:val="none"/>
        </w:rPr>
        <w:br w:type="page"/>
      </w:r>
    </w:p>
    <w:p>
      <w:pPr>
        <w:pStyle w:val="12"/>
        <w:jc w:val="center"/>
        <w:rPr>
          <w:rFonts w:hint="eastAsia"/>
          <w:color w:val="auto"/>
          <w:highlight w:val="none"/>
        </w:rPr>
      </w:pPr>
      <w:bookmarkStart w:id="7" w:name="_Toc1750515692"/>
      <w:bookmarkStart w:id="8" w:name="_Toc1173881136"/>
      <w:r>
        <w:rPr>
          <w:rFonts w:hint="eastAsia"/>
          <w:color w:val="auto"/>
          <w:highlight w:val="none"/>
        </w:rPr>
        <w:t>第一部分、商务部分格式</w:t>
      </w:r>
      <w:bookmarkEnd w:id="7"/>
      <w:bookmarkEnd w:id="8"/>
    </w:p>
    <w:p>
      <w:pPr>
        <w:rPr>
          <w:rFonts w:eastAsia="黑体"/>
          <w:color w:val="auto"/>
          <w:sz w:val="28"/>
          <w:szCs w:val="28"/>
          <w:highlight w:val="none"/>
        </w:rPr>
      </w:pPr>
    </w:p>
    <w:p>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pPr>
        <w:ind w:firstLine="630" w:firstLineChars="225"/>
        <w:rPr>
          <w:rFonts w:eastAsia="黑体"/>
          <w:color w:val="auto"/>
          <w:sz w:val="28"/>
          <w:szCs w:val="28"/>
          <w:highlight w:val="none"/>
        </w:rPr>
      </w:pPr>
    </w:p>
    <w:p>
      <w:pPr>
        <w:spacing w:line="440" w:lineRule="exact"/>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6"/>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rPr>
          <w:rFonts w:hint="eastAsia" w:ascii="宋体" w:hAnsi="宋体"/>
          <w:color w:val="auto"/>
          <w:highlight w:val="none"/>
        </w:rPr>
      </w:pP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6"/>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6"/>
        <w:ind w:firstLine="1908" w:firstLineChars="636"/>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9" w:name="_Toc152042576"/>
      <w:bookmarkStart w:id="10" w:name="_Toc152045787"/>
      <w:bookmarkStart w:id="11" w:name="_Toc144974856"/>
      <w:bookmarkStart w:id="12" w:name="_Toc80105350"/>
      <w:bookmarkStart w:id="13" w:name="_Toc418599351"/>
    </w:p>
    <w:p>
      <w:pPr>
        <w:pStyle w:val="12"/>
        <w:jc w:val="center"/>
        <w:outlineLvl w:val="0"/>
        <w:rPr>
          <w:rFonts w:hint="eastAsia"/>
          <w:color w:val="auto"/>
          <w:highlight w:val="none"/>
        </w:rPr>
      </w:pPr>
      <w:bookmarkStart w:id="14" w:name="_Toc1391897889"/>
      <w:bookmarkStart w:id="15" w:name="_Toc1450218640"/>
      <w:r>
        <w:rPr>
          <w:rFonts w:hint="eastAsia"/>
          <w:color w:val="auto"/>
          <w:highlight w:val="none"/>
        </w:rPr>
        <w:t>商务部分目录</w:t>
      </w:r>
      <w:bookmarkEnd w:id="9"/>
      <w:bookmarkEnd w:id="10"/>
      <w:bookmarkEnd w:id="11"/>
      <w:bookmarkEnd w:id="12"/>
      <w:bookmarkEnd w:id="13"/>
      <w:bookmarkEnd w:id="14"/>
      <w:bookmarkEnd w:id="15"/>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szCs w:val="24"/>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w:t>
      </w:r>
      <w:r>
        <w:rPr>
          <w:rFonts w:hint="eastAsia" w:hAnsi="Times New Roman"/>
          <w:color w:val="auto"/>
          <w:szCs w:val="24"/>
          <w:highlight w:val="none"/>
        </w:rPr>
        <w:t>第1.4.2项</w:t>
      </w:r>
      <w:r>
        <w:rPr>
          <w:rFonts w:hint="eastAsia"/>
          <w:color w:val="auto"/>
          <w:highlight w:val="none"/>
        </w:rPr>
        <w:t>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2"/>
        <w:jc w:val="center"/>
        <w:rPr>
          <w:color w:val="auto"/>
          <w:highlight w:val="none"/>
        </w:rPr>
      </w:pPr>
      <w:r>
        <w:rPr>
          <w:color w:val="auto"/>
          <w:highlight w:val="none"/>
        </w:rPr>
        <w:br w:type="page"/>
      </w:r>
      <w:bookmarkStart w:id="16" w:name="_Toc1316808831"/>
      <w:bookmarkStart w:id="17" w:name="_Toc462307904"/>
      <w:bookmarkStart w:id="18" w:name="_Toc1104892721"/>
      <w:bookmarkStart w:id="19" w:name="_Toc80105352"/>
      <w:r>
        <w:rPr>
          <w:rFonts w:hint="eastAsia"/>
          <w:color w:val="auto"/>
          <w:highlight w:val="none"/>
          <w:lang w:val="en-US" w:eastAsia="zh-CN"/>
        </w:rPr>
        <w:t>一</w:t>
      </w:r>
      <w:r>
        <w:rPr>
          <w:rFonts w:hint="eastAsia"/>
          <w:color w:val="auto"/>
          <w:highlight w:val="none"/>
        </w:rPr>
        <w:t>. 诚信守法投标承诺书</w:t>
      </w:r>
      <w:bookmarkEnd w:id="16"/>
      <w:bookmarkEnd w:id="17"/>
      <w:bookmarkEnd w:id="18"/>
      <w:bookmarkEnd w:id="19"/>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s="宋体"/>
          <w:szCs w:val="21"/>
          <w:lang w:eastAsia="zh-CN"/>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szCs w:val="21"/>
        </w:rPr>
        <w:t>本公司及参与投标的从业人员均满足招标文件的各项要求，不存在</w:t>
      </w:r>
      <w:r>
        <w:rPr>
          <w:rFonts w:hint="eastAsia" w:ascii="宋体" w:hAnsi="宋体" w:cs="宋体"/>
          <w:szCs w:val="21"/>
          <w:lang w:eastAsia="zh-CN"/>
        </w:rPr>
        <w:t>招标公告第</w:t>
      </w: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lang w:eastAsia="zh-CN"/>
        </w:rPr>
        <w:t>款</w:t>
      </w:r>
      <w:r>
        <w:rPr>
          <w:rFonts w:hint="eastAsia" w:ascii="宋体" w:hAnsi="宋体" w:cs="宋体"/>
          <w:szCs w:val="21"/>
        </w:rPr>
        <w:t>规定</w:t>
      </w:r>
      <w:r>
        <w:rPr>
          <w:rFonts w:hint="eastAsia" w:ascii="宋体" w:hAnsi="宋体" w:cs="宋体"/>
          <w:szCs w:val="21"/>
          <w:lang w:eastAsia="zh-CN"/>
        </w:rPr>
        <w:t>的不接受</w:t>
      </w:r>
      <w:r>
        <w:rPr>
          <w:rFonts w:hint="eastAsia" w:ascii="宋体" w:hAnsi="宋体" w:cs="宋体"/>
          <w:szCs w:val="21"/>
        </w:rPr>
        <w:t>参与本工程投标的情形</w:t>
      </w:r>
      <w:r>
        <w:rPr>
          <w:rFonts w:hint="eastAsia" w:ascii="宋体" w:hAnsi="宋体" w:cs="宋体"/>
          <w:szCs w:val="21"/>
          <w:lang w:eastAsia="zh-CN"/>
        </w:rPr>
        <w:t>。</w:t>
      </w:r>
    </w:p>
    <w:p>
      <w:pPr>
        <w:spacing w:line="400" w:lineRule="atLeast"/>
        <w:ind w:firstLine="420" w:firstLineChars="200"/>
        <w:rPr>
          <w:rFonts w:hint="eastAsia" w:ascii="宋体" w:hAnsi="宋体"/>
          <w:color w:val="auto"/>
          <w:szCs w:val="21"/>
          <w:highlight w:val="none"/>
        </w:rPr>
      </w:pPr>
      <w:r>
        <w:rPr>
          <w:rFonts w:hint="eastAsia" w:ascii="宋体" w:hAnsi="宋体" w:cs="宋体"/>
          <w:szCs w:val="21"/>
          <w:lang w:eastAsia="zh-CN"/>
        </w:rPr>
        <w:t>（三）</w:t>
      </w:r>
      <w:r>
        <w:rPr>
          <w:rFonts w:hint="eastAsia" w:ascii="宋体" w:hAnsi="宋体" w:cs="宋体"/>
          <w:szCs w:val="21"/>
        </w:rPr>
        <w:t>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szCs w:val="21"/>
        </w:rPr>
        <w:t>不存在属于《东莞市建设工程招标投标管理办法 》第二十</w:t>
      </w:r>
      <w:r>
        <w:rPr>
          <w:rFonts w:hint="eastAsia" w:ascii="宋体" w:hAnsi="宋体" w:cs="宋体"/>
          <w:szCs w:val="21"/>
          <w:lang w:eastAsia="zh-CN"/>
        </w:rPr>
        <w:t>四</w:t>
      </w:r>
      <w:r>
        <w:rPr>
          <w:rFonts w:hint="eastAsia" w:ascii="宋体" w:hAnsi="宋体" w:cs="宋体"/>
          <w:szCs w:val="21"/>
        </w:rPr>
        <w:t>条规定限制参与本工程投标的情形</w:t>
      </w:r>
      <w:r>
        <w:rPr>
          <w:rFonts w:hint="eastAsia" w:ascii="宋体" w:hAnsi="宋体"/>
          <w:color w:val="auto"/>
          <w:szCs w:val="21"/>
          <w:highlight w:val="none"/>
        </w:rPr>
        <w:t>。投标文件截止提交前一日，已</w:t>
      </w:r>
      <w:r>
        <w:rPr>
          <w:rFonts w:hint="eastAsia" w:ascii="宋体" w:hAnsi="宋体"/>
          <w:color w:val="auto"/>
          <w:szCs w:val="21"/>
          <w:highlight w:val="none"/>
          <w:lang w:eastAsia="zh-CN"/>
        </w:rPr>
        <w:t>登录</w:t>
      </w:r>
      <w:r>
        <w:rPr>
          <w:rFonts w:hint="eastAsia" w:ascii="宋体" w:hAnsi="宋体" w:cs="宋体"/>
          <w:szCs w:val="21"/>
        </w:rPr>
        <w:t>东莞市公共资源交易企业库</w:t>
      </w:r>
      <w:r>
        <w:rPr>
          <w:rFonts w:hint="eastAsia" w:ascii="宋体" w:hAnsi="宋体"/>
          <w:color w:val="auto"/>
          <w:szCs w:val="21"/>
          <w:highlight w:val="none"/>
        </w:rPr>
        <w:t>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）如企业在东莞市住房和城乡建设局已有本工程对应的企业类型信用档案，信用档案与交易企业库的统一社会信用代码（组织机构代码）填写一致。</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）遵守投标会现场纪律，听从现场工作人员安排。</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六</w:t>
      </w:r>
      <w:r>
        <w:rPr>
          <w:rFonts w:hint="eastAsia" w:ascii="宋体" w:hAnsi="宋体"/>
          <w:color w:val="auto"/>
          <w:szCs w:val="21"/>
          <w:highlight w:val="none"/>
        </w:rPr>
        <w:t>）本次招标所要求具备的各项证件、证书、及个人身份证均应真实有效，不存在被相关行政部门扣留或吊销等情形。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七</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）已完整阅读了招标文件的所有内容（包括澄清、修改，以及所有已提供的参考资料和有关附件），并完全理解上述文件所表达的意思。</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20" w:name="_Toc1443577419"/>
      <w:bookmarkStart w:id="21" w:name="_Toc418599352"/>
      <w:bookmarkStart w:id="22" w:name="_Toc80105353"/>
      <w:bookmarkStart w:id="23" w:name="_Toc777249288"/>
      <w:bookmarkStart w:id="24" w:name="_Toc152045788"/>
      <w:bookmarkStart w:id="25" w:name="_Toc144974857"/>
      <w:bookmarkStart w:id="26" w:name="_Toc152042577"/>
      <w:r>
        <w:rPr>
          <w:rFonts w:hint="eastAsia"/>
          <w:color w:val="auto"/>
          <w:highlight w:val="none"/>
          <w:lang w:eastAsia="zh-CN"/>
        </w:rPr>
        <w:t>二</w:t>
      </w:r>
      <w:r>
        <w:rPr>
          <w:rFonts w:hint="eastAsia"/>
          <w:color w:val="auto"/>
          <w:highlight w:val="none"/>
        </w:rPr>
        <w:t xml:space="preserve">. </w:t>
      </w:r>
      <w:r>
        <w:rPr>
          <w:color w:val="auto"/>
          <w:highlight w:val="none"/>
        </w:rPr>
        <w:t>投标函及投标函附录</w:t>
      </w:r>
      <w:bookmarkEnd w:id="20"/>
      <w:bookmarkEnd w:id="21"/>
      <w:bookmarkEnd w:id="22"/>
      <w:bookmarkEnd w:id="23"/>
    </w:p>
    <w:bookmarkEnd w:id="24"/>
    <w:bookmarkEnd w:id="25"/>
    <w:bookmarkEnd w:id="26"/>
    <w:p>
      <w:pPr>
        <w:pStyle w:val="13"/>
        <w:jc w:val="center"/>
        <w:rPr>
          <w:color w:val="auto"/>
          <w:highlight w:val="none"/>
        </w:rPr>
      </w:pPr>
      <w:r>
        <w:rPr>
          <w:color w:val="auto"/>
          <w:sz w:val="20"/>
          <w:highlight w:val="none"/>
        </w:rPr>
        <w:br w:type="page"/>
      </w:r>
      <w:bookmarkStart w:id="27" w:name="_Toc152042578"/>
      <w:bookmarkStart w:id="28" w:name="_Toc418599354"/>
      <w:bookmarkStart w:id="29" w:name="_Toc144974858"/>
      <w:bookmarkStart w:id="30" w:name="_Toc1988305378"/>
      <w:bookmarkStart w:id="31" w:name="_Toc80105354"/>
      <w:bookmarkStart w:id="32" w:name="_Toc152045789"/>
      <w:bookmarkStart w:id="33" w:name="_Toc1701156663"/>
      <w:r>
        <w:rPr>
          <w:rFonts w:hint="eastAsia"/>
          <w:color w:val="auto"/>
          <w:highlight w:val="none"/>
          <w:lang w:eastAsia="zh-CN"/>
        </w:rPr>
        <w:t>（一）</w:t>
      </w:r>
      <w:r>
        <w:rPr>
          <w:rFonts w:hint="eastAsia"/>
          <w:color w:val="auto"/>
          <w:highlight w:val="none"/>
        </w:rPr>
        <w:t xml:space="preserve"> </w:t>
      </w:r>
      <w:r>
        <w:rPr>
          <w:color w:val="auto"/>
          <w:highlight w:val="none"/>
        </w:rPr>
        <w:t>投标函</w:t>
      </w:r>
      <w:bookmarkEnd w:id="27"/>
      <w:bookmarkEnd w:id="28"/>
      <w:bookmarkEnd w:id="29"/>
      <w:bookmarkEnd w:id="30"/>
      <w:bookmarkEnd w:id="31"/>
      <w:bookmarkEnd w:id="32"/>
      <w:bookmarkEnd w:id="33"/>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lang w:val="en-US" w:eastAsia="zh-CN"/>
        </w:rPr>
        <w:t>报价信封中</w:t>
      </w:r>
      <w:r>
        <w:rPr>
          <w:rFonts w:hint="eastAsia"/>
          <w:color w:val="auto"/>
          <w:szCs w:val="21"/>
          <w:highlight w:val="none"/>
        </w:rPr>
        <w:t>填报的</w:t>
      </w:r>
      <w:r>
        <w:rPr>
          <w:rFonts w:hint="eastAsia"/>
          <w:color w:val="auto"/>
          <w:szCs w:val="21"/>
          <w:highlight w:val="none"/>
          <w:lang w:val="en-US" w:eastAsia="zh-CN"/>
        </w:rPr>
        <w:t>投标值作为本项目</w:t>
      </w:r>
      <w:r>
        <w:rPr>
          <w:rFonts w:hint="eastAsia"/>
          <w:color w:val="auto"/>
          <w:szCs w:val="21"/>
          <w:highlight w:val="none"/>
        </w:rPr>
        <w:t>设计</w:t>
      </w:r>
      <w:r>
        <w:rPr>
          <w:rFonts w:hint="eastAsia"/>
          <w:color w:val="auto"/>
          <w:szCs w:val="21"/>
          <w:highlight w:val="none"/>
          <w:lang w:eastAsia="zh-CN"/>
        </w:rPr>
        <w:t>（</w:t>
      </w:r>
      <w:r>
        <w:rPr>
          <w:rFonts w:hint="eastAsia"/>
          <w:color w:val="auto"/>
          <w:szCs w:val="21"/>
          <w:highlight w:val="none"/>
          <w:lang w:val="en-US" w:eastAsia="zh-CN"/>
        </w:rPr>
        <w:t>勘察设计</w:t>
      </w:r>
      <w:r>
        <w:rPr>
          <w:rFonts w:hint="eastAsia"/>
          <w:color w:val="auto"/>
          <w:szCs w:val="21"/>
          <w:highlight w:val="none"/>
          <w:lang w:eastAsia="zh-CN"/>
        </w:rPr>
        <w:t>）</w:t>
      </w:r>
      <w:r>
        <w:rPr>
          <w:rFonts w:hint="eastAsia"/>
          <w:color w:val="auto"/>
          <w:szCs w:val="21"/>
          <w:highlight w:val="none"/>
        </w:rPr>
        <w:t>服务收费系数和</w:t>
      </w:r>
      <w:r>
        <w:rPr>
          <w:rFonts w:hint="eastAsia"/>
          <w:color w:val="auto"/>
          <w:szCs w:val="21"/>
          <w:highlight w:val="none"/>
          <w:lang w:val="en-US" w:eastAsia="zh-CN"/>
        </w:rPr>
        <w:t>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第二章投标人须知第3.2.3项约定的收费计费方式计取设计（勘察设计）服务费。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对招标文件有关设计（勘察设计）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7"/>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spacing w:line="400" w:lineRule="exact"/>
        <w:rPr>
          <w:rFonts w:hint="eastAsia"/>
          <w:b/>
          <w:bCs/>
          <w:color w:val="auto"/>
          <w:highlight w:val="none"/>
        </w:rPr>
      </w:pPr>
      <w:r>
        <w:rPr>
          <w:rFonts w:hint="eastAsia"/>
          <w:b/>
          <w:bCs/>
          <w:color w:val="auto"/>
          <w:highlight w:val="none"/>
        </w:rPr>
        <w:t>联合体投标的，则由联合体牵头人提交并进行电子签名。</w:t>
      </w:r>
    </w:p>
    <w:p>
      <w:pPr>
        <w:pStyle w:val="13"/>
        <w:jc w:val="center"/>
        <w:rPr>
          <w:color w:val="auto"/>
          <w:highlight w:val="none"/>
        </w:rPr>
      </w:pPr>
      <w:r>
        <w:rPr>
          <w:color w:val="auto"/>
          <w:sz w:val="20"/>
          <w:highlight w:val="none"/>
        </w:rPr>
        <w:br w:type="page"/>
      </w:r>
      <w:bookmarkStart w:id="34" w:name="_Toc152042579"/>
      <w:bookmarkStart w:id="35" w:name="_Toc80105355"/>
      <w:bookmarkStart w:id="36" w:name="_Toc415636260"/>
      <w:bookmarkStart w:id="37" w:name="_Toc152045790"/>
      <w:bookmarkStart w:id="38" w:name="_Toc144974859"/>
      <w:bookmarkStart w:id="39" w:name="_Toc774853974"/>
      <w:bookmarkStart w:id="40" w:name="_Toc418599355"/>
      <w:r>
        <w:rPr>
          <w:rFonts w:hint="eastAsia"/>
          <w:color w:val="auto"/>
          <w:highlight w:val="none"/>
          <w:lang w:eastAsia="zh-CN"/>
        </w:rPr>
        <w:t>（二）</w:t>
      </w:r>
      <w:r>
        <w:rPr>
          <w:rFonts w:hint="eastAsia"/>
          <w:color w:val="auto"/>
          <w:highlight w:val="none"/>
        </w:rPr>
        <w:t xml:space="preserve"> </w:t>
      </w:r>
      <w:r>
        <w:rPr>
          <w:color w:val="auto"/>
          <w:highlight w:val="none"/>
        </w:rPr>
        <w:t>投标函附录</w:t>
      </w:r>
      <w:bookmarkEnd w:id="34"/>
      <w:bookmarkEnd w:id="35"/>
      <w:bookmarkEnd w:id="36"/>
      <w:bookmarkEnd w:id="37"/>
      <w:bookmarkEnd w:id="38"/>
      <w:bookmarkEnd w:id="39"/>
      <w:bookmarkEnd w:id="40"/>
    </w:p>
    <w:p>
      <w:pPr>
        <w:spacing w:line="440" w:lineRule="exact"/>
        <w:rPr>
          <w:rFonts w:eastAsia="黑体"/>
          <w:color w:val="auto"/>
          <w:sz w:val="20"/>
          <w:szCs w:val="20"/>
          <w:highlight w:val="none"/>
        </w:rPr>
      </w:pPr>
    </w:p>
    <w:tbl>
      <w:tblPr>
        <w:tblStyle w:val="9"/>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c>
          <w:tcPr>
            <w:tcW w:w="193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color w:val="auto"/>
                <w:szCs w:val="21"/>
                <w:highlight w:val="none"/>
                <w:lang w:val="en-US" w:eastAsia="zh-CN"/>
              </w:rPr>
            </w:pPr>
            <w:r>
              <w:rPr>
                <w:rFonts w:hint="eastAsia"/>
                <w:color w:val="auto"/>
                <w:szCs w:val="21"/>
                <w:highlight w:val="none"/>
                <w:lang w:val="en-US" w:eastAsia="zh-CN"/>
              </w:rPr>
              <w:t>（1）勘察固定单价（即全费用单价）分别为：</w:t>
            </w:r>
            <w:r>
              <w:rPr>
                <w:rFonts w:hint="eastAsia" w:ascii="Times New Roman" w:hAnsi="Times New Roman"/>
                <w:b w:val="0"/>
                <w:bCs w:val="0"/>
                <w:color w:val="auto"/>
                <w:szCs w:val="21"/>
                <w:highlight w:val="none"/>
                <w:u w:val="none"/>
              </w:rPr>
              <w:t>①钻探</w:t>
            </w:r>
            <w:r>
              <w:rPr>
                <w:rFonts w:hint="eastAsia"/>
                <w:b w:val="0"/>
                <w:bCs w:val="0"/>
                <w:color w:val="auto"/>
                <w:szCs w:val="21"/>
                <w:highlight w:val="none"/>
                <w:u w:val="none"/>
                <w:lang w:val="en-US" w:eastAsia="zh-CN"/>
              </w:rPr>
              <w:t>238.79</w:t>
            </w:r>
            <w:r>
              <w:rPr>
                <w:rFonts w:hint="eastAsia" w:ascii="Times New Roman" w:hAnsi="Times New Roman"/>
                <w:b w:val="0"/>
                <w:bCs w:val="0"/>
                <w:color w:val="auto"/>
                <w:szCs w:val="21"/>
                <w:highlight w:val="none"/>
                <w:u w:val="none"/>
              </w:rPr>
              <w:t>元/米；②物探</w:t>
            </w:r>
            <w:r>
              <w:rPr>
                <w:rFonts w:hint="eastAsia"/>
                <w:b w:val="0"/>
                <w:bCs w:val="0"/>
                <w:color w:val="auto"/>
                <w:szCs w:val="21"/>
                <w:highlight w:val="none"/>
                <w:u w:val="none"/>
                <w:lang w:val="en-US" w:eastAsia="zh-CN"/>
              </w:rPr>
              <w:t>0.98</w:t>
            </w:r>
            <w:r>
              <w:rPr>
                <w:rFonts w:hint="eastAsia" w:ascii="Times New Roman" w:hAnsi="Times New Roman"/>
                <w:b w:val="0"/>
                <w:bCs w:val="0"/>
                <w:color w:val="auto"/>
                <w:szCs w:val="21"/>
                <w:highlight w:val="none"/>
                <w:u w:val="none"/>
              </w:rPr>
              <w:t>元/平方米；③测量</w:t>
            </w:r>
            <w:r>
              <w:rPr>
                <w:rFonts w:hint="eastAsia"/>
                <w:b w:val="0"/>
                <w:bCs w:val="0"/>
                <w:color w:val="auto"/>
                <w:szCs w:val="21"/>
                <w:highlight w:val="none"/>
                <w:u w:val="none"/>
                <w:lang w:val="en-US" w:eastAsia="zh-CN"/>
              </w:rPr>
              <w:t>40000</w:t>
            </w:r>
            <w:r>
              <w:rPr>
                <w:rFonts w:hint="eastAsia" w:ascii="Times New Roman" w:hAnsi="Times New Roman"/>
                <w:b w:val="0"/>
                <w:bCs w:val="0"/>
                <w:color w:val="auto"/>
                <w:szCs w:val="21"/>
                <w:highlight w:val="none"/>
                <w:u w:val="none"/>
              </w:rPr>
              <w:t>元/平方公里</w:t>
            </w:r>
            <w:r>
              <w:rPr>
                <w:rFonts w:hint="eastAsia"/>
                <w:b w:val="0"/>
                <w:bCs w:val="0"/>
                <w:color w:val="auto"/>
                <w:szCs w:val="21"/>
                <w:highlight w:val="none"/>
                <w:lang w:val="en-US" w:eastAsia="zh-CN"/>
              </w:rPr>
              <w:t>；</w:t>
            </w:r>
          </w:p>
          <w:p>
            <w:pPr>
              <w:spacing w:line="440" w:lineRule="exact"/>
              <w:rPr>
                <w:rFonts w:hint="eastAsia"/>
                <w:color w:val="auto"/>
                <w:szCs w:val="21"/>
                <w:highlight w:val="none"/>
                <w:lang w:val="en-US" w:eastAsia="zh-CN"/>
              </w:rPr>
            </w:pPr>
            <w:r>
              <w:rPr>
                <w:rFonts w:hint="eastAsia"/>
                <w:color w:val="auto"/>
                <w:szCs w:val="21"/>
                <w:highlight w:val="none"/>
                <w:lang w:val="en-US" w:eastAsia="zh-CN"/>
              </w:rPr>
              <w:t>（2）设计服务收费系数：0.80（保留小</w:t>
            </w:r>
            <w:bookmarkStart w:id="104" w:name="_GoBack"/>
            <w:bookmarkEnd w:id="104"/>
            <w:r>
              <w:rPr>
                <w:rFonts w:hint="eastAsia"/>
                <w:color w:val="auto"/>
                <w:szCs w:val="21"/>
                <w:highlight w:val="none"/>
                <w:lang w:val="en-US" w:eastAsia="zh-CN"/>
              </w:rPr>
              <w:t>数点后两位小数）</w:t>
            </w:r>
          </w:p>
          <w:p>
            <w:pPr>
              <w:spacing w:line="440" w:lineRule="exact"/>
              <w:rPr>
                <w:rFonts w:hint="eastAsia" w:ascii="宋体" w:hAnsi="宋体" w:eastAsia="宋体" w:cs="宋体"/>
                <w:color w:val="auto"/>
                <w:szCs w:val="21"/>
                <w:highlight w:val="none"/>
                <w:lang w:eastAsia="zh-CN"/>
              </w:rPr>
            </w:pPr>
            <w:r>
              <w:rPr>
                <w:rFonts w:hint="eastAsia"/>
                <w:color w:val="auto"/>
                <w:szCs w:val="21"/>
                <w:highlight w:val="none"/>
                <w:lang w:val="en-US" w:eastAsia="zh-CN"/>
              </w:rPr>
              <w:t>并按本项目招标文件第二章投标人须知第3.2.2项约定的收费计费方式计取设计服务费。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其他费用：建筑信息模型（BIM）技术应用费，按照招标人给定的计价基础（350000元）×服务收费系数（0.80）计算，即建筑信息模型（BIM）技术应用费=350000元×0.80=280000元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日历天（取值范围：≤ </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 w:val="20"/>
                <w:szCs w:val="20"/>
                <w:highlight w:val="none"/>
              </w:rPr>
            </w:pPr>
            <w:r>
              <w:rPr>
                <w:rFonts w:hint="eastAsia" w:ascii="宋体" w:hAnsi="宋体"/>
                <w:color w:val="auto"/>
                <w:highlight w:val="none"/>
              </w:rPr>
              <w:t>自中标通知书发出之日起</w:t>
            </w:r>
            <w:r>
              <w:rPr>
                <w:rFonts w:ascii="宋体" w:hAnsi="宋体"/>
                <w:color w:val="auto"/>
                <w:highlight w:val="none"/>
              </w:rPr>
              <w:t>，至项目范围内所有工程</w:t>
            </w:r>
            <w:r>
              <w:rPr>
                <w:rFonts w:hint="eastAsia" w:ascii="宋体" w:hAnsi="宋体"/>
                <w:color w:val="auto"/>
                <w:highlight w:val="none"/>
              </w:rPr>
              <w:t>结算完毕</w:t>
            </w:r>
            <w:r>
              <w:rPr>
                <w:rFonts w:ascii="宋体" w:hAnsi="宋体"/>
                <w:color w:val="auto"/>
                <w:highlight w:val="none"/>
              </w:rPr>
              <w:t>之日止</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color w:val="auto"/>
                <w:sz w:val="20"/>
                <w:szCs w:val="20"/>
                <w:highlight w:val="none"/>
                <w:lang w:val="en-US" w:eastAsia="zh-CN"/>
              </w:rPr>
            </w:pPr>
            <w:r>
              <w:rPr>
                <w:rFonts w:hint="eastAsia" w:ascii="宋体" w:hAnsi="宋体" w:cs="宋体"/>
                <w:color w:val="auto"/>
                <w:sz w:val="21"/>
                <w:szCs w:val="21"/>
                <w:highlight w:val="none"/>
                <w:lang w:val="en-US" w:eastAsia="zh-CN"/>
              </w:rPr>
              <w:t>本附录中“投标报价”内容需全部填写在报价信封的“报价说明”中。</w:t>
            </w:r>
            <w:r>
              <w:rPr>
                <w:rFonts w:hint="eastAsia" w:ascii="宋体" w:hAnsi="宋体" w:cs="宋体"/>
                <w:color w:val="auto"/>
                <w:sz w:val="20"/>
                <w:szCs w:val="20"/>
                <w:highlight w:val="none"/>
                <w:lang w:val="en-US" w:eastAsia="zh-CN"/>
              </w:rPr>
              <w:t xml:space="preserve">   </w:t>
            </w: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3"/>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3"/>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3"/>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2"/>
        <w:jc w:val="center"/>
        <w:rPr>
          <w:color w:val="auto"/>
          <w:highlight w:val="none"/>
        </w:rPr>
      </w:pPr>
      <w:bookmarkStart w:id="41" w:name="_Toc418599356"/>
      <w:bookmarkStart w:id="42" w:name="_Toc144974860"/>
      <w:bookmarkStart w:id="43" w:name="_Toc152045791"/>
      <w:bookmarkStart w:id="44" w:name="_Toc152042580"/>
      <w:bookmarkStart w:id="45" w:name="_Toc1509965085"/>
      <w:bookmarkStart w:id="46" w:name="_Toc80105356"/>
      <w:bookmarkStart w:id="47" w:name="_Toc781250374"/>
      <w:r>
        <w:rPr>
          <w:rFonts w:hint="eastAsia"/>
          <w:color w:val="auto"/>
          <w:highlight w:val="none"/>
          <w:lang w:eastAsia="zh-CN"/>
        </w:rPr>
        <w:t>三</w:t>
      </w:r>
      <w:r>
        <w:rPr>
          <w:rFonts w:hint="eastAsia"/>
          <w:color w:val="auto"/>
          <w:highlight w:val="none"/>
        </w:rPr>
        <w:t xml:space="preserve">. </w:t>
      </w:r>
      <w:r>
        <w:rPr>
          <w:color w:val="auto"/>
          <w:highlight w:val="none"/>
        </w:rPr>
        <w:t>法定代表人身份证明</w:t>
      </w:r>
      <w:bookmarkEnd w:id="41"/>
      <w:bookmarkEnd w:id="42"/>
      <w:bookmarkEnd w:id="43"/>
      <w:bookmarkEnd w:id="44"/>
      <w:r>
        <w:rPr>
          <w:color w:val="auto"/>
          <w:highlight w:val="none"/>
        </w:rPr>
        <w:t>书</w:t>
      </w:r>
      <w:bookmarkEnd w:id="45"/>
      <w:bookmarkEnd w:id="46"/>
      <w:bookmarkEnd w:id="47"/>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2"/>
        <w:jc w:val="center"/>
        <w:rPr>
          <w:rFonts w:hint="eastAsia"/>
          <w:color w:val="auto"/>
          <w:highlight w:val="none"/>
        </w:rPr>
      </w:pPr>
      <w:bookmarkStart w:id="48" w:name="_Toc152042582"/>
      <w:bookmarkStart w:id="49" w:name="_Toc418599358"/>
      <w:bookmarkStart w:id="50" w:name="_Toc152045793"/>
      <w:r>
        <w:rPr>
          <w:rFonts w:hint="eastAsia"/>
          <w:color w:val="auto"/>
          <w:highlight w:val="none"/>
        </w:rPr>
        <w:br w:type="page"/>
      </w:r>
      <w:bookmarkStart w:id="51" w:name="_Toc728236261"/>
      <w:bookmarkStart w:id="52" w:name="_Toc128063875"/>
      <w:bookmarkStart w:id="53" w:name="_Toc80105357"/>
      <w:r>
        <w:rPr>
          <w:rFonts w:hint="eastAsia"/>
          <w:color w:val="auto"/>
          <w:highlight w:val="none"/>
          <w:lang w:eastAsia="zh-CN"/>
        </w:rPr>
        <w:t>四</w:t>
      </w:r>
      <w:r>
        <w:rPr>
          <w:rFonts w:hint="eastAsia"/>
          <w:color w:val="auto"/>
          <w:highlight w:val="none"/>
        </w:rPr>
        <w:t>. 联合体协议书</w:t>
      </w:r>
      <w:bookmarkEnd w:id="48"/>
      <w:bookmarkEnd w:id="49"/>
      <w:bookmarkEnd w:id="50"/>
      <w:bookmarkEnd w:id="51"/>
      <w:bookmarkEnd w:id="52"/>
      <w:bookmarkEnd w:id="53"/>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54" w:name="_Toc144974862"/>
    </w:p>
    <w:p>
      <w:pPr>
        <w:pStyle w:val="12"/>
        <w:jc w:val="center"/>
        <w:rPr>
          <w:rFonts w:hint="eastAsia"/>
          <w:color w:val="auto"/>
          <w:highlight w:val="none"/>
        </w:rPr>
      </w:pPr>
      <w:bookmarkStart w:id="55" w:name="_Toc152042583"/>
      <w:bookmarkStart w:id="56" w:name="_Toc152045794"/>
      <w:bookmarkStart w:id="57" w:name="_Toc609185639"/>
      <w:bookmarkStart w:id="58" w:name="_Toc418599359"/>
      <w:bookmarkStart w:id="59" w:name="_Toc80105358"/>
      <w:bookmarkStart w:id="60" w:name="_Toc53209973"/>
      <w:r>
        <w:rPr>
          <w:rFonts w:hint="eastAsia"/>
          <w:color w:val="auto"/>
          <w:highlight w:val="none"/>
          <w:lang w:eastAsia="zh-CN"/>
        </w:rPr>
        <w:t>五</w:t>
      </w:r>
      <w:r>
        <w:rPr>
          <w:rFonts w:hint="eastAsia"/>
          <w:color w:val="auto"/>
          <w:highlight w:val="none"/>
        </w:rPr>
        <w:t xml:space="preserve">. </w:t>
      </w:r>
      <w:r>
        <w:rPr>
          <w:color w:val="auto"/>
          <w:highlight w:val="none"/>
        </w:rPr>
        <w:t>投标</w:t>
      </w:r>
      <w:bookmarkEnd w:id="54"/>
      <w:bookmarkEnd w:id="55"/>
      <w:bookmarkEnd w:id="56"/>
      <w:r>
        <w:rPr>
          <w:rFonts w:hint="eastAsia"/>
          <w:color w:val="auto"/>
          <w:highlight w:val="none"/>
        </w:rPr>
        <w:t>人基本情况表</w:t>
      </w:r>
      <w:bookmarkEnd w:id="57"/>
      <w:bookmarkEnd w:id="58"/>
      <w:bookmarkEnd w:id="59"/>
      <w:bookmarkEnd w:id="60"/>
    </w:p>
    <w:p>
      <w:pPr>
        <w:spacing w:line="440" w:lineRule="exact"/>
        <w:rPr>
          <w:color w:val="auto"/>
          <w:szCs w:val="21"/>
          <w:highlight w:val="none"/>
        </w:rPr>
      </w:pP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vAlign w:val="center"/>
          </w:tcPr>
          <w:p>
            <w:pPr>
              <w:spacing w:line="360" w:lineRule="auto"/>
              <w:jc w:val="center"/>
              <w:rPr>
                <w:rFonts w:ascii="宋体" w:hAnsi="宋体"/>
                <w:color w:val="auto"/>
                <w:szCs w:val="21"/>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vAlign w:val="center"/>
          </w:tcPr>
          <w:p>
            <w:pPr>
              <w:spacing w:line="360" w:lineRule="auto"/>
              <w:jc w:val="center"/>
              <w:rPr>
                <w:rFonts w:ascii="宋体" w:hAnsi="宋体"/>
                <w:color w:val="auto"/>
                <w:szCs w:val="21"/>
                <w:highlight w:val="none"/>
              </w:rPr>
            </w:pPr>
          </w:p>
        </w:tc>
        <w:tc>
          <w:tcPr>
            <w:tcW w:w="1653"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vAlign w:val="center"/>
          </w:tcPr>
          <w:p>
            <w:pPr>
              <w:spacing w:line="360" w:lineRule="auto"/>
              <w:jc w:val="center"/>
              <w:rPr>
                <w:rFonts w:ascii="宋体" w:hAnsi="宋体"/>
                <w:color w:val="auto"/>
                <w:szCs w:val="21"/>
                <w:highlight w:val="none"/>
              </w:rPr>
            </w:pPr>
          </w:p>
        </w:tc>
        <w:tc>
          <w:tcPr>
            <w:tcW w:w="1653"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2"/>
        <w:jc w:val="center"/>
        <w:rPr>
          <w:rFonts w:hint="eastAsia"/>
          <w:color w:val="auto"/>
          <w:highlight w:val="none"/>
        </w:rPr>
      </w:pPr>
      <w:bookmarkStart w:id="61" w:name="_Toc144974863"/>
      <w:bookmarkStart w:id="62" w:name="_Toc152045795"/>
      <w:bookmarkStart w:id="63" w:name="_Toc152042584"/>
      <w:bookmarkStart w:id="64" w:name="_Toc513508566"/>
      <w:bookmarkStart w:id="65" w:name="_Toc80105359"/>
      <w:bookmarkStart w:id="66" w:name="_Toc1700319886"/>
      <w:r>
        <w:rPr>
          <w:rFonts w:hint="eastAsia"/>
          <w:color w:val="auto"/>
          <w:highlight w:val="none"/>
          <w:lang w:eastAsia="zh-CN"/>
        </w:rPr>
        <w:t>六</w:t>
      </w:r>
      <w:r>
        <w:rPr>
          <w:rFonts w:hint="eastAsia"/>
          <w:color w:val="auto"/>
          <w:highlight w:val="none"/>
        </w:rPr>
        <w:t>.</w:t>
      </w:r>
      <w:bookmarkEnd w:id="61"/>
      <w:bookmarkEnd w:id="62"/>
      <w:bookmarkEnd w:id="63"/>
      <w:bookmarkStart w:id="67" w:name="_Toc418599360"/>
      <w:r>
        <w:rPr>
          <w:rFonts w:hint="eastAsia"/>
          <w:color w:val="auto"/>
          <w:highlight w:val="none"/>
        </w:rPr>
        <w:t xml:space="preserve"> 拟投入项目主要岗位人员汇总表</w:t>
      </w:r>
      <w:bookmarkEnd w:id="64"/>
      <w:bookmarkEnd w:id="65"/>
      <w:bookmarkEnd w:id="66"/>
      <w:bookmarkEnd w:id="67"/>
    </w:p>
    <w:p>
      <w:pPr>
        <w:spacing w:line="440" w:lineRule="exact"/>
        <w:rPr>
          <w:rFonts w:hint="eastAsia"/>
          <w:color w:val="auto"/>
          <w:szCs w:val="21"/>
          <w:highlight w:val="none"/>
        </w:rPr>
      </w:pPr>
    </w:p>
    <w:tbl>
      <w:tblPr>
        <w:tblStyle w:val="9"/>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 xml:space="preserve">1. </w:t>
      </w:r>
      <w:r>
        <w:rPr>
          <w:rFonts w:hint="eastAsia" w:ascii="宋体" w:hAnsi="宋体"/>
          <w:color w:val="auto"/>
          <w:szCs w:val="21"/>
          <w:highlight w:val="none"/>
        </w:rPr>
        <w:t>以联合体形式投标的，</w:t>
      </w:r>
      <w:r>
        <w:rPr>
          <w:rFonts w:ascii="宋体" w:hAnsi="宋体"/>
          <w:color w:val="auto"/>
          <w:szCs w:val="21"/>
          <w:highlight w:val="none"/>
        </w:rPr>
        <w:t>由联合体各方自行组合提交</w:t>
      </w:r>
      <w:r>
        <w:rPr>
          <w:rFonts w:hint="eastAsia" w:ascii="宋体" w:hAnsi="宋体"/>
          <w:color w:val="auto"/>
          <w:szCs w:val="21"/>
          <w:highlight w:val="none"/>
          <w:lang w:eastAsia="zh-CN"/>
        </w:rPr>
        <w:t>并由牵头人进行企业数字证书电子签名</w:t>
      </w:r>
      <w:r>
        <w:rPr>
          <w:rFonts w:hint="eastAsia"/>
          <w:b/>
          <w:bCs/>
          <w:color w:val="auto"/>
          <w:szCs w:val="21"/>
          <w:highlight w:val="none"/>
        </w:rPr>
        <w:t>。</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《工程</w:t>
      </w:r>
      <w:r>
        <w:rPr>
          <w:rFonts w:hint="eastAsia"/>
          <w:color w:val="auto"/>
          <w:szCs w:val="21"/>
          <w:highlight w:val="none"/>
        </w:rPr>
        <w:t>设计（勘察设计）</w:t>
      </w:r>
      <w:r>
        <w:rPr>
          <w:color w:val="auto"/>
          <w:szCs w:val="21"/>
          <w:highlight w:val="none"/>
        </w:rPr>
        <w:t>主要岗位人员基本要求表》中列明的人员，按其要求在本表中填报，本表可以延伸。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2"/>
        <w:jc w:val="center"/>
        <w:rPr>
          <w:rFonts w:hint="eastAsia"/>
          <w:color w:val="auto"/>
          <w:highlight w:val="none"/>
        </w:rPr>
      </w:pPr>
      <w:bookmarkStart w:id="68" w:name="_Toc80105360"/>
      <w:bookmarkStart w:id="69" w:name="_Toc152042585"/>
      <w:bookmarkStart w:id="70" w:name="_Toc1158272022"/>
      <w:bookmarkStart w:id="71" w:name="_Toc152045796"/>
      <w:bookmarkStart w:id="72" w:name="_Toc979794206"/>
      <w:bookmarkStart w:id="73" w:name="_Toc418599361"/>
      <w:bookmarkStart w:id="74" w:name="_Toc144974864"/>
      <w:r>
        <w:rPr>
          <w:rFonts w:hint="eastAsia"/>
          <w:color w:val="auto"/>
          <w:highlight w:val="none"/>
          <w:lang w:eastAsia="zh-CN"/>
        </w:rPr>
        <w:t>七</w:t>
      </w:r>
      <w:r>
        <w:rPr>
          <w:rFonts w:hint="eastAsia"/>
          <w:color w:val="auto"/>
          <w:highlight w:val="none"/>
        </w:rPr>
        <w:t>. 拟投入项目主要岗位人员简历表</w:t>
      </w:r>
      <w:bookmarkEnd w:id="68"/>
      <w:bookmarkEnd w:id="69"/>
      <w:bookmarkEnd w:id="70"/>
      <w:bookmarkEnd w:id="71"/>
      <w:bookmarkEnd w:id="72"/>
      <w:bookmarkEnd w:id="73"/>
      <w:bookmarkEnd w:id="74"/>
    </w:p>
    <w:p>
      <w:pPr>
        <w:spacing w:line="440" w:lineRule="exact"/>
        <w:rPr>
          <w:rFonts w:hint="eastAsia"/>
          <w:color w:val="auto"/>
          <w:szCs w:val="21"/>
          <w:highlight w:val="none"/>
        </w:rPr>
      </w:pPr>
    </w:p>
    <w:tbl>
      <w:tblPr>
        <w:tblStyle w:val="9"/>
        <w:tblW w:w="8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主要设计（勘察设计）人员包括招标文件第二章“投标须人知”附件一《工程设计（勘察设计）主要岗位人员基本要求表》中列明的人员，按其要求的数量每人填一表。</w:t>
      </w:r>
    </w:p>
    <w:p>
      <w:pPr>
        <w:pStyle w:val="5"/>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color w:val="auto"/>
          <w:szCs w:val="21"/>
          <w:highlight w:val="none"/>
          <w:u w:val="none"/>
        </w:rPr>
      </w:pPr>
      <w:r>
        <w:rPr>
          <w:color w:val="auto"/>
          <w:szCs w:val="21"/>
          <w:highlight w:val="none"/>
        </w:rPr>
        <w:t>2</w:t>
      </w:r>
      <w:r>
        <w:rPr>
          <w:rFonts w:hint="eastAsia"/>
          <w:color w:val="auto"/>
          <w:szCs w:val="21"/>
          <w:highlight w:val="none"/>
        </w:rPr>
        <w:t xml:space="preserve">. </w:t>
      </w:r>
      <w:r>
        <w:rPr>
          <w:rFonts w:hint="eastAsia"/>
          <w:color w:val="auto"/>
          <w:szCs w:val="21"/>
          <w:highlight w:val="none"/>
          <w:u w:val="none"/>
        </w:rPr>
        <w:t>上述人员宜在表后附上身份证、毕业证、职称证、执业资格证、投标人企业近12个月（2022年11月—2023年10月）的社保证明材料（社保证明指社保缴费证明或加盖社保机构单位章的其他证明材料；社保证明材料应体现出岗位人员本人，投标人总公司或分公司的社保缴纳证明文件均予认可）及其他必要的，能证明相关人员符合招标文件第二章投标人须知附件一《工程设计（勘察设计）主要岗位人员基本要求表》要求及符合第三章“评标办法前附表3”中的人员评分标准的证明材料（原件扫描件或打印件，宜彩色复印或打印），并加盖投标人公司法人公章，否则造成相关人员专业、资格不被认可的后果由投标人自负。</w:t>
      </w:r>
    </w:p>
    <w:p>
      <w:pPr>
        <w:pStyle w:val="5"/>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u w:val="none"/>
        </w:rPr>
      </w:pPr>
      <w:r>
        <w:rPr>
          <w:rFonts w:hint="eastAsia"/>
          <w:color w:val="auto"/>
          <w:szCs w:val="21"/>
          <w:highlight w:val="none"/>
          <w:u w:val="none"/>
        </w:rPr>
        <w:t>上述人员为港澳居民时，所附身份证原件扫描件可用往来港澳通行证原件扫描件代替</w:t>
      </w:r>
      <w:r>
        <w:rPr>
          <w:rFonts w:hint="eastAsia" w:ascii="宋体" w:hAnsi="宋体" w:cs="宋体"/>
          <w:szCs w:val="21"/>
          <w:u w:val="none"/>
          <w:lang w:eastAsia="zh-CN"/>
        </w:rPr>
        <w:t>。</w:t>
      </w:r>
    </w:p>
    <w:p>
      <w:pPr>
        <w:spacing w:line="440" w:lineRule="exact"/>
        <w:ind w:firstLine="420" w:firstLineChars="200"/>
        <w:rPr>
          <w:rFonts w:hint="eastAsia"/>
          <w:b/>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w:t>
      </w:r>
      <w:r>
        <w:rPr>
          <w:rFonts w:hint="eastAsia"/>
          <w:b/>
          <w:color w:val="auto"/>
          <w:szCs w:val="21"/>
          <w:highlight w:val="none"/>
          <w:lang w:eastAsia="zh-CN"/>
        </w:rPr>
        <w:t>由牵头人进行企业数字证书电子签名。</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75" w:name="_Toc1132982343"/>
      <w:bookmarkStart w:id="76" w:name="_Toc418599363"/>
      <w:bookmarkStart w:id="77" w:name="_Toc415378022"/>
      <w:bookmarkStart w:id="78" w:name="_Toc80105361"/>
      <w:r>
        <w:rPr>
          <w:rFonts w:hint="eastAsia"/>
          <w:color w:val="auto"/>
          <w:highlight w:val="none"/>
          <w:lang w:val="en-US" w:eastAsia="zh-CN"/>
        </w:rPr>
        <w:t>八</w:t>
      </w:r>
      <w:r>
        <w:rPr>
          <w:rFonts w:hint="eastAsia"/>
          <w:color w:val="auto"/>
          <w:highlight w:val="none"/>
        </w:rPr>
        <w:t xml:space="preserve"> 其他材料</w:t>
      </w:r>
      <w:bookmarkEnd w:id="75"/>
      <w:bookmarkEnd w:id="76"/>
      <w:bookmarkEnd w:id="77"/>
      <w:bookmarkEnd w:id="78"/>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12"/>
        <w:jc w:val="center"/>
        <w:outlineLvl w:val="0"/>
        <w:rPr>
          <w:rFonts w:hint="eastAsia"/>
          <w:color w:val="auto"/>
          <w:highlight w:val="none"/>
        </w:rPr>
      </w:pPr>
      <w:bookmarkStart w:id="79" w:name="_Toc969716975"/>
      <w:bookmarkStart w:id="80" w:name="_Toc553809137"/>
      <w:bookmarkStart w:id="81" w:name="_Toc80105362"/>
      <w:bookmarkStart w:id="82" w:name="_Toc418599364"/>
      <w:r>
        <w:rPr>
          <w:rFonts w:hint="eastAsia"/>
          <w:color w:val="auto"/>
          <w:highlight w:val="none"/>
        </w:rPr>
        <w:t>第二部分、报价信封格式</w:t>
      </w:r>
      <w:bookmarkEnd w:id="79"/>
      <w:bookmarkEnd w:id="80"/>
      <w:bookmarkEnd w:id="81"/>
    </w:p>
    <w:p>
      <w:pPr>
        <w:ind w:firstLine="420" w:firstLineChars="200"/>
        <w:rPr>
          <w:rFonts w:hint="eastAsia" w:ascii="宋体" w:hAnsi="宋体"/>
          <w:color w:val="auto"/>
          <w:szCs w:val="21"/>
          <w:highlight w:val="none"/>
        </w:rPr>
      </w:pPr>
    </w:p>
    <w:p>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pPr>
        <w:pStyle w:val="12"/>
        <w:jc w:val="center"/>
        <w:outlineLvl w:val="0"/>
        <w:rPr>
          <w:rFonts w:hint="eastAsia"/>
          <w:color w:val="auto"/>
          <w:highlight w:val="none"/>
        </w:rPr>
      </w:pPr>
      <w:r>
        <w:rPr>
          <w:rFonts w:hint="eastAsia"/>
          <w:color w:val="auto"/>
          <w:highlight w:val="none"/>
        </w:rPr>
        <w:br w:type="page"/>
      </w:r>
      <w:bookmarkStart w:id="83" w:name="_Toc80105363"/>
      <w:bookmarkStart w:id="84" w:name="_Toc1441438457"/>
      <w:bookmarkStart w:id="85" w:name="_Toc1756057343"/>
      <w:r>
        <w:rPr>
          <w:rFonts w:hint="eastAsia"/>
          <w:color w:val="auto"/>
          <w:highlight w:val="none"/>
        </w:rPr>
        <w:t>第三部分、技术部分格式</w:t>
      </w:r>
      <w:bookmarkEnd w:id="82"/>
      <w:bookmarkEnd w:id="83"/>
      <w:bookmarkEnd w:id="84"/>
      <w:bookmarkEnd w:id="85"/>
    </w:p>
    <w:p>
      <w:pPr>
        <w:ind w:firstLine="420" w:firstLineChars="200"/>
        <w:rPr>
          <w:rFonts w:hint="eastAsia" w:ascii="宋体" w:hAnsi="宋体"/>
          <w:color w:val="auto"/>
          <w:szCs w:val="21"/>
          <w:highlight w:val="none"/>
        </w:rPr>
      </w:pPr>
    </w:p>
    <w:p>
      <w:pPr>
        <w:spacing w:line="360" w:lineRule="auto"/>
        <w:ind w:firstLine="525" w:firstLineChars="250"/>
        <w:rPr>
          <w:color w:val="auto"/>
          <w:highlight w:val="none"/>
        </w:rPr>
      </w:pPr>
      <w:r>
        <w:rPr>
          <w:rFonts w:hint="eastAsia" w:ascii="宋体" w:hAnsi="宋体" w:cs="宋体"/>
          <w:szCs w:val="21"/>
        </w:rPr>
        <w:t>封面格式</w:t>
      </w:r>
      <w:r>
        <w:rPr>
          <w:rFonts w:hint="eastAsia" w:ascii="宋体" w:hAnsi="宋体" w:cs="宋体"/>
          <w:szCs w:val="21"/>
          <w:lang w:eastAsia="zh-CN"/>
        </w:rPr>
        <w:t>另册</w:t>
      </w:r>
      <w:r>
        <w:rPr>
          <w:rFonts w:hint="eastAsia" w:ascii="宋体" w:hAnsi="宋体" w:cs="宋体"/>
          <w:szCs w:val="21"/>
        </w:rPr>
        <w:t>，</w:t>
      </w:r>
      <w:r>
        <w:rPr>
          <w:rFonts w:hint="eastAsia"/>
          <w:color w:val="auto"/>
          <w:highlight w:val="none"/>
        </w:rPr>
        <w:t>技术</w:t>
      </w:r>
      <w:r>
        <w:rPr>
          <w:rFonts w:hint="eastAsia"/>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ascii="宋体" w:hAnsi="宋体" w:cs="宋体"/>
          <w:szCs w:val="21"/>
        </w:rPr>
      </w:pPr>
      <w:r>
        <w:rPr>
          <w:rFonts w:hint="eastAsia" w:ascii="宋体" w:hAnsi="宋体" w:cs="宋体"/>
          <w:szCs w:val="21"/>
        </w:rPr>
        <w:t>投标人根据招标文件要求及实际情况</w:t>
      </w:r>
      <w:r>
        <w:rPr>
          <w:rFonts w:hint="eastAsia" w:ascii="宋体" w:hAnsi="宋体" w:cs="宋体"/>
          <w:szCs w:val="21"/>
          <w:lang w:eastAsia="zh-CN"/>
        </w:rPr>
        <w:t>编制</w:t>
      </w:r>
      <w:r>
        <w:rPr>
          <w:rFonts w:hint="eastAsia"/>
          <w:color w:val="auto"/>
          <w:highlight w:val="none"/>
        </w:rPr>
        <w:t>技术</w:t>
      </w:r>
      <w:r>
        <w:rPr>
          <w:rFonts w:hint="eastAsia"/>
          <w:color w:val="auto"/>
          <w:highlight w:val="none"/>
          <w:lang w:eastAsia="zh-CN"/>
        </w:rPr>
        <w:t>部分</w:t>
      </w:r>
      <w:r>
        <w:rPr>
          <w:rFonts w:hint="eastAsia" w:ascii="宋体" w:hAnsi="宋体" w:cs="宋体"/>
          <w:szCs w:val="21"/>
        </w:rPr>
        <w:t>，</w:t>
      </w:r>
      <w:r>
        <w:rPr>
          <w:rFonts w:hint="eastAsia" w:ascii="宋体" w:hAnsi="宋体"/>
          <w:highlight w:val="none"/>
        </w:rPr>
        <w:t>内容宜按照第三章</w:t>
      </w:r>
      <w:r>
        <w:rPr>
          <w:rFonts w:hint="eastAsia" w:ascii="宋体" w:hAnsi="宋体"/>
          <w:highlight w:val="none"/>
          <w:lang w:eastAsia="zh-CN"/>
        </w:rPr>
        <w:t>评标办法前附表</w:t>
      </w:r>
      <w:r>
        <w:rPr>
          <w:rFonts w:hint="eastAsia" w:ascii="宋体" w:hAnsi="宋体"/>
          <w:highlight w:val="none"/>
          <w:lang w:val="en-US" w:eastAsia="zh-CN"/>
        </w:rPr>
        <w:t>2</w:t>
      </w:r>
      <w:r>
        <w:rPr>
          <w:rFonts w:hint="eastAsia" w:ascii="宋体" w:hAnsi="宋体"/>
          <w:highlight w:val="none"/>
        </w:rPr>
        <w:t>技术标部分评审标准进行编制</w:t>
      </w:r>
      <w:r>
        <w:rPr>
          <w:rFonts w:hint="eastAsia" w:ascii="宋体" w:hAnsi="宋体"/>
          <w:highlight w:val="none"/>
          <w:lang w:eastAsia="zh-CN"/>
        </w:rPr>
        <w:t>。</w:t>
      </w: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adjustRightInd w:val="0"/>
        <w:snapToGrid w:val="0"/>
        <w:spacing w:line="760" w:lineRule="exact"/>
        <w:rPr>
          <w:rFonts w:ascii="宋体" w:hAnsi="宋体" w:cs="宋体"/>
          <w:spacing w:val="6"/>
          <w:sz w:val="24"/>
        </w:rPr>
      </w:pPr>
    </w:p>
    <w:p>
      <w:pPr>
        <w:spacing w:line="360" w:lineRule="auto"/>
        <w:rPr>
          <w:rFonts w:ascii="宋体" w:hAnsi="宋体"/>
          <w:color w:val="auto"/>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12"/>
        <w:jc w:val="both"/>
        <w:outlineLvl w:val="0"/>
        <w:rPr>
          <w:rFonts w:ascii="宋体" w:hAnsi="宋体"/>
          <w:color w:val="auto"/>
          <w:highlight w:val="none"/>
        </w:rPr>
      </w:pPr>
      <w:bookmarkStart w:id="86" w:name="_Toc80105364"/>
      <w:bookmarkStart w:id="87" w:name="_Toc437672571"/>
      <w:bookmarkStart w:id="88" w:name="_Toc1604177405"/>
      <w:r>
        <w:rPr>
          <w:rFonts w:hint="eastAsia"/>
          <w:color w:val="auto"/>
          <w:highlight w:val="none"/>
        </w:rPr>
        <w:t>第四部分、投标文件公示表格</w:t>
      </w:r>
      <w:bookmarkEnd w:id="86"/>
      <w:bookmarkEnd w:id="87"/>
      <w:bookmarkEnd w:id="88"/>
    </w:p>
    <w:p>
      <w:pPr>
        <w:pStyle w:val="4"/>
        <w:ind w:firstLine="157"/>
        <w:rPr>
          <w:rFonts w:hint="eastAsia" w:ascii="宋体" w:hAnsi="宋体" w:cs="宋体"/>
          <w:color w:val="auto"/>
          <w:sz w:val="28"/>
          <w:szCs w:val="28"/>
          <w:highlight w:val="none"/>
        </w:rPr>
      </w:pPr>
      <w:bookmarkStart w:id="89" w:name="_Toc284912016"/>
      <w:bookmarkStart w:id="90" w:name="_Toc1638026719"/>
      <w:bookmarkStart w:id="91" w:name="_Toc20236"/>
      <w:bookmarkStart w:id="92" w:name="_Toc80105365"/>
      <w:bookmarkStart w:id="93" w:name="_Toc9494"/>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89"/>
      <w:bookmarkEnd w:id="90"/>
      <w:bookmarkEnd w:id="91"/>
      <w:bookmarkEnd w:id="92"/>
      <w:bookmarkEnd w:id="93"/>
    </w:p>
    <w:tbl>
      <w:tblPr>
        <w:tblStyle w:val="9"/>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vAlign w:val="center"/>
          </w:tcPr>
          <w:p>
            <w:pPr>
              <w:rPr>
                <w:rFonts w:hint="eastAsia" w:eastAsia="黑体"/>
                <w:b/>
                <w:color w:val="auto"/>
                <w:sz w:val="22"/>
                <w:szCs w:val="22"/>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pPr>
              <w:spacing w:line="440" w:lineRule="exact"/>
              <w:jc w:val="center"/>
              <w:rPr>
                <w:rFonts w:eastAsia="黑体"/>
                <w:color w:val="auto"/>
                <w:sz w:val="20"/>
                <w:szCs w:val="20"/>
                <w:highlight w:val="none"/>
              </w:rPr>
            </w:pPr>
          </w:p>
        </w:tc>
        <w:tc>
          <w:tcPr>
            <w:tcW w:w="908" w:type="dxa"/>
            <w:vAlign w:val="center"/>
          </w:tcPr>
          <w:p>
            <w:pPr>
              <w:spacing w:line="440" w:lineRule="exact"/>
              <w:jc w:val="center"/>
              <w:rPr>
                <w:rFonts w:eastAsia="黑体"/>
                <w:color w:val="auto"/>
                <w:sz w:val="20"/>
                <w:szCs w:val="20"/>
                <w:highlight w:val="none"/>
              </w:rPr>
            </w:pPr>
          </w:p>
        </w:tc>
        <w:tc>
          <w:tcPr>
            <w:tcW w:w="756" w:type="dxa"/>
            <w:vAlign w:val="center"/>
          </w:tcPr>
          <w:p>
            <w:pPr>
              <w:spacing w:line="440" w:lineRule="exact"/>
              <w:jc w:val="center"/>
              <w:rPr>
                <w:rFonts w:eastAsia="黑体"/>
                <w:color w:val="auto"/>
                <w:sz w:val="20"/>
                <w:szCs w:val="20"/>
                <w:highlight w:val="none"/>
              </w:rPr>
            </w:pPr>
          </w:p>
        </w:tc>
        <w:tc>
          <w:tcPr>
            <w:tcW w:w="1209" w:type="dxa"/>
            <w:vAlign w:val="center"/>
          </w:tcPr>
          <w:p>
            <w:pPr>
              <w:spacing w:line="440" w:lineRule="exact"/>
              <w:jc w:val="center"/>
              <w:rPr>
                <w:rFonts w:eastAsia="黑体"/>
                <w:color w:val="auto"/>
                <w:sz w:val="20"/>
                <w:szCs w:val="20"/>
                <w:highlight w:val="none"/>
              </w:rPr>
            </w:pPr>
          </w:p>
        </w:tc>
        <w:tc>
          <w:tcPr>
            <w:tcW w:w="768"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343" w:type="dxa"/>
            <w:vAlign w:val="center"/>
          </w:tcPr>
          <w:p>
            <w:pPr>
              <w:spacing w:line="440" w:lineRule="exact"/>
              <w:jc w:val="center"/>
              <w:rPr>
                <w:rFonts w:eastAsia="黑体"/>
                <w:color w:val="auto"/>
                <w:sz w:val="20"/>
                <w:szCs w:val="20"/>
                <w:highlight w:val="none"/>
              </w:rPr>
            </w:pPr>
          </w:p>
        </w:tc>
        <w:tc>
          <w:tcPr>
            <w:tcW w:w="1010" w:type="dxa"/>
            <w:vAlign w:val="center"/>
          </w:tcPr>
          <w:p>
            <w:pPr>
              <w:spacing w:line="440" w:lineRule="exact"/>
              <w:jc w:val="center"/>
              <w:rPr>
                <w:rFonts w:eastAsia="黑体"/>
                <w:color w:val="auto"/>
                <w:sz w:val="20"/>
                <w:szCs w:val="20"/>
                <w:highlight w:val="none"/>
              </w:rPr>
            </w:pPr>
          </w:p>
        </w:tc>
      </w:tr>
    </w:tbl>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2.本表其余栏目应与投标文件第一部分第6点“拟投入项目主要岗位人员汇总表”填报内容一致。</w:t>
      </w:r>
    </w:p>
    <w:p>
      <w:pPr>
        <w:spacing w:line="360" w:lineRule="auto"/>
        <w:jc w:val="left"/>
        <w:rPr>
          <w:rFonts w:hint="eastAsia" w:ascii="宋体" w:hAnsi="宋体" w:cs="宋体"/>
          <w:color w:val="auto"/>
          <w:szCs w:val="21"/>
          <w:highlight w:val="none"/>
        </w:rPr>
      </w:pPr>
    </w:p>
    <w:p>
      <w:pPr>
        <w:pStyle w:val="4"/>
        <w:ind w:firstLine="157"/>
        <w:rPr>
          <w:rFonts w:hint="eastAsia"/>
          <w:color w:val="auto"/>
          <w:highlight w:val="none"/>
        </w:rPr>
      </w:pPr>
      <w:bookmarkStart w:id="94" w:name="_Toc143329013"/>
      <w:bookmarkStart w:id="95" w:name="_Toc861703630"/>
      <w:bookmarkStart w:id="96" w:name="_Toc80105366"/>
      <w:bookmarkStart w:id="97" w:name="_Toc17950"/>
      <w:bookmarkStart w:id="98" w:name="_Toc27752"/>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94"/>
      <w:bookmarkEnd w:id="95"/>
      <w:bookmarkEnd w:id="96"/>
      <w:bookmarkEnd w:id="97"/>
      <w:bookmarkEnd w:id="98"/>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6"/>
        <w:spacing w:line="360" w:lineRule="auto"/>
        <w:ind w:left="630" w:hanging="210" w:hangingChars="100"/>
        <w:rPr>
          <w:rFonts w:hint="eastAsia" w:ascii="宋体" w:hAnsi="宋体" w:cs="宋体"/>
          <w:color w:val="auto"/>
          <w:szCs w:val="21"/>
          <w:highlight w:val="none"/>
        </w:rPr>
      </w:pPr>
    </w:p>
    <w:p>
      <w:pPr>
        <w:pStyle w:val="4"/>
        <w:ind w:firstLine="157"/>
        <w:rPr>
          <w:rFonts w:hint="eastAsia"/>
          <w:color w:val="auto"/>
          <w:highlight w:val="none"/>
        </w:rPr>
      </w:pPr>
      <w:bookmarkStart w:id="99" w:name="_Toc29262"/>
      <w:bookmarkStart w:id="100" w:name="_Toc1530113050"/>
      <w:bookmarkStart w:id="101" w:name="_Toc80105367"/>
      <w:bookmarkStart w:id="102" w:name="_Toc1322163681"/>
      <w:bookmarkStart w:id="103" w:name="_Toc26015"/>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99"/>
      <w:bookmarkEnd w:id="100"/>
      <w:bookmarkEnd w:id="101"/>
      <w:bookmarkEnd w:id="102"/>
      <w:bookmarkEnd w:id="103"/>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pStyle w:val="6"/>
        <w:spacing w:line="360" w:lineRule="auto"/>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《评标办法附表3商务标部分评审标准》内采取项目负责人业绩作为评审标准时，应填写并提交本表。</w:t>
      </w:r>
    </w:p>
    <w:p>
      <w:pPr>
        <w:ind w:firstLine="420" w:firstLineChars="200"/>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3BCC406B"/>
    <w:rsid w:val="43484745"/>
    <w:rsid w:val="576F0018"/>
    <w:rsid w:val="59B01917"/>
    <w:rsid w:val="7803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customStyle="1" w:styleId="11">
    <w:name w:val="样式 宋体 行距: 1.5 倍行距"/>
    <w:basedOn w:val="1"/>
    <w:qFormat/>
    <w:uiPriority w:val="0"/>
    <w:pPr>
      <w:jc w:val="center"/>
    </w:pPr>
    <w:rPr>
      <w:rFonts w:ascii="Times New Roman" w:hAnsi="Times New Roman"/>
      <w:b/>
    </w:rPr>
  </w:style>
  <w:style w:type="paragraph" w:customStyle="1" w:styleId="1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4301</Words>
  <Characters>4371</Characters>
  <Lines>0</Lines>
  <Paragraphs>0</Paragraphs>
  <TotalTime>1</TotalTime>
  <ScaleCrop>false</ScaleCrop>
  <LinksUpToDate>false</LinksUpToDate>
  <CharactersWithSpaces>5658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2023-12-25T01:27:41Z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08F64DA283894A88BEA8DDE3A6381FFD</vt:lpwstr>
  </property>
</Properties>
</file>