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color w:val="auto"/>
          <w:highlight w:val="none"/>
        </w:rPr>
        <w:sectPr>
          <w:pgSz w:w="12240" w:h="15840"/>
          <w:pgMar w:top="1346" w:right="1101" w:bottom="0" w:left="1084" w:header="0" w:footer="0" w:gutter="0"/>
          <w:cols w:equalWidth="0" w:num="1">
            <w:col w:w="10054"/>
          </w:cols>
        </w:sectPr>
      </w:pPr>
    </w:p>
    <w:p>
      <w:pPr>
        <w:spacing w:before="51" w:line="228" w:lineRule="auto"/>
        <w:outlineLvl w:val="0"/>
        <w:rPr>
          <w:rFonts w:ascii="Times New Roman" w:hAnsi="Times New Roman" w:eastAsia="黑体" w:cs="Times New Roman"/>
          <w:color w:val="auto"/>
          <w:sz w:val="25"/>
          <w:szCs w:val="25"/>
          <w:highlight w:val="none"/>
        </w:rPr>
      </w:pPr>
      <w:r>
        <w:rPr>
          <w:rFonts w:ascii="黑体" w:hAnsi="黑体" w:eastAsia="黑体" w:cs="黑体"/>
          <w:color w:val="auto"/>
          <w:spacing w:val="-5"/>
          <w:sz w:val="25"/>
          <w:szCs w:val="25"/>
          <w:highlight w:val="none"/>
        </w:rPr>
        <w:t>附</w:t>
      </w:r>
      <w:r>
        <w:rPr>
          <w:rFonts w:ascii="黑体" w:hAnsi="黑体" w:eastAsia="黑体" w:cs="黑体"/>
          <w:color w:val="auto"/>
          <w:spacing w:val="-4"/>
          <w:sz w:val="25"/>
          <w:szCs w:val="25"/>
          <w:highlight w:val="none"/>
        </w:rPr>
        <w:t>件</w:t>
      </w:r>
      <w:r>
        <w:rPr>
          <w:rFonts w:hint="eastAsia" w:ascii="Times New Roman" w:hAnsi="Times New Roman" w:cs="Times New Roman" w:eastAsiaTheme="minorEastAsia"/>
          <w:color w:val="auto"/>
          <w:spacing w:val="-4"/>
          <w:sz w:val="25"/>
          <w:szCs w:val="25"/>
          <w:highlight w:val="none"/>
        </w:rPr>
        <w:t>5.1</w:t>
      </w:r>
    </w:p>
    <w:p>
      <w:pPr>
        <w:spacing w:before="263" w:line="222" w:lineRule="auto"/>
        <w:ind w:right="146"/>
        <w:jc w:val="right"/>
        <w:rPr>
          <w:rFonts w:ascii="新宋体" w:hAnsi="新宋体" w:eastAsia="新宋体" w:cs="新宋体"/>
          <w:color w:val="auto"/>
          <w:sz w:val="36"/>
          <w:szCs w:val="36"/>
          <w:highlight w:val="none"/>
        </w:rPr>
      </w:pPr>
      <w:r>
        <w:rPr>
          <w:rFonts w:hint="eastAsia" w:ascii="新宋体" w:hAnsi="新宋体" w:eastAsia="新宋体" w:cs="新宋体"/>
          <w:color w:val="auto"/>
          <w:spacing w:val="4"/>
          <w:sz w:val="36"/>
          <w:szCs w:val="36"/>
          <w:highlight w:val="none"/>
        </w:rPr>
        <w:t>勘察</w:t>
      </w:r>
      <w:r>
        <w:rPr>
          <w:rFonts w:ascii="新宋体" w:hAnsi="新宋体" w:eastAsia="新宋体" w:cs="新宋体"/>
          <w:color w:val="auto"/>
          <w:spacing w:val="4"/>
          <w:sz w:val="36"/>
          <w:szCs w:val="36"/>
          <w:highlight w:val="none"/>
        </w:rPr>
        <w:t>设</w:t>
      </w:r>
      <w:r>
        <w:rPr>
          <w:rFonts w:ascii="新宋体" w:hAnsi="新宋体" w:eastAsia="新宋体" w:cs="新宋体"/>
          <w:color w:val="auto"/>
          <w:spacing w:val="3"/>
          <w:sz w:val="36"/>
          <w:szCs w:val="36"/>
          <w:highlight w:val="none"/>
        </w:rPr>
        <w:t>计</w:t>
      </w:r>
      <w:r>
        <w:rPr>
          <w:rFonts w:ascii="新宋体" w:hAnsi="新宋体" w:eastAsia="新宋体" w:cs="新宋体"/>
          <w:color w:val="auto"/>
          <w:spacing w:val="2"/>
          <w:sz w:val="36"/>
          <w:szCs w:val="36"/>
          <w:highlight w:val="none"/>
        </w:rPr>
        <w:t>单位履约考核评分表</w:t>
      </w:r>
    </w:p>
    <w:p>
      <w:pPr>
        <w:spacing w:before="2" w:line="225" w:lineRule="auto"/>
        <w:ind w:left="2918"/>
        <w:jc w:val="center"/>
        <w:rPr>
          <w:rFonts w:ascii="宋体" w:hAnsi="宋体" w:eastAsia="宋体" w:cs="宋体"/>
          <w:color w:val="auto"/>
          <w:sz w:val="32"/>
          <w:szCs w:val="32"/>
          <w:highlight w:val="none"/>
        </w:rPr>
      </w:pPr>
      <w:r>
        <w:rPr>
          <w:rFonts w:ascii="宋体" w:hAnsi="宋体" w:eastAsia="宋体" w:cs="宋体"/>
          <w:color w:val="auto"/>
          <w:spacing w:val="18"/>
          <w:sz w:val="32"/>
          <w:szCs w:val="32"/>
          <w:highlight w:val="none"/>
        </w:rPr>
        <w:t>(</w:t>
      </w:r>
      <w:r>
        <w:rPr>
          <w:rFonts w:ascii="宋体" w:hAnsi="宋体" w:eastAsia="宋体" w:cs="宋体"/>
          <w:color w:val="auto"/>
          <w:spacing w:val="17"/>
          <w:sz w:val="32"/>
          <w:szCs w:val="32"/>
          <w:highlight w:val="none"/>
        </w:rPr>
        <w:t>勘察设计阶段)</w:t>
      </w:r>
    </w:p>
    <w:p>
      <w:pPr>
        <w:spacing w:before="284" w:line="228" w:lineRule="auto"/>
        <w:ind w:left="57"/>
        <w:rPr>
          <w:rFonts w:ascii="宋体" w:hAnsi="宋体" w:eastAsia="宋体" w:cs="宋体"/>
          <w:color w:val="auto"/>
          <w:highlight w:val="none"/>
        </w:rPr>
      </w:pPr>
      <w:r>
        <w:rPr>
          <w:rFonts w:ascii="宋体" w:hAnsi="宋体" w:eastAsia="宋体" w:cs="宋体"/>
          <w:color w:val="auto"/>
          <w:spacing w:val="-2"/>
          <w:highlight w:val="none"/>
        </w:rPr>
        <w:t>项</w:t>
      </w:r>
      <w:r>
        <w:rPr>
          <w:rFonts w:ascii="宋体" w:hAnsi="宋体" w:eastAsia="宋体" w:cs="宋体"/>
          <w:color w:val="auto"/>
          <w:spacing w:val="-1"/>
          <w:highlight w:val="none"/>
        </w:rPr>
        <w:t>目名称：</w:t>
      </w:r>
    </w:p>
    <w:p>
      <w:pPr>
        <w:spacing w:before="245" w:line="209" w:lineRule="auto"/>
        <w:ind w:left="54"/>
        <w:rPr>
          <w:rFonts w:ascii="宋体" w:hAnsi="宋体" w:eastAsia="宋体" w:cs="宋体"/>
          <w:color w:val="auto"/>
          <w:highlight w:val="none"/>
        </w:rPr>
      </w:pPr>
      <w:r>
        <w:rPr>
          <w:rFonts w:ascii="宋体" w:hAnsi="宋体" w:eastAsia="宋体" w:cs="宋体"/>
          <w:color w:val="auto"/>
          <w:spacing w:val="-2"/>
          <w:highlight w:val="none"/>
        </w:rPr>
        <w:t xml:space="preserve">服务单位：  </w:t>
      </w:r>
    </w:p>
    <w:p>
      <w:pPr>
        <w:spacing w:line="14" w:lineRule="auto"/>
        <w:rPr>
          <w:color w:val="auto"/>
          <w:sz w:val="2"/>
          <w:highlight w:val="none"/>
        </w:rPr>
      </w:pPr>
      <w:r>
        <w:rPr>
          <w:color w:val="auto"/>
          <w:sz w:val="2"/>
          <w:szCs w:val="2"/>
          <w:highlight w:val="none"/>
        </w:rPr>
        <w:br w:type="column"/>
      </w:r>
    </w:p>
    <w:p>
      <w:pPr>
        <w:spacing w:line="277" w:lineRule="auto"/>
        <w:rPr>
          <w:color w:val="auto"/>
          <w:highlight w:val="none"/>
        </w:rPr>
      </w:pPr>
    </w:p>
    <w:p>
      <w:pPr>
        <w:spacing w:line="277" w:lineRule="auto"/>
        <w:rPr>
          <w:color w:val="auto"/>
          <w:highlight w:val="none"/>
        </w:rPr>
      </w:pPr>
    </w:p>
    <w:p>
      <w:pPr>
        <w:spacing w:line="277" w:lineRule="auto"/>
        <w:rPr>
          <w:color w:val="auto"/>
          <w:highlight w:val="none"/>
        </w:rPr>
      </w:pPr>
    </w:p>
    <w:p>
      <w:pPr>
        <w:spacing w:line="277" w:lineRule="auto"/>
        <w:rPr>
          <w:color w:val="auto"/>
          <w:highlight w:val="none"/>
        </w:rPr>
      </w:pPr>
    </w:p>
    <w:p>
      <w:pPr>
        <w:spacing w:line="277" w:lineRule="auto"/>
        <w:rPr>
          <w:color w:val="auto"/>
          <w:highlight w:val="none"/>
        </w:rPr>
      </w:pPr>
    </w:p>
    <w:p>
      <w:pPr>
        <w:spacing w:line="278" w:lineRule="auto"/>
        <w:rPr>
          <w:color w:val="auto"/>
          <w:highlight w:val="none"/>
        </w:rPr>
      </w:pPr>
    </w:p>
    <w:p>
      <w:pPr>
        <w:spacing w:before="68" w:line="514" w:lineRule="exact"/>
        <w:rPr>
          <w:rFonts w:ascii="宋体" w:hAnsi="宋体" w:eastAsia="宋体" w:cs="宋体"/>
          <w:color w:val="auto"/>
          <w:highlight w:val="none"/>
        </w:rPr>
      </w:pPr>
      <w:r>
        <w:rPr>
          <w:rFonts w:ascii="宋体" w:hAnsi="宋体" w:eastAsia="宋体" w:cs="宋体"/>
          <w:color w:val="auto"/>
          <w:spacing w:val="-5"/>
          <w:position w:val="23"/>
          <w:highlight w:val="none"/>
        </w:rPr>
        <w:t>考</w:t>
      </w:r>
      <w:r>
        <w:rPr>
          <w:rFonts w:ascii="宋体" w:hAnsi="宋体" w:eastAsia="宋体" w:cs="宋体"/>
          <w:color w:val="auto"/>
          <w:spacing w:val="-3"/>
          <w:position w:val="23"/>
          <w:highlight w:val="none"/>
        </w:rPr>
        <w:t>评单位：</w:t>
      </w:r>
    </w:p>
    <w:p>
      <w:pPr>
        <w:spacing w:line="192" w:lineRule="auto"/>
        <w:rPr>
          <w:rFonts w:ascii="宋体" w:hAnsi="宋体" w:eastAsia="宋体" w:cs="宋体"/>
          <w:color w:val="auto"/>
          <w:highlight w:val="none"/>
        </w:rPr>
      </w:pPr>
      <w:r>
        <w:rPr>
          <w:rFonts w:ascii="宋体" w:hAnsi="宋体" w:eastAsia="宋体" w:cs="宋体"/>
          <w:color w:val="auto"/>
          <w:spacing w:val="-5"/>
          <w:highlight w:val="none"/>
        </w:rPr>
        <w:t>考</w:t>
      </w:r>
      <w:r>
        <w:rPr>
          <w:rFonts w:ascii="宋体" w:hAnsi="宋体" w:eastAsia="宋体" w:cs="宋体"/>
          <w:color w:val="auto"/>
          <w:spacing w:val="-3"/>
          <w:highlight w:val="none"/>
        </w:rPr>
        <w:t>评节点：</w:t>
      </w:r>
    </w:p>
    <w:p>
      <w:pPr>
        <w:rPr>
          <w:color w:val="auto"/>
          <w:highlight w:val="none"/>
        </w:rPr>
        <w:sectPr>
          <w:type w:val="continuous"/>
          <w:pgSz w:w="12240" w:h="15840"/>
          <w:pgMar w:top="1346" w:right="1101" w:bottom="0" w:left="1084" w:header="0" w:footer="0" w:gutter="0"/>
          <w:cols w:equalWidth="0" w:num="2">
            <w:col w:w="7546" w:space="100"/>
            <w:col w:w="2409"/>
          </w:cols>
        </w:sectPr>
      </w:pPr>
    </w:p>
    <w:p>
      <w:pPr>
        <w:spacing w:line="125" w:lineRule="exact"/>
        <w:rPr>
          <w:color w:val="auto"/>
          <w:highlight w:val="none"/>
        </w:rPr>
      </w:pPr>
    </w:p>
    <w:tbl>
      <w:tblPr>
        <w:tblStyle w:val="9"/>
        <w:tblW w:w="10038" w:type="dxa"/>
        <w:tblInd w:w="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00"/>
        <w:gridCol w:w="1225"/>
        <w:gridCol w:w="1059"/>
        <w:gridCol w:w="4704"/>
        <w:gridCol w:w="781"/>
        <w:gridCol w:w="1669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1" w:hRule="atLeast"/>
        </w:trPr>
        <w:tc>
          <w:tcPr>
            <w:tcW w:w="60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31" w:line="231" w:lineRule="auto"/>
              <w:ind w:left="84"/>
              <w:rPr>
                <w:rFonts w:ascii="黑体" w:hAnsi="黑体" w:eastAsia="黑体" w:cs="黑体"/>
                <w:color w:val="auto"/>
                <w:highlight w:val="none"/>
              </w:rPr>
            </w:pPr>
            <w:r>
              <w:rPr>
                <w:rFonts w:ascii="黑体" w:hAnsi="黑体" w:eastAsia="黑体" w:cs="黑体"/>
                <w:color w:val="auto"/>
                <w:spacing w:val="5"/>
                <w:highlight w:val="none"/>
              </w:rPr>
              <w:t>序号</w:t>
            </w:r>
          </w:p>
        </w:tc>
        <w:tc>
          <w:tcPr>
            <w:tcW w:w="1225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31" w:line="230" w:lineRule="auto"/>
              <w:ind w:left="173"/>
              <w:rPr>
                <w:rFonts w:ascii="黑体" w:hAnsi="黑体" w:eastAsia="黑体" w:cs="黑体"/>
                <w:color w:val="auto"/>
                <w:highlight w:val="none"/>
              </w:rPr>
            </w:pPr>
            <w:r>
              <w:rPr>
                <w:rFonts w:ascii="黑体" w:hAnsi="黑体" w:eastAsia="黑体" w:cs="黑体"/>
                <w:color w:val="auto"/>
                <w:spacing w:val="8"/>
                <w:highlight w:val="none"/>
              </w:rPr>
              <w:t>考核内容</w:t>
            </w:r>
          </w:p>
        </w:tc>
        <w:tc>
          <w:tcPr>
            <w:tcW w:w="105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31" w:line="230" w:lineRule="auto"/>
              <w:ind w:left="89"/>
              <w:rPr>
                <w:rFonts w:ascii="黑体" w:hAnsi="黑体" w:eastAsia="黑体" w:cs="黑体"/>
                <w:color w:val="auto"/>
                <w:highlight w:val="none"/>
              </w:rPr>
            </w:pPr>
            <w:r>
              <w:rPr>
                <w:rFonts w:ascii="黑体" w:hAnsi="黑体" w:eastAsia="黑体" w:cs="黑体"/>
                <w:color w:val="auto"/>
                <w:spacing w:val="9"/>
                <w:highlight w:val="none"/>
              </w:rPr>
              <w:t>标准分值</w:t>
            </w:r>
          </w:p>
        </w:tc>
        <w:tc>
          <w:tcPr>
            <w:tcW w:w="470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32" w:line="228" w:lineRule="auto"/>
              <w:ind w:left="1693"/>
              <w:rPr>
                <w:rFonts w:ascii="黑体" w:hAnsi="黑体" w:eastAsia="黑体" w:cs="黑体"/>
                <w:color w:val="auto"/>
                <w:highlight w:val="none"/>
              </w:rPr>
            </w:pPr>
            <w:r>
              <w:rPr>
                <w:rFonts w:ascii="黑体" w:hAnsi="黑体" w:eastAsia="黑体" w:cs="黑体"/>
                <w:color w:val="auto"/>
                <w:spacing w:val="9"/>
                <w:highlight w:val="none"/>
              </w:rPr>
              <w:t>考核具体说</w:t>
            </w:r>
            <w:r>
              <w:rPr>
                <w:rFonts w:ascii="黑体" w:hAnsi="黑体" w:eastAsia="黑体" w:cs="黑体"/>
                <w:color w:val="auto"/>
                <w:spacing w:val="8"/>
                <w:highlight w:val="none"/>
              </w:rPr>
              <w:t>明</w:t>
            </w:r>
          </w:p>
        </w:tc>
        <w:tc>
          <w:tcPr>
            <w:tcW w:w="78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31" w:line="230" w:lineRule="auto"/>
              <w:ind w:left="184"/>
              <w:rPr>
                <w:rFonts w:ascii="黑体" w:hAnsi="黑体" w:eastAsia="黑体" w:cs="黑体"/>
                <w:color w:val="auto"/>
                <w:highlight w:val="none"/>
              </w:rPr>
            </w:pPr>
            <w:r>
              <w:rPr>
                <w:rFonts w:ascii="黑体" w:hAnsi="黑体" w:eastAsia="黑体" w:cs="黑体"/>
                <w:color w:val="auto"/>
                <w:spacing w:val="5"/>
                <w:highlight w:val="none"/>
              </w:rPr>
              <w:t>得</w:t>
            </w:r>
            <w:r>
              <w:rPr>
                <w:rFonts w:ascii="黑体" w:hAnsi="黑体" w:eastAsia="黑体" w:cs="黑体"/>
                <w:color w:val="auto"/>
                <w:spacing w:val="4"/>
                <w:highlight w:val="none"/>
              </w:rPr>
              <w:t>分</w:t>
            </w:r>
          </w:p>
        </w:tc>
        <w:tc>
          <w:tcPr>
            <w:tcW w:w="166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32" w:line="228" w:lineRule="auto"/>
              <w:ind w:left="183"/>
              <w:rPr>
                <w:rFonts w:ascii="黑体" w:hAnsi="黑体" w:eastAsia="黑体" w:cs="黑体"/>
                <w:color w:val="auto"/>
                <w:highlight w:val="none"/>
              </w:rPr>
            </w:pPr>
            <w:r>
              <w:rPr>
                <w:rFonts w:ascii="黑体" w:hAnsi="黑体" w:eastAsia="黑体" w:cs="黑体"/>
                <w:color w:val="auto"/>
                <w:spacing w:val="9"/>
                <w:highlight w:val="none"/>
              </w:rPr>
              <w:t>得分情况说</w:t>
            </w:r>
            <w:r>
              <w:rPr>
                <w:rFonts w:ascii="黑体" w:hAnsi="黑体" w:eastAsia="黑体" w:cs="黑体"/>
                <w:color w:val="auto"/>
                <w:spacing w:val="8"/>
                <w:highlight w:val="none"/>
              </w:rPr>
              <w:t>明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7" w:hRule="atLeast"/>
        </w:trPr>
        <w:tc>
          <w:tcPr>
            <w:tcW w:w="60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line="241" w:lineRule="auto"/>
              <w:rPr>
                <w:color w:val="auto"/>
                <w:highlight w:val="none"/>
              </w:rPr>
            </w:pPr>
          </w:p>
          <w:p>
            <w:pPr>
              <w:spacing w:before="61" w:line="192" w:lineRule="auto"/>
              <w:ind w:left="267"/>
              <w:rPr>
                <w:rFonts w:ascii="Times New Roman" w:hAnsi="Times New Roman" w:eastAsia="Times New Roman" w:cs="Times New Roman"/>
                <w:color w:val="auto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auto"/>
                <w:highlight w:val="none"/>
              </w:rPr>
              <w:t>1</w:t>
            </w:r>
          </w:p>
        </w:tc>
        <w:tc>
          <w:tcPr>
            <w:tcW w:w="1225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line="298" w:lineRule="auto"/>
              <w:rPr>
                <w:color w:val="auto"/>
                <w:highlight w:val="none"/>
              </w:rPr>
            </w:pPr>
          </w:p>
          <w:p>
            <w:pPr>
              <w:spacing w:line="299" w:lineRule="auto"/>
              <w:rPr>
                <w:color w:val="auto"/>
                <w:highlight w:val="none"/>
              </w:rPr>
            </w:pPr>
          </w:p>
          <w:p>
            <w:pPr>
              <w:spacing w:line="299" w:lineRule="auto"/>
              <w:rPr>
                <w:color w:val="auto"/>
                <w:highlight w:val="none"/>
              </w:rPr>
            </w:pPr>
          </w:p>
          <w:p>
            <w:pPr>
              <w:spacing w:line="299" w:lineRule="auto"/>
              <w:rPr>
                <w:color w:val="auto"/>
                <w:highlight w:val="none"/>
              </w:rPr>
            </w:pPr>
          </w:p>
          <w:p>
            <w:pPr>
              <w:spacing w:before="68" w:line="228" w:lineRule="auto"/>
              <w:ind w:left="175"/>
              <w:rPr>
                <w:rFonts w:ascii="宋体" w:hAnsi="宋体" w:eastAsia="宋体" w:cs="宋体"/>
                <w:color w:val="auto"/>
                <w:highlight w:val="none"/>
              </w:rPr>
            </w:pPr>
            <w:r>
              <w:rPr>
                <w:rFonts w:ascii="宋体" w:hAnsi="宋体" w:eastAsia="宋体" w:cs="宋体"/>
                <w:color w:val="auto"/>
                <w:spacing w:val="6"/>
                <w:highlight w:val="none"/>
              </w:rPr>
              <w:t>人员配</w:t>
            </w:r>
            <w:r>
              <w:rPr>
                <w:rFonts w:ascii="宋体" w:hAnsi="宋体" w:eastAsia="宋体" w:cs="宋体"/>
                <w:color w:val="auto"/>
                <w:spacing w:val="5"/>
                <w:highlight w:val="none"/>
              </w:rPr>
              <w:t>备</w:t>
            </w:r>
          </w:p>
        </w:tc>
        <w:tc>
          <w:tcPr>
            <w:tcW w:w="105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line="244" w:lineRule="auto"/>
              <w:rPr>
                <w:color w:val="auto"/>
                <w:highlight w:val="none"/>
              </w:rPr>
            </w:pPr>
          </w:p>
          <w:p>
            <w:pPr>
              <w:spacing w:line="245" w:lineRule="auto"/>
              <w:rPr>
                <w:color w:val="auto"/>
                <w:highlight w:val="none"/>
              </w:rPr>
            </w:pPr>
          </w:p>
          <w:p>
            <w:pPr>
              <w:spacing w:before="60" w:line="189" w:lineRule="auto"/>
              <w:ind w:left="474"/>
              <w:rPr>
                <w:rFonts w:ascii="Times New Roman" w:hAnsi="Times New Roman" w:eastAsia="Times New Roman" w:cs="Times New Roman"/>
                <w:color w:val="auto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auto"/>
                <w:highlight w:val="none"/>
              </w:rPr>
              <w:t>5</w:t>
            </w:r>
          </w:p>
        </w:tc>
        <w:tc>
          <w:tcPr>
            <w:tcW w:w="470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tabs>
                <w:tab w:val="left" w:pos="150"/>
              </w:tabs>
              <w:spacing w:before="2" w:line="231" w:lineRule="auto"/>
              <w:ind w:left="38" w:right="20" w:hanging="3"/>
              <w:rPr>
                <w:rFonts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ascii="宋体" w:hAnsi="宋体" w:eastAsia="宋体" w:cs="宋体"/>
                <w:color w:val="auto"/>
                <w:spacing w:val="20"/>
                <w:highlight w:val="none"/>
              </w:rPr>
              <w:t>配</w:t>
            </w:r>
            <w:r>
              <w:rPr>
                <w:rFonts w:ascii="宋体" w:hAnsi="宋体" w:eastAsia="宋体" w:cs="宋体"/>
                <w:color w:val="auto"/>
                <w:spacing w:val="13"/>
                <w:highlight w:val="none"/>
              </w:rPr>
              <w:t>备</w:t>
            </w:r>
            <w:r>
              <w:rPr>
                <w:rFonts w:ascii="宋体" w:hAnsi="宋体" w:eastAsia="宋体" w:cs="宋体"/>
                <w:color w:val="auto"/>
                <w:spacing w:val="10"/>
                <w:highlight w:val="none"/>
              </w:rPr>
              <w:t>人员的专业、职称、工作年限、数量等是否</w:t>
            </w:r>
            <w:r>
              <w:rPr>
                <w:rFonts w:ascii="宋体" w:hAnsi="宋体" w:eastAsia="宋体" w:cs="宋体"/>
                <w:color w:val="auto"/>
                <w:highlight w:val="none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pacing w:val="18"/>
                <w:highlight w:val="none"/>
              </w:rPr>
              <w:t>不低于投标文件人员要求 ，</w:t>
            </w:r>
            <w:r>
              <w:rPr>
                <w:rFonts w:ascii="宋体" w:hAnsi="宋体" w:eastAsia="宋体" w:cs="宋体"/>
                <w:color w:val="auto"/>
                <w:spacing w:val="20"/>
                <w:sz w:val="20"/>
                <w:szCs w:val="20"/>
                <w:highlight w:val="none"/>
              </w:rPr>
              <w:t>投入人员不满足要求</w:t>
            </w:r>
            <w:r>
              <w:rPr>
                <w:rFonts w:hint="eastAsia" w:ascii="宋体" w:hAnsi="宋体" w:eastAsia="宋体" w:cs="宋体"/>
                <w:color w:val="auto"/>
                <w:spacing w:val="20"/>
                <w:sz w:val="20"/>
                <w:szCs w:val="20"/>
                <w:highlight w:val="none"/>
              </w:rPr>
              <w:t>中任何一项</w:t>
            </w:r>
            <w:r>
              <w:rPr>
                <w:rFonts w:ascii="宋体" w:hAnsi="宋体" w:eastAsia="宋体" w:cs="宋体"/>
                <w:color w:val="auto"/>
                <w:spacing w:val="20"/>
                <w:sz w:val="20"/>
                <w:szCs w:val="20"/>
                <w:highlight w:val="none"/>
              </w:rPr>
              <w:t>的，每人扣</w:t>
            </w:r>
            <w:r>
              <w:rPr>
                <w:rFonts w:hint="eastAsia" w:ascii="宋体" w:hAnsi="宋体" w:eastAsia="宋体" w:cs="宋体"/>
                <w:color w:val="auto"/>
                <w:spacing w:val="12"/>
                <w:sz w:val="20"/>
                <w:szCs w:val="20"/>
                <w:highlight w:val="none"/>
                <w14:textOutline w14:w="3175" w14:cap="flat" w14:cmpd="sng" w14:algn="ctr">
                  <w14:solidFill>
                    <w14:srgbClr w14:val="FF0000"/>
                  </w14:solidFill>
                  <w14:prstDash w14:val="solid"/>
                  <w14:miter w14:val="0"/>
                </w14:textOutline>
              </w:rPr>
              <w:t>1</w:t>
            </w:r>
            <w:r>
              <w:rPr>
                <w:rFonts w:ascii="宋体" w:hAnsi="宋体" w:eastAsia="宋体" w:cs="宋体"/>
                <w:color w:val="auto"/>
                <w:spacing w:val="12"/>
                <w:sz w:val="20"/>
                <w:szCs w:val="20"/>
                <w:highlight w:val="none"/>
              </w:rPr>
              <w:t>分。</w:t>
            </w:r>
          </w:p>
        </w:tc>
        <w:tc>
          <w:tcPr>
            <w:tcW w:w="78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rPr>
                <w:color w:val="auto"/>
                <w:highlight w:val="none"/>
              </w:rPr>
            </w:pPr>
          </w:p>
        </w:tc>
        <w:tc>
          <w:tcPr>
            <w:tcW w:w="166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rPr>
                <w:color w:val="auto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9" w:hRule="atLeast"/>
        </w:trPr>
        <w:tc>
          <w:tcPr>
            <w:tcW w:w="60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line="307" w:lineRule="auto"/>
              <w:rPr>
                <w:color w:val="auto"/>
                <w:highlight w:val="none"/>
              </w:rPr>
            </w:pPr>
          </w:p>
          <w:p>
            <w:pPr>
              <w:spacing w:line="307" w:lineRule="auto"/>
              <w:rPr>
                <w:color w:val="auto"/>
                <w:highlight w:val="none"/>
              </w:rPr>
            </w:pPr>
          </w:p>
          <w:p>
            <w:pPr>
              <w:spacing w:before="60" w:line="192" w:lineRule="auto"/>
              <w:ind w:left="246"/>
              <w:rPr>
                <w:rFonts w:ascii="Times New Roman" w:hAnsi="Times New Roman" w:eastAsia="Times New Roman" w:cs="Times New Roman"/>
                <w:color w:val="auto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auto"/>
                <w:highlight w:val="none"/>
              </w:rPr>
              <w:t>2</w:t>
            </w:r>
          </w:p>
        </w:tc>
        <w:tc>
          <w:tcPr>
            <w:tcW w:w="1225" w:type="dxa"/>
            <w:vMerge w:val="continue"/>
            <w:tcBorders>
              <w:top w:val="nil"/>
              <w:bottom w:val="single" w:color="000000" w:sz="2" w:space="0"/>
            </w:tcBorders>
          </w:tcPr>
          <w:p>
            <w:pPr>
              <w:rPr>
                <w:color w:val="auto"/>
                <w:highlight w:val="none"/>
              </w:rPr>
            </w:pPr>
          </w:p>
        </w:tc>
        <w:tc>
          <w:tcPr>
            <w:tcW w:w="105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line="309" w:lineRule="auto"/>
              <w:rPr>
                <w:color w:val="auto"/>
                <w:highlight w:val="none"/>
              </w:rPr>
            </w:pPr>
          </w:p>
          <w:p>
            <w:pPr>
              <w:spacing w:line="310" w:lineRule="auto"/>
              <w:rPr>
                <w:color w:val="auto"/>
                <w:highlight w:val="none"/>
              </w:rPr>
            </w:pPr>
          </w:p>
          <w:p>
            <w:pPr>
              <w:spacing w:before="60" w:line="189" w:lineRule="auto"/>
              <w:ind w:left="474"/>
              <w:rPr>
                <w:rFonts w:ascii="Times New Roman" w:hAnsi="Times New Roman" w:eastAsia="Times New Roman" w:cs="Times New Roman"/>
                <w:color w:val="auto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auto"/>
                <w:highlight w:val="none"/>
              </w:rPr>
              <w:t>5</w:t>
            </w:r>
          </w:p>
        </w:tc>
        <w:tc>
          <w:tcPr>
            <w:tcW w:w="470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58" w:line="241" w:lineRule="auto"/>
              <w:ind w:left="34" w:right="21"/>
              <w:rPr>
                <w:rFonts w:ascii="宋体" w:hAnsi="宋体" w:eastAsia="宋体" w:cs="宋体"/>
                <w:color w:val="auto"/>
                <w:highlight w:val="none"/>
              </w:rPr>
            </w:pPr>
            <w:r>
              <w:rPr>
                <w:rFonts w:ascii="宋体" w:hAnsi="宋体" w:eastAsia="宋体" w:cs="宋体"/>
                <w:color w:val="auto"/>
                <w:spacing w:val="14"/>
                <w:highlight w:val="none"/>
              </w:rPr>
              <w:t>配</w:t>
            </w:r>
            <w:r>
              <w:rPr>
                <w:rFonts w:ascii="宋体" w:hAnsi="宋体" w:eastAsia="宋体" w:cs="宋体"/>
                <w:color w:val="auto"/>
                <w:spacing w:val="10"/>
                <w:highlight w:val="none"/>
              </w:rPr>
              <w:t>备人员的专业水平、响应速度、协调能力、服</w:t>
            </w:r>
            <w:r>
              <w:rPr>
                <w:rFonts w:ascii="宋体" w:hAnsi="宋体" w:eastAsia="宋体" w:cs="宋体"/>
                <w:color w:val="auto"/>
                <w:highlight w:val="none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pacing w:val="11"/>
                <w:highlight w:val="none"/>
              </w:rPr>
              <w:t>务</w:t>
            </w:r>
            <w:r>
              <w:rPr>
                <w:rFonts w:ascii="宋体" w:hAnsi="宋体" w:eastAsia="宋体" w:cs="宋体"/>
                <w:color w:val="auto"/>
                <w:spacing w:val="10"/>
                <w:highlight w:val="none"/>
              </w:rPr>
              <w:t>意识</w:t>
            </w:r>
            <w:r>
              <w:rPr>
                <w:rFonts w:hint="eastAsia" w:ascii="宋体" w:hAnsi="宋体" w:eastAsia="宋体" w:cs="宋体"/>
                <w:color w:val="auto"/>
                <w:spacing w:val="10"/>
                <w:highlight w:val="none"/>
              </w:rPr>
              <w:t>、驻莞办公</w:t>
            </w:r>
            <w:r>
              <w:rPr>
                <w:rFonts w:ascii="宋体" w:hAnsi="宋体" w:eastAsia="宋体" w:cs="宋体"/>
                <w:color w:val="auto"/>
                <w:spacing w:val="10"/>
                <w:highlight w:val="none"/>
              </w:rPr>
              <w:t>及人员储备等是否满足项目服务需求，</w:t>
            </w:r>
            <w:r>
              <w:rPr>
                <w:rFonts w:ascii="宋体" w:hAnsi="宋体" w:eastAsia="宋体" w:cs="宋体"/>
                <w:color w:val="auto"/>
                <w:spacing w:val="20"/>
                <w:sz w:val="20"/>
                <w:szCs w:val="20"/>
                <w:highlight w:val="none"/>
              </w:rPr>
              <w:t>投入人员不满足要求</w:t>
            </w:r>
            <w:r>
              <w:rPr>
                <w:rFonts w:hint="eastAsia" w:ascii="宋体" w:hAnsi="宋体" w:eastAsia="宋体" w:cs="宋体"/>
                <w:color w:val="auto"/>
                <w:spacing w:val="20"/>
                <w:sz w:val="20"/>
                <w:szCs w:val="20"/>
                <w:highlight w:val="none"/>
              </w:rPr>
              <w:t>中任何一项</w:t>
            </w:r>
            <w:r>
              <w:rPr>
                <w:rFonts w:ascii="宋体" w:hAnsi="宋体" w:eastAsia="宋体" w:cs="宋体"/>
                <w:color w:val="auto"/>
                <w:spacing w:val="20"/>
                <w:sz w:val="20"/>
                <w:szCs w:val="20"/>
                <w:highlight w:val="none"/>
              </w:rPr>
              <w:t>的，每人扣</w:t>
            </w:r>
            <w:r>
              <w:rPr>
                <w:rFonts w:hint="eastAsia" w:ascii="宋体" w:hAnsi="宋体" w:eastAsia="宋体" w:cs="宋体"/>
                <w:color w:val="auto"/>
                <w:spacing w:val="12"/>
                <w:sz w:val="20"/>
                <w:szCs w:val="20"/>
                <w:highlight w:val="none"/>
                <w14:textOutline w14:w="3175" w14:cap="flat" w14:cmpd="sng" w14:algn="ctr">
                  <w14:solidFill>
                    <w14:srgbClr w14:val="FF0000"/>
                  </w14:solidFill>
                  <w14:prstDash w14:val="solid"/>
                  <w14:miter w14:val="0"/>
                </w14:textOutline>
              </w:rPr>
              <w:t>1</w:t>
            </w:r>
            <w:r>
              <w:rPr>
                <w:rFonts w:ascii="宋体" w:hAnsi="宋体" w:eastAsia="宋体" w:cs="宋体"/>
                <w:color w:val="auto"/>
                <w:spacing w:val="12"/>
                <w:sz w:val="20"/>
                <w:szCs w:val="20"/>
                <w:highlight w:val="none"/>
              </w:rPr>
              <w:t>分。</w:t>
            </w:r>
          </w:p>
        </w:tc>
        <w:tc>
          <w:tcPr>
            <w:tcW w:w="78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rPr>
                <w:color w:val="auto"/>
                <w:highlight w:val="none"/>
              </w:rPr>
            </w:pPr>
          </w:p>
        </w:tc>
        <w:tc>
          <w:tcPr>
            <w:tcW w:w="166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rPr>
                <w:color w:val="auto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4" w:hRule="atLeast"/>
        </w:trPr>
        <w:tc>
          <w:tcPr>
            <w:tcW w:w="60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line="357" w:lineRule="auto"/>
              <w:rPr>
                <w:color w:val="auto"/>
                <w:highlight w:val="none"/>
              </w:rPr>
            </w:pPr>
          </w:p>
          <w:p>
            <w:pPr>
              <w:spacing w:line="357" w:lineRule="auto"/>
              <w:rPr>
                <w:color w:val="auto"/>
                <w:highlight w:val="none"/>
              </w:rPr>
            </w:pPr>
          </w:p>
          <w:p>
            <w:pPr>
              <w:spacing w:before="61" w:line="192" w:lineRule="auto"/>
              <w:ind w:left="250"/>
              <w:rPr>
                <w:rFonts w:ascii="Times New Roman" w:hAnsi="Times New Roman" w:eastAsia="Times New Roman" w:cs="Times New Roman"/>
                <w:color w:val="auto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auto"/>
                <w:highlight w:val="none"/>
              </w:rPr>
              <w:t>3</w:t>
            </w:r>
          </w:p>
        </w:tc>
        <w:tc>
          <w:tcPr>
            <w:tcW w:w="1225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line="244" w:lineRule="auto"/>
              <w:rPr>
                <w:color w:val="auto"/>
                <w:highlight w:val="none"/>
              </w:rPr>
            </w:pPr>
          </w:p>
          <w:p>
            <w:pPr>
              <w:spacing w:line="244" w:lineRule="auto"/>
              <w:rPr>
                <w:color w:val="auto"/>
                <w:highlight w:val="none"/>
              </w:rPr>
            </w:pPr>
          </w:p>
          <w:p>
            <w:pPr>
              <w:spacing w:line="244" w:lineRule="auto"/>
              <w:rPr>
                <w:color w:val="auto"/>
                <w:highlight w:val="none"/>
              </w:rPr>
            </w:pPr>
          </w:p>
          <w:p>
            <w:pPr>
              <w:spacing w:line="244" w:lineRule="auto"/>
              <w:rPr>
                <w:color w:val="auto"/>
                <w:highlight w:val="none"/>
              </w:rPr>
            </w:pPr>
          </w:p>
          <w:p>
            <w:pPr>
              <w:spacing w:line="244" w:lineRule="auto"/>
              <w:rPr>
                <w:color w:val="auto"/>
                <w:highlight w:val="none"/>
              </w:rPr>
            </w:pPr>
          </w:p>
          <w:p>
            <w:pPr>
              <w:spacing w:line="244" w:lineRule="auto"/>
              <w:rPr>
                <w:color w:val="auto"/>
                <w:highlight w:val="none"/>
              </w:rPr>
            </w:pPr>
          </w:p>
          <w:p>
            <w:pPr>
              <w:spacing w:line="244" w:lineRule="auto"/>
              <w:rPr>
                <w:color w:val="auto"/>
                <w:highlight w:val="none"/>
              </w:rPr>
            </w:pPr>
          </w:p>
          <w:p>
            <w:pPr>
              <w:spacing w:line="245" w:lineRule="auto"/>
              <w:rPr>
                <w:color w:val="auto"/>
                <w:highlight w:val="none"/>
              </w:rPr>
            </w:pPr>
          </w:p>
          <w:p>
            <w:pPr>
              <w:spacing w:line="245" w:lineRule="auto"/>
              <w:rPr>
                <w:color w:val="auto"/>
                <w:highlight w:val="none"/>
              </w:rPr>
            </w:pPr>
          </w:p>
          <w:p>
            <w:pPr>
              <w:spacing w:line="245" w:lineRule="auto"/>
              <w:rPr>
                <w:color w:val="auto"/>
                <w:highlight w:val="none"/>
              </w:rPr>
            </w:pPr>
          </w:p>
          <w:p>
            <w:pPr>
              <w:spacing w:line="245" w:lineRule="auto"/>
              <w:rPr>
                <w:color w:val="auto"/>
                <w:highlight w:val="none"/>
              </w:rPr>
            </w:pPr>
          </w:p>
          <w:p>
            <w:pPr>
              <w:spacing w:line="245" w:lineRule="auto"/>
              <w:rPr>
                <w:color w:val="auto"/>
                <w:highlight w:val="none"/>
              </w:rPr>
            </w:pPr>
          </w:p>
          <w:p>
            <w:pPr>
              <w:spacing w:before="68" w:line="228" w:lineRule="auto"/>
              <w:ind w:left="171"/>
              <w:rPr>
                <w:rFonts w:ascii="宋体" w:hAnsi="宋体" w:eastAsia="宋体" w:cs="宋体"/>
                <w:color w:val="auto"/>
                <w:highlight w:val="none"/>
              </w:rPr>
            </w:pPr>
            <w:r>
              <w:rPr>
                <w:rFonts w:ascii="宋体" w:hAnsi="宋体" w:eastAsia="宋体" w:cs="宋体"/>
                <w:color w:val="auto"/>
                <w:spacing w:val="8"/>
                <w:highlight w:val="none"/>
              </w:rPr>
              <w:t>进</w:t>
            </w:r>
            <w:r>
              <w:rPr>
                <w:rFonts w:ascii="宋体" w:hAnsi="宋体" w:eastAsia="宋体" w:cs="宋体"/>
                <w:color w:val="auto"/>
                <w:spacing w:val="6"/>
                <w:highlight w:val="none"/>
              </w:rPr>
              <w:t>度控制</w:t>
            </w:r>
          </w:p>
        </w:tc>
        <w:tc>
          <w:tcPr>
            <w:tcW w:w="105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rPr>
                <w:color w:val="auto"/>
                <w:highlight w:val="none"/>
              </w:rPr>
            </w:pPr>
          </w:p>
          <w:p>
            <w:pPr>
              <w:rPr>
                <w:color w:val="auto"/>
                <w:highlight w:val="none"/>
              </w:rPr>
            </w:pPr>
          </w:p>
          <w:p>
            <w:pPr>
              <w:rPr>
                <w:color w:val="auto"/>
                <w:highlight w:val="none"/>
              </w:rPr>
            </w:pPr>
          </w:p>
          <w:p>
            <w:pPr>
              <w:spacing w:before="60" w:line="189" w:lineRule="auto"/>
              <w:ind w:left="474"/>
              <w:rPr>
                <w:rFonts w:ascii="Times New Roman" w:hAnsi="Times New Roman" w:eastAsia="Times New Roman" w:cs="Times New Roman"/>
                <w:color w:val="auto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auto"/>
                <w:highlight w:val="none"/>
              </w:rPr>
              <w:t>5</w:t>
            </w:r>
          </w:p>
        </w:tc>
        <w:tc>
          <w:tcPr>
            <w:tcW w:w="470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68" w:line="241" w:lineRule="auto"/>
              <w:ind w:left="34" w:right="20"/>
              <w:rPr>
                <w:rFonts w:ascii="宋体" w:hAnsi="宋体" w:eastAsia="宋体" w:cs="宋体"/>
                <w:color w:val="auto"/>
                <w:highlight w:val="none"/>
              </w:rPr>
            </w:pPr>
            <w:r>
              <w:rPr>
                <w:rFonts w:ascii="宋体" w:hAnsi="宋体" w:eastAsia="宋体" w:cs="宋体"/>
                <w:color w:val="auto"/>
                <w:spacing w:val="34"/>
                <w:highlight w:val="none"/>
              </w:rPr>
              <w:t>服</w:t>
            </w:r>
            <w:r>
              <w:rPr>
                <w:rFonts w:ascii="宋体" w:hAnsi="宋体" w:eastAsia="宋体" w:cs="宋体"/>
                <w:color w:val="auto"/>
                <w:spacing w:val="21"/>
                <w:highlight w:val="none"/>
              </w:rPr>
              <w:t>务单位是否根据要求在规定时间内与业主联</w:t>
            </w:r>
            <w:r>
              <w:rPr>
                <w:rFonts w:ascii="宋体" w:hAnsi="宋体" w:eastAsia="宋体" w:cs="宋体"/>
                <w:color w:val="auto"/>
                <w:highlight w:val="none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pacing w:val="34"/>
                <w:highlight w:val="none"/>
              </w:rPr>
              <w:t>系</w:t>
            </w:r>
            <w:r>
              <w:rPr>
                <w:rFonts w:ascii="宋体" w:hAnsi="宋体" w:eastAsia="宋体" w:cs="宋体"/>
                <w:color w:val="auto"/>
                <w:spacing w:val="21"/>
                <w:highlight w:val="none"/>
              </w:rPr>
              <w:t>，委派人员</w:t>
            </w:r>
            <w:r>
              <w:rPr>
                <w:rFonts w:hint="eastAsia" w:ascii="宋体" w:hAnsi="宋体" w:eastAsia="宋体" w:cs="宋体"/>
                <w:color w:val="auto"/>
                <w:spacing w:val="21"/>
                <w:highlight w:val="none"/>
              </w:rPr>
              <w:t>是否在规定时间内</w:t>
            </w:r>
            <w:r>
              <w:rPr>
                <w:rFonts w:ascii="宋体" w:hAnsi="宋体" w:eastAsia="宋体" w:cs="宋体"/>
                <w:color w:val="auto"/>
                <w:spacing w:val="21"/>
                <w:highlight w:val="none"/>
              </w:rPr>
              <w:t>上门确认项目需求并开展现场查</w:t>
            </w:r>
            <w:r>
              <w:rPr>
                <w:rFonts w:ascii="宋体" w:hAnsi="宋体" w:eastAsia="宋体" w:cs="宋体"/>
                <w:color w:val="auto"/>
                <w:spacing w:val="28"/>
                <w:highlight w:val="none"/>
              </w:rPr>
              <w:t>勘</w:t>
            </w:r>
            <w:r>
              <w:rPr>
                <w:rFonts w:ascii="宋体" w:hAnsi="宋体" w:eastAsia="宋体" w:cs="宋体"/>
                <w:color w:val="auto"/>
                <w:spacing w:val="15"/>
                <w:highlight w:val="none"/>
              </w:rPr>
              <w:t>，</w:t>
            </w:r>
            <w:r>
              <w:rPr>
                <w:rFonts w:ascii="宋体" w:hAnsi="宋体" w:eastAsia="宋体" w:cs="宋体"/>
                <w:color w:val="auto"/>
                <w:spacing w:val="20"/>
                <w:sz w:val="20"/>
                <w:szCs w:val="20"/>
                <w:highlight w:val="none"/>
              </w:rPr>
              <w:t>不满足要求的，</w:t>
            </w:r>
            <w:r>
              <w:rPr>
                <w:rFonts w:hint="eastAsia" w:ascii="宋体" w:hAnsi="宋体" w:eastAsia="宋体" w:cs="宋体"/>
                <w:color w:val="auto"/>
                <w:spacing w:val="20"/>
                <w:sz w:val="20"/>
                <w:szCs w:val="20"/>
                <w:highlight w:val="none"/>
              </w:rPr>
              <w:t>每滞后一天</w:t>
            </w:r>
            <w:r>
              <w:rPr>
                <w:rFonts w:ascii="宋体" w:hAnsi="宋体" w:eastAsia="宋体" w:cs="宋体"/>
                <w:color w:val="auto"/>
                <w:spacing w:val="20"/>
                <w:sz w:val="20"/>
                <w:szCs w:val="20"/>
                <w:highlight w:val="none"/>
              </w:rPr>
              <w:t>扣</w:t>
            </w:r>
            <w:r>
              <w:rPr>
                <w:rFonts w:hint="eastAsia" w:ascii="宋体" w:hAnsi="宋体" w:eastAsia="宋体" w:cs="宋体"/>
                <w:color w:val="auto"/>
                <w:spacing w:val="12"/>
                <w:sz w:val="20"/>
                <w:szCs w:val="20"/>
                <w:highlight w:val="none"/>
                <w14:textOutline w14:w="3175" w14:cap="flat" w14:cmpd="sng" w14:algn="ctr">
                  <w14:solidFill>
                    <w14:srgbClr w14:val="FF0000"/>
                  </w14:solidFill>
                  <w14:prstDash w14:val="solid"/>
                  <w14:miter w14:val="0"/>
                </w14:textOutline>
              </w:rPr>
              <w:t>1</w:t>
            </w:r>
            <w:r>
              <w:rPr>
                <w:rFonts w:ascii="宋体" w:hAnsi="宋体" w:eastAsia="宋体" w:cs="宋体"/>
                <w:color w:val="auto"/>
                <w:spacing w:val="12"/>
                <w:sz w:val="20"/>
                <w:szCs w:val="20"/>
                <w:highlight w:val="none"/>
              </w:rPr>
              <w:t>分</w:t>
            </w:r>
            <w:r>
              <w:rPr>
                <w:rFonts w:ascii="宋体" w:hAnsi="宋体" w:eastAsia="宋体" w:cs="宋体"/>
                <w:color w:val="auto"/>
                <w:spacing w:val="12"/>
                <w:highlight w:val="none"/>
              </w:rPr>
              <w:t>。</w:t>
            </w:r>
          </w:p>
        </w:tc>
        <w:tc>
          <w:tcPr>
            <w:tcW w:w="78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rPr>
                <w:color w:val="auto"/>
                <w:highlight w:val="none"/>
              </w:rPr>
            </w:pPr>
          </w:p>
        </w:tc>
        <w:tc>
          <w:tcPr>
            <w:tcW w:w="166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rPr>
                <w:color w:val="auto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8" w:hRule="atLeast"/>
        </w:trPr>
        <w:tc>
          <w:tcPr>
            <w:tcW w:w="60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line="328" w:lineRule="auto"/>
              <w:rPr>
                <w:color w:val="auto"/>
                <w:highlight w:val="none"/>
              </w:rPr>
            </w:pPr>
          </w:p>
          <w:p>
            <w:pPr>
              <w:spacing w:line="328" w:lineRule="auto"/>
              <w:rPr>
                <w:color w:val="auto"/>
                <w:highlight w:val="none"/>
              </w:rPr>
            </w:pPr>
          </w:p>
          <w:p>
            <w:pPr>
              <w:spacing w:before="61" w:line="192" w:lineRule="auto"/>
              <w:ind w:left="245"/>
              <w:rPr>
                <w:rFonts w:ascii="Times New Roman" w:hAnsi="Times New Roman" w:eastAsia="Times New Roman" w:cs="Times New Roman"/>
                <w:color w:val="auto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auto"/>
                <w:highlight w:val="none"/>
              </w:rPr>
              <w:t>4</w:t>
            </w:r>
          </w:p>
        </w:tc>
        <w:tc>
          <w:tcPr>
            <w:tcW w:w="1225" w:type="dxa"/>
            <w:vMerge w:val="continue"/>
            <w:tcBorders>
              <w:top w:val="nil"/>
              <w:bottom w:val="nil"/>
            </w:tcBorders>
          </w:tcPr>
          <w:p>
            <w:pPr>
              <w:rPr>
                <w:color w:val="auto"/>
                <w:highlight w:val="none"/>
              </w:rPr>
            </w:pPr>
          </w:p>
        </w:tc>
        <w:tc>
          <w:tcPr>
            <w:tcW w:w="105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line="331" w:lineRule="auto"/>
              <w:rPr>
                <w:color w:val="auto"/>
                <w:highlight w:val="none"/>
              </w:rPr>
            </w:pPr>
          </w:p>
          <w:p>
            <w:pPr>
              <w:spacing w:line="331" w:lineRule="auto"/>
              <w:rPr>
                <w:color w:val="auto"/>
                <w:highlight w:val="none"/>
              </w:rPr>
            </w:pPr>
          </w:p>
          <w:p>
            <w:pPr>
              <w:spacing w:before="60" w:line="189" w:lineRule="auto"/>
              <w:ind w:left="474"/>
              <w:rPr>
                <w:rFonts w:ascii="Times New Roman" w:hAnsi="Times New Roman" w:eastAsia="Times New Roman" w:cs="Times New Roman"/>
                <w:color w:val="auto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auto"/>
                <w:highlight w:val="none"/>
              </w:rPr>
              <w:t>5</w:t>
            </w:r>
          </w:p>
        </w:tc>
        <w:tc>
          <w:tcPr>
            <w:tcW w:w="470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tabs>
                <w:tab w:val="left" w:pos="150"/>
              </w:tabs>
              <w:spacing w:before="301" w:line="241" w:lineRule="auto"/>
              <w:ind w:left="35" w:right="20"/>
              <w:rPr>
                <w:rFonts w:ascii="宋体" w:hAnsi="宋体" w:eastAsia="宋体" w:cs="宋体"/>
                <w:color w:val="auto"/>
                <w:highlight w:val="none"/>
              </w:rPr>
            </w:pPr>
            <w:r>
              <w:rPr>
                <w:rFonts w:ascii="宋体" w:hAnsi="宋体" w:eastAsia="宋体" w:cs="宋体"/>
                <w:color w:val="auto"/>
                <w:spacing w:val="20"/>
                <w:highlight w:val="none"/>
              </w:rPr>
              <w:t>服</w:t>
            </w:r>
            <w:r>
              <w:rPr>
                <w:rFonts w:ascii="宋体" w:hAnsi="宋体" w:eastAsia="宋体" w:cs="宋体"/>
                <w:color w:val="auto"/>
                <w:spacing w:val="13"/>
                <w:highlight w:val="none"/>
              </w:rPr>
              <w:t>务</w:t>
            </w:r>
            <w:r>
              <w:rPr>
                <w:rFonts w:ascii="宋体" w:hAnsi="宋体" w:eastAsia="宋体" w:cs="宋体"/>
                <w:color w:val="auto"/>
                <w:spacing w:val="10"/>
                <w:highlight w:val="none"/>
              </w:rPr>
              <w:t>单位是否根据项目需求及现场查勘情况及时</w:t>
            </w:r>
            <w:r>
              <w:rPr>
                <w:rFonts w:ascii="宋体" w:hAnsi="宋体" w:eastAsia="宋体" w:cs="宋体"/>
                <w:color w:val="auto"/>
                <w:highlight w:val="none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pacing w:val="20"/>
                <w:highlight w:val="none"/>
              </w:rPr>
              <w:t>制</w:t>
            </w:r>
            <w:r>
              <w:rPr>
                <w:rFonts w:ascii="宋体" w:hAnsi="宋体" w:eastAsia="宋体" w:cs="宋体"/>
                <w:color w:val="auto"/>
                <w:spacing w:val="12"/>
                <w:highlight w:val="none"/>
              </w:rPr>
              <w:t>定</w:t>
            </w:r>
            <w:r>
              <w:rPr>
                <w:rFonts w:ascii="宋体" w:hAnsi="宋体" w:eastAsia="宋体" w:cs="宋体"/>
                <w:color w:val="auto"/>
                <w:spacing w:val="10"/>
                <w:highlight w:val="none"/>
              </w:rPr>
              <w:t>内容详实、合理可行的工作计划，并满足相</w:t>
            </w:r>
            <w:r>
              <w:rPr>
                <w:rFonts w:ascii="宋体" w:hAnsi="宋体" w:eastAsia="宋体" w:cs="宋体"/>
                <w:color w:val="auto"/>
                <w:highlight w:val="none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pacing w:val="17"/>
                <w:highlight w:val="none"/>
              </w:rPr>
              <w:t>关</w:t>
            </w:r>
            <w:r>
              <w:rPr>
                <w:rFonts w:ascii="宋体" w:hAnsi="宋体" w:eastAsia="宋体" w:cs="宋体"/>
                <w:color w:val="auto"/>
                <w:spacing w:val="11"/>
                <w:highlight w:val="none"/>
              </w:rPr>
              <w:t>工作要求</w:t>
            </w:r>
            <w:r>
              <w:rPr>
                <w:rFonts w:hint="eastAsia" w:ascii="宋体" w:hAnsi="宋体" w:eastAsia="宋体" w:cs="宋体"/>
                <w:color w:val="auto"/>
                <w:spacing w:val="6"/>
                <w:highlight w:val="none"/>
              </w:rPr>
              <w:t>，</w:t>
            </w:r>
            <w:r>
              <w:rPr>
                <w:rFonts w:hint="eastAsia" w:ascii="宋体" w:hAnsi="宋体" w:eastAsia="宋体" w:cs="宋体"/>
                <w:color w:val="auto"/>
                <w:spacing w:val="20"/>
                <w:sz w:val="20"/>
                <w:szCs w:val="20"/>
                <w:highlight w:val="none"/>
              </w:rPr>
              <w:t>不按时提交或按时提交但不满足要求的仍算滞后，每滞后一天</w:t>
            </w:r>
            <w:r>
              <w:rPr>
                <w:rFonts w:ascii="宋体" w:hAnsi="宋体" w:eastAsia="宋体" w:cs="宋体"/>
                <w:color w:val="auto"/>
                <w:spacing w:val="20"/>
                <w:sz w:val="20"/>
                <w:szCs w:val="20"/>
                <w:highlight w:val="none"/>
              </w:rPr>
              <w:t>扣</w:t>
            </w:r>
            <w:r>
              <w:rPr>
                <w:rFonts w:hint="eastAsia" w:ascii="宋体" w:hAnsi="宋体" w:eastAsia="宋体" w:cs="宋体"/>
                <w:color w:val="auto"/>
                <w:spacing w:val="12"/>
                <w:sz w:val="20"/>
                <w:szCs w:val="20"/>
                <w:highlight w:val="none"/>
                <w14:textOutline w14:w="3175" w14:cap="flat" w14:cmpd="sng" w14:algn="ctr">
                  <w14:solidFill>
                    <w14:srgbClr w14:val="FF0000"/>
                  </w14:solidFill>
                  <w14:prstDash w14:val="solid"/>
                  <w14:miter w14:val="0"/>
                </w14:textOutline>
              </w:rPr>
              <w:t>1</w:t>
            </w:r>
            <w:r>
              <w:rPr>
                <w:rFonts w:ascii="宋体" w:hAnsi="宋体" w:eastAsia="宋体" w:cs="宋体"/>
                <w:color w:val="auto"/>
                <w:spacing w:val="12"/>
                <w:sz w:val="20"/>
                <w:szCs w:val="20"/>
                <w:highlight w:val="none"/>
              </w:rPr>
              <w:t>分</w:t>
            </w:r>
            <w:r>
              <w:rPr>
                <w:rFonts w:ascii="宋体" w:hAnsi="宋体" w:eastAsia="宋体" w:cs="宋体"/>
                <w:color w:val="auto"/>
                <w:spacing w:val="12"/>
                <w:highlight w:val="none"/>
              </w:rPr>
              <w:t>。</w:t>
            </w:r>
          </w:p>
        </w:tc>
        <w:tc>
          <w:tcPr>
            <w:tcW w:w="78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rPr>
                <w:color w:val="auto"/>
                <w:highlight w:val="none"/>
              </w:rPr>
            </w:pPr>
          </w:p>
        </w:tc>
        <w:tc>
          <w:tcPr>
            <w:tcW w:w="166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rPr>
                <w:color w:val="auto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82" w:hRule="atLeast"/>
        </w:trPr>
        <w:tc>
          <w:tcPr>
            <w:tcW w:w="60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line="310" w:lineRule="auto"/>
              <w:rPr>
                <w:color w:val="auto"/>
                <w:highlight w:val="none"/>
              </w:rPr>
            </w:pPr>
          </w:p>
          <w:p>
            <w:pPr>
              <w:spacing w:line="310" w:lineRule="auto"/>
              <w:rPr>
                <w:color w:val="auto"/>
                <w:highlight w:val="none"/>
              </w:rPr>
            </w:pPr>
          </w:p>
          <w:p>
            <w:pPr>
              <w:spacing w:before="60" w:line="189" w:lineRule="auto"/>
              <w:ind w:left="252"/>
              <w:rPr>
                <w:rFonts w:ascii="Times New Roman" w:hAnsi="Times New Roman" w:eastAsia="Times New Roman" w:cs="Times New Roman"/>
                <w:color w:val="auto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auto"/>
                <w:highlight w:val="none"/>
              </w:rPr>
              <w:t>5</w:t>
            </w:r>
          </w:p>
        </w:tc>
        <w:tc>
          <w:tcPr>
            <w:tcW w:w="1225" w:type="dxa"/>
            <w:vMerge w:val="continue"/>
            <w:tcBorders>
              <w:top w:val="nil"/>
              <w:bottom w:val="nil"/>
            </w:tcBorders>
          </w:tcPr>
          <w:p>
            <w:pPr>
              <w:rPr>
                <w:color w:val="auto"/>
                <w:highlight w:val="none"/>
              </w:rPr>
            </w:pPr>
          </w:p>
        </w:tc>
        <w:tc>
          <w:tcPr>
            <w:tcW w:w="105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line="309" w:lineRule="auto"/>
              <w:rPr>
                <w:color w:val="auto"/>
                <w:highlight w:val="none"/>
              </w:rPr>
            </w:pPr>
          </w:p>
          <w:p>
            <w:pPr>
              <w:spacing w:line="310" w:lineRule="auto"/>
              <w:rPr>
                <w:color w:val="auto"/>
                <w:highlight w:val="none"/>
              </w:rPr>
            </w:pPr>
          </w:p>
          <w:p>
            <w:pPr>
              <w:spacing w:before="61" w:line="192" w:lineRule="auto"/>
              <w:ind w:left="434"/>
              <w:rPr>
                <w:rFonts w:ascii="Times New Roman" w:hAnsi="Times New Roman" w:eastAsia="Times New Roman" w:cs="Times New Roman"/>
                <w:color w:val="auto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-4"/>
                <w:highlight w:val="none"/>
              </w:rPr>
              <w:t>10</w:t>
            </w:r>
          </w:p>
        </w:tc>
        <w:tc>
          <w:tcPr>
            <w:tcW w:w="470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7"/>
              <w:ind w:left="34" w:right="20"/>
              <w:rPr>
                <w:rFonts w:ascii="宋体" w:hAnsi="宋体" w:eastAsia="宋体" w:cs="宋体"/>
                <w:color w:val="auto"/>
                <w:highlight w:val="none"/>
              </w:rPr>
            </w:pPr>
            <w:r>
              <w:rPr>
                <w:rFonts w:ascii="宋体" w:hAnsi="宋体" w:eastAsia="宋体" w:cs="宋体"/>
                <w:color w:val="auto"/>
                <w:spacing w:val="20"/>
                <w:highlight w:val="none"/>
              </w:rPr>
              <w:t>服</w:t>
            </w:r>
            <w:r>
              <w:rPr>
                <w:rFonts w:ascii="宋体" w:hAnsi="宋体" w:eastAsia="宋体" w:cs="宋体"/>
                <w:color w:val="auto"/>
                <w:spacing w:val="13"/>
                <w:highlight w:val="none"/>
              </w:rPr>
              <w:t>务</w:t>
            </w:r>
            <w:r>
              <w:rPr>
                <w:rFonts w:ascii="宋体" w:hAnsi="宋体" w:eastAsia="宋体" w:cs="宋体"/>
                <w:color w:val="auto"/>
                <w:spacing w:val="10"/>
                <w:highlight w:val="none"/>
              </w:rPr>
              <w:t>单位是否按照工作计划及工作要求按时提交</w:t>
            </w:r>
            <w:r>
              <w:rPr>
                <w:rFonts w:ascii="宋体" w:hAnsi="宋体" w:eastAsia="宋体" w:cs="宋体"/>
                <w:color w:val="auto"/>
                <w:highlight w:val="none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pacing w:val="20"/>
                <w:highlight w:val="none"/>
              </w:rPr>
              <w:t>各</w:t>
            </w:r>
            <w:r>
              <w:rPr>
                <w:rFonts w:ascii="宋体" w:hAnsi="宋体" w:eastAsia="宋体" w:cs="宋体"/>
                <w:color w:val="auto"/>
                <w:spacing w:val="13"/>
                <w:highlight w:val="none"/>
              </w:rPr>
              <w:t>阶</w:t>
            </w:r>
            <w:r>
              <w:rPr>
                <w:rFonts w:ascii="宋体" w:hAnsi="宋体" w:eastAsia="宋体" w:cs="宋体"/>
                <w:color w:val="auto"/>
                <w:spacing w:val="10"/>
                <w:highlight w:val="none"/>
              </w:rPr>
              <w:t>段各类型工作成果，包括正式文件及过程文</w:t>
            </w:r>
            <w:r>
              <w:rPr>
                <w:rFonts w:ascii="宋体" w:hAnsi="宋体" w:eastAsia="宋体" w:cs="宋体"/>
                <w:color w:val="auto"/>
                <w:highlight w:val="none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pacing w:val="8"/>
                <w:highlight w:val="none"/>
              </w:rPr>
              <w:t>件， 且</w:t>
            </w:r>
            <w:r>
              <w:rPr>
                <w:rFonts w:ascii="宋体" w:hAnsi="宋体" w:eastAsia="宋体" w:cs="宋体"/>
                <w:color w:val="auto"/>
                <w:spacing w:val="5"/>
                <w:highlight w:val="none"/>
              </w:rPr>
              <w:t>各</w:t>
            </w:r>
            <w:r>
              <w:rPr>
                <w:rFonts w:ascii="宋体" w:hAnsi="宋体" w:eastAsia="宋体" w:cs="宋体"/>
                <w:color w:val="auto"/>
                <w:spacing w:val="4"/>
                <w:highlight w:val="none"/>
              </w:rPr>
              <w:t>项成果时效性满足要求，</w:t>
            </w:r>
            <w:r>
              <w:rPr>
                <w:rFonts w:hint="eastAsia" w:ascii="宋体" w:hAnsi="宋体" w:eastAsia="宋体" w:cs="宋体"/>
                <w:color w:val="auto"/>
                <w:spacing w:val="20"/>
                <w:sz w:val="20"/>
                <w:szCs w:val="20"/>
                <w:highlight w:val="none"/>
              </w:rPr>
              <w:t>不按时提交或按时提交但不满足要求的仍算滞后，每滞后一天</w:t>
            </w:r>
            <w:r>
              <w:rPr>
                <w:rFonts w:ascii="宋体" w:hAnsi="宋体" w:eastAsia="宋体" w:cs="宋体"/>
                <w:color w:val="auto"/>
                <w:spacing w:val="20"/>
                <w:sz w:val="20"/>
                <w:szCs w:val="20"/>
                <w:highlight w:val="none"/>
              </w:rPr>
              <w:t>扣</w:t>
            </w:r>
            <w:r>
              <w:rPr>
                <w:rFonts w:hint="eastAsia" w:ascii="宋体" w:hAnsi="宋体" w:eastAsia="宋体" w:cs="宋体"/>
                <w:color w:val="auto"/>
                <w:spacing w:val="12"/>
                <w:sz w:val="20"/>
                <w:szCs w:val="20"/>
                <w:highlight w:val="none"/>
                <w14:textOutline w14:w="3175" w14:cap="flat" w14:cmpd="sng" w14:algn="ctr">
                  <w14:solidFill>
                    <w14:srgbClr w14:val="FF0000"/>
                  </w14:solidFill>
                  <w14:prstDash w14:val="solid"/>
                  <w14:miter w14:val="0"/>
                </w14:textOutline>
              </w:rPr>
              <w:t>1</w:t>
            </w:r>
            <w:r>
              <w:rPr>
                <w:rFonts w:ascii="宋体" w:hAnsi="宋体" w:eastAsia="宋体" w:cs="宋体"/>
                <w:color w:val="auto"/>
                <w:spacing w:val="12"/>
                <w:sz w:val="20"/>
                <w:szCs w:val="20"/>
                <w:highlight w:val="none"/>
              </w:rPr>
              <w:t>分</w:t>
            </w:r>
            <w:r>
              <w:rPr>
                <w:rFonts w:hint="eastAsia" w:ascii="宋体" w:hAnsi="宋体" w:eastAsia="宋体" w:cs="宋体"/>
                <w:color w:val="auto"/>
                <w:spacing w:val="12"/>
                <w:sz w:val="20"/>
                <w:szCs w:val="20"/>
                <w:highlight w:val="none"/>
              </w:rPr>
              <w:t>。</w:t>
            </w:r>
          </w:p>
        </w:tc>
        <w:tc>
          <w:tcPr>
            <w:tcW w:w="78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rPr>
                <w:color w:val="auto"/>
                <w:highlight w:val="none"/>
              </w:rPr>
            </w:pPr>
          </w:p>
        </w:tc>
        <w:tc>
          <w:tcPr>
            <w:tcW w:w="166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rPr>
                <w:color w:val="auto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4" w:hRule="atLeast"/>
        </w:trPr>
        <w:tc>
          <w:tcPr>
            <w:tcW w:w="60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line="291" w:lineRule="auto"/>
              <w:rPr>
                <w:color w:val="auto"/>
                <w:highlight w:val="none"/>
              </w:rPr>
            </w:pPr>
          </w:p>
          <w:p>
            <w:pPr>
              <w:spacing w:line="291" w:lineRule="auto"/>
              <w:rPr>
                <w:color w:val="auto"/>
                <w:highlight w:val="none"/>
              </w:rPr>
            </w:pPr>
          </w:p>
          <w:p>
            <w:pPr>
              <w:spacing w:before="60" w:line="192" w:lineRule="auto"/>
              <w:ind w:left="251"/>
              <w:rPr>
                <w:rFonts w:ascii="Times New Roman" w:hAnsi="Times New Roman" w:eastAsia="Times New Roman" w:cs="Times New Roman"/>
                <w:color w:val="auto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auto"/>
                <w:highlight w:val="none"/>
              </w:rPr>
              <w:t>6</w:t>
            </w:r>
          </w:p>
        </w:tc>
        <w:tc>
          <w:tcPr>
            <w:tcW w:w="1225" w:type="dxa"/>
            <w:vMerge w:val="continue"/>
            <w:tcBorders>
              <w:top w:val="nil"/>
              <w:bottom w:val="single" w:color="000000" w:sz="2" w:space="0"/>
            </w:tcBorders>
          </w:tcPr>
          <w:p>
            <w:pPr>
              <w:rPr>
                <w:color w:val="auto"/>
                <w:highlight w:val="none"/>
              </w:rPr>
            </w:pPr>
          </w:p>
        </w:tc>
        <w:tc>
          <w:tcPr>
            <w:tcW w:w="1059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before="60" w:line="189" w:lineRule="auto"/>
              <w:ind w:left="474"/>
              <w:jc w:val="both"/>
              <w:rPr>
                <w:rFonts w:ascii="Times New Roman" w:hAnsi="Times New Roman" w:eastAsia="Times New Roman" w:cs="Times New Roman"/>
                <w:color w:val="auto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auto"/>
                <w:highlight w:val="none"/>
              </w:rPr>
              <w:t>5</w:t>
            </w:r>
          </w:p>
        </w:tc>
        <w:tc>
          <w:tcPr>
            <w:tcW w:w="470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69" w:line="244" w:lineRule="auto"/>
              <w:ind w:left="33" w:right="20" w:firstLine="5"/>
              <w:rPr>
                <w:rFonts w:ascii="宋体" w:hAnsi="宋体" w:eastAsia="宋体" w:cs="宋体"/>
                <w:color w:val="auto"/>
                <w:highlight w:val="none"/>
              </w:rPr>
            </w:pPr>
            <w:r>
              <w:rPr>
                <w:rFonts w:ascii="宋体" w:hAnsi="宋体" w:eastAsia="宋体" w:cs="宋体"/>
                <w:color w:val="auto"/>
                <w:spacing w:val="30"/>
                <w:highlight w:val="none"/>
              </w:rPr>
              <w:t>是</w:t>
            </w:r>
            <w:r>
              <w:rPr>
                <w:rFonts w:ascii="宋体" w:hAnsi="宋体" w:eastAsia="宋体" w:cs="宋体"/>
                <w:color w:val="auto"/>
                <w:spacing w:val="21"/>
                <w:highlight w:val="none"/>
              </w:rPr>
              <w:t>否因服务单位工作进度滞后影响项目正常推</w:t>
            </w:r>
            <w:r>
              <w:rPr>
                <w:rFonts w:ascii="宋体" w:hAnsi="宋体" w:eastAsia="宋体" w:cs="宋体"/>
                <w:color w:val="auto"/>
                <w:highlight w:val="none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pacing w:val="29"/>
                <w:highlight w:val="none"/>
              </w:rPr>
              <w:t>进</w:t>
            </w:r>
            <w:r>
              <w:rPr>
                <w:rFonts w:ascii="宋体" w:hAnsi="宋体" w:eastAsia="宋体" w:cs="宋体"/>
                <w:color w:val="auto"/>
                <w:spacing w:val="15"/>
                <w:highlight w:val="none"/>
              </w:rPr>
              <w:t>，</w:t>
            </w:r>
            <w:r>
              <w:rPr>
                <w:rFonts w:hint="eastAsia" w:ascii="宋体" w:hAnsi="宋体" w:eastAsia="宋体" w:cs="宋体"/>
                <w:color w:val="auto"/>
                <w:spacing w:val="15"/>
                <w:highlight w:val="none"/>
              </w:rPr>
              <w:t>每影响项目工作滞后一天扣1分</w:t>
            </w:r>
            <w:r>
              <w:rPr>
                <w:rFonts w:ascii="宋体" w:hAnsi="宋体" w:eastAsia="宋体" w:cs="宋体"/>
                <w:color w:val="auto"/>
                <w:spacing w:val="12"/>
                <w:highlight w:val="none"/>
              </w:rPr>
              <w:t>。</w:t>
            </w:r>
          </w:p>
        </w:tc>
        <w:tc>
          <w:tcPr>
            <w:tcW w:w="78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rPr>
                <w:color w:val="auto"/>
                <w:highlight w:val="none"/>
              </w:rPr>
            </w:pPr>
          </w:p>
        </w:tc>
        <w:tc>
          <w:tcPr>
            <w:tcW w:w="166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rPr>
                <w:color w:val="auto"/>
                <w:highlight w:val="none"/>
              </w:rPr>
            </w:pPr>
          </w:p>
        </w:tc>
      </w:tr>
    </w:tbl>
    <w:p>
      <w:pPr>
        <w:rPr>
          <w:rFonts w:eastAsiaTheme="minorEastAsia"/>
          <w:color w:val="auto"/>
          <w:highlight w:val="none"/>
        </w:rPr>
        <w:sectPr>
          <w:type w:val="continuous"/>
          <w:pgSz w:w="12240" w:h="15840"/>
          <w:pgMar w:top="1346" w:right="1101" w:bottom="0" w:left="1084" w:header="0" w:footer="0" w:gutter="0"/>
          <w:cols w:equalWidth="0" w:num="1">
            <w:col w:w="10054"/>
          </w:cols>
        </w:sectPr>
      </w:pPr>
    </w:p>
    <w:p>
      <w:pPr>
        <w:spacing w:line="69" w:lineRule="exact"/>
        <w:rPr>
          <w:rFonts w:eastAsiaTheme="minorEastAsia"/>
          <w:color w:val="auto"/>
          <w:highlight w:val="none"/>
        </w:rPr>
      </w:pPr>
    </w:p>
    <w:tbl>
      <w:tblPr>
        <w:tblStyle w:val="9"/>
        <w:tblW w:w="10038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00"/>
        <w:gridCol w:w="1225"/>
        <w:gridCol w:w="1059"/>
        <w:gridCol w:w="4704"/>
        <w:gridCol w:w="781"/>
        <w:gridCol w:w="1669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00" w:hRule="atLeast"/>
          <w:jc w:val="center"/>
        </w:trPr>
        <w:tc>
          <w:tcPr>
            <w:tcW w:w="60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line="418" w:lineRule="auto"/>
              <w:rPr>
                <w:color w:val="auto"/>
                <w:highlight w:val="none"/>
              </w:rPr>
            </w:pPr>
          </w:p>
          <w:p>
            <w:pPr>
              <w:spacing w:before="60" w:line="189" w:lineRule="auto"/>
              <w:ind w:left="249"/>
              <w:rPr>
                <w:rFonts w:ascii="Times New Roman" w:hAnsi="Times New Roman" w:eastAsia="Times New Roman" w:cs="Times New Roman"/>
                <w:color w:val="auto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auto"/>
                <w:highlight w:val="none"/>
              </w:rPr>
              <w:t>7</w:t>
            </w:r>
          </w:p>
        </w:tc>
        <w:tc>
          <w:tcPr>
            <w:tcW w:w="1225" w:type="dxa"/>
            <w:vMerge w:val="restart"/>
            <w:tcBorders>
              <w:top w:val="single" w:color="000000" w:sz="2" w:space="0"/>
            </w:tcBorders>
          </w:tcPr>
          <w:p>
            <w:pPr>
              <w:spacing w:before="69" w:line="228" w:lineRule="auto"/>
              <w:ind w:left="175"/>
              <w:rPr>
                <w:rFonts w:ascii="宋体" w:hAnsi="宋体" w:eastAsia="宋体" w:cs="宋体"/>
                <w:color w:val="auto"/>
                <w:spacing w:val="6"/>
                <w:highlight w:val="none"/>
              </w:rPr>
            </w:pPr>
          </w:p>
          <w:p>
            <w:pPr>
              <w:spacing w:before="69" w:line="228" w:lineRule="auto"/>
              <w:ind w:left="175"/>
              <w:rPr>
                <w:rFonts w:ascii="宋体" w:hAnsi="宋体" w:eastAsia="宋体" w:cs="宋体"/>
                <w:color w:val="auto"/>
                <w:spacing w:val="6"/>
                <w:highlight w:val="none"/>
              </w:rPr>
            </w:pPr>
          </w:p>
          <w:p>
            <w:pPr>
              <w:spacing w:before="69" w:line="228" w:lineRule="auto"/>
              <w:ind w:left="175"/>
              <w:rPr>
                <w:rFonts w:ascii="宋体" w:hAnsi="宋体" w:eastAsia="宋体" w:cs="宋体"/>
                <w:color w:val="auto"/>
                <w:spacing w:val="6"/>
                <w:highlight w:val="none"/>
              </w:rPr>
            </w:pPr>
          </w:p>
          <w:p>
            <w:pPr>
              <w:spacing w:before="69" w:line="228" w:lineRule="auto"/>
              <w:ind w:left="175"/>
              <w:rPr>
                <w:rFonts w:ascii="宋体" w:hAnsi="宋体" w:eastAsia="宋体" w:cs="宋体"/>
                <w:color w:val="auto"/>
                <w:spacing w:val="6"/>
                <w:highlight w:val="none"/>
              </w:rPr>
            </w:pPr>
          </w:p>
          <w:p>
            <w:pPr>
              <w:spacing w:before="69" w:line="228" w:lineRule="auto"/>
              <w:ind w:left="175"/>
              <w:rPr>
                <w:rFonts w:ascii="宋体" w:hAnsi="宋体" w:eastAsia="宋体" w:cs="宋体"/>
                <w:color w:val="auto"/>
                <w:spacing w:val="6"/>
                <w:highlight w:val="none"/>
              </w:rPr>
            </w:pPr>
          </w:p>
          <w:p>
            <w:pPr>
              <w:spacing w:before="69" w:line="228" w:lineRule="auto"/>
              <w:ind w:left="175"/>
              <w:rPr>
                <w:rFonts w:ascii="宋体" w:hAnsi="宋体" w:eastAsia="宋体" w:cs="宋体"/>
                <w:color w:val="auto"/>
                <w:spacing w:val="6"/>
                <w:highlight w:val="none"/>
              </w:rPr>
            </w:pPr>
          </w:p>
          <w:p>
            <w:pPr>
              <w:spacing w:before="69" w:line="228" w:lineRule="auto"/>
              <w:ind w:left="175"/>
              <w:rPr>
                <w:rFonts w:ascii="宋体" w:hAnsi="宋体" w:eastAsia="宋体" w:cs="宋体"/>
                <w:color w:val="auto"/>
                <w:spacing w:val="6"/>
                <w:highlight w:val="none"/>
              </w:rPr>
            </w:pPr>
          </w:p>
          <w:p>
            <w:pPr>
              <w:spacing w:before="69" w:line="228" w:lineRule="auto"/>
              <w:ind w:left="175"/>
              <w:rPr>
                <w:rFonts w:ascii="宋体" w:hAnsi="宋体" w:eastAsia="宋体" w:cs="宋体"/>
                <w:color w:val="auto"/>
                <w:spacing w:val="6"/>
                <w:highlight w:val="none"/>
              </w:rPr>
            </w:pPr>
          </w:p>
          <w:p>
            <w:pPr>
              <w:spacing w:before="69" w:line="228" w:lineRule="auto"/>
              <w:ind w:left="175"/>
              <w:rPr>
                <w:rFonts w:ascii="宋体" w:hAnsi="宋体" w:eastAsia="宋体" w:cs="宋体"/>
                <w:color w:val="auto"/>
                <w:spacing w:val="6"/>
                <w:highlight w:val="none"/>
              </w:rPr>
            </w:pPr>
          </w:p>
          <w:p>
            <w:pPr>
              <w:spacing w:before="69" w:line="228" w:lineRule="auto"/>
              <w:ind w:left="175"/>
              <w:rPr>
                <w:rFonts w:ascii="宋体" w:hAnsi="宋体" w:eastAsia="宋体" w:cs="宋体"/>
                <w:color w:val="auto"/>
                <w:highlight w:val="none"/>
              </w:rPr>
            </w:pPr>
            <w:r>
              <w:rPr>
                <w:rFonts w:ascii="宋体" w:hAnsi="宋体" w:eastAsia="宋体" w:cs="宋体"/>
                <w:color w:val="auto"/>
                <w:spacing w:val="6"/>
                <w:highlight w:val="none"/>
              </w:rPr>
              <w:t>成果质</w:t>
            </w:r>
            <w:r>
              <w:rPr>
                <w:rFonts w:ascii="宋体" w:hAnsi="宋体" w:eastAsia="宋体" w:cs="宋体"/>
                <w:color w:val="auto"/>
                <w:spacing w:val="5"/>
                <w:highlight w:val="none"/>
              </w:rPr>
              <w:t>量</w:t>
            </w:r>
          </w:p>
        </w:tc>
        <w:tc>
          <w:tcPr>
            <w:tcW w:w="105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line="420" w:lineRule="auto"/>
              <w:rPr>
                <w:color w:val="auto"/>
                <w:highlight w:val="none"/>
              </w:rPr>
            </w:pPr>
          </w:p>
          <w:p>
            <w:pPr>
              <w:spacing w:before="61" w:line="189" w:lineRule="auto"/>
              <w:ind w:left="474"/>
              <w:rPr>
                <w:rFonts w:ascii="Times New Roman" w:hAnsi="Times New Roman" w:eastAsia="Times New Roman" w:cs="Times New Roman"/>
                <w:color w:val="auto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auto"/>
                <w:highlight w:val="none"/>
              </w:rPr>
              <w:t>5</w:t>
            </w:r>
          </w:p>
        </w:tc>
        <w:tc>
          <w:tcPr>
            <w:tcW w:w="470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90" w:line="244" w:lineRule="auto"/>
              <w:ind w:left="35" w:right="20" w:firstLine="2"/>
              <w:rPr>
                <w:rFonts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19"/>
                <w:highlight w:val="none"/>
              </w:rPr>
              <w:t>勘察</w:t>
            </w:r>
            <w:r>
              <w:rPr>
                <w:rFonts w:ascii="宋体" w:hAnsi="宋体" w:eastAsia="宋体" w:cs="宋体"/>
                <w:color w:val="auto"/>
                <w:spacing w:val="19"/>
                <w:highlight w:val="none"/>
              </w:rPr>
              <w:t>设</w:t>
            </w:r>
            <w:r>
              <w:rPr>
                <w:rFonts w:ascii="宋体" w:hAnsi="宋体" w:eastAsia="宋体" w:cs="宋体"/>
                <w:color w:val="auto"/>
                <w:spacing w:val="10"/>
                <w:highlight w:val="none"/>
              </w:rPr>
              <w:t>计文件是否满足国家有关法律法规及行业有关</w:t>
            </w:r>
            <w:r>
              <w:rPr>
                <w:rFonts w:ascii="宋体" w:hAnsi="宋体" w:eastAsia="宋体" w:cs="宋体"/>
                <w:color w:val="auto"/>
                <w:highlight w:val="none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pacing w:val="14"/>
                <w:highlight w:val="none"/>
              </w:rPr>
              <w:t>技</w:t>
            </w:r>
            <w:r>
              <w:rPr>
                <w:rFonts w:ascii="宋体" w:hAnsi="宋体" w:eastAsia="宋体" w:cs="宋体"/>
                <w:color w:val="auto"/>
                <w:spacing w:val="13"/>
                <w:highlight w:val="none"/>
              </w:rPr>
              <w:t>术规程、标准的要求，</w:t>
            </w:r>
            <w:r>
              <w:rPr>
                <w:rFonts w:hint="eastAsia" w:ascii="宋体" w:hAnsi="宋体" w:eastAsia="宋体" w:cs="宋体"/>
                <w:color w:val="auto"/>
                <w:spacing w:val="15"/>
                <w:highlight w:val="none"/>
              </w:rPr>
              <w:t>每出现一处不满足要求的扣1分</w:t>
            </w:r>
            <w:r>
              <w:rPr>
                <w:rFonts w:ascii="宋体" w:hAnsi="宋体" w:eastAsia="宋体" w:cs="宋体"/>
                <w:color w:val="auto"/>
                <w:spacing w:val="12"/>
                <w:highlight w:val="none"/>
              </w:rPr>
              <w:t>。</w:t>
            </w:r>
          </w:p>
        </w:tc>
        <w:tc>
          <w:tcPr>
            <w:tcW w:w="78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rPr>
                <w:color w:val="auto"/>
                <w:highlight w:val="none"/>
              </w:rPr>
            </w:pPr>
          </w:p>
        </w:tc>
        <w:tc>
          <w:tcPr>
            <w:tcW w:w="166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rPr>
                <w:color w:val="auto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4" w:hRule="atLeast"/>
          <w:jc w:val="center"/>
        </w:trPr>
        <w:tc>
          <w:tcPr>
            <w:tcW w:w="60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line="407" w:lineRule="auto"/>
              <w:rPr>
                <w:rFonts w:eastAsiaTheme="minorEastAsia"/>
                <w:color w:val="auto"/>
                <w:highlight w:val="none"/>
              </w:rPr>
            </w:pPr>
          </w:p>
          <w:p>
            <w:pPr>
              <w:spacing w:before="60" w:line="192" w:lineRule="auto"/>
              <w:ind w:left="255"/>
              <w:rPr>
                <w:rFonts w:ascii="Times New Roman" w:hAnsi="Times New Roman" w:eastAsia="Times New Roman" w:cs="Times New Roman"/>
                <w:color w:val="auto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auto"/>
                <w:highlight w:val="none"/>
              </w:rPr>
              <w:t>8</w:t>
            </w:r>
          </w:p>
        </w:tc>
        <w:tc>
          <w:tcPr>
            <w:tcW w:w="1225" w:type="dxa"/>
            <w:vMerge w:val="continue"/>
          </w:tcPr>
          <w:p>
            <w:pPr>
              <w:rPr>
                <w:color w:val="auto"/>
                <w:highlight w:val="none"/>
              </w:rPr>
            </w:pPr>
          </w:p>
        </w:tc>
        <w:tc>
          <w:tcPr>
            <w:tcW w:w="105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line="412" w:lineRule="auto"/>
              <w:rPr>
                <w:color w:val="auto"/>
                <w:highlight w:val="none"/>
              </w:rPr>
            </w:pPr>
          </w:p>
          <w:p>
            <w:pPr>
              <w:spacing w:before="61" w:line="189" w:lineRule="auto"/>
              <w:ind w:left="474"/>
              <w:rPr>
                <w:rFonts w:ascii="Times New Roman" w:hAnsi="Times New Roman" w:eastAsia="Times New Roman" w:cs="Times New Roman"/>
                <w:color w:val="auto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auto"/>
                <w:highlight w:val="none"/>
              </w:rPr>
              <w:t>5</w:t>
            </w:r>
          </w:p>
        </w:tc>
        <w:tc>
          <w:tcPr>
            <w:tcW w:w="470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49" w:line="229" w:lineRule="auto"/>
              <w:ind w:left="35" w:right="20" w:firstLine="2"/>
              <w:rPr>
                <w:rFonts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19"/>
                <w:highlight w:val="none"/>
              </w:rPr>
              <w:t>勘察</w:t>
            </w:r>
            <w:r>
              <w:rPr>
                <w:rFonts w:ascii="宋体" w:hAnsi="宋体" w:eastAsia="宋体" w:cs="宋体"/>
                <w:color w:val="auto"/>
                <w:spacing w:val="19"/>
                <w:highlight w:val="none"/>
              </w:rPr>
              <w:t>设</w:t>
            </w:r>
            <w:r>
              <w:rPr>
                <w:rFonts w:ascii="宋体" w:hAnsi="宋体" w:eastAsia="宋体" w:cs="宋体"/>
                <w:color w:val="auto"/>
                <w:spacing w:val="10"/>
                <w:highlight w:val="none"/>
              </w:rPr>
              <w:t>计文件的深度是否满足相应设计阶段有关规定</w:t>
            </w:r>
            <w:r>
              <w:rPr>
                <w:rFonts w:ascii="宋体" w:hAnsi="宋体" w:eastAsia="宋体" w:cs="宋体"/>
                <w:color w:val="auto"/>
                <w:spacing w:val="14"/>
                <w:highlight w:val="none"/>
              </w:rPr>
              <w:t>要</w:t>
            </w:r>
            <w:r>
              <w:rPr>
                <w:rFonts w:ascii="宋体" w:hAnsi="宋体" w:eastAsia="宋体" w:cs="宋体"/>
                <w:color w:val="auto"/>
                <w:spacing w:val="9"/>
                <w:highlight w:val="none"/>
              </w:rPr>
              <w:t>求，设计内容是否全面、完整</w:t>
            </w:r>
            <w:r>
              <w:rPr>
                <w:rFonts w:hint="eastAsia" w:ascii="宋体" w:hAnsi="宋体" w:eastAsia="宋体" w:cs="宋体"/>
                <w:color w:val="auto"/>
                <w:spacing w:val="9"/>
                <w:highlight w:val="none"/>
              </w:rPr>
              <w:t>（含概算是否漏项，主要设备及材料未提供三家及以上询价资料，且询价资料真实有效）</w:t>
            </w:r>
            <w:r>
              <w:rPr>
                <w:rFonts w:ascii="宋体" w:hAnsi="宋体" w:eastAsia="宋体" w:cs="宋体"/>
                <w:color w:val="auto"/>
                <w:spacing w:val="9"/>
                <w:highlight w:val="none"/>
              </w:rPr>
              <w:t>，</w:t>
            </w:r>
            <w:r>
              <w:rPr>
                <w:rFonts w:hint="eastAsia" w:ascii="宋体" w:hAnsi="宋体" w:eastAsia="宋体" w:cs="宋体"/>
                <w:color w:val="auto"/>
                <w:spacing w:val="15"/>
                <w:highlight w:val="none"/>
              </w:rPr>
              <w:t>每出现一处内容不清晰或内容缺少的扣1分</w:t>
            </w:r>
            <w:r>
              <w:rPr>
                <w:rFonts w:ascii="宋体" w:hAnsi="宋体" w:eastAsia="宋体" w:cs="宋体"/>
                <w:color w:val="auto"/>
                <w:spacing w:val="12"/>
                <w:highlight w:val="none"/>
              </w:rPr>
              <w:t>。</w:t>
            </w:r>
          </w:p>
        </w:tc>
        <w:tc>
          <w:tcPr>
            <w:tcW w:w="78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rPr>
                <w:color w:val="auto"/>
                <w:highlight w:val="none"/>
              </w:rPr>
            </w:pPr>
          </w:p>
        </w:tc>
        <w:tc>
          <w:tcPr>
            <w:tcW w:w="166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rPr>
                <w:color w:val="auto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7" w:hRule="atLeast"/>
          <w:jc w:val="center"/>
        </w:trPr>
        <w:tc>
          <w:tcPr>
            <w:tcW w:w="60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line="263" w:lineRule="auto"/>
              <w:rPr>
                <w:color w:val="auto"/>
                <w:highlight w:val="none"/>
              </w:rPr>
            </w:pPr>
          </w:p>
          <w:p>
            <w:pPr>
              <w:spacing w:line="264" w:lineRule="auto"/>
              <w:rPr>
                <w:color w:val="auto"/>
                <w:highlight w:val="none"/>
              </w:rPr>
            </w:pPr>
          </w:p>
          <w:p>
            <w:pPr>
              <w:spacing w:before="60" w:line="192" w:lineRule="auto"/>
              <w:ind w:left="250"/>
              <w:rPr>
                <w:rFonts w:ascii="Times New Roman" w:hAnsi="Times New Roman" w:eastAsia="Times New Roman" w:cs="Times New Roman"/>
                <w:color w:val="auto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auto"/>
                <w:highlight w:val="none"/>
              </w:rPr>
              <w:t>9</w:t>
            </w:r>
          </w:p>
        </w:tc>
        <w:tc>
          <w:tcPr>
            <w:tcW w:w="1225" w:type="dxa"/>
            <w:vMerge w:val="continue"/>
          </w:tcPr>
          <w:p>
            <w:pPr>
              <w:rPr>
                <w:color w:val="auto"/>
                <w:highlight w:val="none"/>
              </w:rPr>
            </w:pPr>
          </w:p>
        </w:tc>
        <w:tc>
          <w:tcPr>
            <w:tcW w:w="105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line="266" w:lineRule="auto"/>
              <w:rPr>
                <w:color w:val="auto"/>
                <w:highlight w:val="none"/>
              </w:rPr>
            </w:pPr>
          </w:p>
          <w:p>
            <w:pPr>
              <w:spacing w:line="266" w:lineRule="auto"/>
              <w:rPr>
                <w:color w:val="auto"/>
                <w:highlight w:val="none"/>
              </w:rPr>
            </w:pPr>
          </w:p>
          <w:p>
            <w:pPr>
              <w:spacing w:before="61" w:line="189" w:lineRule="auto"/>
              <w:ind w:left="474"/>
              <w:rPr>
                <w:rFonts w:ascii="Times New Roman" w:hAnsi="Times New Roman" w:eastAsia="Times New Roman" w:cs="Times New Roman"/>
                <w:color w:val="auto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auto"/>
                <w:highlight w:val="none"/>
              </w:rPr>
              <w:t>5</w:t>
            </w:r>
          </w:p>
        </w:tc>
        <w:tc>
          <w:tcPr>
            <w:tcW w:w="470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70" w:line="241" w:lineRule="auto"/>
              <w:ind w:left="36" w:right="20" w:firstLine="1"/>
              <w:rPr>
                <w:rFonts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19"/>
                <w:highlight w:val="none"/>
              </w:rPr>
              <w:t>勘察</w:t>
            </w:r>
            <w:r>
              <w:rPr>
                <w:rFonts w:ascii="宋体" w:hAnsi="宋体" w:eastAsia="宋体" w:cs="宋体"/>
                <w:color w:val="auto"/>
                <w:spacing w:val="1"/>
                <w:highlight w:val="none"/>
              </w:rPr>
              <w:t>设计</w:t>
            </w:r>
            <w:r>
              <w:rPr>
                <w:rFonts w:hint="eastAsia" w:ascii="宋体" w:hAnsi="宋体" w:eastAsia="宋体" w:cs="宋体"/>
                <w:color w:val="auto"/>
                <w:spacing w:val="1"/>
                <w:highlight w:val="none"/>
              </w:rPr>
              <w:t>单位</w:t>
            </w:r>
            <w:r>
              <w:rPr>
                <w:rFonts w:ascii="宋体" w:hAnsi="宋体" w:eastAsia="宋体" w:cs="宋体"/>
                <w:color w:val="auto"/>
                <w:spacing w:val="1"/>
                <w:highlight w:val="none"/>
              </w:rPr>
              <w:t>的基本资料</w:t>
            </w:r>
            <w:r>
              <w:rPr>
                <w:rFonts w:ascii="宋体" w:hAnsi="宋体" w:eastAsia="宋体" w:cs="宋体"/>
                <w:color w:val="auto"/>
                <w:highlight w:val="none"/>
              </w:rPr>
              <w:t>是否准确、 可靠、充分， 计</w:t>
            </w:r>
            <w:r>
              <w:rPr>
                <w:rFonts w:ascii="宋体" w:hAnsi="宋体" w:eastAsia="宋体" w:cs="宋体"/>
                <w:color w:val="auto"/>
                <w:spacing w:val="24"/>
                <w:highlight w:val="none"/>
              </w:rPr>
              <w:t>算</w:t>
            </w:r>
            <w:r>
              <w:rPr>
                <w:rFonts w:ascii="宋体" w:hAnsi="宋体" w:eastAsia="宋体" w:cs="宋体"/>
                <w:color w:val="auto"/>
                <w:spacing w:val="14"/>
                <w:highlight w:val="none"/>
              </w:rPr>
              <w:t>结</w:t>
            </w:r>
            <w:r>
              <w:rPr>
                <w:rFonts w:ascii="宋体" w:hAnsi="宋体" w:eastAsia="宋体" w:cs="宋体"/>
                <w:color w:val="auto"/>
                <w:spacing w:val="12"/>
                <w:highlight w:val="none"/>
              </w:rPr>
              <w:t>果是否准确</w:t>
            </w:r>
            <w:r>
              <w:rPr>
                <w:rFonts w:hint="eastAsia" w:ascii="宋体" w:hAnsi="宋体" w:eastAsia="宋体" w:cs="宋体"/>
                <w:color w:val="auto"/>
                <w:spacing w:val="12"/>
                <w:highlight w:val="none"/>
              </w:rPr>
              <w:t>（含费率计算）</w:t>
            </w:r>
            <w:r>
              <w:rPr>
                <w:rFonts w:ascii="宋体" w:hAnsi="宋体" w:eastAsia="宋体" w:cs="宋体"/>
                <w:color w:val="auto"/>
                <w:spacing w:val="12"/>
                <w:highlight w:val="none"/>
              </w:rPr>
              <w:t>，</w:t>
            </w:r>
            <w:r>
              <w:rPr>
                <w:rFonts w:hint="eastAsia" w:ascii="宋体" w:hAnsi="宋体" w:eastAsia="宋体" w:cs="宋体"/>
                <w:color w:val="auto"/>
                <w:spacing w:val="12"/>
                <w:highlight w:val="none"/>
              </w:rPr>
              <w:t>每出现一处</w:t>
            </w:r>
            <w:r>
              <w:rPr>
                <w:rFonts w:ascii="宋体" w:hAnsi="宋体" w:eastAsia="宋体" w:cs="宋体"/>
                <w:color w:val="auto"/>
                <w:spacing w:val="12"/>
                <w:highlight w:val="none"/>
              </w:rPr>
              <w:t>数据</w:t>
            </w:r>
            <w:r>
              <w:rPr>
                <w:rFonts w:hint="eastAsia" w:ascii="宋体" w:hAnsi="宋体" w:eastAsia="宋体" w:cs="宋体"/>
                <w:color w:val="auto"/>
                <w:spacing w:val="12"/>
                <w:highlight w:val="none"/>
              </w:rPr>
              <w:t>、文字</w:t>
            </w:r>
            <w:r>
              <w:rPr>
                <w:rFonts w:ascii="宋体" w:hAnsi="宋体" w:eastAsia="宋体" w:cs="宋体"/>
                <w:color w:val="auto"/>
                <w:spacing w:val="7"/>
                <w:highlight w:val="none"/>
              </w:rPr>
              <w:t>错误扣</w:t>
            </w:r>
            <w:r>
              <w:rPr>
                <w:rFonts w:ascii="宋体" w:hAnsi="宋体" w:eastAsia="宋体" w:cs="宋体"/>
                <w:color w:val="auto"/>
                <w:spacing w:val="7"/>
                <w:highlight w:val="none"/>
                <w14:textOutline w14:w="3175" w14:cap="flat" w14:cmpd="sng" w14:algn="ctr">
                  <w14:solidFill>
                    <w14:srgbClr w14:val="FF0000"/>
                  </w14:solidFill>
                  <w14:prstDash w14:val="solid"/>
                  <w14:miter w14:val="0"/>
                </w14:textOutline>
              </w:rPr>
              <w:t>0.5</w:t>
            </w:r>
            <w:r>
              <w:rPr>
                <w:rFonts w:ascii="宋体" w:hAnsi="宋体" w:eastAsia="宋体" w:cs="宋体"/>
                <w:color w:val="auto"/>
                <w:spacing w:val="7"/>
                <w:highlight w:val="none"/>
              </w:rPr>
              <w:t>分</w:t>
            </w:r>
            <w:r>
              <w:rPr>
                <w:rFonts w:ascii="宋体" w:hAnsi="宋体" w:eastAsia="宋体" w:cs="宋体"/>
                <w:color w:val="auto"/>
                <w:spacing w:val="4"/>
                <w:highlight w:val="none"/>
              </w:rPr>
              <w:t>。</w:t>
            </w:r>
          </w:p>
        </w:tc>
        <w:tc>
          <w:tcPr>
            <w:tcW w:w="78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rPr>
                <w:color w:val="auto"/>
                <w:highlight w:val="none"/>
              </w:rPr>
            </w:pPr>
          </w:p>
        </w:tc>
        <w:tc>
          <w:tcPr>
            <w:tcW w:w="166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rPr>
                <w:color w:val="auto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06" w:hRule="atLeast"/>
          <w:jc w:val="center"/>
        </w:trPr>
        <w:tc>
          <w:tcPr>
            <w:tcW w:w="60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line="416" w:lineRule="auto"/>
              <w:rPr>
                <w:color w:val="auto"/>
                <w:highlight w:val="none"/>
              </w:rPr>
            </w:pPr>
          </w:p>
          <w:p>
            <w:pPr>
              <w:spacing w:before="60" w:line="192" w:lineRule="auto"/>
              <w:ind w:left="212"/>
              <w:rPr>
                <w:rFonts w:ascii="Times New Roman" w:hAnsi="Times New Roman" w:eastAsia="Times New Roman" w:cs="Times New Roman"/>
                <w:color w:val="auto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-4"/>
                <w:highlight w:val="none"/>
              </w:rPr>
              <w:t>10</w:t>
            </w:r>
          </w:p>
        </w:tc>
        <w:tc>
          <w:tcPr>
            <w:tcW w:w="1225" w:type="dxa"/>
            <w:vMerge w:val="continue"/>
          </w:tcPr>
          <w:p>
            <w:pPr>
              <w:rPr>
                <w:color w:val="auto"/>
                <w:highlight w:val="none"/>
              </w:rPr>
            </w:pPr>
          </w:p>
        </w:tc>
        <w:tc>
          <w:tcPr>
            <w:tcW w:w="105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line="418" w:lineRule="auto"/>
              <w:rPr>
                <w:color w:val="auto"/>
                <w:highlight w:val="none"/>
              </w:rPr>
            </w:pPr>
          </w:p>
          <w:p>
            <w:pPr>
              <w:spacing w:before="60" w:line="192" w:lineRule="auto"/>
              <w:ind w:left="434"/>
              <w:rPr>
                <w:rFonts w:ascii="Times New Roman" w:hAnsi="Times New Roman" w:eastAsia="Times New Roman" w:cs="Times New Roman"/>
                <w:color w:val="auto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-4"/>
                <w:highlight w:val="none"/>
              </w:rPr>
              <w:t>10</w:t>
            </w:r>
          </w:p>
        </w:tc>
        <w:tc>
          <w:tcPr>
            <w:tcW w:w="470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tabs>
                <w:tab w:val="left" w:pos="150"/>
              </w:tabs>
              <w:spacing w:before="190" w:line="244" w:lineRule="auto"/>
              <w:ind w:left="37" w:right="20"/>
              <w:rPr>
                <w:rFonts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19"/>
                <w:highlight w:val="none"/>
              </w:rPr>
              <w:t>勘察</w:t>
            </w:r>
            <w:r>
              <w:rPr>
                <w:rFonts w:ascii="宋体" w:hAnsi="宋体" w:eastAsia="宋体" w:cs="宋体"/>
                <w:color w:val="auto"/>
                <w:spacing w:val="19"/>
                <w:highlight w:val="none"/>
              </w:rPr>
              <w:t>设</w:t>
            </w:r>
            <w:r>
              <w:rPr>
                <w:rFonts w:ascii="宋体" w:hAnsi="宋体" w:eastAsia="宋体" w:cs="宋体"/>
                <w:color w:val="auto"/>
                <w:spacing w:val="10"/>
                <w:highlight w:val="none"/>
              </w:rPr>
              <w:t>计方案论证是否充分，是否对规模、工艺、设</w:t>
            </w:r>
            <w:r>
              <w:rPr>
                <w:rFonts w:ascii="宋体" w:hAnsi="宋体" w:eastAsia="宋体" w:cs="宋体"/>
                <w:color w:val="auto"/>
                <w:highlight w:val="none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pacing w:val="13"/>
                <w:highlight w:val="none"/>
              </w:rPr>
              <w:t>备</w:t>
            </w:r>
            <w:r>
              <w:rPr>
                <w:rFonts w:hint="eastAsia" w:ascii="宋体" w:hAnsi="宋体" w:eastAsia="宋体" w:cs="宋体"/>
                <w:color w:val="auto"/>
                <w:spacing w:val="13"/>
                <w:highlight w:val="none"/>
              </w:rPr>
              <w:t>（如有）</w:t>
            </w:r>
            <w:r>
              <w:rPr>
                <w:rFonts w:ascii="宋体" w:hAnsi="宋体" w:eastAsia="宋体" w:cs="宋体"/>
                <w:color w:val="auto"/>
                <w:spacing w:val="13"/>
                <w:highlight w:val="none"/>
              </w:rPr>
              <w:t>、管材等进行专项论证，</w:t>
            </w:r>
            <w:r>
              <w:rPr>
                <w:rFonts w:ascii="宋体" w:hAnsi="宋体" w:eastAsia="宋体" w:cs="宋体"/>
                <w:color w:val="auto"/>
                <w:spacing w:val="20"/>
                <w:sz w:val="20"/>
                <w:szCs w:val="20"/>
                <w:highlight w:val="none"/>
              </w:rPr>
              <w:t>每</w:t>
            </w:r>
            <w:r>
              <w:rPr>
                <w:rFonts w:hint="eastAsia" w:ascii="宋体" w:hAnsi="宋体" w:eastAsia="宋体" w:cs="宋体"/>
                <w:color w:val="auto"/>
                <w:spacing w:val="20"/>
                <w:sz w:val="20"/>
                <w:szCs w:val="20"/>
                <w:highlight w:val="none"/>
              </w:rPr>
              <w:t>缺少一项论证</w:t>
            </w:r>
            <w:r>
              <w:rPr>
                <w:rFonts w:ascii="宋体" w:hAnsi="宋体" w:eastAsia="宋体" w:cs="宋体"/>
                <w:color w:val="auto"/>
                <w:spacing w:val="20"/>
                <w:sz w:val="20"/>
                <w:szCs w:val="20"/>
                <w:highlight w:val="none"/>
              </w:rPr>
              <w:t>扣</w:t>
            </w:r>
            <w:r>
              <w:rPr>
                <w:rFonts w:ascii="宋体" w:hAnsi="宋体" w:eastAsia="宋体" w:cs="宋体"/>
                <w:color w:val="auto"/>
                <w:spacing w:val="12"/>
                <w:sz w:val="20"/>
                <w:szCs w:val="20"/>
                <w:highlight w:val="none"/>
                <w14:textOutline w14:w="3175" w14:cap="flat" w14:cmpd="sng" w14:algn="ctr">
                  <w14:solidFill>
                    <w14:srgbClr w14:val="FF0000"/>
                  </w14:solidFill>
                  <w14:prstDash w14:val="solid"/>
                  <w14:miter w14:val="0"/>
                </w14:textOutline>
              </w:rPr>
              <w:t>2</w:t>
            </w:r>
            <w:r>
              <w:rPr>
                <w:rFonts w:ascii="宋体" w:hAnsi="宋体" w:eastAsia="宋体" w:cs="宋体"/>
                <w:color w:val="auto"/>
                <w:spacing w:val="12"/>
                <w:sz w:val="20"/>
                <w:szCs w:val="20"/>
                <w:highlight w:val="none"/>
              </w:rPr>
              <w:t>分</w:t>
            </w:r>
            <w:r>
              <w:rPr>
                <w:rFonts w:hint="eastAsia" w:ascii="宋体" w:hAnsi="宋体" w:eastAsia="宋体" w:cs="宋体"/>
                <w:color w:val="auto"/>
                <w:spacing w:val="12"/>
                <w:sz w:val="20"/>
                <w:szCs w:val="20"/>
                <w:highlight w:val="none"/>
              </w:rPr>
              <w:t>。</w:t>
            </w:r>
          </w:p>
        </w:tc>
        <w:tc>
          <w:tcPr>
            <w:tcW w:w="78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rPr>
                <w:color w:val="auto"/>
                <w:highlight w:val="none"/>
              </w:rPr>
            </w:pPr>
          </w:p>
        </w:tc>
        <w:tc>
          <w:tcPr>
            <w:tcW w:w="166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rPr>
                <w:color w:val="auto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94" w:hRule="atLeast"/>
          <w:jc w:val="center"/>
        </w:trPr>
        <w:tc>
          <w:tcPr>
            <w:tcW w:w="60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line="459" w:lineRule="auto"/>
              <w:rPr>
                <w:color w:val="auto"/>
                <w:highlight w:val="none"/>
              </w:rPr>
            </w:pPr>
          </w:p>
          <w:p>
            <w:pPr>
              <w:spacing w:before="60" w:line="192" w:lineRule="auto"/>
              <w:ind w:left="212"/>
              <w:rPr>
                <w:rFonts w:ascii="Times New Roman" w:hAnsi="Times New Roman" w:eastAsia="Times New Roman" w:cs="Times New Roman"/>
                <w:color w:val="auto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-4"/>
                <w:highlight w:val="none"/>
              </w:rPr>
              <w:t>11</w:t>
            </w:r>
          </w:p>
        </w:tc>
        <w:tc>
          <w:tcPr>
            <w:tcW w:w="1225" w:type="dxa"/>
            <w:vMerge w:val="continue"/>
          </w:tcPr>
          <w:p>
            <w:pPr>
              <w:rPr>
                <w:color w:val="auto"/>
                <w:highlight w:val="none"/>
              </w:rPr>
            </w:pPr>
          </w:p>
        </w:tc>
        <w:tc>
          <w:tcPr>
            <w:tcW w:w="105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line="461" w:lineRule="auto"/>
              <w:rPr>
                <w:color w:val="auto"/>
                <w:highlight w:val="none"/>
              </w:rPr>
            </w:pPr>
          </w:p>
          <w:p>
            <w:pPr>
              <w:spacing w:before="60" w:line="192" w:lineRule="auto"/>
              <w:ind w:left="434"/>
              <w:rPr>
                <w:rFonts w:ascii="Times New Roman" w:hAnsi="Times New Roman" w:eastAsia="Times New Roman" w:cs="Times New Roman"/>
                <w:color w:val="auto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-4"/>
                <w:highlight w:val="none"/>
              </w:rPr>
              <w:t>10</w:t>
            </w:r>
          </w:p>
        </w:tc>
        <w:tc>
          <w:tcPr>
            <w:tcW w:w="470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2"/>
              <w:ind w:left="35" w:right="20" w:firstLine="3"/>
              <w:rPr>
                <w:rFonts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19"/>
                <w:highlight w:val="none"/>
              </w:rPr>
              <w:t>勘察</w:t>
            </w:r>
            <w:r>
              <w:rPr>
                <w:rFonts w:ascii="宋体" w:hAnsi="宋体" w:eastAsia="宋体" w:cs="宋体"/>
                <w:color w:val="auto"/>
                <w:spacing w:val="19"/>
                <w:highlight w:val="none"/>
              </w:rPr>
              <w:t>设</w:t>
            </w:r>
            <w:r>
              <w:rPr>
                <w:rFonts w:ascii="宋体" w:hAnsi="宋体" w:eastAsia="宋体" w:cs="宋体"/>
                <w:color w:val="auto"/>
                <w:spacing w:val="10"/>
                <w:highlight w:val="none"/>
              </w:rPr>
              <w:t>计方案是否结合项目实际与同</w:t>
            </w:r>
            <w:r>
              <w:rPr>
                <w:rFonts w:ascii="宋体" w:hAnsi="宋体" w:eastAsia="宋体" w:cs="宋体"/>
                <w:color w:val="auto"/>
                <w:spacing w:val="28"/>
                <w:highlight w:val="none"/>
              </w:rPr>
              <w:t>类</w:t>
            </w:r>
            <w:r>
              <w:rPr>
                <w:rFonts w:ascii="宋体" w:hAnsi="宋体" w:eastAsia="宋体" w:cs="宋体"/>
                <w:color w:val="auto"/>
                <w:spacing w:val="15"/>
                <w:highlight w:val="none"/>
              </w:rPr>
              <w:t>型项目进行全面对比</w:t>
            </w:r>
            <w:r>
              <w:rPr>
                <w:rFonts w:hint="eastAsia" w:ascii="宋体" w:hAnsi="宋体" w:eastAsia="宋体" w:cs="宋体"/>
                <w:color w:val="auto"/>
                <w:spacing w:val="15"/>
                <w:highlight w:val="none"/>
              </w:rPr>
              <w:t>（含进行经济指标对比分析），且及时准确提供相关报表数据、资料，</w:t>
            </w:r>
            <w:r>
              <w:rPr>
                <w:rFonts w:ascii="宋体" w:hAnsi="宋体" w:eastAsia="宋体" w:cs="宋体"/>
                <w:color w:val="auto"/>
                <w:spacing w:val="15"/>
                <w:highlight w:val="none"/>
              </w:rPr>
              <w:t>因地制宜推荐最优方</w:t>
            </w:r>
            <w:r>
              <w:rPr>
                <w:rFonts w:ascii="宋体" w:hAnsi="宋体" w:eastAsia="宋体" w:cs="宋体"/>
                <w:color w:val="auto"/>
                <w:spacing w:val="28"/>
                <w:highlight w:val="none"/>
              </w:rPr>
              <w:t>案</w:t>
            </w:r>
            <w:r>
              <w:rPr>
                <w:rFonts w:ascii="宋体" w:hAnsi="宋体" w:eastAsia="宋体" w:cs="宋体"/>
                <w:color w:val="auto"/>
                <w:spacing w:val="15"/>
                <w:highlight w:val="none"/>
              </w:rPr>
              <w:t>，</w:t>
            </w:r>
            <w:r>
              <w:rPr>
                <w:rFonts w:hint="eastAsia" w:ascii="宋体" w:hAnsi="宋体" w:eastAsia="宋体" w:cs="宋体"/>
                <w:color w:val="auto"/>
                <w:spacing w:val="15"/>
                <w:highlight w:val="none"/>
              </w:rPr>
              <w:t>对比分析中每缺少一项或每项缺少资料的，每项扣1分。</w:t>
            </w:r>
          </w:p>
        </w:tc>
        <w:tc>
          <w:tcPr>
            <w:tcW w:w="78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rPr>
                <w:color w:val="auto"/>
                <w:highlight w:val="none"/>
              </w:rPr>
            </w:pPr>
          </w:p>
        </w:tc>
        <w:tc>
          <w:tcPr>
            <w:tcW w:w="166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rPr>
                <w:color w:val="auto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79" w:hRule="atLeast"/>
          <w:jc w:val="center"/>
        </w:trPr>
        <w:tc>
          <w:tcPr>
            <w:tcW w:w="60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line="284" w:lineRule="auto"/>
              <w:rPr>
                <w:color w:val="auto"/>
                <w:highlight w:val="none"/>
              </w:rPr>
            </w:pPr>
          </w:p>
          <w:p>
            <w:pPr>
              <w:spacing w:line="285" w:lineRule="auto"/>
              <w:rPr>
                <w:color w:val="auto"/>
                <w:highlight w:val="none"/>
              </w:rPr>
            </w:pPr>
          </w:p>
          <w:p>
            <w:pPr>
              <w:spacing w:before="61" w:line="192" w:lineRule="auto"/>
              <w:ind w:left="212"/>
              <w:rPr>
                <w:rFonts w:ascii="Times New Roman" w:hAnsi="Times New Roman" w:eastAsia="Times New Roman" w:cs="Times New Roman"/>
                <w:color w:val="auto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-4"/>
                <w:highlight w:val="none"/>
              </w:rPr>
              <w:t>12</w:t>
            </w:r>
          </w:p>
        </w:tc>
        <w:tc>
          <w:tcPr>
            <w:tcW w:w="1225" w:type="dxa"/>
            <w:vMerge w:val="continue"/>
            <w:tcBorders>
              <w:bottom w:val="single" w:color="auto" w:sz="4" w:space="0"/>
            </w:tcBorders>
          </w:tcPr>
          <w:p>
            <w:pPr>
              <w:rPr>
                <w:color w:val="auto"/>
                <w:highlight w:val="none"/>
              </w:rPr>
            </w:pPr>
          </w:p>
        </w:tc>
        <w:tc>
          <w:tcPr>
            <w:tcW w:w="105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line="286" w:lineRule="auto"/>
              <w:rPr>
                <w:color w:val="auto"/>
                <w:highlight w:val="none"/>
              </w:rPr>
            </w:pPr>
          </w:p>
          <w:p>
            <w:pPr>
              <w:spacing w:line="286" w:lineRule="auto"/>
              <w:rPr>
                <w:color w:val="auto"/>
                <w:highlight w:val="none"/>
              </w:rPr>
            </w:pPr>
          </w:p>
          <w:p>
            <w:pPr>
              <w:spacing w:before="60" w:line="192" w:lineRule="auto"/>
              <w:ind w:left="434"/>
              <w:rPr>
                <w:rFonts w:ascii="Times New Roman" w:hAnsi="Times New Roman" w:eastAsia="Times New Roman" w:cs="Times New Roman"/>
                <w:color w:val="auto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-4"/>
                <w:highlight w:val="none"/>
              </w:rPr>
              <w:t>10</w:t>
            </w:r>
          </w:p>
        </w:tc>
        <w:tc>
          <w:tcPr>
            <w:tcW w:w="470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78" w:line="235" w:lineRule="auto"/>
              <w:ind w:left="36" w:right="20" w:firstLine="1"/>
              <w:rPr>
                <w:rFonts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19"/>
                <w:highlight w:val="none"/>
              </w:rPr>
              <w:t>勘察</w:t>
            </w:r>
            <w:r>
              <w:rPr>
                <w:rFonts w:ascii="宋体" w:hAnsi="宋体" w:eastAsia="宋体" w:cs="宋体"/>
                <w:color w:val="auto"/>
                <w:spacing w:val="19"/>
                <w:highlight w:val="none"/>
              </w:rPr>
              <w:t>设</w:t>
            </w:r>
            <w:r>
              <w:rPr>
                <w:rFonts w:ascii="宋体" w:hAnsi="宋体" w:eastAsia="宋体" w:cs="宋体"/>
                <w:color w:val="auto"/>
                <w:spacing w:val="10"/>
                <w:highlight w:val="none"/>
              </w:rPr>
              <w:t>计方案是否严格执行投资控制</w:t>
            </w:r>
            <w:bookmarkStart w:id="0" w:name="_GoBack"/>
            <w:bookmarkEnd w:id="0"/>
            <w:r>
              <w:rPr>
                <w:rFonts w:ascii="宋体" w:hAnsi="宋体" w:eastAsia="宋体" w:cs="宋体"/>
                <w:color w:val="auto"/>
                <w:spacing w:val="10"/>
                <w:highlight w:val="none"/>
              </w:rPr>
              <w:t>，</w:t>
            </w:r>
            <w:r>
              <w:rPr>
                <w:rFonts w:hint="eastAsia" w:ascii="宋体" w:hAnsi="宋体" w:eastAsia="宋体" w:cs="宋体"/>
                <w:color w:val="auto"/>
                <w:spacing w:val="10"/>
                <w:highlight w:val="none"/>
              </w:rPr>
              <w:t>是否进行限额设计，</w:t>
            </w:r>
            <w:r>
              <w:rPr>
                <w:rFonts w:ascii="宋体" w:hAnsi="宋体" w:eastAsia="宋体" w:cs="宋体"/>
                <w:color w:val="auto"/>
                <w:spacing w:val="10"/>
                <w:highlight w:val="none"/>
              </w:rPr>
              <w:t>工程造价是否</w:t>
            </w:r>
            <w:r>
              <w:rPr>
                <w:rFonts w:ascii="宋体" w:hAnsi="宋体" w:eastAsia="宋体" w:cs="宋体"/>
                <w:color w:val="auto"/>
                <w:spacing w:val="20"/>
                <w:highlight w:val="none"/>
              </w:rPr>
              <w:t>符</w:t>
            </w:r>
            <w:r>
              <w:rPr>
                <w:rFonts w:ascii="宋体" w:hAnsi="宋体" w:eastAsia="宋体" w:cs="宋体"/>
                <w:color w:val="auto"/>
                <w:spacing w:val="11"/>
                <w:highlight w:val="none"/>
              </w:rPr>
              <w:t>合</w:t>
            </w:r>
            <w:r>
              <w:rPr>
                <w:rFonts w:ascii="宋体" w:hAnsi="宋体" w:eastAsia="宋体" w:cs="宋体"/>
                <w:color w:val="auto"/>
                <w:spacing w:val="10"/>
                <w:highlight w:val="none"/>
              </w:rPr>
              <w:t>本地实际，选用经济指标是否合理，概</w:t>
            </w:r>
            <w:r>
              <w:rPr>
                <w:rFonts w:ascii="宋体" w:hAnsi="宋体" w:eastAsia="宋体" w:cs="宋体"/>
                <w:color w:val="auto"/>
                <w:spacing w:val="13"/>
                <w:highlight w:val="none"/>
              </w:rPr>
              <w:t>算</w:t>
            </w:r>
            <w:r>
              <w:rPr>
                <w:rFonts w:ascii="宋体" w:hAnsi="宋体" w:eastAsia="宋体" w:cs="宋体"/>
                <w:color w:val="auto"/>
                <w:spacing w:val="9"/>
                <w:highlight w:val="none"/>
              </w:rPr>
              <w:t>是否合理，设计是否过于保守，</w:t>
            </w:r>
            <w:r>
              <w:rPr>
                <w:rFonts w:hint="eastAsia" w:ascii="宋体" w:hAnsi="宋体" w:eastAsia="宋体" w:cs="宋体"/>
                <w:color w:val="auto"/>
                <w:spacing w:val="15"/>
                <w:highlight w:val="none"/>
              </w:rPr>
              <w:t>每出现</w:t>
            </w:r>
            <w:r>
              <w:rPr>
                <w:rFonts w:hint="eastAsia" w:ascii="宋体" w:hAnsi="宋体" w:eastAsia="宋体" w:cs="宋体"/>
                <w:color w:val="auto"/>
                <w:spacing w:val="20"/>
                <w:sz w:val="20"/>
                <w:szCs w:val="20"/>
                <w:highlight w:val="none"/>
              </w:rPr>
              <w:t>任何一项不合理，每项</w:t>
            </w:r>
            <w:r>
              <w:rPr>
                <w:rFonts w:ascii="宋体" w:hAnsi="宋体" w:eastAsia="宋体" w:cs="宋体"/>
                <w:color w:val="auto"/>
                <w:spacing w:val="20"/>
                <w:sz w:val="20"/>
                <w:szCs w:val="20"/>
                <w:highlight w:val="none"/>
              </w:rPr>
              <w:t>扣</w:t>
            </w:r>
            <w:r>
              <w:rPr>
                <w:rFonts w:ascii="宋体" w:hAnsi="宋体" w:eastAsia="宋体" w:cs="宋体"/>
                <w:color w:val="auto"/>
                <w:spacing w:val="12"/>
                <w:sz w:val="20"/>
                <w:szCs w:val="20"/>
                <w:highlight w:val="none"/>
                <w14:textOutline w14:w="3175" w14:cap="flat" w14:cmpd="sng" w14:algn="ctr">
                  <w14:solidFill>
                    <w14:srgbClr w14:val="FF0000"/>
                  </w14:solidFill>
                  <w14:prstDash w14:val="solid"/>
                  <w14:miter w14:val="0"/>
                </w14:textOutline>
              </w:rPr>
              <w:t>1</w:t>
            </w:r>
            <w:r>
              <w:rPr>
                <w:rFonts w:ascii="宋体" w:hAnsi="宋体" w:eastAsia="宋体" w:cs="宋体"/>
                <w:color w:val="auto"/>
                <w:spacing w:val="12"/>
                <w:sz w:val="20"/>
                <w:szCs w:val="20"/>
                <w:highlight w:val="none"/>
              </w:rPr>
              <w:t>分</w:t>
            </w:r>
            <w:r>
              <w:rPr>
                <w:rFonts w:ascii="宋体" w:hAnsi="宋体" w:eastAsia="宋体" w:cs="宋体"/>
                <w:color w:val="auto"/>
                <w:spacing w:val="12"/>
                <w:highlight w:val="none"/>
              </w:rPr>
              <w:t>。</w:t>
            </w:r>
            <w:r>
              <w:rPr>
                <w:rFonts w:ascii="宋体" w:hAnsi="宋体" w:cs="宋体"/>
                <w:color w:val="auto"/>
                <w:sz w:val="21"/>
                <w:highlight w:val="none"/>
              </w:rPr>
              <w:t>BIM工程量与施工图（招标控制价）工程量清单中单个清单对比（材料、设备相同规格的清单项合并</w:t>
            </w: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计算</w:t>
            </w:r>
            <w:r>
              <w:rPr>
                <w:rFonts w:ascii="宋体" w:hAnsi="宋体" w:cs="宋体"/>
                <w:color w:val="auto"/>
                <w:sz w:val="21"/>
                <w:highlight w:val="none"/>
              </w:rPr>
              <w:t>），</w:t>
            </w:r>
            <w:r>
              <w:rPr>
                <w:rFonts w:hint="eastAsia" w:ascii="宋体" w:hAnsi="宋体" w:eastAsia="宋体" w:cs="宋体"/>
                <w:color w:val="auto"/>
                <w:sz w:val="21"/>
                <w:highlight w:val="none"/>
              </w:rPr>
              <w:t>清单</w:t>
            </w:r>
            <w:r>
              <w:rPr>
                <w:rFonts w:ascii="宋体" w:hAnsi="宋体" w:cs="宋体"/>
                <w:color w:val="auto"/>
                <w:sz w:val="21"/>
                <w:highlight w:val="none"/>
              </w:rPr>
              <w:t>工程量差异</w:t>
            </w:r>
            <w:r>
              <w:rPr>
                <w:rFonts w:hint="eastAsia" w:ascii="宋体" w:hAnsi="宋体" w:eastAsia="宋体" w:cs="宋体"/>
                <w:color w:val="auto"/>
                <w:sz w:val="21"/>
                <w:highlight w:val="none"/>
              </w:rPr>
              <w:t>超过</w:t>
            </w:r>
            <w:r>
              <w:rPr>
                <w:rFonts w:ascii="宋体" w:hAnsi="宋体" w:cs="宋体"/>
                <w:color w:val="auto"/>
                <w:sz w:val="21"/>
                <w:highlight w:val="none"/>
              </w:rPr>
              <w:t>±3%</w:t>
            </w:r>
            <w:r>
              <w:rPr>
                <w:rFonts w:hint="eastAsia" w:ascii="宋体" w:hAnsi="宋体" w:eastAsia="宋体" w:cs="宋体"/>
                <w:color w:val="auto"/>
                <w:sz w:val="21"/>
                <w:highlight w:val="none"/>
              </w:rPr>
              <w:t>，每项</w:t>
            </w:r>
            <w:r>
              <w:rPr>
                <w:rFonts w:ascii="宋体" w:hAnsi="宋体" w:cs="宋体"/>
                <w:color w:val="auto"/>
                <w:sz w:val="21"/>
                <w:highlight w:val="none"/>
              </w:rPr>
              <w:t>扣</w:t>
            </w:r>
            <w:r>
              <w:rPr>
                <w:rFonts w:ascii="宋体" w:hAnsi="宋体" w:eastAsia="宋体" w:cs="宋体"/>
                <w:color w:val="auto"/>
                <w:sz w:val="21"/>
                <w:highlight w:val="none"/>
              </w:rPr>
              <w:t>0.5</w:t>
            </w:r>
            <w:r>
              <w:rPr>
                <w:rFonts w:ascii="宋体" w:hAnsi="宋体" w:cs="宋体"/>
                <w:color w:val="auto"/>
                <w:sz w:val="21"/>
                <w:highlight w:val="none"/>
              </w:rPr>
              <w:t>分。</w:t>
            </w:r>
          </w:p>
        </w:tc>
        <w:tc>
          <w:tcPr>
            <w:tcW w:w="78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rPr>
                <w:color w:val="auto"/>
                <w:highlight w:val="none"/>
              </w:rPr>
            </w:pPr>
          </w:p>
        </w:tc>
        <w:tc>
          <w:tcPr>
            <w:tcW w:w="166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rPr>
                <w:color w:val="auto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2" w:hRule="atLeast"/>
          <w:jc w:val="center"/>
        </w:trPr>
        <w:tc>
          <w:tcPr>
            <w:tcW w:w="60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line="375" w:lineRule="auto"/>
              <w:rPr>
                <w:color w:val="auto"/>
                <w:highlight w:val="none"/>
              </w:rPr>
            </w:pPr>
          </w:p>
          <w:p>
            <w:pPr>
              <w:spacing w:before="60" w:line="192" w:lineRule="auto"/>
              <w:ind w:left="212"/>
              <w:rPr>
                <w:rFonts w:ascii="Times New Roman" w:hAnsi="Times New Roman" w:eastAsia="Times New Roman" w:cs="Times New Roman"/>
                <w:color w:val="auto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-4"/>
                <w:highlight w:val="none"/>
              </w:rPr>
              <w:t>13</w:t>
            </w:r>
          </w:p>
        </w:tc>
        <w:tc>
          <w:tcPr>
            <w:tcW w:w="1225" w:type="dxa"/>
            <w:vMerge w:val="restart"/>
            <w:tcBorders>
              <w:top w:val="single" w:color="auto" w:sz="4" w:space="0"/>
              <w:bottom w:val="nil"/>
            </w:tcBorders>
          </w:tcPr>
          <w:p>
            <w:pPr>
              <w:spacing w:line="264" w:lineRule="auto"/>
              <w:rPr>
                <w:color w:val="auto"/>
                <w:highlight w:val="none"/>
              </w:rPr>
            </w:pPr>
          </w:p>
          <w:p>
            <w:pPr>
              <w:spacing w:line="265" w:lineRule="auto"/>
              <w:rPr>
                <w:color w:val="auto"/>
                <w:highlight w:val="none"/>
              </w:rPr>
            </w:pPr>
          </w:p>
          <w:p>
            <w:pPr>
              <w:spacing w:line="265" w:lineRule="auto"/>
              <w:rPr>
                <w:color w:val="auto"/>
                <w:highlight w:val="none"/>
              </w:rPr>
            </w:pPr>
          </w:p>
          <w:p>
            <w:pPr>
              <w:spacing w:line="265" w:lineRule="auto"/>
              <w:rPr>
                <w:color w:val="auto"/>
                <w:highlight w:val="none"/>
              </w:rPr>
            </w:pPr>
          </w:p>
          <w:p>
            <w:pPr>
              <w:spacing w:line="265" w:lineRule="auto"/>
              <w:rPr>
                <w:color w:val="auto"/>
                <w:highlight w:val="none"/>
              </w:rPr>
            </w:pPr>
          </w:p>
          <w:p>
            <w:pPr>
              <w:spacing w:line="265" w:lineRule="auto"/>
              <w:rPr>
                <w:color w:val="auto"/>
                <w:highlight w:val="none"/>
              </w:rPr>
            </w:pPr>
          </w:p>
          <w:p>
            <w:pPr>
              <w:spacing w:before="68" w:line="227" w:lineRule="auto"/>
              <w:ind w:left="173"/>
              <w:rPr>
                <w:rFonts w:ascii="宋体" w:hAnsi="宋体" w:eastAsia="宋体" w:cs="宋体"/>
                <w:color w:val="auto"/>
                <w:highlight w:val="none"/>
              </w:rPr>
            </w:pPr>
            <w:r>
              <w:rPr>
                <w:rFonts w:ascii="宋体" w:hAnsi="宋体" w:eastAsia="宋体" w:cs="宋体"/>
                <w:color w:val="auto"/>
                <w:spacing w:val="7"/>
                <w:highlight w:val="none"/>
              </w:rPr>
              <w:t>服</w:t>
            </w:r>
            <w:r>
              <w:rPr>
                <w:rFonts w:ascii="宋体" w:hAnsi="宋体" w:eastAsia="宋体" w:cs="宋体"/>
                <w:color w:val="auto"/>
                <w:spacing w:val="6"/>
                <w:highlight w:val="none"/>
              </w:rPr>
              <w:t>务配合</w:t>
            </w:r>
          </w:p>
        </w:tc>
        <w:tc>
          <w:tcPr>
            <w:tcW w:w="105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line="375" w:lineRule="auto"/>
              <w:rPr>
                <w:color w:val="auto"/>
                <w:highlight w:val="none"/>
              </w:rPr>
            </w:pPr>
          </w:p>
          <w:p>
            <w:pPr>
              <w:spacing w:before="60" w:line="192" w:lineRule="auto"/>
              <w:ind w:left="441"/>
              <w:rPr>
                <w:rFonts w:ascii="Times New Roman" w:hAnsi="Times New Roman" w:eastAsia="Times New Roman" w:cs="Times New Roman"/>
                <w:color w:val="auto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-4"/>
                <w:highlight w:val="none"/>
              </w:rPr>
              <w:t>10</w:t>
            </w:r>
          </w:p>
        </w:tc>
        <w:tc>
          <w:tcPr>
            <w:tcW w:w="470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1" w:line="220" w:lineRule="auto"/>
              <w:ind w:left="34" w:right="20"/>
              <w:rPr>
                <w:rFonts w:ascii="宋体" w:hAnsi="宋体" w:eastAsia="宋体" w:cs="宋体"/>
                <w:color w:val="auto"/>
                <w:highlight w:val="none"/>
              </w:rPr>
            </w:pPr>
            <w:r>
              <w:rPr>
                <w:rFonts w:ascii="宋体" w:hAnsi="宋体" w:eastAsia="宋体" w:cs="宋体"/>
                <w:color w:val="auto"/>
                <w:spacing w:val="20"/>
                <w:highlight w:val="none"/>
              </w:rPr>
              <w:t>服</w:t>
            </w:r>
            <w:r>
              <w:rPr>
                <w:rFonts w:ascii="宋体" w:hAnsi="宋体" w:eastAsia="宋体" w:cs="宋体"/>
                <w:color w:val="auto"/>
                <w:spacing w:val="13"/>
                <w:highlight w:val="none"/>
              </w:rPr>
              <w:t>务</w:t>
            </w:r>
            <w:r>
              <w:rPr>
                <w:rFonts w:ascii="宋体" w:hAnsi="宋体" w:eastAsia="宋体" w:cs="宋体"/>
                <w:color w:val="auto"/>
                <w:spacing w:val="10"/>
                <w:highlight w:val="none"/>
              </w:rPr>
              <w:t>单位是否积极响应并理解业主需求，按时落</w:t>
            </w:r>
            <w:r>
              <w:rPr>
                <w:rFonts w:ascii="宋体" w:hAnsi="宋体" w:eastAsia="宋体" w:cs="宋体"/>
                <w:color w:val="auto"/>
                <w:highlight w:val="none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pacing w:val="11"/>
                <w:highlight w:val="none"/>
              </w:rPr>
              <w:t>实</w:t>
            </w:r>
            <w:r>
              <w:rPr>
                <w:rFonts w:ascii="宋体" w:hAnsi="宋体" w:eastAsia="宋体" w:cs="宋体"/>
                <w:color w:val="auto"/>
                <w:spacing w:val="10"/>
                <w:highlight w:val="none"/>
              </w:rPr>
              <w:t>保质成果提交与修改，沟通是否协调顺畅，</w:t>
            </w:r>
            <w:r>
              <w:rPr>
                <w:rFonts w:hint="eastAsia" w:ascii="宋体" w:hAnsi="宋体" w:eastAsia="宋体" w:cs="宋体"/>
                <w:color w:val="auto"/>
                <w:spacing w:val="10"/>
                <w:highlight w:val="none"/>
              </w:rPr>
              <w:t>服务态度较差的，</w:t>
            </w:r>
            <w:r>
              <w:rPr>
                <w:rFonts w:hint="eastAsia" w:ascii="宋体" w:hAnsi="宋体" w:eastAsia="宋体" w:cs="宋体"/>
                <w:color w:val="auto"/>
                <w:spacing w:val="15"/>
                <w:highlight w:val="none"/>
              </w:rPr>
              <w:t>每次出现</w:t>
            </w:r>
            <w:r>
              <w:rPr>
                <w:rFonts w:hint="eastAsia" w:ascii="宋体" w:hAnsi="宋体" w:eastAsia="宋体" w:cs="宋体"/>
                <w:color w:val="auto"/>
                <w:spacing w:val="20"/>
                <w:sz w:val="20"/>
                <w:szCs w:val="20"/>
                <w:highlight w:val="none"/>
              </w:rPr>
              <w:t>任何一项不满足的，每项</w:t>
            </w:r>
            <w:r>
              <w:rPr>
                <w:rFonts w:ascii="宋体" w:hAnsi="宋体" w:eastAsia="宋体" w:cs="宋体"/>
                <w:color w:val="auto"/>
                <w:spacing w:val="20"/>
                <w:sz w:val="20"/>
                <w:szCs w:val="20"/>
                <w:highlight w:val="none"/>
              </w:rPr>
              <w:t>扣</w:t>
            </w:r>
            <w:r>
              <w:rPr>
                <w:rFonts w:hint="eastAsia" w:ascii="宋体" w:hAnsi="宋体" w:eastAsia="宋体" w:cs="宋体"/>
                <w:color w:val="auto"/>
                <w:spacing w:val="12"/>
                <w:sz w:val="20"/>
                <w:szCs w:val="20"/>
                <w:highlight w:val="none"/>
                <w14:textOutline w14:w="3175" w14:cap="flat" w14:cmpd="sng" w14:algn="ctr">
                  <w14:solidFill>
                    <w14:srgbClr w14:val="FF0000"/>
                  </w14:solidFill>
                  <w14:prstDash w14:val="solid"/>
                  <w14:miter w14:val="0"/>
                </w14:textOutline>
              </w:rPr>
              <w:t>1</w:t>
            </w:r>
            <w:r>
              <w:rPr>
                <w:rFonts w:ascii="宋体" w:hAnsi="宋体" w:eastAsia="宋体" w:cs="宋体"/>
                <w:color w:val="auto"/>
                <w:spacing w:val="12"/>
                <w:sz w:val="20"/>
                <w:szCs w:val="20"/>
                <w:highlight w:val="none"/>
              </w:rPr>
              <w:t>分</w:t>
            </w:r>
            <w:r>
              <w:rPr>
                <w:rFonts w:ascii="宋体" w:hAnsi="宋体" w:eastAsia="宋体" w:cs="宋体"/>
                <w:color w:val="auto"/>
                <w:spacing w:val="12"/>
                <w:highlight w:val="none"/>
              </w:rPr>
              <w:t>。</w:t>
            </w:r>
          </w:p>
        </w:tc>
        <w:tc>
          <w:tcPr>
            <w:tcW w:w="78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rPr>
                <w:color w:val="auto"/>
                <w:highlight w:val="none"/>
              </w:rPr>
            </w:pPr>
          </w:p>
        </w:tc>
        <w:tc>
          <w:tcPr>
            <w:tcW w:w="166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rPr>
                <w:color w:val="auto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31" w:hRule="atLeast"/>
          <w:jc w:val="center"/>
        </w:trPr>
        <w:tc>
          <w:tcPr>
            <w:tcW w:w="60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line="265" w:lineRule="auto"/>
              <w:rPr>
                <w:color w:val="auto"/>
                <w:highlight w:val="none"/>
              </w:rPr>
            </w:pPr>
          </w:p>
          <w:p>
            <w:pPr>
              <w:spacing w:line="265" w:lineRule="auto"/>
              <w:rPr>
                <w:color w:val="auto"/>
                <w:highlight w:val="none"/>
              </w:rPr>
            </w:pPr>
          </w:p>
          <w:p>
            <w:pPr>
              <w:spacing w:before="60" w:line="192" w:lineRule="auto"/>
              <w:ind w:left="212"/>
              <w:rPr>
                <w:rFonts w:ascii="Times New Roman" w:hAnsi="Times New Roman" w:eastAsia="Times New Roman" w:cs="Times New Roman"/>
                <w:color w:val="auto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-4"/>
                <w:highlight w:val="none"/>
              </w:rPr>
              <w:t>14</w:t>
            </w:r>
          </w:p>
        </w:tc>
        <w:tc>
          <w:tcPr>
            <w:tcW w:w="1225" w:type="dxa"/>
            <w:vMerge w:val="continue"/>
            <w:tcBorders>
              <w:top w:val="nil"/>
              <w:bottom w:val="nil"/>
            </w:tcBorders>
          </w:tcPr>
          <w:p>
            <w:pPr>
              <w:rPr>
                <w:color w:val="auto"/>
                <w:highlight w:val="none"/>
              </w:rPr>
            </w:pPr>
          </w:p>
        </w:tc>
        <w:tc>
          <w:tcPr>
            <w:tcW w:w="105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line="266" w:lineRule="auto"/>
              <w:rPr>
                <w:color w:val="auto"/>
                <w:highlight w:val="none"/>
              </w:rPr>
            </w:pPr>
          </w:p>
          <w:p>
            <w:pPr>
              <w:spacing w:line="267" w:lineRule="auto"/>
              <w:rPr>
                <w:color w:val="auto"/>
                <w:highlight w:val="none"/>
              </w:rPr>
            </w:pPr>
          </w:p>
          <w:p>
            <w:pPr>
              <w:spacing w:before="60" w:line="189" w:lineRule="auto"/>
              <w:ind w:left="481"/>
              <w:rPr>
                <w:rFonts w:ascii="Times New Roman" w:hAnsi="Times New Roman" w:eastAsia="Times New Roman" w:cs="Times New Roman"/>
                <w:color w:val="auto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auto"/>
                <w:highlight w:val="none"/>
              </w:rPr>
              <w:t>5</w:t>
            </w:r>
          </w:p>
        </w:tc>
        <w:tc>
          <w:tcPr>
            <w:tcW w:w="470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74" w:line="241" w:lineRule="auto"/>
              <w:ind w:left="35" w:right="20"/>
              <w:rPr>
                <w:rFonts w:ascii="宋体" w:hAnsi="宋体" w:eastAsia="宋体" w:cs="宋体"/>
                <w:color w:val="auto"/>
                <w:highlight w:val="none"/>
              </w:rPr>
            </w:pPr>
            <w:r>
              <w:rPr>
                <w:rFonts w:ascii="宋体" w:hAnsi="宋体" w:eastAsia="宋体" w:cs="宋体"/>
                <w:color w:val="auto"/>
                <w:spacing w:val="20"/>
                <w:highlight w:val="none"/>
              </w:rPr>
              <w:t>服</w:t>
            </w:r>
            <w:r>
              <w:rPr>
                <w:rFonts w:ascii="宋体" w:hAnsi="宋体" w:eastAsia="宋体" w:cs="宋体"/>
                <w:color w:val="auto"/>
                <w:spacing w:val="13"/>
                <w:highlight w:val="none"/>
              </w:rPr>
              <w:t>务</w:t>
            </w:r>
            <w:r>
              <w:rPr>
                <w:rFonts w:ascii="宋体" w:hAnsi="宋体" w:eastAsia="宋体" w:cs="宋体"/>
                <w:color w:val="auto"/>
                <w:spacing w:val="10"/>
                <w:highlight w:val="none"/>
              </w:rPr>
              <w:t>单位是否积极协助业主就</w:t>
            </w:r>
            <w:r>
              <w:rPr>
                <w:rFonts w:hint="eastAsia" w:ascii="宋体" w:hAnsi="宋体" w:eastAsia="宋体" w:cs="宋体"/>
                <w:color w:val="auto"/>
                <w:spacing w:val="19"/>
                <w:highlight w:val="none"/>
              </w:rPr>
              <w:t>勘察</w:t>
            </w:r>
            <w:r>
              <w:rPr>
                <w:rFonts w:ascii="宋体" w:hAnsi="宋体" w:eastAsia="宋体" w:cs="宋体"/>
                <w:color w:val="auto"/>
                <w:spacing w:val="10"/>
                <w:highlight w:val="none"/>
              </w:rPr>
              <w:t>设计方案与相关单</w:t>
            </w:r>
            <w:r>
              <w:rPr>
                <w:rFonts w:ascii="宋体" w:hAnsi="宋体" w:eastAsia="宋体" w:cs="宋体"/>
                <w:color w:val="auto"/>
                <w:spacing w:val="20"/>
                <w:highlight w:val="none"/>
              </w:rPr>
              <w:t>位</w:t>
            </w:r>
            <w:r>
              <w:rPr>
                <w:rFonts w:ascii="宋体" w:hAnsi="宋体" w:eastAsia="宋体" w:cs="宋体"/>
                <w:color w:val="auto"/>
                <w:spacing w:val="13"/>
                <w:highlight w:val="none"/>
              </w:rPr>
              <w:t>进</w:t>
            </w:r>
            <w:r>
              <w:rPr>
                <w:rFonts w:ascii="宋体" w:hAnsi="宋体" w:eastAsia="宋体" w:cs="宋体"/>
                <w:color w:val="auto"/>
                <w:spacing w:val="10"/>
                <w:highlight w:val="none"/>
              </w:rPr>
              <w:t>行沟通协调，按时落实有关要求，并协助业</w:t>
            </w:r>
            <w:r>
              <w:rPr>
                <w:rFonts w:ascii="宋体" w:hAnsi="宋体" w:eastAsia="宋体" w:cs="宋体"/>
                <w:color w:val="auto"/>
                <w:spacing w:val="14"/>
                <w:highlight w:val="none"/>
              </w:rPr>
              <w:t>主</w:t>
            </w:r>
            <w:r>
              <w:rPr>
                <w:rFonts w:ascii="宋体" w:hAnsi="宋体" w:eastAsia="宋体" w:cs="宋体"/>
                <w:color w:val="auto"/>
                <w:spacing w:val="13"/>
                <w:highlight w:val="none"/>
              </w:rPr>
              <w:t>开展相关技术考察等</w:t>
            </w:r>
            <w:r>
              <w:rPr>
                <w:rFonts w:hint="eastAsia" w:ascii="宋体" w:hAnsi="宋体" w:eastAsia="宋体" w:cs="宋体"/>
                <w:color w:val="auto"/>
                <w:spacing w:val="13"/>
                <w:highlight w:val="none"/>
              </w:rPr>
              <w:t>，</w:t>
            </w:r>
            <w:r>
              <w:rPr>
                <w:rFonts w:hint="eastAsia" w:ascii="宋体" w:hAnsi="宋体" w:eastAsia="宋体" w:cs="宋体"/>
                <w:color w:val="auto"/>
                <w:spacing w:val="15"/>
                <w:highlight w:val="none"/>
              </w:rPr>
              <w:t>每次出现</w:t>
            </w:r>
            <w:r>
              <w:rPr>
                <w:rFonts w:hint="eastAsia" w:ascii="宋体" w:hAnsi="宋体" w:eastAsia="宋体" w:cs="宋体"/>
                <w:color w:val="auto"/>
                <w:spacing w:val="20"/>
                <w:sz w:val="20"/>
                <w:szCs w:val="20"/>
                <w:highlight w:val="none"/>
              </w:rPr>
              <w:t>任何一项不满足的，每项</w:t>
            </w:r>
            <w:r>
              <w:rPr>
                <w:rFonts w:ascii="宋体" w:hAnsi="宋体" w:eastAsia="宋体" w:cs="宋体"/>
                <w:color w:val="auto"/>
                <w:spacing w:val="20"/>
                <w:sz w:val="20"/>
                <w:szCs w:val="20"/>
                <w:highlight w:val="none"/>
              </w:rPr>
              <w:t>扣</w:t>
            </w:r>
            <w:r>
              <w:rPr>
                <w:rFonts w:hint="eastAsia" w:ascii="宋体" w:hAnsi="宋体" w:eastAsia="宋体" w:cs="宋体"/>
                <w:color w:val="auto"/>
                <w:spacing w:val="12"/>
                <w:sz w:val="20"/>
                <w:szCs w:val="20"/>
                <w:highlight w:val="none"/>
                <w14:textOutline w14:w="3175" w14:cap="flat" w14:cmpd="sng" w14:algn="ctr">
                  <w14:solidFill>
                    <w14:srgbClr w14:val="FF0000"/>
                  </w14:solidFill>
                  <w14:prstDash w14:val="solid"/>
                  <w14:miter w14:val="0"/>
                </w14:textOutline>
              </w:rPr>
              <w:t>1</w:t>
            </w:r>
            <w:r>
              <w:rPr>
                <w:rFonts w:ascii="宋体" w:hAnsi="宋体" w:eastAsia="宋体" w:cs="宋体"/>
                <w:color w:val="auto"/>
                <w:spacing w:val="12"/>
                <w:sz w:val="20"/>
                <w:szCs w:val="20"/>
                <w:highlight w:val="none"/>
              </w:rPr>
              <w:t>分</w:t>
            </w:r>
            <w:r>
              <w:rPr>
                <w:rFonts w:ascii="宋体" w:hAnsi="宋体" w:eastAsia="宋体" w:cs="宋体"/>
                <w:color w:val="auto"/>
                <w:spacing w:val="12"/>
                <w:highlight w:val="none"/>
              </w:rPr>
              <w:t>。</w:t>
            </w:r>
          </w:p>
        </w:tc>
        <w:tc>
          <w:tcPr>
            <w:tcW w:w="78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rPr>
                <w:color w:val="auto"/>
                <w:highlight w:val="none"/>
              </w:rPr>
            </w:pPr>
          </w:p>
        </w:tc>
        <w:tc>
          <w:tcPr>
            <w:tcW w:w="166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rPr>
                <w:color w:val="auto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75" w:hRule="atLeast"/>
          <w:jc w:val="center"/>
        </w:trPr>
        <w:tc>
          <w:tcPr>
            <w:tcW w:w="60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line="452" w:lineRule="auto"/>
              <w:rPr>
                <w:color w:val="auto"/>
                <w:highlight w:val="none"/>
              </w:rPr>
            </w:pPr>
          </w:p>
          <w:p>
            <w:pPr>
              <w:spacing w:before="60" w:line="192" w:lineRule="auto"/>
              <w:ind w:left="212"/>
              <w:rPr>
                <w:rFonts w:ascii="Times New Roman" w:hAnsi="Times New Roman" w:eastAsia="Times New Roman" w:cs="Times New Roman"/>
                <w:color w:val="auto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-4"/>
                <w:highlight w:val="none"/>
              </w:rPr>
              <w:t>15</w:t>
            </w:r>
          </w:p>
        </w:tc>
        <w:tc>
          <w:tcPr>
            <w:tcW w:w="1225" w:type="dxa"/>
            <w:vMerge w:val="continue"/>
            <w:tcBorders>
              <w:top w:val="nil"/>
              <w:bottom w:val="single" w:color="000000" w:sz="2" w:space="0"/>
            </w:tcBorders>
          </w:tcPr>
          <w:p>
            <w:pPr>
              <w:rPr>
                <w:color w:val="auto"/>
                <w:highlight w:val="none"/>
              </w:rPr>
            </w:pPr>
          </w:p>
        </w:tc>
        <w:tc>
          <w:tcPr>
            <w:tcW w:w="105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line="455" w:lineRule="auto"/>
              <w:rPr>
                <w:color w:val="auto"/>
                <w:highlight w:val="none"/>
              </w:rPr>
            </w:pPr>
          </w:p>
          <w:p>
            <w:pPr>
              <w:spacing w:before="60" w:line="189" w:lineRule="auto"/>
              <w:ind w:left="481"/>
              <w:rPr>
                <w:rFonts w:ascii="Times New Roman" w:hAnsi="Times New Roman" w:eastAsia="Times New Roman" w:cs="Times New Roman"/>
                <w:color w:val="auto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auto"/>
                <w:highlight w:val="none"/>
              </w:rPr>
              <w:t>5</w:t>
            </w:r>
          </w:p>
        </w:tc>
        <w:tc>
          <w:tcPr>
            <w:tcW w:w="470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96" w:line="237" w:lineRule="auto"/>
              <w:ind w:left="36" w:right="20" w:hanging="1"/>
              <w:rPr>
                <w:rFonts w:ascii="宋体" w:hAnsi="宋体" w:eastAsia="宋体" w:cs="宋体"/>
                <w:color w:val="auto"/>
                <w:highlight w:val="none"/>
              </w:rPr>
            </w:pPr>
            <w:r>
              <w:rPr>
                <w:rFonts w:ascii="宋体" w:hAnsi="宋体" w:eastAsia="宋体" w:cs="宋体"/>
                <w:color w:val="auto"/>
                <w:spacing w:val="20"/>
                <w:highlight w:val="none"/>
              </w:rPr>
              <w:t>服</w:t>
            </w:r>
            <w:r>
              <w:rPr>
                <w:rFonts w:ascii="宋体" w:hAnsi="宋体" w:eastAsia="宋体" w:cs="宋体"/>
                <w:color w:val="auto"/>
                <w:spacing w:val="13"/>
                <w:highlight w:val="none"/>
              </w:rPr>
              <w:t>务</w:t>
            </w:r>
            <w:r>
              <w:rPr>
                <w:rFonts w:ascii="宋体" w:hAnsi="宋体" w:eastAsia="宋体" w:cs="宋体"/>
                <w:color w:val="auto"/>
                <w:spacing w:val="10"/>
                <w:highlight w:val="none"/>
              </w:rPr>
              <w:t>单位是否积极配合业主组织召开相关工作会</w:t>
            </w:r>
            <w:r>
              <w:rPr>
                <w:rFonts w:ascii="宋体" w:hAnsi="宋体" w:eastAsia="宋体" w:cs="宋体"/>
                <w:color w:val="auto"/>
                <w:highlight w:val="none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pacing w:val="18"/>
                <w:highlight w:val="none"/>
              </w:rPr>
              <w:t>议</w:t>
            </w:r>
            <w:r>
              <w:rPr>
                <w:rFonts w:ascii="宋体" w:hAnsi="宋体" w:eastAsia="宋体" w:cs="宋体"/>
                <w:color w:val="auto"/>
                <w:spacing w:val="13"/>
                <w:highlight w:val="none"/>
              </w:rPr>
              <w:t>及</w:t>
            </w:r>
            <w:r>
              <w:rPr>
                <w:rFonts w:ascii="宋体" w:hAnsi="宋体" w:eastAsia="宋体" w:cs="宋体"/>
                <w:color w:val="auto"/>
                <w:spacing w:val="9"/>
                <w:highlight w:val="none"/>
              </w:rPr>
              <w:t>评审会议，并协助落实会务工作，</w:t>
            </w:r>
            <w:r>
              <w:rPr>
                <w:rFonts w:hint="eastAsia" w:ascii="宋体" w:hAnsi="宋体" w:eastAsia="宋体" w:cs="宋体"/>
                <w:color w:val="auto"/>
                <w:spacing w:val="15"/>
                <w:highlight w:val="none"/>
              </w:rPr>
              <w:t>每次出现</w:t>
            </w:r>
            <w:r>
              <w:rPr>
                <w:rFonts w:hint="eastAsia" w:ascii="宋体" w:hAnsi="宋体" w:eastAsia="宋体" w:cs="宋体"/>
                <w:color w:val="auto"/>
                <w:spacing w:val="20"/>
                <w:sz w:val="20"/>
                <w:szCs w:val="20"/>
                <w:highlight w:val="none"/>
              </w:rPr>
              <w:t>任何一项不满足的，每项</w:t>
            </w:r>
            <w:r>
              <w:rPr>
                <w:rFonts w:ascii="宋体" w:hAnsi="宋体" w:eastAsia="宋体" w:cs="宋体"/>
                <w:color w:val="auto"/>
                <w:spacing w:val="20"/>
                <w:sz w:val="20"/>
                <w:szCs w:val="20"/>
                <w:highlight w:val="none"/>
              </w:rPr>
              <w:t>扣</w:t>
            </w:r>
            <w:r>
              <w:rPr>
                <w:rFonts w:hint="eastAsia" w:ascii="宋体" w:hAnsi="宋体" w:eastAsia="宋体" w:cs="宋体"/>
                <w:color w:val="auto"/>
                <w:spacing w:val="12"/>
                <w:sz w:val="20"/>
                <w:szCs w:val="20"/>
                <w:highlight w:val="none"/>
                <w14:textOutline w14:w="3175" w14:cap="flat" w14:cmpd="sng" w14:algn="ctr">
                  <w14:solidFill>
                    <w14:srgbClr w14:val="FF0000"/>
                  </w14:solidFill>
                  <w14:prstDash w14:val="solid"/>
                  <w14:miter w14:val="0"/>
                </w14:textOutline>
              </w:rPr>
              <w:t>1</w:t>
            </w:r>
            <w:r>
              <w:rPr>
                <w:rFonts w:ascii="宋体" w:hAnsi="宋体" w:eastAsia="宋体" w:cs="宋体"/>
                <w:color w:val="auto"/>
                <w:spacing w:val="12"/>
                <w:sz w:val="20"/>
                <w:szCs w:val="20"/>
                <w:highlight w:val="none"/>
              </w:rPr>
              <w:t>分</w:t>
            </w:r>
            <w:r>
              <w:rPr>
                <w:rFonts w:ascii="宋体" w:hAnsi="宋体" w:eastAsia="宋体" w:cs="宋体"/>
                <w:color w:val="auto"/>
                <w:spacing w:val="12"/>
                <w:highlight w:val="none"/>
              </w:rPr>
              <w:t>。</w:t>
            </w:r>
          </w:p>
        </w:tc>
        <w:tc>
          <w:tcPr>
            <w:tcW w:w="78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rPr>
                <w:color w:val="auto"/>
                <w:highlight w:val="none"/>
              </w:rPr>
            </w:pPr>
          </w:p>
        </w:tc>
        <w:tc>
          <w:tcPr>
            <w:tcW w:w="166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rPr>
                <w:color w:val="auto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7" w:hRule="atLeast"/>
          <w:jc w:val="center"/>
        </w:trPr>
        <w:tc>
          <w:tcPr>
            <w:tcW w:w="60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82" w:line="192" w:lineRule="auto"/>
              <w:ind w:left="212"/>
              <w:rPr>
                <w:rFonts w:ascii="Times New Roman" w:hAnsi="Times New Roman" w:eastAsia="Times New Roman" w:cs="Times New Roman"/>
                <w:color w:val="auto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-4"/>
                <w:highlight w:val="none"/>
              </w:rPr>
              <w:t>16</w:t>
            </w:r>
          </w:p>
        </w:tc>
        <w:tc>
          <w:tcPr>
            <w:tcW w:w="1225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62" w:line="228" w:lineRule="auto"/>
              <w:ind w:left="392"/>
              <w:rPr>
                <w:rFonts w:ascii="宋体" w:hAnsi="宋体" w:eastAsia="宋体" w:cs="宋体"/>
                <w:color w:val="auto"/>
                <w:highlight w:val="none"/>
              </w:rPr>
            </w:pPr>
            <w:r>
              <w:rPr>
                <w:rFonts w:ascii="宋体" w:hAnsi="宋体" w:eastAsia="宋体" w:cs="宋体"/>
                <w:color w:val="auto"/>
                <w:spacing w:val="4"/>
                <w:highlight w:val="none"/>
              </w:rPr>
              <w:t>合</w:t>
            </w:r>
            <w:r>
              <w:rPr>
                <w:rFonts w:ascii="宋体" w:hAnsi="宋体" w:eastAsia="宋体" w:cs="宋体"/>
                <w:color w:val="auto"/>
                <w:spacing w:val="3"/>
                <w:highlight w:val="none"/>
              </w:rPr>
              <w:t>计</w:t>
            </w:r>
          </w:p>
        </w:tc>
        <w:tc>
          <w:tcPr>
            <w:tcW w:w="105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82" w:line="192" w:lineRule="auto"/>
              <w:ind w:left="386"/>
              <w:rPr>
                <w:rFonts w:ascii="Times New Roman" w:hAnsi="Times New Roman" w:eastAsia="Times New Roman" w:cs="Times New Roman"/>
                <w:color w:val="auto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-4"/>
                <w:highlight w:val="none"/>
              </w:rPr>
              <w:t>1</w:t>
            </w:r>
            <w:r>
              <w:rPr>
                <w:rFonts w:ascii="Times New Roman" w:hAnsi="Times New Roman" w:eastAsia="Times New Roman" w:cs="Times New Roman"/>
                <w:color w:val="auto"/>
                <w:spacing w:val="-2"/>
                <w:highlight w:val="none"/>
              </w:rPr>
              <w:t>00</w:t>
            </w:r>
          </w:p>
        </w:tc>
        <w:tc>
          <w:tcPr>
            <w:tcW w:w="470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5" w:line="295" w:lineRule="exact"/>
              <w:ind w:left="2316"/>
              <w:rPr>
                <w:rFonts w:ascii="Times New Roman" w:hAnsi="Times New Roman" w:eastAsia="Times New Roman" w:cs="Times New Roman"/>
                <w:color w:val="auto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2"/>
                <w:position w:val="2"/>
                <w:highlight w:val="none"/>
              </w:rPr>
              <w:t>/</w:t>
            </w:r>
          </w:p>
        </w:tc>
        <w:tc>
          <w:tcPr>
            <w:tcW w:w="78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rPr>
                <w:color w:val="auto"/>
                <w:highlight w:val="none"/>
              </w:rPr>
            </w:pPr>
          </w:p>
        </w:tc>
        <w:tc>
          <w:tcPr>
            <w:tcW w:w="166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3" w:line="294" w:lineRule="exact"/>
              <w:ind w:left="808"/>
              <w:rPr>
                <w:rFonts w:ascii="Times New Roman" w:hAnsi="Times New Roman" w:eastAsia="Times New Roman" w:cs="Times New Roman"/>
                <w:color w:val="auto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2"/>
                <w:position w:val="2"/>
                <w:highlight w:val="none"/>
              </w:rPr>
              <w:t>/</w:t>
            </w:r>
          </w:p>
        </w:tc>
      </w:tr>
    </w:tbl>
    <w:p>
      <w:pPr>
        <w:spacing w:before="57" w:line="227" w:lineRule="auto"/>
        <w:ind w:left="56"/>
        <w:rPr>
          <w:rFonts w:ascii="宋体" w:hAnsi="宋体" w:eastAsia="宋体" w:cs="宋体"/>
          <w:color w:val="auto"/>
          <w:highlight w:val="none"/>
        </w:rPr>
      </w:pPr>
      <w:r>
        <w:rPr>
          <w:rFonts w:ascii="宋体" w:hAnsi="宋体" w:eastAsia="宋体" w:cs="宋体"/>
          <w:color w:val="auto"/>
          <w:spacing w:val="9"/>
          <w:highlight w:val="none"/>
        </w:rPr>
        <w:t>说</w:t>
      </w:r>
      <w:r>
        <w:rPr>
          <w:rFonts w:ascii="宋体" w:hAnsi="宋体" w:eastAsia="宋体" w:cs="宋体"/>
          <w:color w:val="auto"/>
          <w:spacing w:val="6"/>
          <w:highlight w:val="none"/>
        </w:rPr>
        <w:t>明：</w:t>
      </w:r>
      <w:r>
        <w:rPr>
          <w:rFonts w:ascii="Times New Roman" w:hAnsi="Times New Roman" w:eastAsia="Times New Roman" w:cs="Times New Roman"/>
          <w:color w:val="auto"/>
          <w:spacing w:val="6"/>
          <w:highlight w:val="none"/>
        </w:rPr>
        <w:t>1.</w:t>
      </w:r>
      <w:r>
        <w:rPr>
          <w:rFonts w:ascii="宋体" w:hAnsi="宋体" w:eastAsia="宋体" w:cs="宋体"/>
          <w:color w:val="auto"/>
          <w:spacing w:val="6"/>
          <w:highlight w:val="none"/>
        </w:rPr>
        <w:t>考核评分表满分</w:t>
      </w:r>
      <w:r>
        <w:rPr>
          <w:rFonts w:ascii="Times New Roman" w:hAnsi="Times New Roman" w:eastAsia="Times New Roman" w:cs="Times New Roman"/>
          <w:color w:val="auto"/>
          <w:spacing w:val="6"/>
          <w:highlight w:val="none"/>
        </w:rPr>
        <w:t>100</w:t>
      </w:r>
      <w:r>
        <w:rPr>
          <w:rFonts w:ascii="宋体" w:hAnsi="宋体" w:eastAsia="宋体" w:cs="宋体"/>
          <w:color w:val="auto"/>
          <w:spacing w:val="6"/>
          <w:highlight w:val="none"/>
        </w:rPr>
        <w:t>分；</w:t>
      </w:r>
    </w:p>
    <w:p>
      <w:pPr>
        <w:spacing w:before="81" w:line="240" w:lineRule="auto"/>
        <w:ind w:left="771" w:right="442" w:hanging="6"/>
        <w:rPr>
          <w:rFonts w:ascii="宋体" w:hAnsi="宋体" w:eastAsia="宋体" w:cs="宋体"/>
          <w:color w:val="auto"/>
          <w:spacing w:val="4"/>
          <w:highlight w:val="none"/>
        </w:rPr>
      </w:pPr>
      <w:r>
        <w:rPr>
          <w:rFonts w:ascii="Times New Roman" w:hAnsi="Times New Roman" w:eastAsia="Times New Roman" w:cs="Times New Roman"/>
          <w:color w:val="auto"/>
          <w:spacing w:val="12"/>
          <w:highlight w:val="none"/>
        </w:rPr>
        <w:t>2.</w:t>
      </w:r>
      <w:r>
        <w:rPr>
          <w:rFonts w:ascii="宋体" w:hAnsi="宋体" w:eastAsia="宋体" w:cs="宋体"/>
          <w:color w:val="auto"/>
          <w:spacing w:val="12"/>
          <w:highlight w:val="none"/>
        </w:rPr>
        <w:t>每项最</w:t>
      </w:r>
      <w:r>
        <w:rPr>
          <w:rFonts w:ascii="宋体" w:hAnsi="宋体" w:eastAsia="宋体" w:cs="宋体"/>
          <w:color w:val="auto"/>
          <w:spacing w:val="8"/>
          <w:highlight w:val="none"/>
        </w:rPr>
        <w:t>高</w:t>
      </w:r>
      <w:r>
        <w:rPr>
          <w:rFonts w:ascii="宋体" w:hAnsi="宋体" w:eastAsia="宋体" w:cs="宋体"/>
          <w:color w:val="auto"/>
          <w:spacing w:val="6"/>
          <w:highlight w:val="none"/>
        </w:rPr>
        <w:t>得分不能超过该项标准分值，若得分未达该项标准分值，需就得分情况进行说明；</w:t>
      </w:r>
      <w:r>
        <w:rPr>
          <w:rFonts w:ascii="宋体" w:hAnsi="宋体" w:eastAsia="宋体" w:cs="宋体"/>
          <w:color w:val="auto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8"/>
          <w:highlight w:val="none"/>
        </w:rPr>
        <w:t>3</w:t>
      </w:r>
      <w:r>
        <w:rPr>
          <w:rFonts w:ascii="Times New Roman" w:hAnsi="Times New Roman" w:eastAsia="Times New Roman" w:cs="Times New Roman"/>
          <w:color w:val="auto"/>
          <w:spacing w:val="5"/>
          <w:highlight w:val="none"/>
        </w:rPr>
        <w:t>.</w:t>
      </w:r>
      <w:r>
        <w:rPr>
          <w:rFonts w:ascii="宋体" w:hAnsi="宋体" w:eastAsia="宋体" w:cs="宋体"/>
          <w:color w:val="auto"/>
          <w:spacing w:val="4"/>
          <w:highlight w:val="none"/>
        </w:rPr>
        <w:t>每项最低得分为</w:t>
      </w:r>
      <w:r>
        <w:rPr>
          <w:rFonts w:ascii="Times New Roman" w:hAnsi="Times New Roman" w:eastAsia="Times New Roman" w:cs="Times New Roman"/>
          <w:color w:val="auto"/>
          <w:spacing w:val="4"/>
          <w:highlight w:val="none"/>
        </w:rPr>
        <w:t>0</w:t>
      </w:r>
      <w:r>
        <w:rPr>
          <w:rFonts w:ascii="宋体" w:hAnsi="宋体" w:eastAsia="宋体" w:cs="宋体"/>
          <w:color w:val="auto"/>
          <w:spacing w:val="4"/>
          <w:highlight w:val="none"/>
        </w:rPr>
        <w:t>分</w:t>
      </w:r>
      <w:r>
        <w:rPr>
          <w:rFonts w:hint="eastAsia" w:ascii="宋体" w:hAnsi="宋体" w:eastAsia="宋体" w:cs="宋体"/>
          <w:color w:val="auto"/>
          <w:spacing w:val="4"/>
          <w:highlight w:val="none"/>
        </w:rPr>
        <w:t>；</w:t>
      </w:r>
    </w:p>
    <w:p>
      <w:pPr>
        <w:spacing w:before="81" w:line="240" w:lineRule="auto"/>
        <w:ind w:left="771" w:right="442" w:hanging="6"/>
        <w:rPr>
          <w:rFonts w:ascii="宋体" w:hAnsi="宋体" w:eastAsia="宋体" w:cs="宋体"/>
          <w:color w:val="auto"/>
          <w:highlight w:val="none"/>
        </w:rPr>
      </w:pPr>
      <w:r>
        <w:rPr>
          <w:rFonts w:ascii="宋体" w:hAnsi="宋体" w:eastAsia="宋体" w:cs="宋体"/>
          <w:color w:val="auto"/>
          <w:spacing w:val="4"/>
          <w:highlight w:val="none"/>
        </w:rPr>
        <w:t>4</w:t>
      </w:r>
      <w:r>
        <w:rPr>
          <w:rFonts w:ascii="宋体" w:hAnsi="宋体" w:eastAsia="宋体" w:cs="宋体"/>
          <w:color w:val="auto"/>
          <w:spacing w:val="4"/>
          <w:highlight w:val="none"/>
        </w:rPr>
        <w:t>.</w:t>
      </w:r>
      <w:r>
        <w:rPr>
          <w:rFonts w:hint="eastAsia" w:ascii="宋体" w:hAnsi="宋体" w:eastAsia="宋体" w:cs="宋体"/>
          <w:color w:val="auto"/>
          <w:spacing w:val="4"/>
          <w:highlight w:val="none"/>
        </w:rPr>
        <w:t>施工图预算整体较估算中对应部分</w:t>
      </w:r>
      <w:r>
        <w:rPr>
          <w:rFonts w:ascii="宋体" w:hAnsi="宋体" w:eastAsia="宋体" w:cs="宋体"/>
          <w:color w:val="auto"/>
          <w:spacing w:val="4"/>
          <w:highlight w:val="none"/>
        </w:rPr>
        <w:t>（剔除工程量变化影响</w:t>
      </w:r>
      <w:r>
        <w:rPr>
          <w:rFonts w:hint="eastAsia" w:ascii="宋体" w:hAnsi="宋体" w:eastAsia="宋体" w:cs="宋体"/>
          <w:color w:val="auto"/>
          <w:spacing w:val="4"/>
          <w:highlight w:val="none"/>
        </w:rPr>
        <w:t>或特征变化），费用减少</w:t>
      </w:r>
      <w:r>
        <w:rPr>
          <w:rFonts w:ascii="宋体" w:hAnsi="宋体" w:eastAsia="宋体" w:cs="宋体"/>
          <w:color w:val="auto"/>
          <w:spacing w:val="4"/>
          <w:highlight w:val="none"/>
        </w:rPr>
        <w:t>10%</w:t>
      </w:r>
      <w:r>
        <w:rPr>
          <w:rFonts w:hint="eastAsia" w:ascii="宋体" w:hAnsi="宋体" w:eastAsia="宋体" w:cs="宋体"/>
          <w:color w:val="auto"/>
          <w:spacing w:val="4"/>
          <w:highlight w:val="none"/>
        </w:rPr>
        <w:t>及以上的，加</w:t>
      </w:r>
      <w:r>
        <w:rPr>
          <w:rFonts w:ascii="宋体" w:hAnsi="宋体" w:eastAsia="宋体" w:cs="宋体"/>
          <w:color w:val="auto"/>
          <w:spacing w:val="4"/>
          <w:highlight w:val="none"/>
        </w:rPr>
        <w:t>2</w:t>
      </w:r>
      <w:r>
        <w:rPr>
          <w:rFonts w:hint="eastAsia" w:ascii="宋体" w:hAnsi="宋体" w:eastAsia="宋体" w:cs="宋体"/>
          <w:color w:val="auto"/>
          <w:spacing w:val="4"/>
          <w:highlight w:val="none"/>
        </w:rPr>
        <w:t>分，费用减少</w:t>
      </w:r>
      <w:r>
        <w:rPr>
          <w:rFonts w:ascii="宋体" w:hAnsi="宋体" w:eastAsia="宋体" w:cs="宋体"/>
          <w:color w:val="auto"/>
          <w:spacing w:val="4"/>
          <w:highlight w:val="none"/>
        </w:rPr>
        <w:t>20%</w:t>
      </w:r>
      <w:r>
        <w:rPr>
          <w:rFonts w:hint="eastAsia" w:ascii="宋体" w:hAnsi="宋体" w:eastAsia="宋体" w:cs="宋体"/>
          <w:color w:val="auto"/>
          <w:spacing w:val="4"/>
          <w:highlight w:val="none"/>
        </w:rPr>
        <w:t>及以上的，加</w:t>
      </w:r>
      <w:r>
        <w:rPr>
          <w:rFonts w:ascii="宋体" w:hAnsi="宋体" w:eastAsia="宋体" w:cs="宋体"/>
          <w:color w:val="auto"/>
          <w:spacing w:val="4"/>
          <w:highlight w:val="none"/>
        </w:rPr>
        <w:t>3</w:t>
      </w:r>
      <w:r>
        <w:rPr>
          <w:rFonts w:hint="eastAsia" w:ascii="宋体" w:hAnsi="宋体" w:eastAsia="宋体" w:cs="宋体"/>
          <w:color w:val="auto"/>
          <w:spacing w:val="4"/>
          <w:highlight w:val="none"/>
        </w:rPr>
        <w:t>分，费用减少</w:t>
      </w:r>
      <w:r>
        <w:rPr>
          <w:rFonts w:ascii="宋体" w:hAnsi="宋体" w:eastAsia="宋体" w:cs="宋体"/>
          <w:color w:val="auto"/>
          <w:spacing w:val="4"/>
          <w:highlight w:val="none"/>
        </w:rPr>
        <w:t>30%及以上的</w:t>
      </w:r>
      <w:r>
        <w:rPr>
          <w:rFonts w:hint="eastAsia" w:ascii="宋体" w:hAnsi="宋体" w:eastAsia="宋体" w:cs="宋体"/>
          <w:color w:val="auto"/>
          <w:spacing w:val="4"/>
          <w:highlight w:val="none"/>
        </w:rPr>
        <w:t>，加</w:t>
      </w:r>
      <w:r>
        <w:rPr>
          <w:rFonts w:ascii="宋体" w:hAnsi="宋体" w:eastAsia="宋体" w:cs="宋体"/>
          <w:color w:val="auto"/>
          <w:spacing w:val="4"/>
          <w:highlight w:val="none"/>
        </w:rPr>
        <w:t>5分，并入考核分值内</w:t>
      </w:r>
      <w:r>
        <w:rPr>
          <w:rFonts w:hint="eastAsia" w:ascii="宋体" w:hAnsi="宋体" w:eastAsia="宋体" w:cs="宋体"/>
          <w:color w:val="auto"/>
          <w:spacing w:val="4"/>
          <w:highlight w:val="none"/>
        </w:rPr>
        <w:t>。</w:t>
      </w:r>
    </w:p>
    <w:p>
      <w:pPr>
        <w:spacing w:before="81" w:line="312" w:lineRule="auto"/>
        <w:ind w:right="444"/>
        <w:rPr>
          <w:rFonts w:ascii="宋体" w:hAnsi="宋体" w:eastAsia="宋体" w:cs="宋体"/>
          <w:color w:val="auto"/>
          <w:highlight w:val="none"/>
        </w:rPr>
      </w:pPr>
    </w:p>
    <w:p>
      <w:pPr>
        <w:spacing w:before="43" w:line="444" w:lineRule="exact"/>
        <w:ind w:left="54"/>
        <w:rPr>
          <w:rFonts w:ascii="宋体" w:hAnsi="宋体" w:eastAsia="宋体" w:cs="宋体"/>
          <w:color w:val="auto"/>
          <w:highlight w:val="none"/>
        </w:rPr>
      </w:pPr>
      <w:r>
        <w:rPr>
          <w:rFonts w:ascii="宋体" w:hAnsi="宋体" w:eastAsia="宋体" w:cs="宋体"/>
          <w:color w:val="auto"/>
          <w:spacing w:val="2"/>
          <w:position w:val="17"/>
          <w:highlight w:val="none"/>
        </w:rPr>
        <w:t>考评小组成员：</w:t>
      </w:r>
    </w:p>
    <w:p>
      <w:pPr>
        <w:spacing w:line="200" w:lineRule="auto"/>
        <w:ind w:left="54"/>
        <w:rPr>
          <w:rFonts w:ascii="宋体" w:hAnsi="宋体" w:eastAsia="宋体" w:cs="宋体"/>
          <w:color w:val="auto"/>
          <w:highlight w:val="none"/>
        </w:rPr>
      </w:pPr>
      <w:r>
        <w:rPr>
          <w:rFonts w:ascii="宋体" w:hAnsi="宋体" w:eastAsia="宋体" w:cs="宋体"/>
          <w:color w:val="auto"/>
          <w:spacing w:val="6"/>
          <w:highlight w:val="none"/>
        </w:rPr>
        <w:t>考评小组组长</w:t>
      </w:r>
      <w:r>
        <w:rPr>
          <w:rFonts w:ascii="宋体" w:hAnsi="宋体" w:eastAsia="宋体" w:cs="宋体"/>
          <w:color w:val="auto"/>
          <w:spacing w:val="5"/>
          <w:highlight w:val="none"/>
        </w:rPr>
        <w:t>：</w:t>
      </w:r>
      <w:r>
        <w:rPr>
          <w:rFonts w:hint="eastAsia" w:ascii="宋体" w:hAnsi="宋体" w:eastAsia="宋体" w:cs="宋体"/>
          <w:color w:val="auto"/>
          <w:spacing w:val="5"/>
          <w:highlight w:val="none"/>
        </w:rPr>
        <w:t xml:space="preserve">                                                 </w:t>
      </w:r>
      <w:r>
        <w:rPr>
          <w:rFonts w:ascii="宋体" w:hAnsi="宋体" w:eastAsia="宋体" w:cs="宋体"/>
          <w:color w:val="auto"/>
          <w:spacing w:val="-5"/>
          <w:highlight w:val="none"/>
        </w:rPr>
        <w:t>考</w:t>
      </w:r>
      <w:r>
        <w:rPr>
          <w:rFonts w:ascii="宋体" w:hAnsi="宋体" w:eastAsia="宋体" w:cs="宋体"/>
          <w:color w:val="auto"/>
          <w:spacing w:val="-3"/>
          <w:highlight w:val="none"/>
        </w:rPr>
        <w:t>评时间：</w:t>
      </w:r>
    </w:p>
    <w:p>
      <w:pPr>
        <w:rPr>
          <w:color w:val="auto"/>
          <w:highlight w:val="none"/>
        </w:rPr>
        <w:sectPr>
          <w:pgSz w:w="12240" w:h="15840"/>
          <w:pgMar w:top="1346" w:right="1101" w:bottom="0" w:left="1084" w:header="0" w:footer="0" w:gutter="0"/>
          <w:cols w:space="720" w:num="1"/>
        </w:sectPr>
      </w:pPr>
    </w:p>
    <w:p>
      <w:pPr>
        <w:spacing w:before="193" w:line="228" w:lineRule="auto"/>
        <w:ind w:left="74"/>
        <w:outlineLvl w:val="0"/>
        <w:rPr>
          <w:rFonts w:ascii="Times New Roman" w:hAnsi="Times New Roman" w:cs="Times New Roman" w:eastAsiaTheme="minorEastAsia"/>
          <w:color w:val="auto"/>
          <w:sz w:val="25"/>
          <w:szCs w:val="25"/>
          <w:highlight w:val="none"/>
        </w:rPr>
      </w:pPr>
      <w:r>
        <w:rPr>
          <w:rFonts w:ascii="黑体" w:hAnsi="黑体" w:eastAsia="黑体" w:cs="黑体"/>
          <w:color w:val="auto"/>
          <w:spacing w:val="-5"/>
          <w:sz w:val="25"/>
          <w:szCs w:val="25"/>
          <w:highlight w:val="none"/>
        </w:rPr>
        <w:t>附</w:t>
      </w:r>
      <w:r>
        <w:rPr>
          <w:rFonts w:ascii="黑体" w:hAnsi="黑体" w:eastAsia="黑体" w:cs="黑体"/>
          <w:color w:val="auto"/>
          <w:spacing w:val="-4"/>
          <w:sz w:val="25"/>
          <w:szCs w:val="25"/>
          <w:highlight w:val="none"/>
        </w:rPr>
        <w:t>件</w:t>
      </w:r>
      <w:r>
        <w:rPr>
          <w:rFonts w:hint="eastAsia" w:ascii="Times New Roman" w:hAnsi="Times New Roman" w:cs="Times New Roman" w:eastAsiaTheme="minorEastAsia"/>
          <w:color w:val="auto"/>
          <w:spacing w:val="-4"/>
          <w:sz w:val="25"/>
          <w:szCs w:val="25"/>
          <w:highlight w:val="none"/>
        </w:rPr>
        <w:t>5.2</w:t>
      </w:r>
    </w:p>
    <w:p>
      <w:pPr>
        <w:spacing w:before="331" w:line="222" w:lineRule="auto"/>
        <w:ind w:left="2685"/>
        <w:rPr>
          <w:rFonts w:ascii="新宋体" w:hAnsi="新宋体" w:eastAsia="新宋体" w:cs="新宋体"/>
          <w:color w:val="auto"/>
          <w:sz w:val="36"/>
          <w:szCs w:val="36"/>
          <w:highlight w:val="none"/>
        </w:rPr>
      </w:pPr>
      <w:r>
        <w:rPr>
          <w:rFonts w:hint="eastAsia" w:ascii="新宋体" w:hAnsi="新宋体" w:eastAsia="新宋体" w:cs="新宋体"/>
          <w:color w:val="auto"/>
          <w:spacing w:val="4"/>
          <w:sz w:val="36"/>
          <w:szCs w:val="36"/>
          <w:highlight w:val="none"/>
        </w:rPr>
        <w:t>勘察</w:t>
      </w:r>
      <w:r>
        <w:rPr>
          <w:rFonts w:ascii="新宋体" w:hAnsi="新宋体" w:eastAsia="新宋体" w:cs="新宋体"/>
          <w:color w:val="auto"/>
          <w:spacing w:val="4"/>
          <w:sz w:val="36"/>
          <w:szCs w:val="36"/>
          <w:highlight w:val="none"/>
        </w:rPr>
        <w:t>设</w:t>
      </w:r>
      <w:r>
        <w:rPr>
          <w:rFonts w:ascii="新宋体" w:hAnsi="新宋体" w:eastAsia="新宋体" w:cs="新宋体"/>
          <w:color w:val="auto"/>
          <w:spacing w:val="3"/>
          <w:sz w:val="36"/>
          <w:szCs w:val="36"/>
          <w:highlight w:val="none"/>
        </w:rPr>
        <w:t>计</w:t>
      </w:r>
      <w:r>
        <w:rPr>
          <w:rFonts w:ascii="新宋体" w:hAnsi="新宋体" w:eastAsia="新宋体" w:cs="新宋体"/>
          <w:color w:val="auto"/>
          <w:spacing w:val="2"/>
          <w:sz w:val="36"/>
          <w:szCs w:val="36"/>
          <w:highlight w:val="none"/>
        </w:rPr>
        <w:t>单位履约考核评分表</w:t>
      </w:r>
    </w:p>
    <w:p>
      <w:pPr>
        <w:spacing w:before="3" w:line="226" w:lineRule="auto"/>
        <w:ind w:left="3738"/>
        <w:rPr>
          <w:rFonts w:ascii="宋体" w:hAnsi="宋体" w:eastAsia="宋体" w:cs="宋体"/>
          <w:color w:val="auto"/>
          <w:sz w:val="32"/>
          <w:szCs w:val="32"/>
          <w:highlight w:val="none"/>
        </w:rPr>
      </w:pPr>
      <w:r>
        <w:rPr>
          <w:rFonts w:ascii="宋体" w:hAnsi="宋体" w:eastAsia="宋体" w:cs="宋体"/>
          <w:color w:val="auto"/>
          <w:spacing w:val="24"/>
          <w:sz w:val="32"/>
          <w:szCs w:val="32"/>
          <w:highlight w:val="none"/>
        </w:rPr>
        <w:t>(</w:t>
      </w:r>
      <w:r>
        <w:rPr>
          <w:rFonts w:ascii="宋体" w:hAnsi="宋体" w:eastAsia="宋体" w:cs="宋体"/>
          <w:color w:val="auto"/>
          <w:spacing w:val="22"/>
          <w:sz w:val="32"/>
          <w:szCs w:val="32"/>
          <w:highlight w:val="none"/>
        </w:rPr>
        <w:t>施工配合阶段)</w:t>
      </w:r>
    </w:p>
    <w:p>
      <w:pPr>
        <w:spacing w:line="279" w:lineRule="auto"/>
        <w:rPr>
          <w:color w:val="auto"/>
          <w:highlight w:val="none"/>
        </w:rPr>
      </w:pPr>
    </w:p>
    <w:p>
      <w:pPr>
        <w:spacing w:before="68" w:line="235" w:lineRule="auto"/>
        <w:ind w:left="57"/>
        <w:rPr>
          <w:rFonts w:ascii="宋体" w:hAnsi="宋体" w:eastAsia="宋体" w:cs="宋体"/>
          <w:color w:val="auto"/>
          <w:highlight w:val="none"/>
        </w:rPr>
      </w:pPr>
      <w:r>
        <w:rPr>
          <w:rFonts w:ascii="宋体" w:hAnsi="宋体" w:eastAsia="宋体" w:cs="宋体"/>
          <w:color w:val="auto"/>
          <w:spacing w:val="-2"/>
          <w:highlight w:val="none"/>
        </w:rPr>
        <w:t xml:space="preserve">项目名称：                 </w:t>
      </w:r>
      <w:r>
        <w:rPr>
          <w:rFonts w:ascii="宋体" w:hAnsi="宋体" w:eastAsia="宋体" w:cs="宋体"/>
          <w:color w:val="auto"/>
          <w:spacing w:val="-1"/>
          <w:highlight w:val="none"/>
        </w:rPr>
        <w:t xml:space="preserve">                                   考评单位：</w:t>
      </w:r>
    </w:p>
    <w:p>
      <w:pPr>
        <w:spacing w:before="236" w:line="235" w:lineRule="auto"/>
        <w:ind w:left="54"/>
        <w:rPr>
          <w:rFonts w:ascii="宋体" w:hAnsi="宋体" w:eastAsia="宋体" w:cs="宋体"/>
          <w:color w:val="auto"/>
          <w:highlight w:val="none"/>
        </w:rPr>
      </w:pPr>
      <w:r>
        <w:rPr>
          <w:rFonts w:ascii="宋体" w:hAnsi="宋体" w:eastAsia="宋体" w:cs="宋体"/>
          <w:color w:val="auto"/>
          <w:spacing w:val="-2"/>
          <w:highlight w:val="none"/>
        </w:rPr>
        <w:t xml:space="preserve">服务单位：          </w:t>
      </w:r>
      <w:r>
        <w:rPr>
          <w:rFonts w:ascii="宋体" w:hAnsi="宋体" w:eastAsia="宋体" w:cs="宋体"/>
          <w:color w:val="auto"/>
          <w:spacing w:val="-1"/>
          <w:highlight w:val="none"/>
        </w:rPr>
        <w:t xml:space="preserve">                                          </w:t>
      </w:r>
      <w:r>
        <w:rPr>
          <w:rFonts w:ascii="宋体" w:hAnsi="宋体" w:eastAsia="宋体" w:cs="宋体"/>
          <w:color w:val="auto"/>
          <w:spacing w:val="-1"/>
          <w:position w:val="-1"/>
          <w:highlight w:val="none"/>
        </w:rPr>
        <w:t>考评节点：</w:t>
      </w:r>
    </w:p>
    <w:p>
      <w:pPr>
        <w:spacing w:line="85" w:lineRule="exact"/>
        <w:rPr>
          <w:color w:val="auto"/>
          <w:highlight w:val="none"/>
        </w:rPr>
      </w:pPr>
    </w:p>
    <w:tbl>
      <w:tblPr>
        <w:tblStyle w:val="9"/>
        <w:tblW w:w="10038" w:type="dxa"/>
        <w:tblInd w:w="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00"/>
        <w:gridCol w:w="1225"/>
        <w:gridCol w:w="1059"/>
        <w:gridCol w:w="4704"/>
        <w:gridCol w:w="781"/>
        <w:gridCol w:w="1669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1" w:hRule="atLeast"/>
        </w:trPr>
        <w:tc>
          <w:tcPr>
            <w:tcW w:w="60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31" w:line="231" w:lineRule="auto"/>
              <w:ind w:left="84"/>
              <w:rPr>
                <w:rFonts w:ascii="黑体" w:hAnsi="黑体" w:eastAsia="黑体" w:cs="黑体"/>
                <w:color w:val="auto"/>
                <w:highlight w:val="none"/>
              </w:rPr>
            </w:pPr>
            <w:r>
              <w:rPr>
                <w:rFonts w:ascii="黑体" w:hAnsi="黑体" w:eastAsia="黑体" w:cs="黑体"/>
                <w:color w:val="auto"/>
                <w:spacing w:val="5"/>
                <w:highlight w:val="none"/>
              </w:rPr>
              <w:t>序号</w:t>
            </w:r>
          </w:p>
        </w:tc>
        <w:tc>
          <w:tcPr>
            <w:tcW w:w="1225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31" w:line="230" w:lineRule="auto"/>
              <w:ind w:left="173"/>
              <w:rPr>
                <w:rFonts w:ascii="黑体" w:hAnsi="黑体" w:eastAsia="黑体" w:cs="黑体"/>
                <w:color w:val="auto"/>
                <w:highlight w:val="none"/>
              </w:rPr>
            </w:pPr>
            <w:r>
              <w:rPr>
                <w:rFonts w:ascii="黑体" w:hAnsi="黑体" w:eastAsia="黑体" w:cs="黑体"/>
                <w:color w:val="auto"/>
                <w:spacing w:val="8"/>
                <w:highlight w:val="none"/>
              </w:rPr>
              <w:t>考核内容</w:t>
            </w:r>
          </w:p>
        </w:tc>
        <w:tc>
          <w:tcPr>
            <w:tcW w:w="105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31" w:line="230" w:lineRule="auto"/>
              <w:ind w:left="89"/>
              <w:rPr>
                <w:rFonts w:ascii="黑体" w:hAnsi="黑体" w:eastAsia="黑体" w:cs="黑体"/>
                <w:color w:val="auto"/>
                <w:highlight w:val="none"/>
              </w:rPr>
            </w:pPr>
            <w:r>
              <w:rPr>
                <w:rFonts w:ascii="黑体" w:hAnsi="黑体" w:eastAsia="黑体" w:cs="黑体"/>
                <w:color w:val="auto"/>
                <w:spacing w:val="9"/>
                <w:highlight w:val="none"/>
              </w:rPr>
              <w:t>标准分值</w:t>
            </w:r>
          </w:p>
        </w:tc>
        <w:tc>
          <w:tcPr>
            <w:tcW w:w="470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32" w:line="228" w:lineRule="auto"/>
              <w:ind w:left="1693"/>
              <w:rPr>
                <w:rFonts w:ascii="黑体" w:hAnsi="黑体" w:eastAsia="黑体" w:cs="黑体"/>
                <w:color w:val="auto"/>
                <w:highlight w:val="none"/>
              </w:rPr>
            </w:pPr>
            <w:r>
              <w:rPr>
                <w:rFonts w:ascii="黑体" w:hAnsi="黑体" w:eastAsia="黑体" w:cs="黑体"/>
                <w:color w:val="auto"/>
                <w:spacing w:val="9"/>
                <w:highlight w:val="none"/>
              </w:rPr>
              <w:t>考核具体说</w:t>
            </w:r>
            <w:r>
              <w:rPr>
                <w:rFonts w:ascii="黑体" w:hAnsi="黑体" w:eastAsia="黑体" w:cs="黑体"/>
                <w:color w:val="auto"/>
                <w:spacing w:val="8"/>
                <w:highlight w:val="none"/>
              </w:rPr>
              <w:t>明</w:t>
            </w:r>
          </w:p>
        </w:tc>
        <w:tc>
          <w:tcPr>
            <w:tcW w:w="78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31" w:line="230" w:lineRule="auto"/>
              <w:ind w:left="184"/>
              <w:rPr>
                <w:rFonts w:ascii="黑体" w:hAnsi="黑体" w:eastAsia="黑体" w:cs="黑体"/>
                <w:color w:val="auto"/>
                <w:highlight w:val="none"/>
              </w:rPr>
            </w:pPr>
            <w:r>
              <w:rPr>
                <w:rFonts w:ascii="黑体" w:hAnsi="黑体" w:eastAsia="黑体" w:cs="黑体"/>
                <w:color w:val="auto"/>
                <w:spacing w:val="5"/>
                <w:highlight w:val="none"/>
              </w:rPr>
              <w:t>得</w:t>
            </w:r>
            <w:r>
              <w:rPr>
                <w:rFonts w:ascii="黑体" w:hAnsi="黑体" w:eastAsia="黑体" w:cs="黑体"/>
                <w:color w:val="auto"/>
                <w:spacing w:val="4"/>
                <w:highlight w:val="none"/>
              </w:rPr>
              <w:t>分</w:t>
            </w:r>
          </w:p>
        </w:tc>
        <w:tc>
          <w:tcPr>
            <w:tcW w:w="166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32" w:line="228" w:lineRule="auto"/>
              <w:ind w:left="183"/>
              <w:rPr>
                <w:rFonts w:ascii="黑体" w:hAnsi="黑体" w:eastAsia="黑体" w:cs="黑体"/>
                <w:color w:val="auto"/>
                <w:highlight w:val="none"/>
              </w:rPr>
            </w:pPr>
            <w:r>
              <w:rPr>
                <w:rFonts w:ascii="黑体" w:hAnsi="黑体" w:eastAsia="黑体" w:cs="黑体"/>
                <w:color w:val="auto"/>
                <w:spacing w:val="9"/>
                <w:highlight w:val="none"/>
              </w:rPr>
              <w:t>得分情况说</w:t>
            </w:r>
            <w:r>
              <w:rPr>
                <w:rFonts w:ascii="黑体" w:hAnsi="黑体" w:eastAsia="黑体" w:cs="黑体"/>
                <w:color w:val="auto"/>
                <w:spacing w:val="8"/>
                <w:highlight w:val="none"/>
              </w:rPr>
              <w:t>明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3" w:hRule="atLeast"/>
        </w:trPr>
        <w:tc>
          <w:tcPr>
            <w:tcW w:w="60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line="241" w:lineRule="auto"/>
              <w:rPr>
                <w:color w:val="auto"/>
                <w:highlight w:val="none"/>
              </w:rPr>
            </w:pPr>
          </w:p>
          <w:p>
            <w:pPr>
              <w:spacing w:line="242" w:lineRule="auto"/>
              <w:rPr>
                <w:color w:val="auto"/>
                <w:highlight w:val="none"/>
              </w:rPr>
            </w:pPr>
          </w:p>
          <w:p>
            <w:pPr>
              <w:spacing w:before="61" w:line="192" w:lineRule="auto"/>
              <w:ind w:left="267"/>
              <w:rPr>
                <w:rFonts w:ascii="Times New Roman" w:hAnsi="Times New Roman" w:eastAsia="Times New Roman" w:cs="Times New Roman"/>
                <w:color w:val="auto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auto"/>
                <w:highlight w:val="none"/>
              </w:rPr>
              <w:t>1</w:t>
            </w:r>
          </w:p>
        </w:tc>
        <w:tc>
          <w:tcPr>
            <w:tcW w:w="1225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line="298" w:lineRule="auto"/>
              <w:rPr>
                <w:color w:val="auto"/>
                <w:highlight w:val="none"/>
              </w:rPr>
            </w:pPr>
          </w:p>
          <w:p>
            <w:pPr>
              <w:spacing w:line="299" w:lineRule="auto"/>
              <w:rPr>
                <w:color w:val="auto"/>
                <w:highlight w:val="none"/>
              </w:rPr>
            </w:pPr>
          </w:p>
          <w:p>
            <w:pPr>
              <w:spacing w:line="299" w:lineRule="auto"/>
              <w:rPr>
                <w:color w:val="auto"/>
                <w:highlight w:val="none"/>
              </w:rPr>
            </w:pPr>
          </w:p>
          <w:p>
            <w:pPr>
              <w:spacing w:line="299" w:lineRule="auto"/>
              <w:rPr>
                <w:color w:val="auto"/>
                <w:highlight w:val="none"/>
              </w:rPr>
            </w:pPr>
          </w:p>
          <w:p>
            <w:pPr>
              <w:spacing w:before="68" w:line="228" w:lineRule="auto"/>
              <w:ind w:left="175"/>
              <w:rPr>
                <w:rFonts w:ascii="宋体" w:hAnsi="宋体" w:eastAsia="宋体" w:cs="宋体"/>
                <w:color w:val="auto"/>
                <w:highlight w:val="none"/>
              </w:rPr>
            </w:pPr>
            <w:r>
              <w:rPr>
                <w:rFonts w:ascii="宋体" w:hAnsi="宋体" w:eastAsia="宋体" w:cs="宋体"/>
                <w:color w:val="auto"/>
                <w:spacing w:val="6"/>
                <w:highlight w:val="none"/>
              </w:rPr>
              <w:t>人员配</w:t>
            </w:r>
            <w:r>
              <w:rPr>
                <w:rFonts w:ascii="宋体" w:hAnsi="宋体" w:eastAsia="宋体" w:cs="宋体"/>
                <w:color w:val="auto"/>
                <w:spacing w:val="5"/>
                <w:highlight w:val="none"/>
              </w:rPr>
              <w:t>备</w:t>
            </w:r>
          </w:p>
        </w:tc>
        <w:tc>
          <w:tcPr>
            <w:tcW w:w="105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line="244" w:lineRule="auto"/>
              <w:rPr>
                <w:color w:val="auto"/>
                <w:highlight w:val="none"/>
              </w:rPr>
            </w:pPr>
          </w:p>
          <w:p>
            <w:pPr>
              <w:spacing w:line="245" w:lineRule="auto"/>
              <w:rPr>
                <w:color w:val="auto"/>
                <w:highlight w:val="none"/>
              </w:rPr>
            </w:pPr>
          </w:p>
          <w:p>
            <w:pPr>
              <w:spacing w:before="60" w:line="189" w:lineRule="auto"/>
              <w:ind w:left="474"/>
              <w:rPr>
                <w:rFonts w:ascii="Times New Roman" w:hAnsi="Times New Roman" w:eastAsia="Times New Roman" w:cs="Times New Roman"/>
                <w:color w:val="auto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auto"/>
                <w:highlight w:val="none"/>
              </w:rPr>
              <w:t>5</w:t>
            </w:r>
          </w:p>
        </w:tc>
        <w:tc>
          <w:tcPr>
            <w:tcW w:w="4704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before="1" w:line="209" w:lineRule="auto"/>
              <w:ind w:left="36" w:right="20" w:hanging="1"/>
              <w:jc w:val="both"/>
              <w:rPr>
                <w:rFonts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ascii="宋体" w:hAnsi="宋体" w:eastAsia="宋体" w:cs="宋体"/>
                <w:color w:val="auto"/>
                <w:spacing w:val="20"/>
                <w:highlight w:val="none"/>
              </w:rPr>
              <w:t>配</w:t>
            </w:r>
            <w:r>
              <w:rPr>
                <w:rFonts w:ascii="宋体" w:hAnsi="宋体" w:eastAsia="宋体" w:cs="宋体"/>
                <w:color w:val="auto"/>
                <w:spacing w:val="13"/>
                <w:highlight w:val="none"/>
              </w:rPr>
              <w:t>备</w:t>
            </w:r>
            <w:r>
              <w:rPr>
                <w:rFonts w:ascii="宋体" w:hAnsi="宋体" w:eastAsia="宋体" w:cs="宋体"/>
                <w:color w:val="auto"/>
                <w:spacing w:val="10"/>
                <w:highlight w:val="none"/>
              </w:rPr>
              <w:t>人员的专业、职称、工作年限、数量等是否</w:t>
            </w:r>
            <w:r>
              <w:rPr>
                <w:rFonts w:ascii="宋体" w:hAnsi="宋体" w:eastAsia="宋体" w:cs="宋体"/>
                <w:color w:val="auto"/>
                <w:highlight w:val="none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pacing w:val="18"/>
                <w:highlight w:val="none"/>
              </w:rPr>
              <w:t>不低于投标文件人员要求 ，</w:t>
            </w:r>
            <w:r>
              <w:rPr>
                <w:rFonts w:ascii="宋体" w:hAnsi="宋体" w:eastAsia="宋体" w:cs="宋体"/>
                <w:color w:val="auto"/>
                <w:spacing w:val="20"/>
                <w:sz w:val="20"/>
                <w:szCs w:val="20"/>
                <w:highlight w:val="none"/>
              </w:rPr>
              <w:t>投入人员不满足要求</w:t>
            </w:r>
            <w:r>
              <w:rPr>
                <w:rFonts w:hint="eastAsia" w:ascii="宋体" w:hAnsi="宋体" w:eastAsia="宋体" w:cs="宋体"/>
                <w:color w:val="auto"/>
                <w:spacing w:val="20"/>
                <w:sz w:val="20"/>
                <w:szCs w:val="20"/>
                <w:highlight w:val="none"/>
              </w:rPr>
              <w:t>中任何一项</w:t>
            </w:r>
            <w:r>
              <w:rPr>
                <w:rFonts w:ascii="宋体" w:hAnsi="宋体" w:eastAsia="宋体" w:cs="宋体"/>
                <w:color w:val="auto"/>
                <w:spacing w:val="20"/>
                <w:sz w:val="20"/>
                <w:szCs w:val="20"/>
                <w:highlight w:val="none"/>
              </w:rPr>
              <w:t>的，每人扣</w:t>
            </w:r>
            <w:r>
              <w:rPr>
                <w:rFonts w:hint="eastAsia" w:ascii="宋体" w:hAnsi="宋体" w:eastAsia="宋体" w:cs="宋体"/>
                <w:color w:val="auto"/>
                <w:spacing w:val="12"/>
                <w:sz w:val="20"/>
                <w:szCs w:val="20"/>
                <w:highlight w:val="none"/>
                <w14:textOutline w14:w="3175" w14:cap="flat" w14:cmpd="sng" w14:algn="ctr">
                  <w14:solidFill>
                    <w14:srgbClr w14:val="FF0000"/>
                  </w14:solidFill>
                  <w14:prstDash w14:val="solid"/>
                  <w14:miter w14:val="0"/>
                </w14:textOutline>
              </w:rPr>
              <w:t>1</w:t>
            </w:r>
            <w:r>
              <w:rPr>
                <w:rFonts w:ascii="宋体" w:hAnsi="宋体" w:eastAsia="宋体" w:cs="宋体"/>
                <w:color w:val="auto"/>
                <w:spacing w:val="12"/>
                <w:sz w:val="20"/>
                <w:szCs w:val="20"/>
                <w:highlight w:val="none"/>
              </w:rPr>
              <w:t>分。</w:t>
            </w:r>
          </w:p>
        </w:tc>
        <w:tc>
          <w:tcPr>
            <w:tcW w:w="78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rPr>
                <w:color w:val="auto"/>
                <w:highlight w:val="none"/>
              </w:rPr>
            </w:pPr>
          </w:p>
        </w:tc>
        <w:tc>
          <w:tcPr>
            <w:tcW w:w="166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rPr>
                <w:color w:val="auto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04" w:hRule="atLeast"/>
        </w:trPr>
        <w:tc>
          <w:tcPr>
            <w:tcW w:w="60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line="306" w:lineRule="auto"/>
              <w:rPr>
                <w:color w:val="auto"/>
                <w:highlight w:val="none"/>
              </w:rPr>
            </w:pPr>
          </w:p>
          <w:p>
            <w:pPr>
              <w:spacing w:line="307" w:lineRule="auto"/>
              <w:rPr>
                <w:color w:val="auto"/>
                <w:highlight w:val="none"/>
              </w:rPr>
            </w:pPr>
          </w:p>
          <w:p>
            <w:pPr>
              <w:spacing w:before="60" w:line="192" w:lineRule="auto"/>
              <w:ind w:left="246"/>
              <w:rPr>
                <w:rFonts w:ascii="Times New Roman" w:hAnsi="Times New Roman" w:eastAsia="Times New Roman" w:cs="Times New Roman"/>
                <w:color w:val="auto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auto"/>
                <w:highlight w:val="none"/>
              </w:rPr>
              <w:t>2</w:t>
            </w:r>
          </w:p>
        </w:tc>
        <w:tc>
          <w:tcPr>
            <w:tcW w:w="1225" w:type="dxa"/>
            <w:vMerge w:val="continue"/>
            <w:tcBorders>
              <w:top w:val="nil"/>
              <w:bottom w:val="single" w:color="000000" w:sz="2" w:space="0"/>
            </w:tcBorders>
          </w:tcPr>
          <w:p>
            <w:pPr>
              <w:rPr>
                <w:color w:val="auto"/>
                <w:highlight w:val="none"/>
              </w:rPr>
            </w:pPr>
          </w:p>
        </w:tc>
        <w:tc>
          <w:tcPr>
            <w:tcW w:w="105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line="309" w:lineRule="auto"/>
              <w:rPr>
                <w:color w:val="auto"/>
                <w:highlight w:val="none"/>
              </w:rPr>
            </w:pPr>
          </w:p>
          <w:p>
            <w:pPr>
              <w:spacing w:line="309" w:lineRule="auto"/>
              <w:rPr>
                <w:color w:val="auto"/>
                <w:highlight w:val="none"/>
              </w:rPr>
            </w:pPr>
          </w:p>
          <w:p>
            <w:pPr>
              <w:spacing w:before="60" w:line="189" w:lineRule="auto"/>
              <w:ind w:left="474"/>
              <w:rPr>
                <w:rFonts w:ascii="Times New Roman" w:hAnsi="Times New Roman" w:eastAsia="Times New Roman" w:cs="Times New Roman"/>
                <w:color w:val="auto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auto"/>
                <w:highlight w:val="none"/>
              </w:rPr>
              <w:t>5</w:t>
            </w:r>
          </w:p>
        </w:tc>
        <w:tc>
          <w:tcPr>
            <w:tcW w:w="470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57" w:line="241" w:lineRule="auto"/>
              <w:ind w:left="34" w:right="21"/>
              <w:rPr>
                <w:rFonts w:ascii="宋体" w:hAnsi="宋体" w:eastAsia="宋体" w:cs="宋体"/>
                <w:color w:val="auto"/>
                <w:highlight w:val="none"/>
              </w:rPr>
            </w:pPr>
            <w:r>
              <w:rPr>
                <w:rFonts w:ascii="宋体" w:hAnsi="宋体" w:eastAsia="宋体" w:cs="宋体"/>
                <w:color w:val="auto"/>
                <w:spacing w:val="14"/>
                <w:highlight w:val="none"/>
              </w:rPr>
              <w:t>配</w:t>
            </w:r>
            <w:r>
              <w:rPr>
                <w:rFonts w:ascii="宋体" w:hAnsi="宋体" w:eastAsia="宋体" w:cs="宋体"/>
                <w:color w:val="auto"/>
                <w:spacing w:val="10"/>
                <w:highlight w:val="none"/>
              </w:rPr>
              <w:t>备人员的专业水平、响应速度、协调能力、服</w:t>
            </w:r>
            <w:r>
              <w:rPr>
                <w:rFonts w:ascii="宋体" w:hAnsi="宋体" w:eastAsia="宋体" w:cs="宋体"/>
                <w:color w:val="auto"/>
                <w:highlight w:val="none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pacing w:val="11"/>
                <w:highlight w:val="none"/>
              </w:rPr>
              <w:t>务</w:t>
            </w:r>
            <w:r>
              <w:rPr>
                <w:rFonts w:ascii="宋体" w:hAnsi="宋体" w:eastAsia="宋体" w:cs="宋体"/>
                <w:color w:val="auto"/>
                <w:spacing w:val="10"/>
                <w:highlight w:val="none"/>
              </w:rPr>
              <w:t>意识</w:t>
            </w:r>
            <w:r>
              <w:rPr>
                <w:rFonts w:hint="eastAsia" w:ascii="宋体" w:hAnsi="宋体" w:eastAsia="宋体" w:cs="宋体"/>
                <w:color w:val="auto"/>
                <w:spacing w:val="10"/>
                <w:highlight w:val="none"/>
              </w:rPr>
              <w:t>、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pacing w:val="10"/>
                <w:highlight w:val="none"/>
              </w:rPr>
              <w:t>驻场办公</w:t>
            </w:r>
            <w:r>
              <w:rPr>
                <w:rFonts w:ascii="宋体" w:hAnsi="宋体" w:eastAsia="宋体" w:cs="宋体"/>
                <w:color w:val="auto"/>
                <w:spacing w:val="10"/>
                <w:highlight w:val="none"/>
              </w:rPr>
              <w:t>及人员储备等是否满足项目服务需求，</w:t>
            </w:r>
            <w:r>
              <w:rPr>
                <w:rFonts w:ascii="宋体" w:hAnsi="宋体" w:eastAsia="宋体" w:cs="宋体"/>
                <w:color w:val="auto"/>
                <w:spacing w:val="20"/>
                <w:sz w:val="20"/>
                <w:szCs w:val="20"/>
                <w:highlight w:val="none"/>
              </w:rPr>
              <w:t>投入人员不满足要求</w:t>
            </w:r>
            <w:r>
              <w:rPr>
                <w:rFonts w:hint="eastAsia" w:ascii="宋体" w:hAnsi="宋体" w:eastAsia="宋体" w:cs="宋体"/>
                <w:color w:val="auto"/>
                <w:spacing w:val="20"/>
                <w:sz w:val="20"/>
                <w:szCs w:val="20"/>
                <w:highlight w:val="none"/>
              </w:rPr>
              <w:t>中任何一项</w:t>
            </w:r>
            <w:r>
              <w:rPr>
                <w:rFonts w:ascii="宋体" w:hAnsi="宋体" w:eastAsia="宋体" w:cs="宋体"/>
                <w:color w:val="auto"/>
                <w:spacing w:val="20"/>
                <w:sz w:val="20"/>
                <w:szCs w:val="20"/>
                <w:highlight w:val="none"/>
              </w:rPr>
              <w:t>的，每人扣</w:t>
            </w:r>
            <w:r>
              <w:rPr>
                <w:rFonts w:hint="eastAsia" w:ascii="宋体" w:hAnsi="宋体" w:eastAsia="宋体" w:cs="宋体"/>
                <w:color w:val="auto"/>
                <w:spacing w:val="12"/>
                <w:sz w:val="20"/>
                <w:szCs w:val="20"/>
                <w:highlight w:val="none"/>
                <w14:textOutline w14:w="3175" w14:cap="flat" w14:cmpd="sng" w14:algn="ctr">
                  <w14:solidFill>
                    <w14:srgbClr w14:val="FF0000"/>
                  </w14:solidFill>
                  <w14:prstDash w14:val="solid"/>
                  <w14:miter w14:val="0"/>
                </w14:textOutline>
              </w:rPr>
              <w:t>1</w:t>
            </w:r>
            <w:r>
              <w:rPr>
                <w:rFonts w:ascii="宋体" w:hAnsi="宋体" w:eastAsia="宋体" w:cs="宋体"/>
                <w:color w:val="auto"/>
                <w:spacing w:val="12"/>
                <w:sz w:val="20"/>
                <w:szCs w:val="20"/>
                <w:highlight w:val="none"/>
              </w:rPr>
              <w:t>分。</w:t>
            </w:r>
          </w:p>
        </w:tc>
        <w:tc>
          <w:tcPr>
            <w:tcW w:w="78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rPr>
                <w:color w:val="auto"/>
                <w:highlight w:val="none"/>
              </w:rPr>
            </w:pPr>
          </w:p>
        </w:tc>
        <w:tc>
          <w:tcPr>
            <w:tcW w:w="166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rPr>
                <w:color w:val="auto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04" w:hRule="atLeast"/>
        </w:trPr>
        <w:tc>
          <w:tcPr>
            <w:tcW w:w="60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line="306" w:lineRule="auto"/>
              <w:rPr>
                <w:color w:val="auto"/>
                <w:highlight w:val="none"/>
              </w:rPr>
            </w:pPr>
          </w:p>
          <w:p>
            <w:pPr>
              <w:spacing w:line="307" w:lineRule="auto"/>
              <w:rPr>
                <w:color w:val="auto"/>
                <w:highlight w:val="none"/>
              </w:rPr>
            </w:pPr>
          </w:p>
          <w:p>
            <w:pPr>
              <w:spacing w:before="61" w:line="192" w:lineRule="auto"/>
              <w:ind w:left="250"/>
              <w:rPr>
                <w:rFonts w:ascii="Times New Roman" w:hAnsi="Times New Roman" w:eastAsia="Times New Roman" w:cs="Times New Roman"/>
                <w:color w:val="auto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auto"/>
                <w:highlight w:val="none"/>
              </w:rPr>
              <w:t>3</w:t>
            </w:r>
          </w:p>
        </w:tc>
        <w:tc>
          <w:tcPr>
            <w:tcW w:w="1225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line="258" w:lineRule="auto"/>
              <w:rPr>
                <w:color w:val="auto"/>
                <w:highlight w:val="none"/>
              </w:rPr>
            </w:pPr>
          </w:p>
          <w:p>
            <w:pPr>
              <w:spacing w:line="258" w:lineRule="auto"/>
              <w:rPr>
                <w:color w:val="auto"/>
                <w:highlight w:val="none"/>
              </w:rPr>
            </w:pPr>
          </w:p>
          <w:p>
            <w:pPr>
              <w:spacing w:line="258" w:lineRule="auto"/>
              <w:rPr>
                <w:color w:val="auto"/>
                <w:highlight w:val="none"/>
              </w:rPr>
            </w:pPr>
          </w:p>
          <w:p>
            <w:pPr>
              <w:spacing w:line="258" w:lineRule="auto"/>
              <w:rPr>
                <w:color w:val="auto"/>
                <w:highlight w:val="none"/>
              </w:rPr>
            </w:pPr>
          </w:p>
          <w:p>
            <w:pPr>
              <w:spacing w:line="258" w:lineRule="auto"/>
              <w:rPr>
                <w:color w:val="auto"/>
                <w:highlight w:val="none"/>
              </w:rPr>
            </w:pPr>
          </w:p>
          <w:p>
            <w:pPr>
              <w:spacing w:before="69" w:line="228" w:lineRule="auto"/>
              <w:ind w:left="171"/>
              <w:rPr>
                <w:rFonts w:ascii="宋体" w:hAnsi="宋体" w:eastAsia="宋体" w:cs="宋体"/>
                <w:color w:val="auto"/>
                <w:highlight w:val="none"/>
              </w:rPr>
            </w:pPr>
            <w:r>
              <w:rPr>
                <w:rFonts w:ascii="宋体" w:hAnsi="宋体" w:eastAsia="宋体" w:cs="宋体"/>
                <w:color w:val="auto"/>
                <w:spacing w:val="8"/>
                <w:highlight w:val="none"/>
              </w:rPr>
              <w:t>进</w:t>
            </w:r>
            <w:r>
              <w:rPr>
                <w:rFonts w:ascii="宋体" w:hAnsi="宋体" w:eastAsia="宋体" w:cs="宋体"/>
                <w:color w:val="auto"/>
                <w:spacing w:val="6"/>
                <w:highlight w:val="none"/>
              </w:rPr>
              <w:t>度控制</w:t>
            </w:r>
          </w:p>
        </w:tc>
        <w:tc>
          <w:tcPr>
            <w:tcW w:w="105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line="308" w:lineRule="auto"/>
              <w:rPr>
                <w:color w:val="auto"/>
                <w:highlight w:val="none"/>
              </w:rPr>
            </w:pPr>
          </w:p>
          <w:p>
            <w:pPr>
              <w:spacing w:line="308" w:lineRule="auto"/>
              <w:rPr>
                <w:color w:val="auto"/>
                <w:highlight w:val="none"/>
              </w:rPr>
            </w:pPr>
          </w:p>
          <w:p>
            <w:pPr>
              <w:spacing w:before="60" w:line="192" w:lineRule="auto"/>
              <w:ind w:left="434"/>
              <w:rPr>
                <w:rFonts w:ascii="Times New Roman" w:hAnsi="Times New Roman" w:eastAsia="Times New Roman" w:cs="Times New Roman"/>
                <w:color w:val="auto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-4"/>
                <w:highlight w:val="none"/>
              </w:rPr>
              <w:t>15</w:t>
            </w:r>
          </w:p>
        </w:tc>
        <w:tc>
          <w:tcPr>
            <w:tcW w:w="470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line="319" w:lineRule="auto"/>
              <w:rPr>
                <w:color w:val="auto"/>
                <w:highlight w:val="none"/>
              </w:rPr>
            </w:pPr>
          </w:p>
          <w:p>
            <w:pPr>
              <w:tabs>
                <w:tab w:val="left" w:pos="150"/>
              </w:tabs>
              <w:spacing w:before="68" w:line="244" w:lineRule="auto"/>
              <w:ind w:left="41" w:right="20" w:hanging="6"/>
              <w:rPr>
                <w:rFonts w:ascii="宋体" w:hAnsi="宋体" w:eastAsia="宋体" w:cs="宋体"/>
                <w:color w:val="auto"/>
                <w:highlight w:val="none"/>
              </w:rPr>
            </w:pPr>
            <w:r>
              <w:rPr>
                <w:rFonts w:ascii="宋体" w:hAnsi="宋体" w:eastAsia="宋体" w:cs="宋体"/>
                <w:color w:val="auto"/>
                <w:spacing w:val="20"/>
                <w:highlight w:val="none"/>
              </w:rPr>
              <w:t>服</w:t>
            </w:r>
            <w:r>
              <w:rPr>
                <w:rFonts w:ascii="宋体" w:hAnsi="宋体" w:eastAsia="宋体" w:cs="宋体"/>
                <w:color w:val="auto"/>
                <w:spacing w:val="13"/>
                <w:highlight w:val="none"/>
              </w:rPr>
              <w:t>务</w:t>
            </w:r>
            <w:r>
              <w:rPr>
                <w:rFonts w:ascii="宋体" w:hAnsi="宋体" w:eastAsia="宋体" w:cs="宋体"/>
                <w:color w:val="auto"/>
                <w:spacing w:val="10"/>
                <w:highlight w:val="none"/>
              </w:rPr>
              <w:t>单位提交各项设计变更工作成果的时效性是</w:t>
            </w:r>
            <w:r>
              <w:rPr>
                <w:rFonts w:ascii="宋体" w:hAnsi="宋体" w:eastAsia="宋体" w:cs="宋体"/>
                <w:color w:val="auto"/>
                <w:highlight w:val="none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pacing w:val="11"/>
                <w:highlight w:val="none"/>
              </w:rPr>
              <w:t>否满足要求，</w:t>
            </w:r>
            <w:r>
              <w:rPr>
                <w:rFonts w:hint="eastAsia" w:ascii="宋体" w:hAnsi="宋体" w:eastAsia="宋体" w:cs="宋体"/>
                <w:color w:val="auto"/>
                <w:spacing w:val="20"/>
                <w:highlight w:val="none"/>
              </w:rPr>
              <w:t>不按时提交或按时提交但不满足要求的算滞后，每滞后一天</w:t>
            </w:r>
            <w:r>
              <w:rPr>
                <w:rFonts w:ascii="宋体" w:hAnsi="宋体" w:eastAsia="宋体" w:cs="宋体"/>
                <w:color w:val="auto"/>
                <w:spacing w:val="20"/>
                <w:highlight w:val="none"/>
              </w:rPr>
              <w:t>扣</w:t>
            </w:r>
            <w:r>
              <w:rPr>
                <w:rFonts w:ascii="宋体" w:hAnsi="宋体" w:eastAsia="宋体" w:cs="宋体"/>
                <w:color w:val="auto"/>
                <w:spacing w:val="12"/>
                <w:highlight w:val="none"/>
                <w14:textOutline w14:w="3175" w14:cap="flat" w14:cmpd="sng" w14:algn="ctr">
                  <w14:solidFill>
                    <w14:srgbClr w14:val="FF0000"/>
                  </w14:solidFill>
                  <w14:prstDash w14:val="solid"/>
                  <w14:miter w14:val="0"/>
                </w14:textOutline>
              </w:rPr>
              <w:t>1</w:t>
            </w:r>
            <w:r>
              <w:rPr>
                <w:rFonts w:ascii="宋体" w:hAnsi="宋体" w:eastAsia="宋体" w:cs="宋体"/>
                <w:color w:val="auto"/>
                <w:spacing w:val="12"/>
                <w:highlight w:val="none"/>
              </w:rPr>
              <w:t>分</w:t>
            </w:r>
            <w:r>
              <w:rPr>
                <w:rFonts w:hint="eastAsia" w:ascii="宋体" w:hAnsi="宋体" w:eastAsia="宋体" w:cs="宋体"/>
                <w:color w:val="auto"/>
                <w:spacing w:val="12"/>
                <w:highlight w:val="none"/>
              </w:rPr>
              <w:t>。</w:t>
            </w:r>
          </w:p>
        </w:tc>
        <w:tc>
          <w:tcPr>
            <w:tcW w:w="78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rPr>
                <w:color w:val="auto"/>
                <w:highlight w:val="none"/>
              </w:rPr>
            </w:pPr>
          </w:p>
        </w:tc>
        <w:tc>
          <w:tcPr>
            <w:tcW w:w="166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rPr>
                <w:color w:val="auto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9" w:hRule="atLeast"/>
        </w:trPr>
        <w:tc>
          <w:tcPr>
            <w:tcW w:w="60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line="289" w:lineRule="auto"/>
              <w:rPr>
                <w:color w:val="auto"/>
                <w:highlight w:val="none"/>
              </w:rPr>
            </w:pPr>
          </w:p>
          <w:p>
            <w:pPr>
              <w:spacing w:line="289" w:lineRule="auto"/>
              <w:rPr>
                <w:color w:val="auto"/>
                <w:highlight w:val="none"/>
              </w:rPr>
            </w:pPr>
          </w:p>
          <w:p>
            <w:pPr>
              <w:spacing w:before="60" w:line="192" w:lineRule="auto"/>
              <w:ind w:left="245"/>
              <w:rPr>
                <w:rFonts w:ascii="Times New Roman" w:hAnsi="Times New Roman" w:eastAsia="Times New Roman" w:cs="Times New Roman"/>
                <w:color w:val="auto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auto"/>
                <w:highlight w:val="none"/>
              </w:rPr>
              <w:t>4</w:t>
            </w:r>
          </w:p>
        </w:tc>
        <w:tc>
          <w:tcPr>
            <w:tcW w:w="1225" w:type="dxa"/>
            <w:vMerge w:val="continue"/>
            <w:tcBorders>
              <w:top w:val="nil"/>
              <w:bottom w:val="single" w:color="000000" w:sz="2" w:space="0"/>
            </w:tcBorders>
          </w:tcPr>
          <w:p>
            <w:pPr>
              <w:rPr>
                <w:color w:val="auto"/>
                <w:highlight w:val="none"/>
              </w:rPr>
            </w:pPr>
          </w:p>
        </w:tc>
        <w:tc>
          <w:tcPr>
            <w:tcW w:w="105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line="290" w:lineRule="auto"/>
              <w:rPr>
                <w:color w:val="auto"/>
                <w:highlight w:val="none"/>
              </w:rPr>
            </w:pPr>
          </w:p>
          <w:p>
            <w:pPr>
              <w:spacing w:line="290" w:lineRule="auto"/>
              <w:rPr>
                <w:color w:val="auto"/>
                <w:highlight w:val="none"/>
              </w:rPr>
            </w:pPr>
          </w:p>
          <w:p>
            <w:pPr>
              <w:spacing w:before="61" w:line="192" w:lineRule="auto"/>
              <w:ind w:left="434"/>
              <w:rPr>
                <w:rFonts w:ascii="Times New Roman" w:hAnsi="Times New Roman" w:eastAsia="Times New Roman" w:cs="Times New Roman"/>
                <w:color w:val="auto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-4"/>
                <w:highlight w:val="none"/>
              </w:rPr>
              <w:t>10</w:t>
            </w:r>
          </w:p>
        </w:tc>
        <w:tc>
          <w:tcPr>
            <w:tcW w:w="470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line="284" w:lineRule="auto"/>
              <w:rPr>
                <w:color w:val="auto"/>
                <w:highlight w:val="none"/>
              </w:rPr>
            </w:pPr>
          </w:p>
          <w:p>
            <w:pPr>
              <w:spacing w:before="68" w:line="244" w:lineRule="auto"/>
              <w:ind w:left="33" w:right="20" w:firstLine="5"/>
              <w:rPr>
                <w:rFonts w:ascii="宋体" w:hAnsi="宋体" w:eastAsia="宋体" w:cs="宋体"/>
                <w:color w:val="auto"/>
                <w:highlight w:val="none"/>
              </w:rPr>
            </w:pPr>
            <w:r>
              <w:rPr>
                <w:rFonts w:ascii="宋体" w:hAnsi="宋体" w:eastAsia="宋体" w:cs="宋体"/>
                <w:color w:val="auto"/>
                <w:spacing w:val="30"/>
                <w:highlight w:val="none"/>
              </w:rPr>
              <w:t>是</w:t>
            </w:r>
            <w:r>
              <w:rPr>
                <w:rFonts w:ascii="宋体" w:hAnsi="宋体" w:eastAsia="宋体" w:cs="宋体"/>
                <w:color w:val="auto"/>
                <w:spacing w:val="21"/>
                <w:highlight w:val="none"/>
              </w:rPr>
              <w:t>否因服务单位工作进度滞后影响项目正常推</w:t>
            </w:r>
            <w:r>
              <w:rPr>
                <w:rFonts w:ascii="宋体" w:hAnsi="宋体" w:eastAsia="宋体" w:cs="宋体"/>
                <w:color w:val="auto"/>
                <w:highlight w:val="none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pacing w:val="29"/>
                <w:highlight w:val="none"/>
              </w:rPr>
              <w:t>进</w:t>
            </w:r>
            <w:r>
              <w:rPr>
                <w:rFonts w:ascii="宋体" w:hAnsi="宋体" w:eastAsia="宋体" w:cs="宋体"/>
                <w:color w:val="auto"/>
                <w:spacing w:val="15"/>
                <w:highlight w:val="none"/>
              </w:rPr>
              <w:t>，</w:t>
            </w:r>
            <w:r>
              <w:rPr>
                <w:rFonts w:hint="eastAsia" w:ascii="宋体" w:hAnsi="宋体" w:eastAsia="宋体" w:cs="宋体"/>
                <w:color w:val="auto"/>
                <w:spacing w:val="15"/>
                <w:highlight w:val="none"/>
              </w:rPr>
              <w:t>每影响项目工作滞后一天扣1分</w:t>
            </w:r>
            <w:r>
              <w:rPr>
                <w:rFonts w:ascii="宋体" w:hAnsi="宋体" w:eastAsia="宋体" w:cs="宋体"/>
                <w:color w:val="auto"/>
                <w:spacing w:val="12"/>
                <w:highlight w:val="none"/>
              </w:rPr>
              <w:t>。</w:t>
            </w:r>
          </w:p>
        </w:tc>
        <w:tc>
          <w:tcPr>
            <w:tcW w:w="78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rPr>
                <w:color w:val="auto"/>
                <w:highlight w:val="none"/>
              </w:rPr>
            </w:pPr>
          </w:p>
        </w:tc>
        <w:tc>
          <w:tcPr>
            <w:tcW w:w="166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rPr>
                <w:color w:val="auto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5" w:hRule="atLeast"/>
        </w:trPr>
        <w:tc>
          <w:tcPr>
            <w:tcW w:w="60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line="413" w:lineRule="auto"/>
              <w:rPr>
                <w:color w:val="auto"/>
                <w:highlight w:val="none"/>
              </w:rPr>
            </w:pPr>
          </w:p>
          <w:p>
            <w:pPr>
              <w:spacing w:before="60" w:line="189" w:lineRule="auto"/>
              <w:ind w:left="252"/>
              <w:rPr>
                <w:rFonts w:ascii="Times New Roman" w:hAnsi="Times New Roman" w:eastAsia="Times New Roman" w:cs="Times New Roman"/>
                <w:color w:val="auto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auto"/>
                <w:highlight w:val="none"/>
              </w:rPr>
              <w:t>5</w:t>
            </w:r>
          </w:p>
        </w:tc>
        <w:tc>
          <w:tcPr>
            <w:tcW w:w="1225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line="241" w:lineRule="auto"/>
              <w:rPr>
                <w:color w:val="auto"/>
                <w:highlight w:val="none"/>
              </w:rPr>
            </w:pPr>
          </w:p>
          <w:p>
            <w:pPr>
              <w:spacing w:line="241" w:lineRule="auto"/>
              <w:rPr>
                <w:color w:val="auto"/>
                <w:highlight w:val="none"/>
              </w:rPr>
            </w:pPr>
          </w:p>
          <w:p>
            <w:pPr>
              <w:spacing w:line="241" w:lineRule="auto"/>
              <w:rPr>
                <w:color w:val="auto"/>
                <w:highlight w:val="none"/>
              </w:rPr>
            </w:pPr>
          </w:p>
          <w:p>
            <w:pPr>
              <w:spacing w:line="241" w:lineRule="auto"/>
              <w:rPr>
                <w:color w:val="auto"/>
                <w:highlight w:val="none"/>
              </w:rPr>
            </w:pPr>
          </w:p>
          <w:p>
            <w:pPr>
              <w:spacing w:line="242" w:lineRule="auto"/>
              <w:rPr>
                <w:color w:val="auto"/>
                <w:highlight w:val="none"/>
              </w:rPr>
            </w:pPr>
          </w:p>
          <w:p>
            <w:pPr>
              <w:spacing w:line="242" w:lineRule="auto"/>
              <w:rPr>
                <w:color w:val="auto"/>
                <w:highlight w:val="none"/>
              </w:rPr>
            </w:pPr>
          </w:p>
          <w:p>
            <w:pPr>
              <w:spacing w:line="242" w:lineRule="auto"/>
              <w:rPr>
                <w:color w:val="auto"/>
                <w:highlight w:val="none"/>
              </w:rPr>
            </w:pPr>
          </w:p>
          <w:p>
            <w:pPr>
              <w:spacing w:before="69" w:line="228" w:lineRule="auto"/>
              <w:ind w:left="175"/>
              <w:rPr>
                <w:rFonts w:ascii="宋体" w:hAnsi="宋体" w:eastAsia="宋体" w:cs="宋体"/>
                <w:color w:val="auto"/>
                <w:highlight w:val="none"/>
              </w:rPr>
            </w:pPr>
            <w:r>
              <w:rPr>
                <w:rFonts w:ascii="宋体" w:hAnsi="宋体" w:eastAsia="宋体" w:cs="宋体"/>
                <w:color w:val="auto"/>
                <w:spacing w:val="6"/>
                <w:highlight w:val="none"/>
              </w:rPr>
              <w:t>成果质</w:t>
            </w:r>
            <w:r>
              <w:rPr>
                <w:rFonts w:ascii="宋体" w:hAnsi="宋体" w:eastAsia="宋体" w:cs="宋体"/>
                <w:color w:val="auto"/>
                <w:spacing w:val="5"/>
                <w:highlight w:val="none"/>
              </w:rPr>
              <w:t>量</w:t>
            </w:r>
          </w:p>
        </w:tc>
        <w:tc>
          <w:tcPr>
            <w:tcW w:w="105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line="412" w:lineRule="auto"/>
              <w:rPr>
                <w:color w:val="auto"/>
                <w:highlight w:val="none"/>
              </w:rPr>
            </w:pPr>
          </w:p>
          <w:p>
            <w:pPr>
              <w:spacing w:before="60" w:line="192" w:lineRule="auto"/>
              <w:ind w:left="434"/>
              <w:rPr>
                <w:rFonts w:ascii="Times New Roman" w:hAnsi="Times New Roman" w:eastAsia="Times New Roman" w:cs="Times New Roman"/>
                <w:color w:val="auto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-4"/>
                <w:highlight w:val="none"/>
              </w:rPr>
              <w:t>15</w:t>
            </w:r>
          </w:p>
        </w:tc>
        <w:tc>
          <w:tcPr>
            <w:tcW w:w="470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84" w:line="244" w:lineRule="auto"/>
              <w:ind w:left="36" w:right="20" w:firstLine="1"/>
              <w:rPr>
                <w:rFonts w:ascii="宋体" w:hAnsi="宋体" w:eastAsia="宋体" w:cs="宋体"/>
                <w:color w:val="auto"/>
                <w:highlight w:val="none"/>
              </w:rPr>
            </w:pPr>
            <w:r>
              <w:rPr>
                <w:rFonts w:ascii="宋体" w:hAnsi="宋体" w:eastAsia="宋体" w:cs="宋体"/>
                <w:color w:val="auto"/>
                <w:spacing w:val="30"/>
                <w:highlight w:val="none"/>
              </w:rPr>
              <w:t>设</w:t>
            </w:r>
            <w:r>
              <w:rPr>
                <w:rFonts w:ascii="宋体" w:hAnsi="宋体" w:eastAsia="宋体" w:cs="宋体"/>
                <w:color w:val="auto"/>
                <w:spacing w:val="21"/>
                <w:highlight w:val="none"/>
              </w:rPr>
              <w:t>计图纸深度是否满足现场施工的要求，</w:t>
            </w:r>
            <w:r>
              <w:rPr>
                <w:rFonts w:hint="eastAsia" w:ascii="宋体" w:hAnsi="宋体" w:eastAsia="宋体" w:cs="宋体"/>
                <w:color w:val="auto"/>
                <w:spacing w:val="15"/>
                <w:highlight w:val="none"/>
              </w:rPr>
              <w:t>每出现一处错误、内容不清晰或内容缺少的扣1分。</w:t>
            </w:r>
          </w:p>
        </w:tc>
        <w:tc>
          <w:tcPr>
            <w:tcW w:w="78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rPr>
                <w:color w:val="auto"/>
                <w:highlight w:val="none"/>
              </w:rPr>
            </w:pPr>
          </w:p>
        </w:tc>
        <w:tc>
          <w:tcPr>
            <w:tcW w:w="166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rPr>
                <w:color w:val="auto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9" w:hRule="atLeast"/>
        </w:trPr>
        <w:tc>
          <w:tcPr>
            <w:tcW w:w="60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line="294" w:lineRule="auto"/>
              <w:rPr>
                <w:color w:val="auto"/>
                <w:highlight w:val="none"/>
              </w:rPr>
            </w:pPr>
          </w:p>
          <w:p>
            <w:pPr>
              <w:spacing w:line="295" w:lineRule="auto"/>
              <w:rPr>
                <w:color w:val="auto"/>
                <w:highlight w:val="none"/>
              </w:rPr>
            </w:pPr>
          </w:p>
          <w:p>
            <w:pPr>
              <w:spacing w:before="61" w:line="192" w:lineRule="auto"/>
              <w:ind w:left="251"/>
              <w:rPr>
                <w:rFonts w:ascii="Times New Roman" w:hAnsi="Times New Roman" w:eastAsia="Times New Roman" w:cs="Times New Roman"/>
                <w:color w:val="auto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auto"/>
                <w:highlight w:val="none"/>
              </w:rPr>
              <w:t>6</w:t>
            </w:r>
          </w:p>
        </w:tc>
        <w:tc>
          <w:tcPr>
            <w:tcW w:w="1225" w:type="dxa"/>
            <w:vMerge w:val="continue"/>
            <w:tcBorders>
              <w:top w:val="nil"/>
              <w:bottom w:val="nil"/>
            </w:tcBorders>
          </w:tcPr>
          <w:p>
            <w:pPr>
              <w:rPr>
                <w:color w:val="auto"/>
                <w:highlight w:val="none"/>
              </w:rPr>
            </w:pPr>
          </w:p>
        </w:tc>
        <w:tc>
          <w:tcPr>
            <w:tcW w:w="105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line="296" w:lineRule="auto"/>
              <w:rPr>
                <w:rFonts w:eastAsiaTheme="minorEastAsia"/>
                <w:color w:val="auto"/>
                <w:highlight w:val="none"/>
              </w:rPr>
            </w:pPr>
          </w:p>
          <w:p>
            <w:pPr>
              <w:spacing w:line="296" w:lineRule="auto"/>
              <w:rPr>
                <w:rFonts w:eastAsiaTheme="minorEastAsia"/>
                <w:color w:val="auto"/>
                <w:highlight w:val="none"/>
              </w:rPr>
            </w:pPr>
          </w:p>
          <w:p>
            <w:pPr>
              <w:spacing w:before="60" w:line="192" w:lineRule="auto"/>
              <w:ind w:left="434"/>
              <w:rPr>
                <w:rFonts w:ascii="Times New Roman" w:hAnsi="Times New Roman" w:eastAsia="Times New Roman" w:cs="Times New Roman"/>
                <w:color w:val="auto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-4"/>
                <w:highlight w:val="none"/>
              </w:rPr>
              <w:t>15</w:t>
            </w:r>
          </w:p>
        </w:tc>
        <w:tc>
          <w:tcPr>
            <w:tcW w:w="470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tabs>
                <w:tab w:val="left" w:pos="150"/>
              </w:tabs>
              <w:spacing w:before="103" w:line="237" w:lineRule="auto"/>
              <w:ind w:left="35" w:right="20" w:firstLine="2"/>
              <w:rPr>
                <w:rFonts w:ascii="宋体" w:hAnsi="宋体" w:eastAsia="宋体" w:cs="宋体"/>
                <w:color w:val="auto"/>
                <w:highlight w:val="none"/>
              </w:rPr>
            </w:pPr>
            <w:r>
              <w:rPr>
                <w:rFonts w:ascii="宋体" w:hAnsi="宋体" w:eastAsia="宋体" w:cs="宋体"/>
                <w:color w:val="auto"/>
                <w:spacing w:val="19"/>
                <w:highlight w:val="none"/>
              </w:rPr>
              <w:t>是</w:t>
            </w:r>
            <w:r>
              <w:rPr>
                <w:rFonts w:ascii="宋体" w:hAnsi="宋体" w:eastAsia="宋体" w:cs="宋体"/>
                <w:color w:val="auto"/>
                <w:spacing w:val="10"/>
                <w:highlight w:val="none"/>
              </w:rPr>
              <w:t>否因勘察设计原因造成设计变更，并导致工程费用</w:t>
            </w:r>
            <w:r>
              <w:rPr>
                <w:rFonts w:ascii="宋体" w:hAnsi="宋体" w:eastAsia="宋体" w:cs="宋体"/>
                <w:color w:val="auto"/>
                <w:spacing w:val="24"/>
                <w:highlight w:val="none"/>
              </w:rPr>
              <w:t>增</w:t>
            </w:r>
            <w:r>
              <w:rPr>
                <w:rFonts w:ascii="宋体" w:hAnsi="宋体" w:eastAsia="宋体" w:cs="宋体"/>
                <w:color w:val="auto"/>
                <w:spacing w:val="17"/>
                <w:highlight w:val="none"/>
              </w:rPr>
              <w:t>加及影响工程总工期</w:t>
            </w:r>
            <w:r>
              <w:rPr>
                <w:rFonts w:hint="eastAsia" w:ascii="宋体" w:hAnsi="宋体" w:eastAsia="宋体" w:cs="宋体"/>
                <w:color w:val="auto"/>
                <w:spacing w:val="17"/>
                <w:highlight w:val="none"/>
              </w:rPr>
              <w:t>。导致总工期增加的，每增加工期一天扣1分；每</w:t>
            </w: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单项变更导致费用增加≥5</w:t>
            </w:r>
            <w:r>
              <w:rPr>
                <w:rFonts w:ascii="宋体" w:hAnsi="宋体" w:eastAsia="宋体" w:cs="宋体"/>
                <w:color w:val="auto"/>
                <w:highlight w:val="none"/>
              </w:rPr>
              <w:t>0</w:t>
            </w: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万的扣5分，每单项变更导致费用增加＜5</w:t>
            </w:r>
            <w:r>
              <w:rPr>
                <w:rFonts w:ascii="宋体" w:hAnsi="宋体" w:eastAsia="宋体" w:cs="宋体"/>
                <w:color w:val="auto"/>
                <w:highlight w:val="none"/>
              </w:rPr>
              <w:t>0</w:t>
            </w: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万的扣</w:t>
            </w:r>
            <w:r>
              <w:rPr>
                <w:rFonts w:ascii="宋体" w:hAnsi="宋体" w:eastAsia="宋体" w:cs="宋体"/>
                <w:color w:val="auto"/>
                <w:highlight w:val="none"/>
              </w:rPr>
              <w:t>2</w:t>
            </w: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分。</w:t>
            </w:r>
          </w:p>
        </w:tc>
        <w:tc>
          <w:tcPr>
            <w:tcW w:w="78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rPr>
                <w:color w:val="auto"/>
                <w:highlight w:val="none"/>
              </w:rPr>
            </w:pPr>
          </w:p>
        </w:tc>
        <w:tc>
          <w:tcPr>
            <w:tcW w:w="166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rPr>
                <w:color w:val="auto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3" w:hRule="atLeast"/>
        </w:trPr>
        <w:tc>
          <w:tcPr>
            <w:tcW w:w="60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line="464" w:lineRule="auto"/>
              <w:rPr>
                <w:color w:val="auto"/>
                <w:highlight w:val="none"/>
              </w:rPr>
            </w:pPr>
          </w:p>
          <w:p>
            <w:pPr>
              <w:spacing w:before="61" w:line="189" w:lineRule="auto"/>
              <w:ind w:left="249"/>
              <w:rPr>
                <w:rFonts w:ascii="Times New Roman" w:hAnsi="Times New Roman" w:eastAsia="Times New Roman" w:cs="Times New Roman"/>
                <w:color w:val="auto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auto"/>
                <w:highlight w:val="none"/>
              </w:rPr>
              <w:t>7</w:t>
            </w:r>
          </w:p>
        </w:tc>
        <w:tc>
          <w:tcPr>
            <w:tcW w:w="1225" w:type="dxa"/>
            <w:vMerge w:val="continue"/>
            <w:tcBorders>
              <w:top w:val="nil"/>
              <w:bottom w:val="single" w:color="000000" w:sz="2" w:space="0"/>
            </w:tcBorders>
          </w:tcPr>
          <w:p>
            <w:pPr>
              <w:rPr>
                <w:color w:val="auto"/>
                <w:highlight w:val="none"/>
              </w:rPr>
            </w:pPr>
          </w:p>
        </w:tc>
        <w:tc>
          <w:tcPr>
            <w:tcW w:w="105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line="464" w:lineRule="auto"/>
              <w:rPr>
                <w:color w:val="auto"/>
                <w:highlight w:val="none"/>
              </w:rPr>
            </w:pPr>
          </w:p>
          <w:p>
            <w:pPr>
              <w:spacing w:before="60" w:line="192" w:lineRule="auto"/>
              <w:ind w:left="434"/>
              <w:rPr>
                <w:rFonts w:ascii="Times New Roman" w:hAnsi="Times New Roman" w:eastAsia="Times New Roman" w:cs="Times New Roman"/>
                <w:color w:val="auto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-4"/>
                <w:highlight w:val="none"/>
              </w:rPr>
              <w:t>15</w:t>
            </w:r>
          </w:p>
        </w:tc>
        <w:tc>
          <w:tcPr>
            <w:tcW w:w="470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36" w:line="244" w:lineRule="auto"/>
              <w:ind w:left="36" w:right="20" w:firstLine="1"/>
              <w:rPr>
                <w:rFonts w:ascii="宋体" w:hAnsi="宋体" w:eastAsia="宋体" w:cs="宋体"/>
                <w:color w:val="auto"/>
                <w:highlight w:val="none"/>
              </w:rPr>
            </w:pPr>
            <w:r>
              <w:rPr>
                <w:rFonts w:ascii="宋体" w:hAnsi="宋体" w:eastAsia="宋体" w:cs="宋体"/>
                <w:color w:val="auto"/>
                <w:spacing w:val="19"/>
                <w:highlight w:val="none"/>
              </w:rPr>
              <w:t>设</w:t>
            </w:r>
            <w:r>
              <w:rPr>
                <w:rFonts w:ascii="宋体" w:hAnsi="宋体" w:eastAsia="宋体" w:cs="宋体"/>
                <w:color w:val="auto"/>
                <w:spacing w:val="10"/>
                <w:highlight w:val="none"/>
              </w:rPr>
              <w:t>计变更方案是否合理可行，</w:t>
            </w:r>
            <w:r>
              <w:rPr>
                <w:rFonts w:hint="eastAsia" w:ascii="宋体" w:hAnsi="宋体" w:eastAsia="宋体" w:cs="宋体"/>
                <w:color w:val="auto"/>
                <w:spacing w:val="10"/>
                <w:highlight w:val="none"/>
              </w:rPr>
              <w:t>是否进行方案比选分析，技术是否可行，经济是否合理，</w:t>
            </w:r>
            <w:r>
              <w:rPr>
                <w:rFonts w:ascii="宋体" w:hAnsi="宋体" w:eastAsia="宋体" w:cs="宋体"/>
                <w:color w:val="auto"/>
                <w:spacing w:val="10"/>
                <w:highlight w:val="none"/>
              </w:rPr>
              <w:t>是否根据现场施工</w:t>
            </w:r>
            <w:r>
              <w:rPr>
                <w:rFonts w:ascii="宋体" w:hAnsi="宋体" w:eastAsia="宋体" w:cs="宋体"/>
                <w:color w:val="auto"/>
                <w:spacing w:val="8"/>
                <w:highlight w:val="none"/>
              </w:rPr>
              <w:t>条件推荐最优方案，</w:t>
            </w: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每出现一次不是最优方案扣2分。</w:t>
            </w:r>
          </w:p>
        </w:tc>
        <w:tc>
          <w:tcPr>
            <w:tcW w:w="78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rPr>
                <w:color w:val="auto"/>
                <w:highlight w:val="none"/>
              </w:rPr>
            </w:pPr>
          </w:p>
        </w:tc>
        <w:tc>
          <w:tcPr>
            <w:tcW w:w="166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rPr>
                <w:color w:val="auto"/>
                <w:highlight w:val="none"/>
              </w:rPr>
            </w:pPr>
          </w:p>
        </w:tc>
      </w:tr>
    </w:tbl>
    <w:p>
      <w:pPr>
        <w:rPr>
          <w:color w:val="auto"/>
          <w:highlight w:val="none"/>
        </w:rPr>
      </w:pPr>
    </w:p>
    <w:p>
      <w:pPr>
        <w:rPr>
          <w:color w:val="auto"/>
          <w:highlight w:val="none"/>
        </w:rPr>
        <w:sectPr>
          <w:pgSz w:w="12240" w:h="15840"/>
          <w:pgMar w:top="1346" w:right="1101" w:bottom="0" w:left="1084" w:header="0" w:footer="0" w:gutter="0"/>
          <w:cols w:space="720" w:num="1"/>
        </w:sectPr>
      </w:pPr>
    </w:p>
    <w:p>
      <w:pPr>
        <w:spacing w:line="69" w:lineRule="exact"/>
        <w:rPr>
          <w:color w:val="auto"/>
          <w:highlight w:val="none"/>
        </w:rPr>
      </w:pPr>
    </w:p>
    <w:tbl>
      <w:tblPr>
        <w:tblStyle w:val="9"/>
        <w:tblW w:w="10038" w:type="dxa"/>
        <w:tblInd w:w="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00"/>
        <w:gridCol w:w="1225"/>
        <w:gridCol w:w="1059"/>
        <w:gridCol w:w="4704"/>
        <w:gridCol w:w="781"/>
        <w:gridCol w:w="1669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06" w:hRule="atLeast"/>
        </w:trPr>
        <w:tc>
          <w:tcPr>
            <w:tcW w:w="60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line="284" w:lineRule="auto"/>
              <w:rPr>
                <w:color w:val="auto"/>
                <w:highlight w:val="none"/>
              </w:rPr>
            </w:pPr>
          </w:p>
          <w:p>
            <w:pPr>
              <w:spacing w:line="284" w:lineRule="auto"/>
              <w:rPr>
                <w:color w:val="auto"/>
                <w:highlight w:val="none"/>
              </w:rPr>
            </w:pPr>
          </w:p>
          <w:p>
            <w:pPr>
              <w:spacing w:before="60" w:line="192" w:lineRule="auto"/>
              <w:ind w:left="255"/>
              <w:rPr>
                <w:rFonts w:ascii="Times New Roman" w:hAnsi="Times New Roman" w:eastAsia="Times New Roman" w:cs="Times New Roman"/>
                <w:color w:val="auto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auto"/>
                <w:highlight w:val="none"/>
              </w:rPr>
              <w:t>8</w:t>
            </w:r>
          </w:p>
        </w:tc>
        <w:tc>
          <w:tcPr>
            <w:tcW w:w="1225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line="254" w:lineRule="auto"/>
              <w:rPr>
                <w:color w:val="auto"/>
                <w:highlight w:val="none"/>
              </w:rPr>
            </w:pPr>
          </w:p>
          <w:p>
            <w:pPr>
              <w:spacing w:line="254" w:lineRule="auto"/>
              <w:rPr>
                <w:color w:val="auto"/>
                <w:highlight w:val="none"/>
              </w:rPr>
            </w:pPr>
          </w:p>
          <w:p>
            <w:pPr>
              <w:spacing w:line="254" w:lineRule="auto"/>
              <w:rPr>
                <w:color w:val="auto"/>
                <w:highlight w:val="none"/>
              </w:rPr>
            </w:pPr>
          </w:p>
          <w:p>
            <w:pPr>
              <w:spacing w:line="254" w:lineRule="auto"/>
              <w:rPr>
                <w:color w:val="auto"/>
                <w:highlight w:val="none"/>
              </w:rPr>
            </w:pPr>
          </w:p>
          <w:p>
            <w:pPr>
              <w:spacing w:line="254" w:lineRule="auto"/>
              <w:rPr>
                <w:color w:val="auto"/>
                <w:highlight w:val="none"/>
              </w:rPr>
            </w:pPr>
          </w:p>
          <w:p>
            <w:pPr>
              <w:spacing w:line="255" w:lineRule="auto"/>
              <w:rPr>
                <w:color w:val="auto"/>
                <w:highlight w:val="none"/>
              </w:rPr>
            </w:pPr>
          </w:p>
          <w:p>
            <w:pPr>
              <w:spacing w:line="255" w:lineRule="auto"/>
              <w:rPr>
                <w:color w:val="auto"/>
                <w:highlight w:val="none"/>
              </w:rPr>
            </w:pPr>
          </w:p>
          <w:p>
            <w:pPr>
              <w:spacing w:before="68" w:line="227" w:lineRule="auto"/>
              <w:ind w:left="173"/>
              <w:rPr>
                <w:rFonts w:ascii="宋体" w:hAnsi="宋体" w:eastAsia="宋体" w:cs="宋体"/>
                <w:color w:val="auto"/>
                <w:highlight w:val="none"/>
              </w:rPr>
            </w:pPr>
            <w:r>
              <w:rPr>
                <w:rFonts w:ascii="宋体" w:hAnsi="宋体" w:eastAsia="宋体" w:cs="宋体"/>
                <w:color w:val="auto"/>
                <w:spacing w:val="7"/>
                <w:highlight w:val="none"/>
              </w:rPr>
              <w:t>服</w:t>
            </w:r>
            <w:r>
              <w:rPr>
                <w:rFonts w:ascii="宋体" w:hAnsi="宋体" w:eastAsia="宋体" w:cs="宋体"/>
                <w:color w:val="auto"/>
                <w:spacing w:val="6"/>
                <w:highlight w:val="none"/>
              </w:rPr>
              <w:t>务配合</w:t>
            </w:r>
          </w:p>
        </w:tc>
        <w:tc>
          <w:tcPr>
            <w:tcW w:w="105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line="284" w:lineRule="auto"/>
              <w:rPr>
                <w:color w:val="auto"/>
                <w:highlight w:val="none"/>
              </w:rPr>
            </w:pPr>
          </w:p>
          <w:p>
            <w:pPr>
              <w:spacing w:line="284" w:lineRule="auto"/>
              <w:rPr>
                <w:color w:val="auto"/>
                <w:highlight w:val="none"/>
              </w:rPr>
            </w:pPr>
          </w:p>
          <w:p>
            <w:pPr>
              <w:spacing w:before="60" w:line="192" w:lineRule="auto"/>
              <w:ind w:left="441"/>
              <w:rPr>
                <w:rFonts w:ascii="Times New Roman" w:hAnsi="Times New Roman" w:eastAsia="Times New Roman" w:cs="Times New Roman"/>
                <w:color w:val="auto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-4"/>
                <w:highlight w:val="none"/>
              </w:rPr>
              <w:t>10</w:t>
            </w:r>
          </w:p>
        </w:tc>
        <w:tc>
          <w:tcPr>
            <w:tcW w:w="470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80" w:line="233" w:lineRule="auto"/>
              <w:ind w:left="34" w:right="20"/>
              <w:rPr>
                <w:rFonts w:ascii="宋体" w:hAnsi="宋体" w:eastAsia="宋体" w:cs="宋体"/>
                <w:color w:val="auto"/>
                <w:highlight w:val="none"/>
              </w:rPr>
            </w:pPr>
            <w:r>
              <w:rPr>
                <w:rFonts w:ascii="宋体" w:hAnsi="宋体" w:eastAsia="宋体" w:cs="宋体"/>
                <w:color w:val="auto"/>
                <w:spacing w:val="20"/>
                <w:highlight w:val="none"/>
              </w:rPr>
              <w:t>服</w:t>
            </w:r>
            <w:r>
              <w:rPr>
                <w:rFonts w:ascii="宋体" w:hAnsi="宋体" w:eastAsia="宋体" w:cs="宋体"/>
                <w:color w:val="auto"/>
                <w:spacing w:val="13"/>
                <w:highlight w:val="none"/>
              </w:rPr>
              <w:t>务</w:t>
            </w:r>
            <w:r>
              <w:rPr>
                <w:rFonts w:ascii="宋体" w:hAnsi="宋体" w:eastAsia="宋体" w:cs="宋体"/>
                <w:color w:val="auto"/>
                <w:spacing w:val="10"/>
                <w:highlight w:val="none"/>
              </w:rPr>
              <w:t>单位是否积极响应业主需求及时委派设计人</w:t>
            </w:r>
            <w:r>
              <w:rPr>
                <w:rFonts w:ascii="宋体" w:hAnsi="宋体" w:eastAsia="宋体" w:cs="宋体"/>
                <w:color w:val="auto"/>
                <w:highlight w:val="none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pacing w:val="34"/>
                <w:highlight w:val="none"/>
              </w:rPr>
              <w:t>员</w:t>
            </w:r>
            <w:r>
              <w:rPr>
                <w:rFonts w:ascii="宋体" w:hAnsi="宋体" w:eastAsia="宋体" w:cs="宋体"/>
                <w:color w:val="auto"/>
                <w:spacing w:val="21"/>
                <w:highlight w:val="none"/>
              </w:rPr>
              <w:t>解决现场问题，并按照业主要求开展设计</w:t>
            </w:r>
            <w:r>
              <w:rPr>
                <w:rFonts w:hint="eastAsia" w:ascii="宋体" w:hAnsi="宋体" w:eastAsia="宋体" w:cs="宋体"/>
                <w:color w:val="auto"/>
                <w:spacing w:val="21"/>
                <w:highlight w:val="none"/>
              </w:rPr>
              <w:t>代表驻</w:t>
            </w:r>
            <w:r>
              <w:rPr>
                <w:rFonts w:ascii="宋体" w:hAnsi="宋体" w:eastAsia="宋体" w:cs="宋体"/>
                <w:color w:val="auto"/>
                <w:spacing w:val="28"/>
                <w:highlight w:val="none"/>
              </w:rPr>
              <w:t>场</w:t>
            </w:r>
            <w:r>
              <w:rPr>
                <w:rFonts w:ascii="宋体" w:hAnsi="宋体" w:eastAsia="宋体" w:cs="宋体"/>
                <w:color w:val="auto"/>
                <w:spacing w:val="15"/>
                <w:highlight w:val="none"/>
              </w:rPr>
              <w:t>，</w:t>
            </w:r>
            <w:r>
              <w:rPr>
                <w:rFonts w:hint="eastAsia" w:ascii="宋体" w:hAnsi="宋体" w:eastAsia="宋体" w:cs="宋体"/>
                <w:color w:val="auto"/>
                <w:spacing w:val="15"/>
                <w:highlight w:val="none"/>
              </w:rPr>
              <w:t>每次出现</w:t>
            </w:r>
            <w:r>
              <w:rPr>
                <w:rFonts w:hint="eastAsia" w:ascii="宋体" w:hAnsi="宋体" w:eastAsia="宋体" w:cs="宋体"/>
                <w:color w:val="auto"/>
                <w:spacing w:val="20"/>
                <w:sz w:val="20"/>
                <w:szCs w:val="20"/>
                <w:highlight w:val="none"/>
              </w:rPr>
              <w:t>任何一项不满足的，每项</w:t>
            </w:r>
            <w:r>
              <w:rPr>
                <w:rFonts w:ascii="宋体" w:hAnsi="宋体" w:eastAsia="宋体" w:cs="宋体"/>
                <w:color w:val="auto"/>
                <w:spacing w:val="20"/>
                <w:sz w:val="20"/>
                <w:szCs w:val="20"/>
                <w:highlight w:val="none"/>
              </w:rPr>
              <w:t>扣</w:t>
            </w:r>
            <w:r>
              <w:rPr>
                <w:rFonts w:hint="eastAsia" w:ascii="宋体" w:hAnsi="宋体" w:eastAsia="宋体" w:cs="宋体"/>
                <w:color w:val="auto"/>
                <w:spacing w:val="12"/>
                <w:sz w:val="20"/>
                <w:szCs w:val="20"/>
                <w:highlight w:val="none"/>
                <w14:textOutline w14:w="3175" w14:cap="flat" w14:cmpd="sng" w14:algn="ctr">
                  <w14:solidFill>
                    <w14:srgbClr w14:val="FF0000"/>
                  </w14:solidFill>
                  <w14:prstDash w14:val="solid"/>
                  <w14:miter w14:val="0"/>
                </w14:textOutline>
              </w:rPr>
              <w:t>1</w:t>
            </w:r>
            <w:r>
              <w:rPr>
                <w:rFonts w:ascii="宋体" w:hAnsi="宋体" w:eastAsia="宋体" w:cs="宋体"/>
                <w:color w:val="auto"/>
                <w:spacing w:val="12"/>
                <w:sz w:val="20"/>
                <w:szCs w:val="20"/>
                <w:highlight w:val="none"/>
              </w:rPr>
              <w:t>分</w:t>
            </w:r>
            <w:r>
              <w:rPr>
                <w:rFonts w:ascii="宋体" w:hAnsi="宋体" w:eastAsia="宋体" w:cs="宋体"/>
                <w:color w:val="auto"/>
                <w:spacing w:val="12"/>
                <w:highlight w:val="none"/>
              </w:rPr>
              <w:t>。</w:t>
            </w:r>
          </w:p>
        </w:tc>
        <w:tc>
          <w:tcPr>
            <w:tcW w:w="78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rPr>
                <w:color w:val="auto"/>
                <w:highlight w:val="none"/>
              </w:rPr>
            </w:pPr>
          </w:p>
        </w:tc>
        <w:tc>
          <w:tcPr>
            <w:tcW w:w="166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rPr>
                <w:color w:val="auto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30" w:hRule="atLeast"/>
        </w:trPr>
        <w:tc>
          <w:tcPr>
            <w:tcW w:w="60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line="263" w:lineRule="auto"/>
              <w:rPr>
                <w:color w:val="auto"/>
                <w:highlight w:val="none"/>
              </w:rPr>
            </w:pPr>
          </w:p>
          <w:p>
            <w:pPr>
              <w:spacing w:line="264" w:lineRule="auto"/>
              <w:rPr>
                <w:color w:val="auto"/>
                <w:highlight w:val="none"/>
              </w:rPr>
            </w:pPr>
          </w:p>
          <w:p>
            <w:pPr>
              <w:spacing w:before="61" w:line="192" w:lineRule="auto"/>
              <w:ind w:left="250"/>
              <w:rPr>
                <w:rFonts w:ascii="Times New Roman" w:hAnsi="Times New Roman" w:eastAsia="Times New Roman" w:cs="Times New Roman"/>
                <w:color w:val="auto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auto"/>
                <w:highlight w:val="none"/>
              </w:rPr>
              <w:t>9</w:t>
            </w:r>
          </w:p>
        </w:tc>
        <w:tc>
          <w:tcPr>
            <w:tcW w:w="1225" w:type="dxa"/>
            <w:vMerge w:val="continue"/>
            <w:tcBorders>
              <w:top w:val="nil"/>
              <w:bottom w:val="nil"/>
            </w:tcBorders>
          </w:tcPr>
          <w:p>
            <w:pPr>
              <w:rPr>
                <w:color w:val="auto"/>
                <w:highlight w:val="none"/>
              </w:rPr>
            </w:pPr>
          </w:p>
        </w:tc>
        <w:tc>
          <w:tcPr>
            <w:tcW w:w="105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line="265" w:lineRule="auto"/>
              <w:rPr>
                <w:color w:val="auto"/>
                <w:highlight w:val="none"/>
              </w:rPr>
            </w:pPr>
          </w:p>
          <w:p>
            <w:pPr>
              <w:spacing w:line="265" w:lineRule="auto"/>
              <w:rPr>
                <w:color w:val="auto"/>
                <w:highlight w:val="none"/>
              </w:rPr>
            </w:pPr>
          </w:p>
          <w:p>
            <w:pPr>
              <w:spacing w:before="61" w:line="189" w:lineRule="auto"/>
              <w:ind w:left="481"/>
              <w:rPr>
                <w:rFonts w:ascii="Times New Roman" w:hAnsi="Times New Roman" w:eastAsia="Times New Roman" w:cs="Times New Roman"/>
                <w:color w:val="auto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auto"/>
                <w:highlight w:val="none"/>
              </w:rPr>
              <w:t>5</w:t>
            </w:r>
          </w:p>
        </w:tc>
        <w:tc>
          <w:tcPr>
            <w:tcW w:w="470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71" w:line="241" w:lineRule="auto"/>
              <w:ind w:left="35" w:right="20"/>
              <w:rPr>
                <w:rFonts w:ascii="宋体" w:hAnsi="宋体" w:eastAsia="宋体" w:cs="宋体"/>
                <w:color w:val="auto"/>
                <w:highlight w:val="none"/>
              </w:rPr>
            </w:pPr>
            <w:r>
              <w:rPr>
                <w:rFonts w:ascii="宋体" w:hAnsi="宋体" w:eastAsia="宋体" w:cs="宋体"/>
                <w:color w:val="auto"/>
                <w:spacing w:val="20"/>
                <w:highlight w:val="none"/>
              </w:rPr>
              <w:t>服</w:t>
            </w:r>
            <w:r>
              <w:rPr>
                <w:rFonts w:ascii="宋体" w:hAnsi="宋体" w:eastAsia="宋体" w:cs="宋体"/>
                <w:color w:val="auto"/>
                <w:spacing w:val="13"/>
                <w:highlight w:val="none"/>
              </w:rPr>
              <w:t>务</w:t>
            </w:r>
            <w:r>
              <w:rPr>
                <w:rFonts w:ascii="宋体" w:hAnsi="宋体" w:eastAsia="宋体" w:cs="宋体"/>
                <w:color w:val="auto"/>
                <w:spacing w:val="10"/>
                <w:highlight w:val="none"/>
              </w:rPr>
              <w:t>单位是否积极协助业主就设计方案与相关单</w:t>
            </w:r>
            <w:r>
              <w:rPr>
                <w:rFonts w:ascii="宋体" w:hAnsi="宋体" w:eastAsia="宋体" w:cs="宋体"/>
                <w:color w:val="auto"/>
                <w:highlight w:val="none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pacing w:val="18"/>
                <w:highlight w:val="none"/>
              </w:rPr>
              <w:t>位</w:t>
            </w:r>
            <w:r>
              <w:rPr>
                <w:rFonts w:ascii="宋体" w:hAnsi="宋体" w:eastAsia="宋体" w:cs="宋体"/>
                <w:color w:val="auto"/>
                <w:spacing w:val="14"/>
                <w:highlight w:val="none"/>
              </w:rPr>
              <w:t>进</w:t>
            </w:r>
            <w:r>
              <w:rPr>
                <w:rFonts w:ascii="宋体" w:hAnsi="宋体" w:eastAsia="宋体" w:cs="宋体"/>
                <w:color w:val="auto"/>
                <w:spacing w:val="9"/>
                <w:highlight w:val="none"/>
              </w:rPr>
              <w:t>行沟通协调，按时落实有关要求，</w:t>
            </w:r>
            <w:r>
              <w:rPr>
                <w:rFonts w:hint="eastAsia" w:ascii="宋体" w:hAnsi="宋体" w:eastAsia="宋体" w:cs="宋体"/>
                <w:color w:val="auto"/>
                <w:spacing w:val="15"/>
                <w:highlight w:val="none"/>
              </w:rPr>
              <w:t>每次出现</w:t>
            </w:r>
            <w:r>
              <w:rPr>
                <w:rFonts w:hint="eastAsia" w:ascii="宋体" w:hAnsi="宋体" w:eastAsia="宋体" w:cs="宋体"/>
                <w:color w:val="auto"/>
                <w:spacing w:val="20"/>
                <w:sz w:val="20"/>
                <w:szCs w:val="20"/>
                <w:highlight w:val="none"/>
              </w:rPr>
              <w:t>任何一项不满足的，每项</w:t>
            </w:r>
            <w:r>
              <w:rPr>
                <w:rFonts w:ascii="宋体" w:hAnsi="宋体" w:eastAsia="宋体" w:cs="宋体"/>
                <w:color w:val="auto"/>
                <w:spacing w:val="20"/>
                <w:sz w:val="20"/>
                <w:szCs w:val="20"/>
                <w:highlight w:val="none"/>
              </w:rPr>
              <w:t>扣</w:t>
            </w:r>
            <w:r>
              <w:rPr>
                <w:rFonts w:hint="eastAsia" w:ascii="宋体" w:hAnsi="宋体" w:eastAsia="宋体" w:cs="宋体"/>
                <w:color w:val="auto"/>
                <w:spacing w:val="12"/>
                <w:sz w:val="20"/>
                <w:szCs w:val="20"/>
                <w:highlight w:val="none"/>
                <w14:textOutline w14:w="3175" w14:cap="flat" w14:cmpd="sng" w14:algn="ctr">
                  <w14:solidFill>
                    <w14:srgbClr w14:val="FF0000"/>
                  </w14:solidFill>
                  <w14:prstDash w14:val="solid"/>
                  <w14:miter w14:val="0"/>
                </w14:textOutline>
              </w:rPr>
              <w:t>1</w:t>
            </w:r>
            <w:r>
              <w:rPr>
                <w:rFonts w:ascii="宋体" w:hAnsi="宋体" w:eastAsia="宋体" w:cs="宋体"/>
                <w:color w:val="auto"/>
                <w:spacing w:val="12"/>
                <w:sz w:val="20"/>
                <w:szCs w:val="20"/>
                <w:highlight w:val="none"/>
              </w:rPr>
              <w:t>分</w:t>
            </w:r>
            <w:r>
              <w:rPr>
                <w:rFonts w:ascii="宋体" w:hAnsi="宋体" w:eastAsia="宋体" w:cs="宋体"/>
                <w:color w:val="auto"/>
                <w:spacing w:val="12"/>
                <w:highlight w:val="none"/>
              </w:rPr>
              <w:t>。</w:t>
            </w:r>
          </w:p>
        </w:tc>
        <w:tc>
          <w:tcPr>
            <w:tcW w:w="78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rPr>
                <w:color w:val="auto"/>
                <w:highlight w:val="none"/>
              </w:rPr>
            </w:pPr>
          </w:p>
        </w:tc>
        <w:tc>
          <w:tcPr>
            <w:tcW w:w="166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rPr>
                <w:color w:val="auto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75" w:hRule="atLeast"/>
        </w:trPr>
        <w:tc>
          <w:tcPr>
            <w:tcW w:w="60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line="450" w:lineRule="auto"/>
              <w:rPr>
                <w:color w:val="auto"/>
                <w:highlight w:val="none"/>
              </w:rPr>
            </w:pPr>
          </w:p>
          <w:p>
            <w:pPr>
              <w:spacing w:before="61" w:line="192" w:lineRule="auto"/>
              <w:ind w:left="212"/>
              <w:rPr>
                <w:rFonts w:ascii="Times New Roman" w:hAnsi="Times New Roman" w:eastAsia="Times New Roman" w:cs="Times New Roman"/>
                <w:color w:val="auto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-4"/>
                <w:highlight w:val="none"/>
              </w:rPr>
              <w:t>10</w:t>
            </w:r>
          </w:p>
        </w:tc>
        <w:tc>
          <w:tcPr>
            <w:tcW w:w="1225" w:type="dxa"/>
            <w:vMerge w:val="continue"/>
            <w:tcBorders>
              <w:top w:val="nil"/>
              <w:bottom w:val="single" w:color="000000" w:sz="2" w:space="0"/>
            </w:tcBorders>
          </w:tcPr>
          <w:p>
            <w:pPr>
              <w:rPr>
                <w:color w:val="auto"/>
                <w:highlight w:val="none"/>
              </w:rPr>
            </w:pPr>
          </w:p>
        </w:tc>
        <w:tc>
          <w:tcPr>
            <w:tcW w:w="105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line="453" w:lineRule="auto"/>
              <w:rPr>
                <w:color w:val="auto"/>
                <w:highlight w:val="none"/>
              </w:rPr>
            </w:pPr>
          </w:p>
          <w:p>
            <w:pPr>
              <w:spacing w:before="61" w:line="189" w:lineRule="auto"/>
              <w:ind w:left="481"/>
              <w:rPr>
                <w:rFonts w:ascii="Times New Roman" w:hAnsi="Times New Roman" w:eastAsia="Times New Roman" w:cs="Times New Roman"/>
                <w:color w:val="auto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auto"/>
                <w:highlight w:val="none"/>
              </w:rPr>
              <w:t>5</w:t>
            </w:r>
          </w:p>
        </w:tc>
        <w:tc>
          <w:tcPr>
            <w:tcW w:w="470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96" w:line="237" w:lineRule="auto"/>
              <w:ind w:left="36" w:right="20" w:hanging="1"/>
              <w:rPr>
                <w:rFonts w:ascii="宋体" w:hAnsi="宋体" w:eastAsia="宋体" w:cs="宋体"/>
                <w:color w:val="auto"/>
                <w:highlight w:val="none"/>
              </w:rPr>
            </w:pPr>
            <w:r>
              <w:rPr>
                <w:rFonts w:ascii="宋体" w:hAnsi="宋体" w:eastAsia="宋体" w:cs="宋体"/>
                <w:color w:val="auto"/>
                <w:spacing w:val="20"/>
                <w:highlight w:val="none"/>
              </w:rPr>
              <w:t>服</w:t>
            </w:r>
            <w:r>
              <w:rPr>
                <w:rFonts w:ascii="宋体" w:hAnsi="宋体" w:eastAsia="宋体" w:cs="宋体"/>
                <w:color w:val="auto"/>
                <w:spacing w:val="13"/>
                <w:highlight w:val="none"/>
              </w:rPr>
              <w:t>务</w:t>
            </w:r>
            <w:r>
              <w:rPr>
                <w:rFonts w:ascii="宋体" w:hAnsi="宋体" w:eastAsia="宋体" w:cs="宋体"/>
                <w:color w:val="auto"/>
                <w:spacing w:val="10"/>
                <w:highlight w:val="none"/>
              </w:rPr>
              <w:t>单位是否积极配合业主组织召开相关工作会</w:t>
            </w:r>
            <w:r>
              <w:rPr>
                <w:rFonts w:ascii="宋体" w:hAnsi="宋体" w:eastAsia="宋体" w:cs="宋体"/>
                <w:color w:val="auto"/>
                <w:highlight w:val="none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pacing w:val="18"/>
                <w:highlight w:val="none"/>
              </w:rPr>
              <w:t>议</w:t>
            </w:r>
            <w:r>
              <w:rPr>
                <w:rFonts w:ascii="宋体" w:hAnsi="宋体" w:eastAsia="宋体" w:cs="宋体"/>
                <w:color w:val="auto"/>
                <w:spacing w:val="13"/>
                <w:highlight w:val="none"/>
              </w:rPr>
              <w:t>及</w:t>
            </w:r>
            <w:r>
              <w:rPr>
                <w:rFonts w:ascii="宋体" w:hAnsi="宋体" w:eastAsia="宋体" w:cs="宋体"/>
                <w:color w:val="auto"/>
                <w:spacing w:val="9"/>
                <w:highlight w:val="none"/>
              </w:rPr>
              <w:t>评审会议，并协助落实会务工作，</w:t>
            </w:r>
            <w:r>
              <w:rPr>
                <w:rFonts w:hint="eastAsia" w:ascii="宋体" w:hAnsi="宋体" w:eastAsia="宋体" w:cs="宋体"/>
                <w:color w:val="auto"/>
                <w:spacing w:val="15"/>
                <w:highlight w:val="none"/>
              </w:rPr>
              <w:t>每次出现</w:t>
            </w:r>
            <w:r>
              <w:rPr>
                <w:rFonts w:hint="eastAsia" w:ascii="宋体" w:hAnsi="宋体" w:eastAsia="宋体" w:cs="宋体"/>
                <w:color w:val="auto"/>
                <w:spacing w:val="20"/>
                <w:sz w:val="20"/>
                <w:szCs w:val="20"/>
                <w:highlight w:val="none"/>
              </w:rPr>
              <w:t>任何一项不满足的，每项</w:t>
            </w:r>
            <w:r>
              <w:rPr>
                <w:rFonts w:ascii="宋体" w:hAnsi="宋体" w:eastAsia="宋体" w:cs="宋体"/>
                <w:color w:val="auto"/>
                <w:spacing w:val="20"/>
                <w:sz w:val="20"/>
                <w:szCs w:val="20"/>
                <w:highlight w:val="none"/>
              </w:rPr>
              <w:t>扣</w:t>
            </w:r>
            <w:r>
              <w:rPr>
                <w:rFonts w:hint="eastAsia" w:ascii="宋体" w:hAnsi="宋体" w:eastAsia="宋体" w:cs="宋体"/>
                <w:color w:val="auto"/>
                <w:spacing w:val="12"/>
                <w:sz w:val="20"/>
                <w:szCs w:val="20"/>
                <w:highlight w:val="none"/>
                <w14:textOutline w14:w="3175" w14:cap="flat" w14:cmpd="sng" w14:algn="ctr">
                  <w14:solidFill>
                    <w14:srgbClr w14:val="FF0000"/>
                  </w14:solidFill>
                  <w14:prstDash w14:val="solid"/>
                  <w14:miter w14:val="0"/>
                </w14:textOutline>
              </w:rPr>
              <w:t>1</w:t>
            </w:r>
            <w:r>
              <w:rPr>
                <w:rFonts w:ascii="宋体" w:hAnsi="宋体" w:eastAsia="宋体" w:cs="宋体"/>
                <w:color w:val="auto"/>
                <w:spacing w:val="12"/>
                <w:sz w:val="20"/>
                <w:szCs w:val="20"/>
                <w:highlight w:val="none"/>
              </w:rPr>
              <w:t>分</w:t>
            </w:r>
            <w:r>
              <w:rPr>
                <w:rFonts w:ascii="宋体" w:hAnsi="宋体" w:eastAsia="宋体" w:cs="宋体"/>
                <w:color w:val="auto"/>
                <w:spacing w:val="12"/>
                <w:highlight w:val="none"/>
              </w:rPr>
              <w:t>。</w:t>
            </w:r>
          </w:p>
        </w:tc>
        <w:tc>
          <w:tcPr>
            <w:tcW w:w="78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rPr>
                <w:color w:val="auto"/>
                <w:highlight w:val="none"/>
              </w:rPr>
            </w:pPr>
          </w:p>
        </w:tc>
        <w:tc>
          <w:tcPr>
            <w:tcW w:w="166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rPr>
                <w:color w:val="auto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6" w:hRule="atLeast"/>
        </w:trPr>
        <w:tc>
          <w:tcPr>
            <w:tcW w:w="60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81" w:line="192" w:lineRule="auto"/>
              <w:ind w:left="212"/>
              <w:rPr>
                <w:rFonts w:ascii="Times New Roman" w:hAnsi="Times New Roman" w:eastAsia="Times New Roman" w:cs="Times New Roman"/>
                <w:color w:val="auto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-4"/>
                <w:highlight w:val="none"/>
              </w:rPr>
              <w:t>11</w:t>
            </w:r>
          </w:p>
        </w:tc>
        <w:tc>
          <w:tcPr>
            <w:tcW w:w="1225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60" w:line="228" w:lineRule="auto"/>
              <w:ind w:left="392"/>
              <w:rPr>
                <w:rFonts w:ascii="宋体" w:hAnsi="宋体" w:eastAsia="宋体" w:cs="宋体"/>
                <w:color w:val="auto"/>
                <w:highlight w:val="none"/>
              </w:rPr>
            </w:pPr>
            <w:r>
              <w:rPr>
                <w:rFonts w:ascii="宋体" w:hAnsi="宋体" w:eastAsia="宋体" w:cs="宋体"/>
                <w:color w:val="auto"/>
                <w:spacing w:val="4"/>
                <w:highlight w:val="none"/>
              </w:rPr>
              <w:t>合</w:t>
            </w:r>
            <w:r>
              <w:rPr>
                <w:rFonts w:ascii="宋体" w:hAnsi="宋体" w:eastAsia="宋体" w:cs="宋体"/>
                <w:color w:val="auto"/>
                <w:spacing w:val="3"/>
                <w:highlight w:val="none"/>
              </w:rPr>
              <w:t>计</w:t>
            </w:r>
          </w:p>
        </w:tc>
        <w:tc>
          <w:tcPr>
            <w:tcW w:w="105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81" w:line="192" w:lineRule="auto"/>
              <w:ind w:left="386"/>
              <w:rPr>
                <w:rFonts w:ascii="Times New Roman" w:hAnsi="Times New Roman" w:eastAsia="Times New Roman" w:cs="Times New Roman"/>
                <w:color w:val="auto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-4"/>
                <w:highlight w:val="none"/>
              </w:rPr>
              <w:t>1</w:t>
            </w:r>
            <w:r>
              <w:rPr>
                <w:rFonts w:ascii="Times New Roman" w:hAnsi="Times New Roman" w:eastAsia="Times New Roman" w:cs="Times New Roman"/>
                <w:color w:val="auto"/>
                <w:spacing w:val="-2"/>
                <w:highlight w:val="none"/>
              </w:rPr>
              <w:t>00</w:t>
            </w:r>
          </w:p>
        </w:tc>
        <w:tc>
          <w:tcPr>
            <w:tcW w:w="470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4" w:line="294" w:lineRule="exact"/>
              <w:ind w:left="2316"/>
              <w:rPr>
                <w:rFonts w:ascii="Times New Roman" w:hAnsi="Times New Roman" w:eastAsia="Times New Roman" w:cs="Times New Roman"/>
                <w:color w:val="auto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2"/>
                <w:position w:val="2"/>
                <w:highlight w:val="none"/>
              </w:rPr>
              <w:t>/</w:t>
            </w:r>
          </w:p>
        </w:tc>
        <w:tc>
          <w:tcPr>
            <w:tcW w:w="78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rPr>
                <w:color w:val="auto"/>
                <w:highlight w:val="none"/>
              </w:rPr>
            </w:pPr>
          </w:p>
        </w:tc>
        <w:tc>
          <w:tcPr>
            <w:tcW w:w="166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1" w:line="295" w:lineRule="exact"/>
              <w:ind w:left="808"/>
              <w:rPr>
                <w:rFonts w:ascii="Times New Roman" w:hAnsi="Times New Roman" w:eastAsia="Times New Roman" w:cs="Times New Roman"/>
                <w:color w:val="auto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2"/>
                <w:position w:val="2"/>
                <w:highlight w:val="none"/>
              </w:rPr>
              <w:t>/</w:t>
            </w:r>
          </w:p>
        </w:tc>
      </w:tr>
    </w:tbl>
    <w:p>
      <w:pPr>
        <w:spacing w:before="57" w:line="227" w:lineRule="auto"/>
        <w:ind w:left="56"/>
        <w:rPr>
          <w:rFonts w:ascii="宋体" w:hAnsi="宋体" w:eastAsia="宋体" w:cs="宋体"/>
          <w:color w:val="auto"/>
          <w:highlight w:val="none"/>
        </w:rPr>
      </w:pPr>
      <w:r>
        <w:rPr>
          <w:rFonts w:ascii="宋体" w:hAnsi="宋体" w:eastAsia="宋体" w:cs="宋体"/>
          <w:color w:val="auto"/>
          <w:spacing w:val="9"/>
          <w:highlight w:val="none"/>
        </w:rPr>
        <w:t>说</w:t>
      </w:r>
      <w:r>
        <w:rPr>
          <w:rFonts w:ascii="宋体" w:hAnsi="宋体" w:eastAsia="宋体" w:cs="宋体"/>
          <w:color w:val="auto"/>
          <w:spacing w:val="6"/>
          <w:highlight w:val="none"/>
        </w:rPr>
        <w:t>明：</w:t>
      </w:r>
      <w:r>
        <w:rPr>
          <w:rFonts w:ascii="Times New Roman" w:hAnsi="Times New Roman" w:eastAsia="Times New Roman" w:cs="Times New Roman"/>
          <w:color w:val="auto"/>
          <w:spacing w:val="6"/>
          <w:highlight w:val="none"/>
        </w:rPr>
        <w:t>1.</w:t>
      </w:r>
      <w:r>
        <w:rPr>
          <w:rFonts w:ascii="宋体" w:hAnsi="宋体" w:eastAsia="宋体" w:cs="宋体"/>
          <w:color w:val="auto"/>
          <w:spacing w:val="6"/>
          <w:highlight w:val="none"/>
        </w:rPr>
        <w:t>考核评分表满分</w:t>
      </w:r>
      <w:r>
        <w:rPr>
          <w:rFonts w:ascii="Times New Roman" w:hAnsi="Times New Roman" w:eastAsia="Times New Roman" w:cs="Times New Roman"/>
          <w:color w:val="auto"/>
          <w:spacing w:val="6"/>
          <w:highlight w:val="none"/>
        </w:rPr>
        <w:t>100</w:t>
      </w:r>
      <w:r>
        <w:rPr>
          <w:rFonts w:ascii="宋体" w:hAnsi="宋体" w:eastAsia="宋体" w:cs="宋体"/>
          <w:color w:val="auto"/>
          <w:spacing w:val="6"/>
          <w:highlight w:val="none"/>
        </w:rPr>
        <w:t>分；</w:t>
      </w:r>
    </w:p>
    <w:p>
      <w:pPr>
        <w:spacing w:before="81" w:line="303" w:lineRule="auto"/>
        <w:ind w:left="771" w:right="444" w:hanging="4"/>
        <w:rPr>
          <w:rFonts w:ascii="宋体" w:hAnsi="宋体" w:eastAsia="宋体" w:cs="宋体"/>
          <w:color w:val="auto"/>
          <w:spacing w:val="4"/>
          <w:highlight w:val="none"/>
        </w:rPr>
      </w:pPr>
      <w:r>
        <w:rPr>
          <w:rFonts w:ascii="Times New Roman" w:hAnsi="Times New Roman" w:eastAsia="Times New Roman" w:cs="Times New Roman"/>
          <w:color w:val="auto"/>
          <w:spacing w:val="12"/>
          <w:highlight w:val="none"/>
        </w:rPr>
        <w:t>2.</w:t>
      </w:r>
      <w:r>
        <w:rPr>
          <w:rFonts w:ascii="宋体" w:hAnsi="宋体" w:eastAsia="宋体" w:cs="宋体"/>
          <w:color w:val="auto"/>
          <w:spacing w:val="12"/>
          <w:highlight w:val="none"/>
        </w:rPr>
        <w:t>每项最</w:t>
      </w:r>
      <w:r>
        <w:rPr>
          <w:rFonts w:ascii="宋体" w:hAnsi="宋体" w:eastAsia="宋体" w:cs="宋体"/>
          <w:color w:val="auto"/>
          <w:spacing w:val="8"/>
          <w:highlight w:val="none"/>
        </w:rPr>
        <w:t>高</w:t>
      </w:r>
      <w:r>
        <w:rPr>
          <w:rFonts w:ascii="宋体" w:hAnsi="宋体" w:eastAsia="宋体" w:cs="宋体"/>
          <w:color w:val="auto"/>
          <w:spacing w:val="6"/>
          <w:highlight w:val="none"/>
        </w:rPr>
        <w:t>得分不能超过该项标准分值，若得分未达该项标准分值，需就得分情况进行说明；</w:t>
      </w:r>
      <w:r>
        <w:rPr>
          <w:rFonts w:ascii="宋体" w:hAnsi="宋体" w:eastAsia="宋体" w:cs="宋体"/>
          <w:color w:val="auto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8"/>
          <w:highlight w:val="none"/>
        </w:rPr>
        <w:t>3</w:t>
      </w:r>
      <w:r>
        <w:rPr>
          <w:rFonts w:ascii="Times New Roman" w:hAnsi="Times New Roman" w:eastAsia="Times New Roman" w:cs="Times New Roman"/>
          <w:color w:val="auto"/>
          <w:spacing w:val="5"/>
          <w:highlight w:val="none"/>
        </w:rPr>
        <w:t>.</w:t>
      </w:r>
      <w:r>
        <w:rPr>
          <w:rFonts w:ascii="宋体" w:hAnsi="宋体" w:eastAsia="宋体" w:cs="宋体"/>
          <w:color w:val="auto"/>
          <w:spacing w:val="4"/>
          <w:highlight w:val="none"/>
        </w:rPr>
        <w:t>每项最低得分为</w:t>
      </w:r>
      <w:r>
        <w:rPr>
          <w:rFonts w:ascii="Times New Roman" w:hAnsi="Times New Roman" w:eastAsia="Times New Roman" w:cs="Times New Roman"/>
          <w:color w:val="auto"/>
          <w:spacing w:val="4"/>
          <w:highlight w:val="none"/>
        </w:rPr>
        <w:t>0</w:t>
      </w:r>
      <w:r>
        <w:rPr>
          <w:rFonts w:ascii="宋体" w:hAnsi="宋体" w:eastAsia="宋体" w:cs="宋体"/>
          <w:color w:val="auto"/>
          <w:spacing w:val="4"/>
          <w:highlight w:val="none"/>
        </w:rPr>
        <w:t>分</w:t>
      </w:r>
      <w:r>
        <w:rPr>
          <w:rFonts w:hint="eastAsia" w:ascii="宋体" w:hAnsi="宋体" w:eastAsia="宋体" w:cs="宋体"/>
          <w:color w:val="auto"/>
          <w:spacing w:val="4"/>
          <w:highlight w:val="none"/>
        </w:rPr>
        <w:t>；</w:t>
      </w:r>
    </w:p>
    <w:p>
      <w:pPr>
        <w:spacing w:before="81" w:line="303" w:lineRule="auto"/>
        <w:ind w:left="771" w:right="444" w:hanging="4"/>
        <w:rPr>
          <w:rFonts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spacing w:val="4"/>
          <w:highlight w:val="none"/>
        </w:rPr>
        <w:t>4.若在</w:t>
      </w:r>
      <w:r>
        <w:rPr>
          <w:rFonts w:hint="eastAsia" w:ascii="宋体" w:hAnsi="宋体" w:eastAsia="宋体" w:cs="宋体"/>
          <w:color w:val="auto"/>
          <w:spacing w:val="4"/>
          <w:highlight w:val="none"/>
        </w:rPr>
        <w:t>实施阶段提出</w:t>
      </w:r>
      <w:r>
        <w:rPr>
          <w:rFonts w:hint="eastAsia" w:ascii="宋体" w:hAnsi="宋体" w:eastAsia="宋体" w:cs="宋体"/>
          <w:color w:val="auto"/>
          <w:spacing w:val="4"/>
          <w:highlight w:val="none"/>
        </w:rPr>
        <w:t>优化设计</w:t>
      </w:r>
      <w:r>
        <w:rPr>
          <w:rFonts w:hint="eastAsia" w:ascii="宋体" w:hAnsi="宋体" w:eastAsia="宋体" w:cs="宋体"/>
          <w:color w:val="auto"/>
          <w:spacing w:val="4"/>
          <w:highlight w:val="none"/>
        </w:rPr>
        <w:t>并被采纳</w:t>
      </w:r>
      <w:r>
        <w:rPr>
          <w:rFonts w:hint="eastAsia" w:ascii="宋体" w:hAnsi="宋体" w:eastAsia="宋体" w:cs="宋体"/>
          <w:color w:val="auto"/>
          <w:spacing w:val="4"/>
          <w:highlight w:val="none"/>
        </w:rPr>
        <w:t>，比原方案造价节省</w:t>
      </w:r>
      <w:r>
        <w:rPr>
          <w:rFonts w:hint="eastAsia" w:ascii="宋体" w:hAnsi="宋体" w:eastAsia="宋体" w:cs="宋体"/>
          <w:color w:val="auto"/>
          <w:spacing w:val="4"/>
          <w:highlight w:val="none"/>
        </w:rPr>
        <w:t>1</w:t>
      </w:r>
      <w:r>
        <w:rPr>
          <w:rFonts w:ascii="宋体" w:hAnsi="宋体" w:eastAsia="宋体" w:cs="宋体"/>
          <w:color w:val="auto"/>
          <w:spacing w:val="4"/>
          <w:highlight w:val="none"/>
        </w:rPr>
        <w:t>0%</w:t>
      </w:r>
      <w:r>
        <w:rPr>
          <w:rFonts w:hint="eastAsia" w:ascii="宋体" w:hAnsi="宋体" w:eastAsia="宋体" w:cs="宋体"/>
          <w:color w:val="auto"/>
          <w:spacing w:val="4"/>
          <w:highlight w:val="none"/>
        </w:rPr>
        <w:t>及以上的，加</w:t>
      </w:r>
      <w:r>
        <w:rPr>
          <w:rFonts w:ascii="宋体" w:hAnsi="宋体" w:eastAsia="宋体" w:cs="宋体"/>
          <w:color w:val="auto"/>
          <w:spacing w:val="4"/>
          <w:highlight w:val="none"/>
        </w:rPr>
        <w:t>3</w:t>
      </w:r>
      <w:r>
        <w:rPr>
          <w:rFonts w:hint="eastAsia" w:ascii="宋体" w:hAnsi="宋体" w:eastAsia="宋体" w:cs="宋体"/>
          <w:color w:val="auto"/>
          <w:spacing w:val="4"/>
          <w:highlight w:val="none"/>
        </w:rPr>
        <w:t>分，节约</w:t>
      </w:r>
      <w:r>
        <w:rPr>
          <w:rFonts w:hint="eastAsia" w:ascii="宋体" w:hAnsi="宋体" w:eastAsia="宋体" w:cs="宋体"/>
          <w:color w:val="auto"/>
          <w:spacing w:val="4"/>
          <w:highlight w:val="none"/>
        </w:rPr>
        <w:t>20%及以上的，加5分，并入考核分值内</w:t>
      </w:r>
      <w:r>
        <w:rPr>
          <w:rFonts w:ascii="宋体" w:hAnsi="宋体" w:eastAsia="宋体" w:cs="宋体"/>
          <w:color w:val="auto"/>
          <w:spacing w:val="4"/>
          <w:highlight w:val="none"/>
        </w:rPr>
        <w:t>。</w:t>
      </w:r>
    </w:p>
    <w:p>
      <w:pPr>
        <w:rPr>
          <w:rFonts w:eastAsiaTheme="minorEastAsia"/>
          <w:color w:val="auto"/>
          <w:highlight w:val="none"/>
        </w:rPr>
      </w:pPr>
    </w:p>
    <w:p>
      <w:pPr>
        <w:rPr>
          <w:rFonts w:eastAsiaTheme="minorEastAsia"/>
          <w:color w:val="auto"/>
          <w:highlight w:val="none"/>
        </w:rPr>
        <w:sectPr>
          <w:pgSz w:w="12240" w:h="15840"/>
          <w:pgMar w:top="1346" w:right="1101" w:bottom="0" w:left="1084" w:header="0" w:footer="0" w:gutter="0"/>
          <w:cols w:equalWidth="0" w:num="1">
            <w:col w:w="10054"/>
          </w:cols>
        </w:sectPr>
      </w:pPr>
    </w:p>
    <w:p>
      <w:pPr>
        <w:spacing w:before="43" w:line="444" w:lineRule="exact"/>
        <w:ind w:left="54"/>
        <w:rPr>
          <w:rFonts w:ascii="宋体" w:hAnsi="宋体" w:eastAsia="宋体" w:cs="宋体"/>
          <w:color w:val="auto"/>
          <w:highlight w:val="none"/>
        </w:rPr>
      </w:pPr>
      <w:r>
        <w:rPr>
          <w:rFonts w:ascii="宋体" w:hAnsi="宋体" w:eastAsia="宋体" w:cs="宋体"/>
          <w:color w:val="auto"/>
          <w:spacing w:val="2"/>
          <w:position w:val="17"/>
          <w:highlight w:val="none"/>
        </w:rPr>
        <w:t>考评小组成员：</w:t>
      </w:r>
    </w:p>
    <w:p>
      <w:pPr>
        <w:spacing w:line="200" w:lineRule="auto"/>
        <w:ind w:left="54"/>
        <w:rPr>
          <w:rFonts w:ascii="宋体" w:hAnsi="宋体" w:eastAsia="宋体" w:cs="宋体"/>
          <w:color w:val="auto"/>
          <w:highlight w:val="none"/>
        </w:rPr>
      </w:pPr>
      <w:r>
        <w:rPr>
          <w:rFonts w:ascii="宋体" w:hAnsi="宋体" w:eastAsia="宋体" w:cs="宋体"/>
          <w:color w:val="auto"/>
          <w:spacing w:val="6"/>
          <w:highlight w:val="none"/>
        </w:rPr>
        <w:t>考评小组组长</w:t>
      </w:r>
      <w:r>
        <w:rPr>
          <w:rFonts w:ascii="宋体" w:hAnsi="宋体" w:eastAsia="宋体" w:cs="宋体"/>
          <w:color w:val="auto"/>
          <w:spacing w:val="5"/>
          <w:highlight w:val="none"/>
        </w:rPr>
        <w:t>：</w:t>
      </w:r>
    </w:p>
    <w:p>
      <w:pPr>
        <w:spacing w:line="14" w:lineRule="auto"/>
        <w:rPr>
          <w:color w:val="auto"/>
          <w:sz w:val="2"/>
          <w:highlight w:val="none"/>
        </w:rPr>
      </w:pPr>
      <w:r>
        <w:rPr>
          <w:color w:val="auto"/>
          <w:sz w:val="2"/>
          <w:szCs w:val="2"/>
          <w:highlight w:val="none"/>
        </w:rPr>
        <w:br w:type="column"/>
      </w:r>
    </w:p>
    <w:p>
      <w:pPr>
        <w:spacing w:line="425" w:lineRule="auto"/>
        <w:rPr>
          <w:color w:val="auto"/>
          <w:highlight w:val="none"/>
        </w:rPr>
      </w:pPr>
    </w:p>
    <w:p>
      <w:pPr>
        <w:spacing w:before="68" w:line="192" w:lineRule="auto"/>
        <w:rPr>
          <w:rFonts w:ascii="宋体" w:hAnsi="宋体" w:eastAsia="宋体" w:cs="宋体"/>
          <w:color w:val="auto"/>
          <w:highlight w:val="none"/>
        </w:rPr>
      </w:pPr>
      <w:r>
        <w:rPr>
          <w:rFonts w:ascii="宋体" w:hAnsi="宋体" w:eastAsia="宋体" w:cs="宋体"/>
          <w:color w:val="auto"/>
          <w:spacing w:val="-5"/>
          <w:highlight w:val="none"/>
        </w:rPr>
        <w:t>考</w:t>
      </w:r>
      <w:r>
        <w:rPr>
          <w:rFonts w:ascii="宋体" w:hAnsi="宋体" w:eastAsia="宋体" w:cs="宋体"/>
          <w:color w:val="auto"/>
          <w:spacing w:val="-3"/>
          <w:highlight w:val="none"/>
        </w:rPr>
        <w:t>评时间：</w:t>
      </w:r>
    </w:p>
    <w:sectPr>
      <w:type w:val="continuous"/>
      <w:pgSz w:w="12240" w:h="15840"/>
      <w:pgMar w:top="1346" w:right="1101" w:bottom="0" w:left="1084" w:header="0" w:footer="0" w:gutter="0"/>
      <w:cols w:equalWidth="0" w:num="2">
        <w:col w:w="7546" w:space="100"/>
        <w:col w:w="2409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9"/>
  <w:doNotDisplayPageBoundaries w:val="1"/>
  <w:displayBackgroundShape w:val="1"/>
  <w:bordersDoNotSurroundHeader w:val="1"/>
  <w:bordersDoNotSurroundFooter w:val="1"/>
  <w:trackRevisions w:val="1"/>
  <w:documentProtection w:enforcement="0"/>
  <w:defaultTabStop w:val="420"/>
  <w:characterSpacingControl w:val="doNotCompress"/>
  <w:compat>
    <w:spaceForUL/>
    <w:ulTrailSpace/>
    <w:useFELayout/>
    <w:compatSetting w:name="compatibilityMode" w:uri="http://schemas.microsoft.com/office/word" w:val="14"/>
  </w:compat>
  <w:docVars>
    <w:docVar w:name="commondata" w:val="eyJoZGlkIjoiNzRiMTYxY2JlOTI1NGVkOWY4ODc1ZmQzNmQ4NzVhM2UifQ=="/>
  </w:docVars>
  <w:rsids>
    <w:rsidRoot w:val="001840F7"/>
    <w:rsid w:val="000237FF"/>
    <w:rsid w:val="001840F7"/>
    <w:rsid w:val="00187C0F"/>
    <w:rsid w:val="001A63B8"/>
    <w:rsid w:val="00241B50"/>
    <w:rsid w:val="00304B00"/>
    <w:rsid w:val="0032530C"/>
    <w:rsid w:val="0038688E"/>
    <w:rsid w:val="00401216"/>
    <w:rsid w:val="00416F9A"/>
    <w:rsid w:val="0046154A"/>
    <w:rsid w:val="004B00CC"/>
    <w:rsid w:val="004B0EB7"/>
    <w:rsid w:val="004B2C95"/>
    <w:rsid w:val="00564B1A"/>
    <w:rsid w:val="005A3F26"/>
    <w:rsid w:val="005D2717"/>
    <w:rsid w:val="00620A9A"/>
    <w:rsid w:val="006D2529"/>
    <w:rsid w:val="00707768"/>
    <w:rsid w:val="007B6B4E"/>
    <w:rsid w:val="007D33EB"/>
    <w:rsid w:val="007D7464"/>
    <w:rsid w:val="007F33B9"/>
    <w:rsid w:val="008627E7"/>
    <w:rsid w:val="008A6979"/>
    <w:rsid w:val="00930438"/>
    <w:rsid w:val="00930649"/>
    <w:rsid w:val="009547CF"/>
    <w:rsid w:val="0097208D"/>
    <w:rsid w:val="00980E88"/>
    <w:rsid w:val="00A135D2"/>
    <w:rsid w:val="00A65AC3"/>
    <w:rsid w:val="00AA2F0A"/>
    <w:rsid w:val="00AA5854"/>
    <w:rsid w:val="00AC06BF"/>
    <w:rsid w:val="00AC5EEA"/>
    <w:rsid w:val="00AF732C"/>
    <w:rsid w:val="00B72FD7"/>
    <w:rsid w:val="00BB7D67"/>
    <w:rsid w:val="00C35EF2"/>
    <w:rsid w:val="00C435FB"/>
    <w:rsid w:val="00C561BD"/>
    <w:rsid w:val="00C60B04"/>
    <w:rsid w:val="00C93C61"/>
    <w:rsid w:val="00CA0E21"/>
    <w:rsid w:val="00CB3481"/>
    <w:rsid w:val="00CC11AD"/>
    <w:rsid w:val="00D108F8"/>
    <w:rsid w:val="00D1705C"/>
    <w:rsid w:val="00D90BA0"/>
    <w:rsid w:val="00E34FCD"/>
    <w:rsid w:val="00E434C2"/>
    <w:rsid w:val="00E53473"/>
    <w:rsid w:val="00E83861"/>
    <w:rsid w:val="00EB2B4B"/>
    <w:rsid w:val="00ED2918"/>
    <w:rsid w:val="00EE1EF8"/>
    <w:rsid w:val="00EE5392"/>
    <w:rsid w:val="00F80F1D"/>
    <w:rsid w:val="00FE0403"/>
    <w:rsid w:val="04216813"/>
    <w:rsid w:val="0B2C66A4"/>
    <w:rsid w:val="0D7D148D"/>
    <w:rsid w:val="109B4059"/>
    <w:rsid w:val="138E69AE"/>
    <w:rsid w:val="155F7720"/>
    <w:rsid w:val="15F87F24"/>
    <w:rsid w:val="18BA3C1F"/>
    <w:rsid w:val="1F1A0416"/>
    <w:rsid w:val="20D37767"/>
    <w:rsid w:val="23865EB5"/>
    <w:rsid w:val="2F0F5A43"/>
    <w:rsid w:val="2F2D4FF3"/>
    <w:rsid w:val="2F347A27"/>
    <w:rsid w:val="30430362"/>
    <w:rsid w:val="30AE1C6C"/>
    <w:rsid w:val="35BB31CF"/>
    <w:rsid w:val="35FF06EA"/>
    <w:rsid w:val="378F2234"/>
    <w:rsid w:val="3FE40160"/>
    <w:rsid w:val="42533152"/>
    <w:rsid w:val="47120827"/>
    <w:rsid w:val="4A3021BA"/>
    <w:rsid w:val="4B7821E0"/>
    <w:rsid w:val="4EFE25A7"/>
    <w:rsid w:val="570C7D5E"/>
    <w:rsid w:val="591518DD"/>
    <w:rsid w:val="5F511969"/>
    <w:rsid w:val="5F5778F8"/>
    <w:rsid w:val="5FB2478F"/>
    <w:rsid w:val="654805B8"/>
    <w:rsid w:val="65510EC8"/>
    <w:rsid w:val="6ADD43E2"/>
    <w:rsid w:val="6E2E7FD1"/>
    <w:rsid w:val="7A764B78"/>
    <w:rsid w:val="7C043085"/>
    <w:rsid w:val="7E5241D5"/>
    <w:rsid w:val="7EC529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Theme="minorEastAsia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semiHidden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ind w:firstLine="420" w:firstLineChars="100"/>
    </w:pPr>
  </w:style>
  <w:style w:type="paragraph" w:styleId="3">
    <w:name w:val="Body Text"/>
    <w:basedOn w:val="1"/>
    <w:qFormat/>
    <w:uiPriority w:val="0"/>
    <w:pPr>
      <w:spacing w:after="120"/>
    </w:pPr>
  </w:style>
  <w:style w:type="paragraph" w:styleId="4">
    <w:name w:val="Balloon Text"/>
    <w:basedOn w:val="1"/>
    <w:link w:val="13"/>
    <w:qFormat/>
    <w:uiPriority w:val="0"/>
    <w:rPr>
      <w:sz w:val="18"/>
      <w:szCs w:val="18"/>
    </w:rPr>
  </w:style>
  <w:style w:type="paragraph" w:styleId="5">
    <w:name w:val="footer"/>
    <w:basedOn w:val="1"/>
    <w:link w:val="11"/>
    <w:qFormat/>
    <w:uiPriority w:val="0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6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table" w:customStyle="1" w:styleId="9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0">
    <w:name w:val="页眉 字符"/>
    <w:basedOn w:val="8"/>
    <w:link w:val="6"/>
    <w:qFormat/>
    <w:uiPriority w:val="0"/>
    <w:rPr>
      <w:rFonts w:eastAsia="Arial"/>
      <w:snapToGrid w:val="0"/>
      <w:color w:val="000000"/>
      <w:sz w:val="18"/>
      <w:szCs w:val="18"/>
    </w:rPr>
  </w:style>
  <w:style w:type="character" w:customStyle="1" w:styleId="11">
    <w:name w:val="页脚 字符"/>
    <w:basedOn w:val="8"/>
    <w:link w:val="5"/>
    <w:qFormat/>
    <w:uiPriority w:val="0"/>
    <w:rPr>
      <w:rFonts w:eastAsia="Arial"/>
      <w:snapToGrid w:val="0"/>
      <w:color w:val="000000"/>
      <w:sz w:val="18"/>
      <w:szCs w:val="18"/>
    </w:rPr>
  </w:style>
  <w:style w:type="paragraph" w:customStyle="1" w:styleId="12">
    <w:name w:val="样式 宋体 行距: 1.5 倍行距"/>
    <w:basedOn w:val="1"/>
    <w:qFormat/>
    <w:uiPriority w:val="0"/>
    <w:pPr>
      <w:widowControl w:val="0"/>
      <w:kinsoku/>
      <w:autoSpaceDE/>
      <w:autoSpaceDN/>
      <w:adjustRightInd/>
      <w:snapToGrid/>
      <w:jc w:val="center"/>
      <w:textAlignment w:val="auto"/>
    </w:pPr>
    <w:rPr>
      <w:rFonts w:ascii="Times New Roman" w:hAnsi="Times New Roman" w:eastAsia="宋体" w:cs="Times New Roman"/>
      <w:b/>
      <w:snapToGrid/>
      <w:color w:val="auto"/>
      <w:kern w:val="2"/>
      <w:szCs w:val="24"/>
    </w:rPr>
  </w:style>
  <w:style w:type="character" w:customStyle="1" w:styleId="13">
    <w:name w:val="批注框文本 字符"/>
    <w:basedOn w:val="8"/>
    <w:link w:val="4"/>
    <w:qFormat/>
    <w:uiPriority w:val="0"/>
    <w:rPr>
      <w:rFonts w:eastAsia="Arial"/>
      <w:snapToGrid w:val="0"/>
      <w:color w:val="000000"/>
      <w:sz w:val="18"/>
      <w:szCs w:val="18"/>
    </w:rPr>
  </w:style>
  <w:style w:type="paragraph" w:customStyle="1" w:styleId="14">
    <w:name w:val="修订1"/>
    <w:hidden/>
    <w:semiHidden/>
    <w:qFormat/>
    <w:uiPriority w:val="99"/>
    <w:rPr>
      <w:rFonts w:ascii="Arial" w:hAnsi="Arial" w:eastAsia="Arial" w:cs="Arial"/>
      <w:snapToGrid w:val="0"/>
      <w:color w:val="000000"/>
      <w:sz w:val="21"/>
      <w:szCs w:val="21"/>
      <w:lang w:val="en-US" w:eastAsia="zh-CN" w:bidi="ar-SA"/>
    </w:rPr>
  </w:style>
  <w:style w:type="paragraph" w:customStyle="1" w:styleId="15">
    <w:name w:val="Revision"/>
    <w:hidden/>
    <w:semiHidden/>
    <w:qFormat/>
    <w:uiPriority w:val="99"/>
    <w:rPr>
      <w:rFonts w:ascii="Arial" w:hAnsi="Arial" w:eastAsia="Arial" w:cs="Arial"/>
      <w:snapToGrid w:val="0"/>
      <w:color w:val="000000"/>
      <w:sz w:val="21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2396</Words>
  <Characters>2466</Characters>
  <Lines>21</Lines>
  <Paragraphs>6</Paragraphs>
  <TotalTime>17</TotalTime>
  <ScaleCrop>false</ScaleCrop>
  <LinksUpToDate>false</LinksUpToDate>
  <CharactersWithSpaces>2647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2023-03-22T17:32:00Z</dcterms:created>
  <dc:creator>WG</dc:creator>
  <cp:lastModifiedBy>陈方凯</cp:lastModifiedBy>
  <cp:lastPrinted>2023-05-17T04:00:00Z</cp:lastPrinted>
  <dcterms:modified xsi:type="dcterms:W3CDTF">2023-07-03T00:44:33Z</dcterms:modified>
  <dc:title>附件2：咨询设计单位履约考核评分表（前期咨询及勘察设计阶段，适用于可研及设计单位）.xlsx</dc:title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wqlLaW5nc29mdCBQREYgdG8gV1BTIDgw</vt:lpwstr>
  </property>
  <property fmtid="{D5CDD505-2E9C-101B-9397-08002B2CF9AE}" pid="3" name="Created">
    <vt:filetime>2023-03-23T18:06:53Z</vt:filetime>
  </property>
  <property fmtid="{D5CDD505-2E9C-101B-9397-08002B2CF9AE}" pid="4" name="KSOProductBuildVer">
    <vt:lpwstr>2052-11.1.0.14309</vt:lpwstr>
  </property>
  <property fmtid="{D5CDD505-2E9C-101B-9397-08002B2CF9AE}" pid="5" name="ICV">
    <vt:lpwstr>93EA6EBF844E4A7D8625F58D7EF18DBA_13</vt:lpwstr>
  </property>
</Properties>
</file>