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第五届粤港澳大湾区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水务论坛项目需求书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一、水务论坛议程安排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750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375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4034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第一日</w:t>
            </w:r>
          </w:p>
        </w:tc>
        <w:tc>
          <w:tcPr>
            <w:tcW w:w="3750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报到、平台交流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（5个平台交流同时进行，每个平台交流约30人）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第二日</w:t>
            </w:r>
          </w:p>
        </w:tc>
        <w:tc>
          <w:tcPr>
            <w:tcW w:w="3750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宣传片展播、欢迎致辞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论坛启动仪式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主题演讲及交流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高峰论坛（约30人）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各分论坛专题交流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（5个分论坛同时进行，每个分论坛人数约60-80人）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会旗交接仪式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文艺汇演（约45分钟）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第三日</w:t>
            </w:r>
          </w:p>
        </w:tc>
        <w:tc>
          <w:tcPr>
            <w:tcW w:w="375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项目现场参观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二、工作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</w:rPr>
        <w:t>内容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及要求</w:t>
      </w:r>
    </w:p>
    <w:p>
      <w:pPr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</w:rPr>
        <w:t>（一）会场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组织及配套设施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68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论坛场地</w:t>
            </w: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会场、酒店踩点，客房、餐饮、茶歇等预订。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论坛各环节主持人、礼仪、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安保人员、展会服务工作人员聘用</w:t>
            </w:r>
          </w:p>
        </w:tc>
        <w:tc>
          <w:tcPr>
            <w:tcW w:w="68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配备足够的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人员，做好服务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安保、卫生等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场地配套设施</w:t>
            </w:r>
          </w:p>
        </w:tc>
        <w:tc>
          <w:tcPr>
            <w:tcW w:w="6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会场设置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会场入口、企业展示区、签到区、合影区等，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医疗站点、安保站点等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，并制定相关的安装方案及应急方案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（二）会场氛围和标识指示布置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会场指示牌、标识</w:t>
            </w:r>
          </w:p>
        </w:tc>
        <w:tc>
          <w:tcPr>
            <w:tcW w:w="6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含嘉宾/媒体签到、停车场指示、巴士站点指示、论坛内各会场方位指示、地贴、各功能区指示、车身贴等。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会场周围气氛</w:t>
            </w:r>
          </w:p>
        </w:tc>
        <w:tc>
          <w:tcPr>
            <w:tcW w:w="6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不限于空飘、造型汽球、门楼、安防护栏、会场周边酒店内道路等氛围布置。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（三）宣传策划及设计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2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论坛LOGO、宣传海报、H5制作等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贴合本届论坛主题、美观大方、能体现东莞当地和水务行业特色。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论坛宣传片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制作3-5分钟论坛宣传片，用于论坛开幕式展示。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论坛启动仪式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策划启动仪式。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论坛交接仪式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策划交接仪式。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视频制作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包含短视频、快闪视频、启动视频、回顾视频等策划制作。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会议手册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编排、制作。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大会流程PPT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设计、编排。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纪念品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伴手礼</w:t>
            </w:r>
          </w:p>
        </w:tc>
        <w:tc>
          <w:tcPr>
            <w:tcW w:w="6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设计、制作、分发，用于赠送参会单位及参会人员。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（四）媒体对接及报道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1.安排全程直播+照片，参观拍照、花絮等制作。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2.做好省、市重点媒体记者采编接待及指引，跟踪落实水务论坛有关报道。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（五）物料制作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根据本届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水务论坛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亮点和特点，并配合活动宣传推广的需要，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制作会议手册、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嘉宾证、展会车证、临时出入证、参展商证、服务工作证、信纸、信封、封套、贵宾请柬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、礼品袋、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临时工作人员工作证、采访证、摄影证等展会期间物料。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（六）设备租赁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根据论坛议程安排，为确保论坛顺利开展提供必要的办会及演出设备的租赁，包括但不限于打印机、IPAD、LED、音响、中控等。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（七）资料收集汇总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1.宣传资料收集汇编。协助收集湾区各水务单位的宣传资料，制作本届论坛的宣传片片、宣传海报等。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2.论坛资料收集汇编。协助收集湾区各水务单位的论文、论坛各环节汇报及演讲材料，做好论坛及分论坛各项会务安排。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3.其他资料收集。协助收集参会人员、工作人员名单等资料。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（八）其他会务资源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在服务期间，能安排专业团队，包括策划、设计、现场会务等人员在东莞驻点办公，并提供以下会务服务：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1.安排专人负责论坛专家、嘉宾接机、接送以及安排参会人员参观接送、办理酒店入住等服务。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2.落实论坛主持人、礼仪、文艺汇演演出人员等安排。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3.做好活动彩排、预演等工作。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（九）赞助招揽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协助论坛赞助单位招揽工作。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主办方视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论坛筹办组织情况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，有权再补充其他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保证论坛顺利举办的工作内容，服务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单位须无条件给予配合。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总体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（一）总体设计应遵循“庄重、大气、成熟”的原则，展现东莞市“海纳百川，厚德务实”的城市精神和“大招商”的开放包容格局。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（二）细节设计和会务安排要细致、贴心，展现东莞市及东莞水务集团热情待客的形象。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（三）活动安排和服务内容要具体、丰富，体现水务论坛交流合作的组织宗旨，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发挥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水务论坛最大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学术效益、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经济效益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社会效益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rFonts w:ascii="Times New Roman" w:hAnsi="Times New Roman"/>
          <w:b/>
          <w:bCs/>
          <w:color w:val="auto"/>
          <w:szCs w:val="21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0ADA"/>
    <w:rsid w:val="002F447A"/>
    <w:rsid w:val="01A15E45"/>
    <w:rsid w:val="03A47A15"/>
    <w:rsid w:val="079C57E2"/>
    <w:rsid w:val="08D5531C"/>
    <w:rsid w:val="08E00A38"/>
    <w:rsid w:val="09E61C4B"/>
    <w:rsid w:val="0AA624B7"/>
    <w:rsid w:val="0D194F19"/>
    <w:rsid w:val="0DFC1093"/>
    <w:rsid w:val="0EB70BF4"/>
    <w:rsid w:val="0FB50B16"/>
    <w:rsid w:val="10A56485"/>
    <w:rsid w:val="10C10ADA"/>
    <w:rsid w:val="114F1BB7"/>
    <w:rsid w:val="11EE035C"/>
    <w:rsid w:val="135273B5"/>
    <w:rsid w:val="138D4F5C"/>
    <w:rsid w:val="1494543E"/>
    <w:rsid w:val="17A031DB"/>
    <w:rsid w:val="183F1279"/>
    <w:rsid w:val="190857D1"/>
    <w:rsid w:val="1A0B684E"/>
    <w:rsid w:val="1B8F0DC4"/>
    <w:rsid w:val="1C8936F8"/>
    <w:rsid w:val="1D2E3616"/>
    <w:rsid w:val="1D757864"/>
    <w:rsid w:val="1E00579C"/>
    <w:rsid w:val="1F61402E"/>
    <w:rsid w:val="1F653E09"/>
    <w:rsid w:val="1FAE5EA9"/>
    <w:rsid w:val="2057300D"/>
    <w:rsid w:val="20B00757"/>
    <w:rsid w:val="23BD0F2F"/>
    <w:rsid w:val="240F7E71"/>
    <w:rsid w:val="24905D23"/>
    <w:rsid w:val="25A22C31"/>
    <w:rsid w:val="269F5552"/>
    <w:rsid w:val="274906AB"/>
    <w:rsid w:val="277E722E"/>
    <w:rsid w:val="2AD311A5"/>
    <w:rsid w:val="2C5B252F"/>
    <w:rsid w:val="2D8863FC"/>
    <w:rsid w:val="2DA6583E"/>
    <w:rsid w:val="2DC70A25"/>
    <w:rsid w:val="2E3169E0"/>
    <w:rsid w:val="303B21D0"/>
    <w:rsid w:val="309619F0"/>
    <w:rsid w:val="30C75228"/>
    <w:rsid w:val="32A46DF7"/>
    <w:rsid w:val="347C7AA2"/>
    <w:rsid w:val="34B9167E"/>
    <w:rsid w:val="35212D6D"/>
    <w:rsid w:val="359B0FA9"/>
    <w:rsid w:val="3E761AF6"/>
    <w:rsid w:val="3F2A275B"/>
    <w:rsid w:val="3F3A5B63"/>
    <w:rsid w:val="3F4C1D33"/>
    <w:rsid w:val="418C1B8C"/>
    <w:rsid w:val="424C1E12"/>
    <w:rsid w:val="439A56B5"/>
    <w:rsid w:val="4525047D"/>
    <w:rsid w:val="4571373B"/>
    <w:rsid w:val="482D041F"/>
    <w:rsid w:val="496B5FBB"/>
    <w:rsid w:val="4A6721AB"/>
    <w:rsid w:val="4BB8088D"/>
    <w:rsid w:val="4C2C4EA4"/>
    <w:rsid w:val="4C5F68B4"/>
    <w:rsid w:val="4DB10B0F"/>
    <w:rsid w:val="4E4F01C3"/>
    <w:rsid w:val="4E665E00"/>
    <w:rsid w:val="4EE059BF"/>
    <w:rsid w:val="50AB3C99"/>
    <w:rsid w:val="525B0ABC"/>
    <w:rsid w:val="52D34166"/>
    <w:rsid w:val="53044FEC"/>
    <w:rsid w:val="54792683"/>
    <w:rsid w:val="55317A32"/>
    <w:rsid w:val="5A207911"/>
    <w:rsid w:val="5A344E12"/>
    <w:rsid w:val="5C5C7B6B"/>
    <w:rsid w:val="5EEA7182"/>
    <w:rsid w:val="5FAF7364"/>
    <w:rsid w:val="608965D8"/>
    <w:rsid w:val="61734722"/>
    <w:rsid w:val="619D3F6C"/>
    <w:rsid w:val="61F70D53"/>
    <w:rsid w:val="63534F87"/>
    <w:rsid w:val="636344B9"/>
    <w:rsid w:val="638C3F01"/>
    <w:rsid w:val="63963135"/>
    <w:rsid w:val="63D1489B"/>
    <w:rsid w:val="65353AD8"/>
    <w:rsid w:val="65805695"/>
    <w:rsid w:val="65E95978"/>
    <w:rsid w:val="67E9717B"/>
    <w:rsid w:val="6AFF5B95"/>
    <w:rsid w:val="6B724FDB"/>
    <w:rsid w:val="6F1465F7"/>
    <w:rsid w:val="6FCA1AB1"/>
    <w:rsid w:val="70D65830"/>
    <w:rsid w:val="72430A97"/>
    <w:rsid w:val="735D1AA3"/>
    <w:rsid w:val="74B72075"/>
    <w:rsid w:val="767245F3"/>
    <w:rsid w:val="779A0925"/>
    <w:rsid w:val="78BD75C9"/>
    <w:rsid w:val="7937327C"/>
    <w:rsid w:val="79E10215"/>
    <w:rsid w:val="7C9202F2"/>
    <w:rsid w:val="7CF16034"/>
    <w:rsid w:val="7D4A500D"/>
    <w:rsid w:val="7D7F38B7"/>
    <w:rsid w:val="7EE46F07"/>
    <w:rsid w:val="7FC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1200" w:lineRule="exact"/>
      <w:jc w:val="center"/>
      <w:outlineLvl w:val="1"/>
    </w:pPr>
    <w:rPr>
      <w:rFonts w:ascii="Arial" w:hAnsi="Arial"/>
      <w:b/>
      <w:bCs/>
      <w:sz w:val="4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2023-03-13T10:10:00Z</dcterms:created>
  <dc:creator>杨慧敏</dc:creator>
  <cp:lastModifiedBy>杨慧敏</cp:lastModifiedBy>
  <dcterms:modified xsi:type="dcterms:W3CDTF">2023-03-13T10:11:38Z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5C4CCD21D27D44B59901E9F5C0213E09</vt:lpwstr>
  </property>
</Properties>
</file>