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00" w:lineRule="exact"/>
        <w:jc w:val="center"/>
        <w:rPr>
          <w:rFonts w:hint="eastAsia" w:ascii="宋体" w:hAnsi="宋体" w:cs="宋体"/>
          <w:b/>
          <w:bCs/>
          <w:color w:val="auto"/>
          <w:sz w:val="32"/>
          <w:highlight w:val="none"/>
        </w:rPr>
      </w:pPr>
      <w:bookmarkStart w:id="0" w:name="_Toc144974554"/>
      <w:bookmarkStart w:id="1" w:name="_Toc9806"/>
      <w:bookmarkStart w:id="2" w:name="_Toc152045587"/>
      <w:bookmarkStart w:id="3" w:name="_Toc152042364"/>
      <w:r>
        <w:rPr>
          <w:rFonts w:hint="eastAsia" w:ascii="宋体" w:hAnsi="宋体" w:cs="宋体"/>
          <w:b/>
          <w:bCs/>
          <w:color w:val="auto"/>
          <w:sz w:val="32"/>
          <w:highlight w:val="none"/>
        </w:rPr>
        <w:t>第三章 评标办法</w:t>
      </w:r>
      <w:bookmarkEnd w:id="0"/>
      <w:bookmarkEnd w:id="1"/>
      <w:bookmarkEnd w:id="2"/>
      <w:bookmarkEnd w:id="3"/>
    </w:p>
    <w:p>
      <w:pPr>
        <w:pStyle w:val="9"/>
        <w:outlineLvl w:val="0"/>
        <w:rPr>
          <w:rFonts w:hint="eastAsia"/>
          <w:color w:val="auto"/>
          <w:highlight w:val="none"/>
        </w:rPr>
      </w:pPr>
      <w:bookmarkStart w:id="4" w:name="_Toc80105310"/>
      <w:r>
        <w:rPr>
          <w:rFonts w:hint="eastAsia"/>
          <w:color w:val="auto"/>
          <w:highlight w:val="none"/>
        </w:rPr>
        <w:t>1. 评标依据</w:t>
      </w:r>
      <w:bookmarkEnd w:id="4"/>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本次评标依据下列文件进行：</w:t>
      </w:r>
    </w:p>
    <w:p>
      <w:pPr>
        <w:numPr>
          <w:ilvl w:val="1"/>
          <w:numId w:val="1"/>
        </w:numPr>
        <w:spacing w:line="400" w:lineRule="exact"/>
        <w:rPr>
          <w:rFonts w:hint="eastAsia" w:ascii="宋体" w:hAnsi="宋体"/>
          <w:color w:val="auto"/>
          <w:szCs w:val="21"/>
          <w:highlight w:val="none"/>
        </w:rPr>
      </w:pPr>
      <w:r>
        <w:rPr>
          <w:rFonts w:hint="eastAsia" w:ascii="宋体" w:hAnsi="宋体"/>
          <w:color w:val="auto"/>
          <w:szCs w:val="21"/>
          <w:highlight w:val="none"/>
        </w:rPr>
        <w:t>《中华人民共和国招标投标法》（中华人民共和国主席令第86号，2017年12月27日修订版）；</w:t>
      </w:r>
    </w:p>
    <w:p>
      <w:pPr>
        <w:numPr>
          <w:ilvl w:val="1"/>
          <w:numId w:val="1"/>
        </w:numPr>
        <w:spacing w:line="400" w:lineRule="exact"/>
        <w:rPr>
          <w:rFonts w:hint="eastAsia" w:ascii="宋体" w:hAnsi="宋体"/>
          <w:color w:val="auto"/>
          <w:szCs w:val="21"/>
          <w:highlight w:val="none"/>
        </w:rPr>
      </w:pPr>
      <w:r>
        <w:rPr>
          <w:rFonts w:hint="eastAsia" w:ascii="宋体" w:hAnsi="宋体"/>
          <w:color w:val="auto"/>
          <w:szCs w:val="21"/>
          <w:highlight w:val="none"/>
        </w:rPr>
        <w:t>《中华人民共和国招标投标法实施条例》（中华人民共和国国务院令第676号，2017年3月1日修订版）；</w:t>
      </w:r>
    </w:p>
    <w:p>
      <w:pPr>
        <w:numPr>
          <w:ilvl w:val="1"/>
          <w:numId w:val="1"/>
        </w:numPr>
        <w:spacing w:line="400" w:lineRule="exact"/>
        <w:rPr>
          <w:rFonts w:hint="eastAsia" w:ascii="宋体" w:hAnsi="宋体"/>
          <w:color w:val="auto"/>
          <w:szCs w:val="21"/>
          <w:highlight w:val="none"/>
        </w:rPr>
      </w:pPr>
      <w:r>
        <w:rPr>
          <w:rFonts w:hint="eastAsia" w:ascii="宋体" w:hAnsi="宋体"/>
          <w:color w:val="auto"/>
          <w:szCs w:val="21"/>
          <w:highlight w:val="none"/>
        </w:rPr>
        <w:t>《中华人民共和国合同法》（中华人民共和国主席令第15号）；</w:t>
      </w:r>
    </w:p>
    <w:p>
      <w:pPr>
        <w:numPr>
          <w:ilvl w:val="1"/>
          <w:numId w:val="1"/>
        </w:numPr>
        <w:spacing w:line="400" w:lineRule="exact"/>
        <w:rPr>
          <w:rFonts w:hint="eastAsia" w:ascii="宋体" w:hAnsi="宋体"/>
          <w:color w:val="auto"/>
          <w:szCs w:val="21"/>
          <w:highlight w:val="none"/>
        </w:rPr>
      </w:pPr>
      <w:r>
        <w:rPr>
          <w:rFonts w:hint="eastAsia" w:ascii="宋体" w:hAnsi="宋体"/>
          <w:color w:val="auto"/>
          <w:szCs w:val="21"/>
          <w:highlight w:val="none"/>
        </w:rPr>
        <w:t>《建设工程勘察设计管理条例》（中华人民共和国国务院令第687号，2017年10月7日修订版）；</w:t>
      </w:r>
    </w:p>
    <w:p>
      <w:pPr>
        <w:numPr>
          <w:ilvl w:val="1"/>
          <w:numId w:val="1"/>
        </w:numPr>
        <w:spacing w:line="400" w:lineRule="exact"/>
        <w:rPr>
          <w:rFonts w:hint="eastAsia" w:ascii="宋体" w:hAnsi="宋体"/>
          <w:color w:val="auto"/>
          <w:szCs w:val="21"/>
          <w:highlight w:val="none"/>
        </w:rPr>
      </w:pPr>
      <w:r>
        <w:rPr>
          <w:rFonts w:hint="eastAsia" w:ascii="宋体" w:hAnsi="宋体"/>
          <w:color w:val="auto"/>
          <w:szCs w:val="21"/>
          <w:highlight w:val="none"/>
        </w:rPr>
        <w:t>《工程建设项目勘察设计招标投标办法》（国家发展和改革委员会等九部委令第23号，2013年3月11日修订版）；</w:t>
      </w:r>
    </w:p>
    <w:p>
      <w:pPr>
        <w:numPr>
          <w:ilvl w:val="1"/>
          <w:numId w:val="1"/>
        </w:numPr>
        <w:spacing w:line="400" w:lineRule="exact"/>
        <w:rPr>
          <w:rFonts w:hint="eastAsia" w:ascii="宋体" w:hAnsi="宋体"/>
          <w:color w:val="auto"/>
          <w:szCs w:val="21"/>
          <w:highlight w:val="none"/>
        </w:rPr>
      </w:pPr>
      <w:r>
        <w:rPr>
          <w:rFonts w:hint="eastAsia" w:ascii="宋体" w:hAnsi="宋体"/>
          <w:color w:val="auto"/>
          <w:szCs w:val="21"/>
          <w:highlight w:val="none"/>
        </w:rPr>
        <w:t>《建筑工程设计招标投标管理办法》（中华人民共和国建设部令第32号）；</w:t>
      </w:r>
    </w:p>
    <w:p>
      <w:pPr>
        <w:numPr>
          <w:ilvl w:val="1"/>
          <w:numId w:val="1"/>
        </w:numPr>
        <w:spacing w:line="400" w:lineRule="exact"/>
        <w:rPr>
          <w:rFonts w:hint="eastAsia" w:ascii="宋体" w:hAnsi="宋体"/>
          <w:color w:val="auto"/>
          <w:szCs w:val="21"/>
          <w:highlight w:val="none"/>
        </w:rPr>
      </w:pPr>
      <w:r>
        <w:rPr>
          <w:rFonts w:hint="eastAsia" w:ascii="宋体" w:hAnsi="宋体"/>
          <w:color w:val="auto"/>
          <w:szCs w:val="21"/>
          <w:highlight w:val="none"/>
        </w:rPr>
        <w:t>《评标委员会和评标方法暂行规定》（国家发展计划委员会等八部委令第23号，2013年3月11日修订版）；</w:t>
      </w:r>
    </w:p>
    <w:p>
      <w:pPr>
        <w:numPr>
          <w:ilvl w:val="1"/>
          <w:numId w:val="1"/>
        </w:numPr>
        <w:spacing w:line="400" w:lineRule="exact"/>
        <w:rPr>
          <w:rFonts w:hint="eastAsia" w:ascii="宋体" w:hAnsi="宋体"/>
          <w:color w:val="auto"/>
          <w:szCs w:val="21"/>
          <w:highlight w:val="none"/>
        </w:rPr>
      </w:pPr>
      <w:r>
        <w:rPr>
          <w:rFonts w:hint="eastAsia" w:ascii="宋体" w:hAnsi="宋体"/>
          <w:color w:val="auto"/>
          <w:szCs w:val="21"/>
          <w:highlight w:val="none"/>
        </w:rPr>
        <w:t>《广东省实施&lt;中华人民共和国招标投标法&gt;办法》（</w:t>
      </w:r>
      <w:r>
        <w:rPr>
          <w:rFonts w:ascii="宋体" w:hAnsi="宋体"/>
          <w:color w:val="auto"/>
          <w:szCs w:val="21"/>
          <w:highlight w:val="none"/>
        </w:rPr>
        <w:t>2018年11月29日修订</w:t>
      </w:r>
      <w:r>
        <w:rPr>
          <w:rFonts w:hint="eastAsia" w:ascii="宋体" w:hAnsi="宋体"/>
          <w:color w:val="auto"/>
          <w:szCs w:val="21"/>
          <w:highlight w:val="none"/>
        </w:rPr>
        <w:t>）；</w:t>
      </w:r>
    </w:p>
    <w:p>
      <w:pPr>
        <w:numPr>
          <w:ilvl w:val="1"/>
          <w:numId w:val="1"/>
        </w:numPr>
        <w:spacing w:line="400" w:lineRule="exact"/>
        <w:rPr>
          <w:rFonts w:hint="eastAsia" w:ascii="宋体" w:hAnsi="宋体"/>
          <w:color w:val="auto"/>
          <w:szCs w:val="21"/>
          <w:highlight w:val="none"/>
        </w:rPr>
      </w:pPr>
      <w:r>
        <w:rPr>
          <w:rFonts w:hint="eastAsia" w:ascii="宋体" w:hAnsi="宋体"/>
          <w:color w:val="auto"/>
          <w:szCs w:val="21"/>
          <w:highlight w:val="none"/>
        </w:rPr>
        <w:t>《东莞市建设工程招标投标管理暂行办法》（东府〔2019〕18 号）；</w:t>
      </w:r>
    </w:p>
    <w:p>
      <w:pPr>
        <w:numPr>
          <w:ilvl w:val="1"/>
          <w:numId w:val="1"/>
        </w:numPr>
        <w:tabs>
          <w:tab w:val="left" w:pos="1080"/>
        </w:tabs>
        <w:spacing w:line="400" w:lineRule="exac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东莞市建筑工程设计招标投标改革的通知（试行）</w:t>
      </w:r>
      <w:r>
        <w:rPr>
          <w:rFonts w:hint="eastAsia" w:ascii="宋体" w:hAnsi="宋体"/>
          <w:color w:val="auto"/>
          <w:szCs w:val="21"/>
          <w:highlight w:val="none"/>
        </w:rPr>
        <w:t>》</w:t>
      </w:r>
      <w:r>
        <w:rPr>
          <w:rFonts w:ascii="宋体" w:hAnsi="宋体"/>
          <w:color w:val="auto"/>
          <w:szCs w:val="21"/>
          <w:highlight w:val="none"/>
        </w:rPr>
        <w:t>（东建市〔2019〕19号）</w:t>
      </w:r>
      <w:r>
        <w:rPr>
          <w:rFonts w:hint="eastAsia" w:ascii="宋体" w:hAnsi="宋体"/>
          <w:color w:val="auto"/>
          <w:szCs w:val="21"/>
          <w:highlight w:val="none"/>
        </w:rPr>
        <w:t>；</w:t>
      </w:r>
    </w:p>
    <w:p>
      <w:pPr>
        <w:numPr>
          <w:ilvl w:val="1"/>
          <w:numId w:val="1"/>
        </w:numPr>
        <w:tabs>
          <w:tab w:val="left" w:pos="1080"/>
        </w:tabs>
        <w:spacing w:line="400" w:lineRule="exact"/>
        <w:rPr>
          <w:rFonts w:hint="eastAsia" w:ascii="宋体" w:hAnsi="宋体"/>
          <w:color w:val="auto"/>
          <w:szCs w:val="21"/>
          <w:highlight w:val="none"/>
        </w:rPr>
      </w:pPr>
      <w:r>
        <w:rPr>
          <w:rFonts w:hint="eastAsia" w:ascii="宋体" w:hAnsi="宋体"/>
          <w:color w:val="auto"/>
          <w:szCs w:val="21"/>
          <w:highlight w:val="none"/>
        </w:rPr>
        <w:t>本工程基础资料和</w:t>
      </w:r>
      <w:r>
        <w:rPr>
          <w:rFonts w:hint="eastAsia" w:ascii="宋体" w:hAnsi="宋体"/>
          <w:color w:val="auto"/>
          <w:szCs w:val="21"/>
          <w:highlight w:val="none"/>
          <w:lang w:eastAsia="zh-CN"/>
        </w:rPr>
        <w:t>勘察设计任务书</w:t>
      </w:r>
      <w:r>
        <w:rPr>
          <w:rFonts w:hint="eastAsia" w:ascii="宋体" w:hAnsi="宋体"/>
          <w:color w:val="auto"/>
          <w:szCs w:val="21"/>
          <w:highlight w:val="none"/>
        </w:rPr>
        <w:t>；</w:t>
      </w:r>
    </w:p>
    <w:p>
      <w:pPr>
        <w:numPr>
          <w:ilvl w:val="1"/>
          <w:numId w:val="1"/>
        </w:numPr>
        <w:tabs>
          <w:tab w:val="left" w:pos="1080"/>
        </w:tabs>
        <w:spacing w:line="400" w:lineRule="exact"/>
        <w:rPr>
          <w:rFonts w:hint="eastAsia" w:ascii="宋体" w:hAnsi="宋体"/>
          <w:color w:val="auto"/>
          <w:szCs w:val="21"/>
          <w:highlight w:val="none"/>
        </w:rPr>
      </w:pPr>
      <w:r>
        <w:rPr>
          <w:rFonts w:hint="eastAsia" w:ascii="宋体" w:hAnsi="宋体"/>
          <w:color w:val="auto"/>
          <w:szCs w:val="21"/>
          <w:highlight w:val="none"/>
        </w:rPr>
        <w:t>本招标文件及其补充通知和补充资料。</w:t>
      </w:r>
    </w:p>
    <w:p>
      <w:pPr>
        <w:pStyle w:val="9"/>
        <w:outlineLvl w:val="0"/>
        <w:rPr>
          <w:rFonts w:hint="eastAsia"/>
          <w:color w:val="auto"/>
          <w:highlight w:val="none"/>
        </w:rPr>
      </w:pPr>
      <w:bookmarkStart w:id="5" w:name="_Toc80105311"/>
      <w:r>
        <w:rPr>
          <w:rFonts w:hint="eastAsia"/>
          <w:color w:val="auto"/>
          <w:highlight w:val="none"/>
        </w:rPr>
        <w:t>2. 评标原则和目的</w:t>
      </w:r>
      <w:bookmarkEnd w:id="5"/>
    </w:p>
    <w:p>
      <w:pPr>
        <w:pStyle w:val="10"/>
        <w:outlineLvl w:val="0"/>
        <w:rPr>
          <w:rFonts w:hint="eastAsia"/>
          <w:color w:val="auto"/>
          <w:highlight w:val="none"/>
        </w:rPr>
      </w:pPr>
      <w:bookmarkStart w:id="6" w:name="_Toc80105312"/>
      <w:r>
        <w:rPr>
          <w:rFonts w:hint="eastAsia"/>
          <w:color w:val="auto"/>
          <w:highlight w:val="none"/>
        </w:rPr>
        <w:t>2.1 评标原则</w:t>
      </w:r>
      <w:bookmarkEnd w:id="6"/>
    </w:p>
    <w:p>
      <w:pPr>
        <w:spacing w:line="400" w:lineRule="exact"/>
        <w:ind w:firstLine="420" w:firstLineChars="200"/>
        <w:rPr>
          <w:rFonts w:hint="eastAsia"/>
          <w:color w:val="auto"/>
          <w:highlight w:val="none"/>
        </w:rPr>
      </w:pPr>
      <w:r>
        <w:rPr>
          <w:rFonts w:hint="eastAsia"/>
          <w:color w:val="auto"/>
          <w:highlight w:val="none"/>
        </w:rPr>
        <w:t>评标原则见第二章“投标人须知”第7.2款。</w:t>
      </w:r>
    </w:p>
    <w:p>
      <w:pPr>
        <w:pStyle w:val="10"/>
        <w:outlineLvl w:val="0"/>
        <w:rPr>
          <w:rFonts w:hint="eastAsia"/>
          <w:color w:val="auto"/>
          <w:highlight w:val="none"/>
        </w:rPr>
      </w:pPr>
      <w:bookmarkStart w:id="7" w:name="_Toc80105313"/>
      <w:r>
        <w:rPr>
          <w:rFonts w:hint="eastAsia"/>
          <w:color w:val="auto"/>
          <w:highlight w:val="none"/>
        </w:rPr>
        <w:t>2.2 评标目的</w:t>
      </w:r>
      <w:bookmarkEnd w:id="7"/>
    </w:p>
    <w:p>
      <w:pPr>
        <w:spacing w:line="400" w:lineRule="exact"/>
        <w:ind w:firstLine="420" w:firstLineChars="200"/>
        <w:rPr>
          <w:rFonts w:hint="eastAsia"/>
          <w:color w:val="auto"/>
          <w:highlight w:val="none"/>
        </w:rPr>
      </w:pPr>
      <w:r>
        <w:rPr>
          <w:color w:val="auto"/>
          <w:highlight w:val="none"/>
        </w:rPr>
        <w:t>根据</w:t>
      </w:r>
      <w:r>
        <w:rPr>
          <w:rFonts w:hint="eastAsia"/>
          <w:color w:val="auto"/>
          <w:highlight w:val="none"/>
        </w:rPr>
        <w:t>本章</w:t>
      </w:r>
      <w:r>
        <w:rPr>
          <w:color w:val="auto"/>
          <w:highlight w:val="none"/>
        </w:rPr>
        <w:t>评标</w:t>
      </w:r>
      <w:r>
        <w:rPr>
          <w:rFonts w:hint="eastAsia"/>
          <w:color w:val="auto"/>
          <w:highlight w:val="none"/>
        </w:rPr>
        <w:t>方法和评审</w:t>
      </w:r>
      <w:r>
        <w:rPr>
          <w:color w:val="auto"/>
          <w:highlight w:val="none"/>
        </w:rPr>
        <w:t>标准，只对有效投标人（指扣除被取消投标资格和</w:t>
      </w:r>
      <w:r>
        <w:rPr>
          <w:rFonts w:hint="eastAsia"/>
          <w:color w:val="auto"/>
          <w:highlight w:val="none"/>
        </w:rPr>
        <w:t>其投标</w:t>
      </w:r>
      <w:r>
        <w:rPr>
          <w:color w:val="auto"/>
          <w:highlight w:val="none"/>
        </w:rPr>
        <w:t>被</w:t>
      </w:r>
      <w:r>
        <w:rPr>
          <w:rFonts w:hint="eastAsia"/>
          <w:color w:val="auto"/>
          <w:highlight w:val="none"/>
        </w:rPr>
        <w:t>否决</w:t>
      </w:r>
      <w:r>
        <w:rPr>
          <w:color w:val="auto"/>
          <w:highlight w:val="none"/>
        </w:rPr>
        <w:t>以外的投标人）的投标文件进行评审比较，以选出最佳综合评价的中标</w:t>
      </w:r>
      <w:r>
        <w:rPr>
          <w:rFonts w:hint="eastAsia"/>
          <w:color w:val="auto"/>
          <w:highlight w:val="none"/>
        </w:rPr>
        <w:t>候选</w:t>
      </w:r>
      <w:r>
        <w:rPr>
          <w:color w:val="auto"/>
          <w:highlight w:val="none"/>
        </w:rPr>
        <w:t>人</w:t>
      </w:r>
      <w:r>
        <w:rPr>
          <w:rFonts w:hint="eastAsia"/>
          <w:color w:val="auto"/>
          <w:highlight w:val="none"/>
        </w:rPr>
        <w:t>。</w:t>
      </w:r>
    </w:p>
    <w:p>
      <w:pPr>
        <w:pStyle w:val="9"/>
        <w:outlineLvl w:val="0"/>
        <w:rPr>
          <w:rFonts w:hint="eastAsia"/>
          <w:color w:val="auto"/>
          <w:highlight w:val="none"/>
        </w:rPr>
      </w:pPr>
      <w:bookmarkStart w:id="8" w:name="_Toc152045589"/>
      <w:bookmarkStart w:id="9" w:name="_Toc80105314"/>
      <w:bookmarkStart w:id="10" w:name="_Toc152042366"/>
      <w:bookmarkStart w:id="11" w:name="_Toc144974556"/>
      <w:r>
        <w:rPr>
          <w:rFonts w:hint="eastAsia"/>
          <w:color w:val="auto"/>
          <w:highlight w:val="none"/>
        </w:rPr>
        <w:t>3. 评标方法</w:t>
      </w:r>
      <w:bookmarkEnd w:id="8"/>
      <w:bookmarkEnd w:id="9"/>
      <w:bookmarkEnd w:id="10"/>
      <w:bookmarkEnd w:id="11"/>
    </w:p>
    <w:p>
      <w:pPr>
        <w:tabs>
          <w:tab w:val="left" w:pos="7560"/>
        </w:tabs>
        <w:spacing w:line="400" w:lineRule="exact"/>
        <w:ind w:firstLine="420" w:firstLineChars="200"/>
        <w:rPr>
          <w:rFonts w:hint="eastAsia"/>
          <w:color w:val="auto"/>
          <w:highlight w:val="none"/>
        </w:rPr>
      </w:pPr>
      <w:r>
        <w:rPr>
          <w:rFonts w:hAnsi="宋体"/>
          <w:color w:val="auto"/>
          <w:szCs w:val="21"/>
          <w:highlight w:val="none"/>
        </w:rPr>
        <w:t>本次评标采</w:t>
      </w:r>
      <w:r>
        <w:rPr>
          <w:rFonts w:hint="eastAsia" w:hAnsi="宋体"/>
          <w:color w:val="auto"/>
          <w:szCs w:val="21"/>
          <w:highlight w:val="none"/>
        </w:rPr>
        <w:t>用百分制综合评估法。</w:t>
      </w:r>
      <w:r>
        <w:rPr>
          <w:rFonts w:hint="eastAsia"/>
          <w:color w:val="auto"/>
          <w:highlight w:val="none"/>
        </w:rPr>
        <w:t>评标委员会对满足招标文件实质要求的投标文件，根据本章第4条规定的因素及标准进行</w:t>
      </w:r>
      <w:r>
        <w:rPr>
          <w:rFonts w:hAnsi="宋体"/>
          <w:color w:val="auto"/>
          <w:szCs w:val="21"/>
          <w:highlight w:val="none"/>
        </w:rPr>
        <w:t>评审和比较，以评分的方式进行评估。</w:t>
      </w:r>
    </w:p>
    <w:p>
      <w:pPr>
        <w:pStyle w:val="9"/>
        <w:outlineLvl w:val="0"/>
        <w:rPr>
          <w:rFonts w:hint="eastAsia"/>
          <w:color w:val="auto"/>
          <w:highlight w:val="none"/>
        </w:rPr>
      </w:pPr>
      <w:bookmarkStart w:id="12" w:name="_Toc152045590"/>
      <w:bookmarkStart w:id="13" w:name="_Toc144974557"/>
      <w:bookmarkStart w:id="14" w:name="_Toc152042367"/>
      <w:bookmarkStart w:id="15" w:name="_Toc80105315"/>
      <w:r>
        <w:rPr>
          <w:rFonts w:hint="eastAsia"/>
          <w:color w:val="auto"/>
          <w:highlight w:val="none"/>
        </w:rPr>
        <w:t>4. 评审标准</w:t>
      </w:r>
      <w:bookmarkEnd w:id="12"/>
      <w:bookmarkEnd w:id="13"/>
      <w:bookmarkEnd w:id="14"/>
      <w:bookmarkEnd w:id="15"/>
    </w:p>
    <w:p>
      <w:pPr>
        <w:pStyle w:val="10"/>
        <w:outlineLvl w:val="0"/>
        <w:rPr>
          <w:rFonts w:hint="eastAsia"/>
          <w:color w:val="auto"/>
          <w:highlight w:val="none"/>
        </w:rPr>
      </w:pPr>
      <w:bookmarkStart w:id="16" w:name="_Toc80105316"/>
      <w:bookmarkStart w:id="17" w:name="_Toc418599299"/>
      <w:r>
        <w:rPr>
          <w:rFonts w:hint="eastAsia"/>
          <w:color w:val="auto"/>
          <w:highlight w:val="none"/>
        </w:rPr>
        <w:t>4.1 有效性评审标准</w:t>
      </w:r>
      <w:bookmarkEnd w:id="16"/>
      <w:bookmarkEnd w:id="17"/>
    </w:p>
    <w:p>
      <w:pPr>
        <w:numPr>
          <w:ilvl w:val="1"/>
          <w:numId w:val="2"/>
        </w:numPr>
        <w:tabs>
          <w:tab w:val="left" w:pos="0"/>
          <w:tab w:val="left" w:pos="1080"/>
        </w:tabs>
        <w:spacing w:line="400" w:lineRule="exact"/>
        <w:ind w:left="0" w:firstLine="425"/>
        <w:rPr>
          <w:rFonts w:hint="eastAsia"/>
          <w:color w:val="auto"/>
          <w:highlight w:val="none"/>
        </w:rPr>
      </w:pPr>
      <w:r>
        <w:rPr>
          <w:rFonts w:hint="eastAsia" w:ascii="宋体" w:hAnsi="宋体"/>
          <w:color w:val="auto"/>
          <w:spacing w:val="6"/>
          <w:szCs w:val="21"/>
          <w:highlight w:val="none"/>
        </w:rPr>
        <w:t>技术部分有效性评审标准：见评标办法前附表1（另册）</w:t>
      </w:r>
      <w:r>
        <w:rPr>
          <w:rFonts w:hint="eastAsia"/>
          <w:color w:val="auto"/>
          <w:highlight w:val="none"/>
        </w:rPr>
        <w:t>。</w:t>
      </w:r>
    </w:p>
    <w:p>
      <w:pPr>
        <w:numPr>
          <w:ilvl w:val="1"/>
          <w:numId w:val="2"/>
        </w:numPr>
        <w:tabs>
          <w:tab w:val="left" w:pos="0"/>
          <w:tab w:val="left" w:pos="1080"/>
        </w:tabs>
        <w:spacing w:line="400" w:lineRule="exact"/>
        <w:ind w:left="0" w:firstLine="425"/>
        <w:rPr>
          <w:rFonts w:hint="eastAsia"/>
          <w:color w:val="auto"/>
          <w:highlight w:val="none"/>
        </w:rPr>
      </w:pPr>
      <w:r>
        <w:rPr>
          <w:rFonts w:hint="eastAsia"/>
          <w:color w:val="auto"/>
          <w:highlight w:val="none"/>
        </w:rPr>
        <w:t>商务部分有效性评审标准：见评标办法前附表1</w:t>
      </w:r>
      <w:r>
        <w:rPr>
          <w:rFonts w:hint="eastAsia" w:ascii="宋体" w:hAnsi="宋体"/>
          <w:color w:val="auto"/>
          <w:spacing w:val="6"/>
          <w:szCs w:val="21"/>
          <w:highlight w:val="none"/>
        </w:rPr>
        <w:t>（另册）</w:t>
      </w:r>
      <w:r>
        <w:rPr>
          <w:rFonts w:hint="eastAsia"/>
          <w:color w:val="auto"/>
          <w:highlight w:val="none"/>
        </w:rPr>
        <w:t>。</w:t>
      </w:r>
    </w:p>
    <w:p>
      <w:pPr>
        <w:pStyle w:val="10"/>
        <w:outlineLvl w:val="0"/>
        <w:rPr>
          <w:rFonts w:hint="eastAsia"/>
          <w:color w:val="auto"/>
          <w:highlight w:val="none"/>
        </w:rPr>
      </w:pPr>
      <w:bookmarkStart w:id="18" w:name="_Toc418599300"/>
      <w:bookmarkStart w:id="19" w:name="_Toc80105317"/>
      <w:r>
        <w:rPr>
          <w:rFonts w:hint="eastAsia"/>
          <w:color w:val="auto"/>
          <w:highlight w:val="none"/>
        </w:rPr>
        <w:t>4.2 详细评审标准</w:t>
      </w:r>
      <w:bookmarkEnd w:id="18"/>
      <w:bookmarkEnd w:id="19"/>
    </w:p>
    <w:p>
      <w:pPr>
        <w:numPr>
          <w:ilvl w:val="1"/>
          <w:numId w:val="3"/>
        </w:numPr>
        <w:tabs>
          <w:tab w:val="left" w:pos="1080"/>
        </w:tabs>
        <w:spacing w:line="400" w:lineRule="exact"/>
        <w:rPr>
          <w:rFonts w:hint="eastAsia"/>
          <w:color w:val="auto"/>
          <w:highlight w:val="none"/>
        </w:rPr>
      </w:pPr>
      <w:r>
        <w:rPr>
          <w:rFonts w:hint="eastAsia"/>
          <w:color w:val="auto"/>
          <w:highlight w:val="none"/>
        </w:rPr>
        <w:t>技术部分详细评审标准：见评标办法前附表2</w:t>
      </w:r>
      <w:r>
        <w:rPr>
          <w:rFonts w:hint="eastAsia" w:ascii="宋体" w:hAnsi="宋体"/>
          <w:color w:val="auto"/>
          <w:spacing w:val="6"/>
          <w:szCs w:val="21"/>
          <w:highlight w:val="none"/>
        </w:rPr>
        <w:t>（另册）</w:t>
      </w:r>
      <w:r>
        <w:rPr>
          <w:rFonts w:hint="eastAsia"/>
          <w:color w:val="auto"/>
          <w:highlight w:val="none"/>
        </w:rPr>
        <w:t>。</w:t>
      </w:r>
    </w:p>
    <w:p>
      <w:pPr>
        <w:numPr>
          <w:ilvl w:val="1"/>
          <w:numId w:val="3"/>
        </w:numPr>
        <w:tabs>
          <w:tab w:val="left" w:pos="1080"/>
        </w:tabs>
        <w:spacing w:line="400" w:lineRule="exact"/>
        <w:rPr>
          <w:rFonts w:hint="eastAsia"/>
          <w:color w:val="auto"/>
          <w:highlight w:val="none"/>
        </w:rPr>
      </w:pPr>
      <w:r>
        <w:rPr>
          <w:rFonts w:hint="eastAsia"/>
          <w:color w:val="auto"/>
          <w:highlight w:val="none"/>
        </w:rPr>
        <w:t>商务部分详细评审标准：见评标办法前附表3</w:t>
      </w:r>
      <w:r>
        <w:rPr>
          <w:rFonts w:hint="eastAsia" w:ascii="宋体" w:hAnsi="宋体"/>
          <w:color w:val="auto"/>
          <w:spacing w:val="6"/>
          <w:szCs w:val="21"/>
          <w:highlight w:val="none"/>
        </w:rPr>
        <w:t>（另册）</w:t>
      </w:r>
      <w:r>
        <w:rPr>
          <w:rFonts w:hint="eastAsia"/>
          <w:color w:val="auto"/>
          <w:highlight w:val="none"/>
        </w:rPr>
        <w:t>。</w:t>
      </w:r>
    </w:p>
    <w:p>
      <w:pPr>
        <w:pStyle w:val="9"/>
        <w:outlineLvl w:val="0"/>
        <w:rPr>
          <w:rFonts w:hint="eastAsia"/>
          <w:color w:val="auto"/>
          <w:highlight w:val="none"/>
        </w:rPr>
      </w:pPr>
      <w:bookmarkStart w:id="20" w:name="_Toc152042370"/>
      <w:bookmarkStart w:id="21" w:name="_Toc144974560"/>
      <w:bookmarkStart w:id="22" w:name="_Toc152045593"/>
      <w:bookmarkStart w:id="23" w:name="_Toc80105318"/>
      <w:r>
        <w:rPr>
          <w:rFonts w:hint="eastAsia"/>
          <w:color w:val="auto"/>
          <w:highlight w:val="none"/>
        </w:rPr>
        <w:t xml:space="preserve">5. </w:t>
      </w:r>
      <w:bookmarkEnd w:id="20"/>
      <w:bookmarkEnd w:id="21"/>
      <w:bookmarkEnd w:id="22"/>
      <w:r>
        <w:rPr>
          <w:rFonts w:hint="eastAsia"/>
          <w:color w:val="auto"/>
          <w:highlight w:val="none"/>
        </w:rPr>
        <w:t>评审细则</w:t>
      </w:r>
      <w:bookmarkEnd w:id="23"/>
    </w:p>
    <w:p>
      <w:pPr>
        <w:pStyle w:val="10"/>
        <w:outlineLvl w:val="0"/>
        <w:rPr>
          <w:rFonts w:hint="eastAsia"/>
          <w:color w:val="auto"/>
          <w:highlight w:val="none"/>
        </w:rPr>
      </w:pPr>
      <w:bookmarkStart w:id="24" w:name="_Toc80105319"/>
      <w:r>
        <w:rPr>
          <w:rFonts w:hint="eastAsia"/>
          <w:color w:val="auto"/>
          <w:highlight w:val="none"/>
        </w:rPr>
        <w:t>5.1 评标组织机构</w:t>
      </w:r>
      <w:bookmarkEnd w:id="24"/>
    </w:p>
    <w:p>
      <w:pPr>
        <w:spacing w:line="400" w:lineRule="exact"/>
        <w:ind w:firstLine="420" w:firstLineChars="200"/>
        <w:rPr>
          <w:rFonts w:hint="eastAsia"/>
          <w:color w:val="auto"/>
          <w:highlight w:val="none"/>
        </w:rPr>
      </w:pPr>
      <w:r>
        <w:rPr>
          <w:rFonts w:hint="eastAsia"/>
          <w:color w:val="auto"/>
          <w:highlight w:val="none"/>
        </w:rPr>
        <w:t>5.1.1 本项目的评标组织机构为由招标人按</w:t>
      </w:r>
      <w:r>
        <w:rPr>
          <w:rFonts w:hint="eastAsia" w:hAnsi="宋体"/>
          <w:color w:val="auto"/>
          <w:szCs w:val="21"/>
          <w:highlight w:val="none"/>
        </w:rPr>
        <w:t>第二章“投标人须知”第7.1.1项</w:t>
      </w:r>
      <w:r>
        <w:rPr>
          <w:rFonts w:hint="eastAsia"/>
          <w:color w:val="auto"/>
          <w:highlight w:val="none"/>
        </w:rPr>
        <w:t>规定组建的评标委员会。参与评标会议的工作人员由招标人根据相关规定和工作量大小派出。</w:t>
      </w:r>
    </w:p>
    <w:p>
      <w:pPr>
        <w:spacing w:line="400" w:lineRule="exact"/>
        <w:ind w:firstLine="420" w:firstLineChars="200"/>
        <w:rPr>
          <w:rFonts w:hint="eastAsia" w:hAnsi="宋体"/>
          <w:color w:val="auto"/>
          <w:szCs w:val="21"/>
          <w:highlight w:val="none"/>
        </w:rPr>
      </w:pPr>
      <w:r>
        <w:rPr>
          <w:rFonts w:hint="eastAsia"/>
          <w:color w:val="auto"/>
          <w:highlight w:val="none"/>
        </w:rPr>
        <w:t xml:space="preserve">5.1.2 </w:t>
      </w:r>
      <w:r>
        <w:rPr>
          <w:rFonts w:hint="eastAsia" w:hAnsi="宋体"/>
          <w:color w:val="auto"/>
          <w:szCs w:val="21"/>
          <w:highlight w:val="none"/>
        </w:rPr>
        <w:t>评标委员会设负责人，负责人由评标委员会成员推举产生</w:t>
      </w:r>
      <w:r>
        <w:rPr>
          <w:rFonts w:hint="eastAsia"/>
          <w:color w:val="auto"/>
          <w:highlight w:val="none"/>
        </w:rPr>
        <w:t>（业主专家不得担任评标委员会负责人）</w:t>
      </w:r>
      <w:r>
        <w:rPr>
          <w:rFonts w:hint="eastAsia" w:hAnsi="宋体"/>
          <w:color w:val="auto"/>
          <w:szCs w:val="21"/>
          <w:highlight w:val="none"/>
        </w:rPr>
        <w:t>，与其他成员有同等的表决权。评标委员会负责人，负责组织本次工程评标的全部工作</w:t>
      </w:r>
      <w:r>
        <w:rPr>
          <w:rFonts w:hAnsi="宋体"/>
          <w:color w:val="auto"/>
          <w:szCs w:val="21"/>
          <w:highlight w:val="none"/>
        </w:rPr>
        <w:t>。</w:t>
      </w:r>
    </w:p>
    <w:p>
      <w:pPr>
        <w:spacing w:line="400" w:lineRule="exact"/>
        <w:ind w:firstLine="420" w:firstLineChars="200"/>
        <w:rPr>
          <w:rFonts w:hint="eastAsia" w:hAnsi="宋体"/>
          <w:color w:val="auto"/>
          <w:szCs w:val="21"/>
          <w:highlight w:val="none"/>
        </w:rPr>
      </w:pPr>
      <w:r>
        <w:rPr>
          <w:rFonts w:hint="eastAsia" w:hAnsi="宋体"/>
          <w:color w:val="auto"/>
          <w:szCs w:val="21"/>
          <w:highlight w:val="none"/>
        </w:rPr>
        <w:t>5.1.3 参与评标会议的工作人员不参与评标的决策，无表决权，只协助评标委员会进行资料整理等事务性工作</w:t>
      </w:r>
      <w:r>
        <w:rPr>
          <w:rFonts w:hAnsi="宋体"/>
          <w:color w:val="auto"/>
          <w:szCs w:val="21"/>
          <w:highlight w:val="none"/>
        </w:rPr>
        <w:t>。</w:t>
      </w:r>
    </w:p>
    <w:p>
      <w:pPr>
        <w:pStyle w:val="10"/>
        <w:outlineLvl w:val="0"/>
        <w:rPr>
          <w:rFonts w:hint="eastAsia"/>
          <w:color w:val="auto"/>
          <w:highlight w:val="none"/>
        </w:rPr>
      </w:pPr>
      <w:bookmarkStart w:id="25" w:name="_Toc80105320"/>
      <w:r>
        <w:rPr>
          <w:rFonts w:hint="eastAsia"/>
          <w:color w:val="auto"/>
          <w:highlight w:val="none"/>
        </w:rPr>
        <w:t xml:space="preserve">5.2 </w:t>
      </w:r>
      <w:r>
        <w:rPr>
          <w:color w:val="auto"/>
          <w:highlight w:val="none"/>
        </w:rPr>
        <w:t>评标委员会的主要工作内容</w:t>
      </w:r>
      <w:bookmarkEnd w:id="25"/>
    </w:p>
    <w:p>
      <w:pPr>
        <w:spacing w:line="400" w:lineRule="exact"/>
        <w:ind w:firstLine="420" w:firstLineChars="200"/>
        <w:rPr>
          <w:rFonts w:hint="eastAsia" w:hAnsi="宋体"/>
          <w:color w:val="auto"/>
          <w:szCs w:val="21"/>
          <w:highlight w:val="none"/>
        </w:rPr>
      </w:pPr>
      <w:r>
        <w:rPr>
          <w:rFonts w:hint="eastAsia" w:hAnsi="宋体"/>
          <w:color w:val="auto"/>
          <w:szCs w:val="21"/>
          <w:highlight w:val="none"/>
        </w:rPr>
        <w:t xml:space="preserve">5.2.1 </w:t>
      </w:r>
      <w:r>
        <w:rPr>
          <w:rFonts w:hAnsi="宋体"/>
          <w:color w:val="auto"/>
          <w:szCs w:val="21"/>
          <w:highlight w:val="none"/>
        </w:rPr>
        <w:t>负责评标前的准备工作，认真研究招标文件，至少应了解和熟悉以下内容</w:t>
      </w:r>
      <w:r>
        <w:rPr>
          <w:rFonts w:hint="eastAsia" w:hAnsi="宋体"/>
          <w:color w:val="auto"/>
          <w:szCs w:val="21"/>
          <w:highlight w:val="none"/>
        </w:rPr>
        <w:t>：</w:t>
      </w:r>
    </w:p>
    <w:p>
      <w:pPr>
        <w:spacing w:line="440" w:lineRule="exact"/>
        <w:ind w:left="359" w:leftChars="171" w:firstLine="359" w:firstLineChars="171"/>
        <w:rPr>
          <w:rFonts w:hint="eastAsia" w:hAnsi="宋体"/>
          <w:color w:val="auto"/>
          <w:szCs w:val="21"/>
          <w:highlight w:val="none"/>
        </w:rPr>
      </w:pPr>
      <w:r>
        <w:rPr>
          <w:rFonts w:hint="eastAsia"/>
          <w:color w:val="auto"/>
          <w:highlight w:val="none"/>
        </w:rPr>
        <w:t>（1）</w:t>
      </w:r>
      <w:r>
        <w:rPr>
          <w:rFonts w:hAnsi="宋体"/>
          <w:color w:val="auto"/>
          <w:szCs w:val="21"/>
          <w:highlight w:val="none"/>
        </w:rPr>
        <w:t>招标的目标</w:t>
      </w:r>
      <w:r>
        <w:rPr>
          <w:rFonts w:hint="eastAsia" w:hAnsi="宋体"/>
          <w:color w:val="auto"/>
          <w:szCs w:val="21"/>
          <w:highlight w:val="none"/>
        </w:rPr>
        <w:t>；</w:t>
      </w:r>
    </w:p>
    <w:p>
      <w:pPr>
        <w:spacing w:line="440" w:lineRule="exact"/>
        <w:ind w:left="359" w:leftChars="171" w:firstLine="359" w:firstLineChars="171"/>
        <w:rPr>
          <w:rFonts w:hint="eastAsia" w:hAnsi="宋体"/>
          <w:color w:val="auto"/>
          <w:szCs w:val="21"/>
          <w:highlight w:val="none"/>
        </w:rPr>
      </w:pPr>
      <w:r>
        <w:rPr>
          <w:rFonts w:hint="eastAsia" w:hAnsi="宋体"/>
          <w:color w:val="auto"/>
          <w:szCs w:val="21"/>
          <w:highlight w:val="none"/>
        </w:rPr>
        <w:t>（2）</w:t>
      </w:r>
      <w:r>
        <w:rPr>
          <w:rFonts w:hAnsi="宋体"/>
          <w:color w:val="auto"/>
          <w:szCs w:val="21"/>
          <w:highlight w:val="none"/>
        </w:rPr>
        <w:t>招标项目的范围和性质</w:t>
      </w:r>
      <w:r>
        <w:rPr>
          <w:rFonts w:hint="eastAsia" w:hAnsi="宋体"/>
          <w:color w:val="auto"/>
          <w:szCs w:val="21"/>
          <w:highlight w:val="none"/>
        </w:rPr>
        <w:t>；</w:t>
      </w:r>
    </w:p>
    <w:p>
      <w:pPr>
        <w:spacing w:line="440" w:lineRule="exact"/>
        <w:ind w:left="359" w:leftChars="171" w:firstLine="359" w:firstLineChars="171"/>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招标文件中规定的主要技术要求、标准</w:t>
      </w:r>
      <w:r>
        <w:rPr>
          <w:rFonts w:hint="eastAsia" w:hAnsi="宋体"/>
          <w:color w:val="auto"/>
          <w:szCs w:val="21"/>
          <w:highlight w:val="none"/>
        </w:rPr>
        <w:t>等；</w:t>
      </w:r>
    </w:p>
    <w:p>
      <w:pPr>
        <w:spacing w:line="440" w:lineRule="exact"/>
        <w:ind w:left="359" w:leftChars="171" w:firstLine="359" w:firstLineChars="171"/>
        <w:rPr>
          <w:rFonts w:hint="eastAsia" w:hAnsi="宋体"/>
          <w:color w:val="auto"/>
          <w:szCs w:val="21"/>
          <w:highlight w:val="none"/>
        </w:rPr>
      </w:pPr>
      <w:r>
        <w:rPr>
          <w:rFonts w:hint="eastAsia" w:hAnsi="宋体"/>
          <w:color w:val="auto"/>
          <w:szCs w:val="21"/>
          <w:highlight w:val="none"/>
        </w:rPr>
        <w:t>（4）</w:t>
      </w:r>
      <w:r>
        <w:rPr>
          <w:rFonts w:hAnsi="宋体"/>
          <w:color w:val="auto"/>
          <w:szCs w:val="21"/>
          <w:highlight w:val="none"/>
        </w:rPr>
        <w:t>招标文件规定的评标方法</w:t>
      </w:r>
      <w:r>
        <w:rPr>
          <w:rFonts w:hint="eastAsia" w:hAnsi="宋体"/>
          <w:color w:val="auto"/>
          <w:szCs w:val="21"/>
          <w:highlight w:val="none"/>
        </w:rPr>
        <w:t>、</w:t>
      </w:r>
      <w:r>
        <w:rPr>
          <w:rFonts w:hAnsi="宋体"/>
          <w:color w:val="auto"/>
          <w:szCs w:val="21"/>
          <w:highlight w:val="none"/>
        </w:rPr>
        <w:t>评</w:t>
      </w:r>
      <w:r>
        <w:rPr>
          <w:rFonts w:hint="eastAsia" w:hAnsi="宋体"/>
          <w:color w:val="auto"/>
          <w:szCs w:val="21"/>
          <w:highlight w:val="none"/>
        </w:rPr>
        <w:t>审</w:t>
      </w:r>
      <w:r>
        <w:rPr>
          <w:rFonts w:hAnsi="宋体"/>
          <w:color w:val="auto"/>
          <w:szCs w:val="21"/>
          <w:highlight w:val="none"/>
        </w:rPr>
        <w:t>标准和评标过程中考虑的相关因素</w:t>
      </w:r>
      <w:r>
        <w:rPr>
          <w:rFonts w:hint="eastAsia" w:hAnsi="宋体"/>
          <w:color w:val="auto"/>
          <w:szCs w:val="21"/>
          <w:highlight w:val="none"/>
        </w:rPr>
        <w:t>等。</w:t>
      </w:r>
    </w:p>
    <w:p>
      <w:pPr>
        <w:spacing w:line="400" w:lineRule="exact"/>
        <w:ind w:firstLine="420" w:firstLineChars="200"/>
        <w:rPr>
          <w:rFonts w:hint="eastAsia" w:hAnsi="宋体"/>
          <w:color w:val="auto"/>
          <w:szCs w:val="21"/>
          <w:highlight w:val="none"/>
        </w:rPr>
      </w:pPr>
      <w:r>
        <w:rPr>
          <w:rFonts w:hint="eastAsia" w:hAnsi="宋体"/>
          <w:color w:val="auto"/>
          <w:szCs w:val="21"/>
          <w:highlight w:val="none"/>
        </w:rPr>
        <w:t>5.2.2</w:t>
      </w:r>
      <w:r>
        <w:rPr>
          <w:rFonts w:hAnsi="宋体"/>
          <w:color w:val="auto"/>
          <w:szCs w:val="21"/>
          <w:highlight w:val="none"/>
        </w:rPr>
        <w:t>按本</w:t>
      </w:r>
      <w:r>
        <w:rPr>
          <w:rFonts w:hint="eastAsia" w:hAnsi="宋体"/>
          <w:color w:val="auto"/>
          <w:szCs w:val="21"/>
          <w:highlight w:val="none"/>
        </w:rPr>
        <w:t>章第3条“评标</w:t>
      </w:r>
      <w:r>
        <w:rPr>
          <w:rFonts w:hAnsi="宋体"/>
          <w:color w:val="auto"/>
          <w:szCs w:val="21"/>
          <w:highlight w:val="none"/>
        </w:rPr>
        <w:t>方法</w:t>
      </w:r>
      <w:r>
        <w:rPr>
          <w:rFonts w:hint="eastAsia" w:hAnsi="宋体"/>
          <w:color w:val="auto"/>
          <w:szCs w:val="21"/>
          <w:highlight w:val="none"/>
        </w:rPr>
        <w:t>”和第4条“评审</w:t>
      </w:r>
      <w:r>
        <w:rPr>
          <w:rFonts w:hAnsi="宋体"/>
          <w:color w:val="auto"/>
          <w:szCs w:val="21"/>
          <w:highlight w:val="none"/>
        </w:rPr>
        <w:t>标准</w:t>
      </w:r>
      <w:r>
        <w:rPr>
          <w:rFonts w:hint="eastAsia" w:hAnsi="宋体"/>
          <w:color w:val="auto"/>
          <w:szCs w:val="21"/>
          <w:highlight w:val="none"/>
        </w:rPr>
        <w:t>”</w:t>
      </w:r>
      <w:r>
        <w:rPr>
          <w:rFonts w:hAnsi="宋体"/>
          <w:color w:val="auto"/>
          <w:szCs w:val="21"/>
          <w:highlight w:val="none"/>
        </w:rPr>
        <w:t>的规定对投标人的投标文件</w:t>
      </w:r>
      <w:r>
        <w:rPr>
          <w:rFonts w:hint="eastAsia" w:hAnsi="宋体"/>
          <w:color w:val="auto"/>
          <w:szCs w:val="21"/>
          <w:highlight w:val="none"/>
        </w:rPr>
        <w:t>技术部分进行有效性评审和</w:t>
      </w:r>
      <w:r>
        <w:rPr>
          <w:rFonts w:hAnsi="宋体"/>
          <w:color w:val="auto"/>
          <w:szCs w:val="21"/>
          <w:highlight w:val="none"/>
        </w:rPr>
        <w:t>详细评审</w:t>
      </w:r>
      <w:r>
        <w:rPr>
          <w:rFonts w:hint="eastAsia" w:hAnsi="宋体"/>
          <w:color w:val="auto"/>
          <w:szCs w:val="21"/>
          <w:highlight w:val="none"/>
        </w:rPr>
        <w:t>。</w:t>
      </w:r>
    </w:p>
    <w:p>
      <w:pPr>
        <w:spacing w:line="400" w:lineRule="exact"/>
        <w:ind w:firstLine="420" w:firstLineChars="200"/>
        <w:rPr>
          <w:rFonts w:hint="eastAsia" w:hAnsi="宋体"/>
          <w:color w:val="auto"/>
          <w:szCs w:val="21"/>
          <w:highlight w:val="none"/>
        </w:rPr>
      </w:pPr>
      <w:r>
        <w:rPr>
          <w:rFonts w:hint="eastAsia" w:hAnsi="宋体"/>
          <w:color w:val="auto"/>
          <w:szCs w:val="21"/>
          <w:highlight w:val="none"/>
        </w:rPr>
        <w:t>5.2.3 按本章第6.7款规定，可要求投标人对投标文件</w:t>
      </w:r>
      <w:r>
        <w:rPr>
          <w:rFonts w:hAnsi="宋体"/>
          <w:color w:val="auto"/>
          <w:szCs w:val="21"/>
          <w:highlight w:val="none"/>
        </w:rPr>
        <w:t>作必要的澄清或补正</w:t>
      </w:r>
      <w:r>
        <w:rPr>
          <w:rFonts w:hint="eastAsia" w:hAnsi="宋体"/>
          <w:color w:val="auto"/>
          <w:szCs w:val="21"/>
          <w:highlight w:val="none"/>
        </w:rPr>
        <w:t>。</w:t>
      </w:r>
    </w:p>
    <w:p>
      <w:pPr>
        <w:spacing w:line="400" w:lineRule="exact"/>
        <w:ind w:firstLine="420" w:firstLineChars="200"/>
        <w:rPr>
          <w:rFonts w:hint="eastAsia" w:hAnsi="宋体"/>
          <w:color w:val="auto"/>
          <w:szCs w:val="21"/>
          <w:highlight w:val="none"/>
        </w:rPr>
      </w:pPr>
      <w:r>
        <w:rPr>
          <w:rFonts w:hint="eastAsia" w:hAnsi="宋体"/>
          <w:color w:val="auto"/>
          <w:szCs w:val="21"/>
          <w:highlight w:val="none"/>
        </w:rPr>
        <w:t xml:space="preserve">5.2.4 </w:t>
      </w:r>
      <w:r>
        <w:rPr>
          <w:rFonts w:hAnsi="宋体"/>
          <w:color w:val="auto"/>
          <w:szCs w:val="21"/>
          <w:highlight w:val="none"/>
        </w:rPr>
        <w:t>及时处理评标过程中发现的问题，或向招标人</w:t>
      </w:r>
      <w:r>
        <w:rPr>
          <w:rFonts w:hint="eastAsia" w:hAnsi="宋体"/>
          <w:color w:val="auto"/>
          <w:szCs w:val="21"/>
          <w:highlight w:val="none"/>
        </w:rPr>
        <w:t>提</w:t>
      </w:r>
      <w:r>
        <w:rPr>
          <w:rFonts w:hAnsi="宋体"/>
          <w:color w:val="auto"/>
          <w:szCs w:val="21"/>
          <w:highlight w:val="none"/>
        </w:rPr>
        <w:t>出处理建议，并作书面记录</w:t>
      </w:r>
      <w:r>
        <w:rPr>
          <w:rFonts w:hint="eastAsia" w:hAnsi="宋体"/>
          <w:color w:val="auto"/>
          <w:szCs w:val="21"/>
          <w:highlight w:val="none"/>
        </w:rPr>
        <w:t>。</w:t>
      </w:r>
    </w:p>
    <w:p>
      <w:pPr>
        <w:spacing w:line="400" w:lineRule="exact"/>
        <w:ind w:firstLine="420" w:firstLineChars="200"/>
        <w:rPr>
          <w:rFonts w:hint="eastAsia" w:hAnsi="宋体"/>
          <w:color w:val="auto"/>
          <w:szCs w:val="21"/>
          <w:highlight w:val="none"/>
        </w:rPr>
      </w:pPr>
      <w:r>
        <w:rPr>
          <w:rFonts w:hint="eastAsia" w:hAnsi="宋体"/>
          <w:color w:val="auto"/>
          <w:szCs w:val="21"/>
          <w:highlight w:val="none"/>
        </w:rPr>
        <w:t xml:space="preserve">5.2.5 </w:t>
      </w:r>
      <w:r>
        <w:rPr>
          <w:rFonts w:hAnsi="宋体"/>
          <w:color w:val="auto"/>
          <w:szCs w:val="21"/>
          <w:highlight w:val="none"/>
        </w:rPr>
        <w:t>完成评标后，</w:t>
      </w:r>
      <w:r>
        <w:rPr>
          <w:rFonts w:hint="eastAsia" w:hAnsi="宋体"/>
          <w:color w:val="auto"/>
          <w:szCs w:val="21"/>
          <w:highlight w:val="none"/>
        </w:rPr>
        <w:t>编写</w:t>
      </w:r>
      <w:r>
        <w:rPr>
          <w:rFonts w:hAnsi="宋体"/>
          <w:color w:val="auto"/>
          <w:szCs w:val="21"/>
          <w:highlight w:val="none"/>
        </w:rPr>
        <w:t>评标报告，评标报告应当如实记载以下内容</w:t>
      </w:r>
      <w:r>
        <w:rPr>
          <w:rFonts w:hint="eastAsia" w:hAnsi="宋体"/>
          <w:color w:val="auto"/>
          <w:szCs w:val="21"/>
          <w:highlight w:val="none"/>
        </w:rPr>
        <w:t>：</w:t>
      </w:r>
    </w:p>
    <w:p>
      <w:pPr>
        <w:numPr>
          <w:ilvl w:val="1"/>
          <w:numId w:val="4"/>
        </w:numPr>
        <w:spacing w:line="440" w:lineRule="exact"/>
        <w:ind w:hanging="272"/>
        <w:rPr>
          <w:rFonts w:hint="eastAsia" w:hAnsi="宋体"/>
          <w:color w:val="auto"/>
          <w:szCs w:val="21"/>
          <w:highlight w:val="none"/>
        </w:rPr>
      </w:pPr>
      <w:r>
        <w:rPr>
          <w:rFonts w:hAnsi="宋体"/>
          <w:color w:val="auto"/>
          <w:szCs w:val="21"/>
          <w:highlight w:val="none"/>
        </w:rPr>
        <w:t>基本情况和数据表</w:t>
      </w:r>
      <w:r>
        <w:rPr>
          <w:rFonts w:hint="eastAsia" w:hAnsi="宋体"/>
          <w:color w:val="auto"/>
          <w:szCs w:val="21"/>
          <w:highlight w:val="none"/>
        </w:rPr>
        <w:t>；</w:t>
      </w:r>
    </w:p>
    <w:p>
      <w:pPr>
        <w:numPr>
          <w:ilvl w:val="1"/>
          <w:numId w:val="4"/>
        </w:numPr>
        <w:spacing w:line="440" w:lineRule="exact"/>
        <w:ind w:hanging="272"/>
        <w:rPr>
          <w:rFonts w:hint="eastAsia" w:hAnsi="宋体"/>
          <w:color w:val="auto"/>
          <w:szCs w:val="21"/>
          <w:highlight w:val="none"/>
        </w:rPr>
      </w:pPr>
      <w:r>
        <w:rPr>
          <w:rFonts w:hint="eastAsia"/>
          <w:color w:val="auto"/>
          <w:szCs w:val="21"/>
          <w:highlight w:val="none"/>
        </w:rPr>
        <w:t>评标委员会组成成员名单；</w:t>
      </w:r>
    </w:p>
    <w:p>
      <w:pPr>
        <w:numPr>
          <w:ilvl w:val="1"/>
          <w:numId w:val="4"/>
        </w:numPr>
        <w:spacing w:line="440" w:lineRule="exact"/>
        <w:ind w:hanging="272"/>
        <w:rPr>
          <w:rFonts w:hint="eastAsia" w:hAnsi="宋体"/>
          <w:color w:val="auto"/>
          <w:szCs w:val="21"/>
          <w:highlight w:val="none"/>
        </w:rPr>
      </w:pPr>
      <w:r>
        <w:rPr>
          <w:rFonts w:hAnsi="宋体"/>
          <w:color w:val="auto"/>
          <w:szCs w:val="21"/>
          <w:highlight w:val="none"/>
        </w:rPr>
        <w:t>开标记录</w:t>
      </w:r>
      <w:r>
        <w:rPr>
          <w:rFonts w:hint="eastAsia" w:hAnsi="宋体"/>
          <w:color w:val="auto"/>
          <w:szCs w:val="21"/>
          <w:highlight w:val="none"/>
        </w:rPr>
        <w:t>；</w:t>
      </w:r>
    </w:p>
    <w:p>
      <w:pPr>
        <w:numPr>
          <w:ilvl w:val="1"/>
          <w:numId w:val="4"/>
        </w:numPr>
        <w:spacing w:line="440" w:lineRule="exact"/>
        <w:ind w:hanging="272"/>
        <w:rPr>
          <w:rFonts w:hint="eastAsia" w:hAnsi="宋体"/>
          <w:color w:val="auto"/>
          <w:szCs w:val="21"/>
          <w:highlight w:val="none"/>
        </w:rPr>
      </w:pPr>
      <w:r>
        <w:rPr>
          <w:rFonts w:hint="eastAsia" w:hAnsi="宋体"/>
          <w:color w:val="auto"/>
          <w:szCs w:val="21"/>
          <w:highlight w:val="none"/>
        </w:rPr>
        <w:t>被否决投标文件的</w:t>
      </w:r>
      <w:r>
        <w:rPr>
          <w:rFonts w:hAnsi="宋体"/>
          <w:color w:val="auto"/>
          <w:szCs w:val="21"/>
          <w:highlight w:val="none"/>
        </w:rPr>
        <w:t>情况说明</w:t>
      </w:r>
      <w:r>
        <w:rPr>
          <w:rFonts w:hint="eastAsia" w:hAnsi="宋体"/>
          <w:color w:val="auto"/>
          <w:szCs w:val="21"/>
          <w:highlight w:val="none"/>
        </w:rPr>
        <w:t>；</w:t>
      </w:r>
    </w:p>
    <w:p>
      <w:pPr>
        <w:numPr>
          <w:ilvl w:val="1"/>
          <w:numId w:val="4"/>
        </w:numPr>
        <w:spacing w:line="440" w:lineRule="exact"/>
        <w:ind w:hanging="272"/>
        <w:rPr>
          <w:rFonts w:hint="eastAsia" w:hAnsi="宋体"/>
          <w:color w:val="auto"/>
          <w:szCs w:val="21"/>
          <w:highlight w:val="none"/>
        </w:rPr>
      </w:pPr>
      <w:r>
        <w:rPr>
          <w:rFonts w:hAnsi="宋体"/>
          <w:color w:val="auto"/>
          <w:szCs w:val="21"/>
          <w:highlight w:val="none"/>
        </w:rPr>
        <w:t>评标标准、评标方法或者评标因素一览表</w:t>
      </w:r>
      <w:r>
        <w:rPr>
          <w:rFonts w:hint="eastAsia" w:hAnsi="宋体"/>
          <w:color w:val="auto"/>
          <w:szCs w:val="21"/>
          <w:highlight w:val="none"/>
        </w:rPr>
        <w:t>；</w:t>
      </w:r>
    </w:p>
    <w:p>
      <w:pPr>
        <w:numPr>
          <w:ilvl w:val="1"/>
          <w:numId w:val="4"/>
        </w:numPr>
        <w:spacing w:line="440" w:lineRule="exact"/>
        <w:ind w:hanging="272"/>
        <w:rPr>
          <w:rFonts w:hint="eastAsia" w:hAnsi="宋体"/>
          <w:color w:val="auto"/>
          <w:szCs w:val="21"/>
          <w:highlight w:val="none"/>
        </w:rPr>
      </w:pPr>
      <w:r>
        <w:rPr>
          <w:rFonts w:hAnsi="宋体"/>
          <w:color w:val="auto"/>
          <w:szCs w:val="21"/>
          <w:highlight w:val="none"/>
        </w:rPr>
        <w:t>评标记录表及汇总表</w:t>
      </w:r>
      <w:r>
        <w:rPr>
          <w:rFonts w:hint="eastAsia" w:hAnsi="宋体"/>
          <w:color w:val="auto"/>
          <w:szCs w:val="21"/>
          <w:highlight w:val="none"/>
        </w:rPr>
        <w:t>；</w:t>
      </w:r>
    </w:p>
    <w:p>
      <w:pPr>
        <w:numPr>
          <w:ilvl w:val="1"/>
          <w:numId w:val="4"/>
        </w:numPr>
        <w:spacing w:line="440" w:lineRule="exact"/>
        <w:ind w:hanging="272"/>
        <w:rPr>
          <w:rFonts w:hint="eastAsia" w:hAnsi="宋体"/>
          <w:color w:val="auto"/>
          <w:szCs w:val="21"/>
          <w:highlight w:val="none"/>
        </w:rPr>
      </w:pPr>
      <w:r>
        <w:rPr>
          <w:rFonts w:hAnsi="宋体"/>
          <w:color w:val="auto"/>
          <w:szCs w:val="21"/>
          <w:highlight w:val="none"/>
        </w:rPr>
        <w:t>经评审的投标人排序</w:t>
      </w:r>
      <w:r>
        <w:rPr>
          <w:rFonts w:hint="eastAsia" w:hAnsi="宋体"/>
          <w:color w:val="auto"/>
          <w:szCs w:val="21"/>
          <w:highlight w:val="none"/>
        </w:rPr>
        <w:t>；</w:t>
      </w:r>
    </w:p>
    <w:p>
      <w:pPr>
        <w:numPr>
          <w:ilvl w:val="1"/>
          <w:numId w:val="4"/>
        </w:numPr>
        <w:spacing w:line="440" w:lineRule="exact"/>
        <w:ind w:hanging="272"/>
        <w:rPr>
          <w:rFonts w:hint="eastAsia" w:hAnsi="宋体"/>
          <w:color w:val="auto"/>
          <w:szCs w:val="21"/>
          <w:highlight w:val="none"/>
        </w:rPr>
      </w:pPr>
      <w:r>
        <w:rPr>
          <w:rFonts w:hAnsi="宋体"/>
          <w:color w:val="auto"/>
          <w:szCs w:val="21"/>
          <w:highlight w:val="none"/>
        </w:rPr>
        <w:t>推荐的</w:t>
      </w:r>
      <w:r>
        <w:rPr>
          <w:rFonts w:hint="eastAsia" w:hAnsi="宋体"/>
          <w:color w:val="auto"/>
          <w:szCs w:val="21"/>
          <w:highlight w:val="none"/>
        </w:rPr>
        <w:t>中标候选人名单；</w:t>
      </w:r>
    </w:p>
    <w:p>
      <w:pPr>
        <w:numPr>
          <w:ilvl w:val="1"/>
          <w:numId w:val="4"/>
        </w:numPr>
        <w:spacing w:line="440" w:lineRule="exact"/>
        <w:ind w:hanging="272"/>
        <w:rPr>
          <w:rFonts w:hint="eastAsia" w:hAnsi="宋体"/>
          <w:color w:val="auto"/>
          <w:szCs w:val="21"/>
          <w:highlight w:val="none"/>
        </w:rPr>
      </w:pPr>
      <w:r>
        <w:rPr>
          <w:rFonts w:hint="eastAsia"/>
          <w:color w:val="auto"/>
          <w:szCs w:val="21"/>
          <w:highlight w:val="none"/>
        </w:rPr>
        <w:t>对</w:t>
      </w:r>
      <w:r>
        <w:rPr>
          <w:rFonts w:hint="eastAsia" w:hAnsi="宋体"/>
          <w:color w:val="auto"/>
          <w:szCs w:val="21"/>
          <w:highlight w:val="none"/>
        </w:rPr>
        <w:t>中标候选人</w:t>
      </w:r>
      <w:r>
        <w:rPr>
          <w:rFonts w:hint="eastAsia" w:hAnsi="宋体"/>
          <w:color w:val="auto"/>
          <w:szCs w:val="21"/>
          <w:highlight w:val="none"/>
          <w:lang w:eastAsia="zh-CN"/>
        </w:rPr>
        <w:t>勘察设计</w:t>
      </w:r>
      <w:r>
        <w:rPr>
          <w:rFonts w:hint="eastAsia"/>
          <w:color w:val="auto"/>
          <w:szCs w:val="21"/>
          <w:highlight w:val="none"/>
        </w:rPr>
        <w:t>方案的修改意见</w:t>
      </w:r>
      <w:r>
        <w:rPr>
          <w:rFonts w:hint="eastAsia" w:hAnsi="宋体"/>
          <w:color w:val="auto"/>
          <w:szCs w:val="21"/>
          <w:highlight w:val="none"/>
        </w:rPr>
        <w:t>（如有）</w:t>
      </w:r>
      <w:r>
        <w:rPr>
          <w:rFonts w:hint="eastAsia"/>
          <w:color w:val="auto"/>
          <w:szCs w:val="21"/>
          <w:highlight w:val="none"/>
        </w:rPr>
        <w:t>；</w:t>
      </w:r>
    </w:p>
    <w:p>
      <w:pPr>
        <w:numPr>
          <w:ilvl w:val="1"/>
          <w:numId w:val="4"/>
        </w:numPr>
        <w:tabs>
          <w:tab w:val="left" w:pos="1440"/>
        </w:tabs>
        <w:spacing w:line="440" w:lineRule="exact"/>
        <w:ind w:hanging="272"/>
        <w:rPr>
          <w:rFonts w:hint="eastAsia" w:hAnsi="宋体"/>
          <w:color w:val="auto"/>
          <w:szCs w:val="21"/>
          <w:highlight w:val="none"/>
        </w:rPr>
      </w:pPr>
      <w:r>
        <w:rPr>
          <w:rFonts w:hint="eastAsia" w:hAnsi="宋体"/>
          <w:color w:val="auto"/>
          <w:szCs w:val="21"/>
          <w:highlight w:val="none"/>
        </w:rPr>
        <w:t>澄清、</w:t>
      </w:r>
      <w:r>
        <w:rPr>
          <w:rFonts w:hAnsi="宋体"/>
          <w:color w:val="auto"/>
          <w:szCs w:val="21"/>
          <w:highlight w:val="none"/>
        </w:rPr>
        <w:t>说明、补正事项记要</w:t>
      </w:r>
      <w:r>
        <w:rPr>
          <w:rFonts w:hint="eastAsia" w:hAnsi="宋体"/>
          <w:color w:val="auto"/>
          <w:szCs w:val="21"/>
          <w:highlight w:val="none"/>
        </w:rPr>
        <w:t>（如有）。</w:t>
      </w:r>
    </w:p>
    <w:p>
      <w:pPr>
        <w:pStyle w:val="9"/>
        <w:outlineLvl w:val="0"/>
        <w:rPr>
          <w:rFonts w:hint="eastAsia"/>
          <w:color w:val="auto"/>
          <w:highlight w:val="none"/>
        </w:rPr>
      </w:pPr>
      <w:bookmarkStart w:id="26" w:name="_Toc80105321"/>
      <w:r>
        <w:rPr>
          <w:rFonts w:hint="eastAsia"/>
          <w:color w:val="auto"/>
          <w:highlight w:val="none"/>
        </w:rPr>
        <w:t>6. 评标程序</w:t>
      </w:r>
      <w:bookmarkEnd w:id="26"/>
    </w:p>
    <w:p>
      <w:pPr>
        <w:pStyle w:val="10"/>
        <w:outlineLvl w:val="0"/>
        <w:rPr>
          <w:rFonts w:hint="eastAsia"/>
          <w:color w:val="auto"/>
          <w:highlight w:val="none"/>
        </w:rPr>
      </w:pPr>
      <w:bookmarkStart w:id="27" w:name="_Toc152045594"/>
      <w:bookmarkStart w:id="28" w:name="_Toc152042371"/>
      <w:bookmarkStart w:id="29" w:name="_Toc144974561"/>
      <w:bookmarkStart w:id="30" w:name="_Toc80105322"/>
      <w:r>
        <w:rPr>
          <w:rFonts w:hint="eastAsia"/>
          <w:color w:val="auto"/>
          <w:highlight w:val="none"/>
        </w:rPr>
        <w:t xml:space="preserve">6.1 </w:t>
      </w:r>
      <w:bookmarkEnd w:id="27"/>
      <w:bookmarkEnd w:id="28"/>
      <w:bookmarkEnd w:id="29"/>
      <w:r>
        <w:rPr>
          <w:rFonts w:hint="eastAsia"/>
          <w:color w:val="auto"/>
          <w:highlight w:val="none"/>
        </w:rPr>
        <w:t>评标程序【适用于评定分离项目】</w:t>
      </w:r>
      <w:bookmarkEnd w:id="30"/>
    </w:p>
    <w:p>
      <w:pPr>
        <w:numPr>
          <w:ilvl w:val="1"/>
          <w:numId w:val="5"/>
        </w:numPr>
        <w:tabs>
          <w:tab w:val="left" w:pos="900"/>
        </w:tabs>
        <w:spacing w:line="400" w:lineRule="exact"/>
        <w:ind w:left="0" w:firstLine="425"/>
        <w:rPr>
          <w:rFonts w:hint="eastAsia"/>
          <w:color w:val="auto"/>
          <w:highlight w:val="none"/>
        </w:rPr>
      </w:pPr>
      <w:r>
        <w:rPr>
          <w:rFonts w:hint="eastAsia"/>
          <w:color w:val="auto"/>
          <w:highlight w:val="none"/>
        </w:rPr>
        <w:t>招标人或招标代理机构介绍参加评标会议的评标专家和工作人员。组织评标委员会推选评标委员会负责人。</w:t>
      </w:r>
    </w:p>
    <w:p>
      <w:pPr>
        <w:numPr>
          <w:ilvl w:val="1"/>
          <w:numId w:val="5"/>
        </w:numPr>
        <w:tabs>
          <w:tab w:val="left" w:pos="900"/>
        </w:tabs>
        <w:spacing w:line="400" w:lineRule="exact"/>
        <w:ind w:left="0" w:firstLine="425"/>
        <w:rPr>
          <w:rFonts w:hint="eastAsia"/>
          <w:color w:val="auto"/>
          <w:highlight w:val="none"/>
        </w:rPr>
      </w:pPr>
      <w:r>
        <w:rPr>
          <w:color w:val="auto"/>
          <w:highlight w:val="none"/>
        </w:rPr>
        <w:t>招标人介绍</w:t>
      </w:r>
      <w:r>
        <w:rPr>
          <w:rFonts w:hint="eastAsia"/>
          <w:color w:val="auto"/>
          <w:highlight w:val="none"/>
        </w:rPr>
        <w:t>本</w:t>
      </w:r>
      <w:r>
        <w:rPr>
          <w:color w:val="auto"/>
          <w:highlight w:val="none"/>
        </w:rPr>
        <w:t>招标</w:t>
      </w:r>
      <w:r>
        <w:rPr>
          <w:rFonts w:hint="eastAsia"/>
          <w:color w:val="auto"/>
          <w:highlight w:val="none"/>
        </w:rPr>
        <w:t>项目工程</w:t>
      </w:r>
      <w:r>
        <w:rPr>
          <w:color w:val="auto"/>
          <w:highlight w:val="none"/>
        </w:rPr>
        <w:t>概况</w:t>
      </w:r>
      <w:r>
        <w:rPr>
          <w:rFonts w:hint="eastAsia"/>
          <w:color w:val="auto"/>
          <w:highlight w:val="none"/>
        </w:rPr>
        <w:t>。</w:t>
      </w:r>
    </w:p>
    <w:p>
      <w:pPr>
        <w:numPr>
          <w:ilvl w:val="1"/>
          <w:numId w:val="5"/>
        </w:numPr>
        <w:tabs>
          <w:tab w:val="left" w:pos="900"/>
        </w:tabs>
        <w:spacing w:line="400" w:lineRule="exact"/>
        <w:ind w:left="0" w:firstLine="425"/>
        <w:rPr>
          <w:rFonts w:hint="eastAsia"/>
          <w:color w:val="auto"/>
          <w:highlight w:val="none"/>
        </w:rPr>
      </w:pPr>
      <w:r>
        <w:rPr>
          <w:rFonts w:hint="eastAsia" w:ascii="宋体" w:hAnsi="宋体"/>
          <w:color w:val="auto"/>
          <w:highlight w:val="none"/>
        </w:rPr>
        <w:t>评标委员会负责人组织评标专家学习招标文件及评标办法，并主持评标工作</w:t>
      </w:r>
      <w:r>
        <w:rPr>
          <w:rFonts w:hint="eastAsia"/>
          <w:color w:val="auto"/>
          <w:highlight w:val="none"/>
        </w:rPr>
        <w:t>。</w:t>
      </w:r>
    </w:p>
    <w:p>
      <w:pPr>
        <w:numPr>
          <w:ilvl w:val="1"/>
          <w:numId w:val="5"/>
        </w:numPr>
        <w:tabs>
          <w:tab w:val="left" w:pos="900"/>
        </w:tabs>
        <w:spacing w:line="400" w:lineRule="exact"/>
        <w:rPr>
          <w:rFonts w:hint="eastAsia"/>
          <w:color w:val="auto"/>
          <w:highlight w:val="none"/>
        </w:rPr>
      </w:pPr>
      <w:r>
        <w:rPr>
          <w:rFonts w:hint="eastAsia" w:ascii="宋体" w:hAnsi="宋体"/>
          <w:color w:val="auto"/>
          <w:highlight w:val="none"/>
        </w:rPr>
        <w:t>技术部分有效性评审</w:t>
      </w:r>
      <w:r>
        <w:rPr>
          <w:rFonts w:hint="eastAsia"/>
          <w:color w:val="auto"/>
          <w:highlight w:val="none"/>
        </w:rPr>
        <w:t>。</w:t>
      </w:r>
    </w:p>
    <w:p>
      <w:pPr>
        <w:numPr>
          <w:ilvl w:val="1"/>
          <w:numId w:val="5"/>
        </w:numPr>
        <w:tabs>
          <w:tab w:val="left" w:pos="900"/>
        </w:tabs>
        <w:spacing w:line="400" w:lineRule="exact"/>
        <w:rPr>
          <w:rFonts w:hint="eastAsia"/>
          <w:color w:val="auto"/>
          <w:highlight w:val="none"/>
        </w:rPr>
      </w:pPr>
      <w:r>
        <w:rPr>
          <w:rFonts w:hint="eastAsia" w:ascii="宋体" w:hAnsi="宋体"/>
          <w:color w:val="auto"/>
          <w:highlight w:val="none"/>
        </w:rPr>
        <w:t>技术部分详细性评审</w:t>
      </w:r>
      <w:r>
        <w:rPr>
          <w:rFonts w:hint="eastAsia"/>
          <w:color w:val="auto"/>
          <w:highlight w:val="none"/>
        </w:rPr>
        <w:t>。</w:t>
      </w:r>
    </w:p>
    <w:p>
      <w:pPr>
        <w:numPr>
          <w:ilvl w:val="1"/>
          <w:numId w:val="5"/>
        </w:numPr>
        <w:tabs>
          <w:tab w:val="left" w:pos="900"/>
        </w:tabs>
        <w:spacing w:line="400" w:lineRule="exact"/>
        <w:rPr>
          <w:rFonts w:hint="eastAsia"/>
          <w:color w:val="auto"/>
          <w:highlight w:val="none"/>
        </w:rPr>
      </w:pPr>
      <w:r>
        <w:rPr>
          <w:rFonts w:hint="eastAsia" w:ascii="宋体" w:hAnsi="宋体"/>
          <w:color w:val="auto"/>
          <w:highlight w:val="none"/>
        </w:rPr>
        <w:t>商务部分有效性评审</w:t>
      </w:r>
      <w:r>
        <w:rPr>
          <w:rFonts w:hint="eastAsia"/>
          <w:color w:val="auto"/>
          <w:highlight w:val="none"/>
        </w:rPr>
        <w:t>。</w:t>
      </w:r>
    </w:p>
    <w:p>
      <w:pPr>
        <w:numPr>
          <w:ilvl w:val="1"/>
          <w:numId w:val="5"/>
        </w:numPr>
        <w:tabs>
          <w:tab w:val="left" w:pos="900"/>
        </w:tabs>
        <w:spacing w:line="400" w:lineRule="exact"/>
        <w:rPr>
          <w:rFonts w:hint="eastAsia"/>
          <w:color w:val="auto"/>
          <w:highlight w:val="none"/>
        </w:rPr>
      </w:pPr>
      <w:r>
        <w:rPr>
          <w:rFonts w:hint="eastAsia" w:ascii="宋体" w:hAnsi="宋体"/>
          <w:color w:val="auto"/>
          <w:highlight w:val="none"/>
        </w:rPr>
        <w:t>商务部分详细性评审</w:t>
      </w:r>
      <w:r>
        <w:rPr>
          <w:rFonts w:hint="eastAsia"/>
          <w:color w:val="auto"/>
          <w:highlight w:val="none"/>
        </w:rPr>
        <w:t>。</w:t>
      </w:r>
    </w:p>
    <w:p>
      <w:pPr>
        <w:numPr>
          <w:ilvl w:val="1"/>
          <w:numId w:val="5"/>
        </w:numPr>
        <w:tabs>
          <w:tab w:val="left" w:pos="900"/>
        </w:tabs>
        <w:spacing w:line="400" w:lineRule="exact"/>
        <w:rPr>
          <w:rFonts w:hint="eastAsia"/>
          <w:color w:val="auto"/>
          <w:highlight w:val="none"/>
        </w:rPr>
      </w:pPr>
      <w:r>
        <w:rPr>
          <w:rFonts w:hint="eastAsia" w:ascii="宋体" w:hAnsi="宋体"/>
          <w:color w:val="auto"/>
          <w:highlight w:val="none"/>
        </w:rPr>
        <w:t>价格部分详细性评审</w:t>
      </w:r>
      <w:r>
        <w:rPr>
          <w:rFonts w:hint="eastAsia"/>
          <w:color w:val="auto"/>
          <w:highlight w:val="none"/>
        </w:rPr>
        <w:t>。</w:t>
      </w:r>
    </w:p>
    <w:p>
      <w:pPr>
        <w:numPr>
          <w:ilvl w:val="1"/>
          <w:numId w:val="5"/>
        </w:numPr>
        <w:tabs>
          <w:tab w:val="left" w:pos="900"/>
        </w:tabs>
        <w:spacing w:line="400" w:lineRule="exact"/>
        <w:rPr>
          <w:rFonts w:hint="eastAsia"/>
          <w:color w:val="auto"/>
          <w:highlight w:val="none"/>
        </w:rPr>
      </w:pPr>
      <w:r>
        <w:rPr>
          <w:rFonts w:hint="eastAsia" w:ascii="宋体" w:hAnsi="宋体"/>
          <w:color w:val="auto"/>
          <w:highlight w:val="none"/>
        </w:rPr>
        <w:t>编写评标报告</w:t>
      </w:r>
      <w:r>
        <w:rPr>
          <w:rFonts w:hint="eastAsia" w:ascii="宋体" w:hAnsi="宋体"/>
          <w:color w:val="auto"/>
          <w:szCs w:val="21"/>
          <w:highlight w:val="none"/>
        </w:rPr>
        <w:t>。</w:t>
      </w:r>
    </w:p>
    <w:p>
      <w:pPr>
        <w:numPr>
          <w:ilvl w:val="1"/>
          <w:numId w:val="5"/>
        </w:numPr>
        <w:tabs>
          <w:tab w:val="left" w:pos="1060"/>
          <w:tab w:val="clear" w:pos="992"/>
        </w:tabs>
        <w:spacing w:line="400" w:lineRule="exact"/>
        <w:ind w:left="0" w:firstLine="420"/>
        <w:rPr>
          <w:rFonts w:hint="eastAsia"/>
          <w:color w:val="auto"/>
          <w:highlight w:val="none"/>
        </w:rPr>
      </w:pPr>
      <w:r>
        <w:rPr>
          <w:rFonts w:hint="eastAsia" w:ascii="宋体" w:hAnsi="宋体"/>
          <w:color w:val="auto"/>
          <w:highlight w:val="none"/>
        </w:rPr>
        <w:t>评标结果录入交易系统，</w:t>
      </w:r>
      <w:r>
        <w:rPr>
          <w:rFonts w:hint="eastAsia"/>
          <w:color w:val="auto"/>
          <w:highlight w:val="none"/>
        </w:rPr>
        <w:t>并</w:t>
      </w:r>
      <w:r>
        <w:rPr>
          <w:color w:val="auto"/>
          <w:highlight w:val="none"/>
        </w:rPr>
        <w:t>统计最终</w:t>
      </w:r>
      <w:r>
        <w:rPr>
          <w:rFonts w:hint="eastAsia"/>
          <w:color w:val="auto"/>
          <w:highlight w:val="none"/>
        </w:rPr>
        <w:t>综合</w:t>
      </w:r>
      <w:r>
        <w:rPr>
          <w:color w:val="auto"/>
          <w:highlight w:val="none"/>
        </w:rPr>
        <w:t>得分</w:t>
      </w:r>
      <w:r>
        <w:rPr>
          <w:rFonts w:hint="eastAsia"/>
          <w:color w:val="auto"/>
          <w:highlight w:val="none"/>
        </w:rPr>
        <w:t>。</w:t>
      </w:r>
    </w:p>
    <w:p>
      <w:pPr>
        <w:numPr>
          <w:ilvl w:val="1"/>
          <w:numId w:val="5"/>
        </w:numPr>
        <w:tabs>
          <w:tab w:val="left" w:pos="0"/>
          <w:tab w:val="left" w:pos="1080"/>
          <w:tab w:val="clear" w:pos="992"/>
        </w:tabs>
        <w:spacing w:line="400" w:lineRule="exact"/>
        <w:ind w:left="0" w:firstLine="425"/>
        <w:rPr>
          <w:rFonts w:hint="eastAsia"/>
          <w:color w:val="auto"/>
          <w:highlight w:val="none"/>
        </w:rPr>
      </w:pPr>
      <w:r>
        <w:rPr>
          <w:rFonts w:hint="eastAsia"/>
          <w:color w:val="auto"/>
          <w:highlight w:val="none"/>
        </w:rPr>
        <w:t>评标委员会对有效投标文件</w:t>
      </w:r>
      <w:r>
        <w:rPr>
          <w:color w:val="auto"/>
          <w:highlight w:val="none"/>
        </w:rPr>
        <w:t>按</w:t>
      </w:r>
      <w:r>
        <w:rPr>
          <w:rFonts w:hint="eastAsia"/>
          <w:color w:val="auto"/>
          <w:highlight w:val="none"/>
        </w:rPr>
        <w:t>其</w:t>
      </w:r>
      <w:r>
        <w:rPr>
          <w:color w:val="auto"/>
          <w:highlight w:val="none"/>
        </w:rPr>
        <w:t>综合得分</w:t>
      </w:r>
      <w:r>
        <w:rPr>
          <w:rFonts w:hint="eastAsia"/>
          <w:color w:val="auto"/>
          <w:highlight w:val="none"/>
        </w:rPr>
        <w:t>由</w:t>
      </w:r>
      <w:r>
        <w:rPr>
          <w:color w:val="auto"/>
          <w:highlight w:val="none"/>
        </w:rPr>
        <w:t>高至低</w:t>
      </w:r>
      <w:r>
        <w:rPr>
          <w:rFonts w:hint="eastAsia"/>
          <w:color w:val="auto"/>
          <w:highlight w:val="none"/>
        </w:rPr>
        <w:t>的顺序</w:t>
      </w:r>
      <w:r>
        <w:rPr>
          <w:color w:val="auto"/>
          <w:highlight w:val="none"/>
        </w:rPr>
        <w:t>向招标人推荐中标候选人</w:t>
      </w:r>
      <w:r>
        <w:rPr>
          <w:rFonts w:hint="eastAsia"/>
          <w:color w:val="auto"/>
          <w:highlight w:val="none"/>
        </w:rPr>
        <w:t>。中标候选人的人数见第二章“投标人须知”第7.3.2项，当有效投标文件的投标人少于等于第二章“投标人须知”第7.3.2项约定的数量时，所有有效投标文件的投标人均被</w:t>
      </w:r>
      <w:r>
        <w:rPr>
          <w:color w:val="auto"/>
          <w:highlight w:val="none"/>
        </w:rPr>
        <w:t>推荐</w:t>
      </w:r>
      <w:r>
        <w:rPr>
          <w:rFonts w:hint="eastAsia"/>
          <w:color w:val="auto"/>
          <w:highlight w:val="none"/>
        </w:rPr>
        <w:t>为</w:t>
      </w:r>
      <w:r>
        <w:rPr>
          <w:color w:val="auto"/>
          <w:highlight w:val="none"/>
        </w:rPr>
        <w:t>中标候选人</w:t>
      </w:r>
      <w:r>
        <w:rPr>
          <w:rFonts w:hint="eastAsia"/>
          <w:color w:val="auto"/>
          <w:highlight w:val="none"/>
        </w:rPr>
        <w:t>。</w:t>
      </w:r>
    </w:p>
    <w:p>
      <w:pPr>
        <w:numPr>
          <w:ilvl w:val="1"/>
          <w:numId w:val="5"/>
        </w:numPr>
        <w:tabs>
          <w:tab w:val="left" w:pos="0"/>
          <w:tab w:val="left" w:pos="1080"/>
          <w:tab w:val="clear" w:pos="992"/>
        </w:tabs>
        <w:spacing w:line="400" w:lineRule="exact"/>
        <w:ind w:left="0" w:firstLine="425"/>
        <w:rPr>
          <w:rFonts w:hint="eastAsia"/>
          <w:color w:val="auto"/>
          <w:highlight w:val="none"/>
        </w:rPr>
      </w:pPr>
      <w:r>
        <w:rPr>
          <w:rFonts w:hint="eastAsia" w:hAnsi="宋体"/>
          <w:color w:val="auto"/>
          <w:szCs w:val="21"/>
          <w:highlight w:val="none"/>
        </w:rPr>
        <w:t>向定标委员会出具 “中标候选人</w:t>
      </w:r>
      <w:r>
        <w:rPr>
          <w:rFonts w:hint="eastAsia" w:hAnsi="宋体"/>
          <w:color w:val="auto"/>
          <w:szCs w:val="21"/>
          <w:highlight w:val="none"/>
          <w:lang w:eastAsia="zh-CN"/>
        </w:rPr>
        <w:t>勘察设计</w:t>
      </w:r>
      <w:r>
        <w:rPr>
          <w:rFonts w:hint="eastAsia" w:hAnsi="宋体"/>
          <w:color w:val="auto"/>
          <w:szCs w:val="21"/>
          <w:highlight w:val="none"/>
        </w:rPr>
        <w:t>方案推荐名单”</w:t>
      </w:r>
      <w:r>
        <w:rPr>
          <w:rFonts w:hint="eastAsia" w:ascii="宋体" w:hAnsi="宋体"/>
          <w:color w:val="auto"/>
          <w:szCs w:val="21"/>
          <w:highlight w:val="none"/>
        </w:rPr>
        <w:t>，</w:t>
      </w:r>
      <w:r>
        <w:rPr>
          <w:rFonts w:hint="eastAsia" w:hAnsi="宋体"/>
          <w:color w:val="auto"/>
          <w:szCs w:val="21"/>
          <w:highlight w:val="none"/>
        </w:rPr>
        <w:t>移交定标委员会的材料包括“中标候选人</w:t>
      </w:r>
      <w:r>
        <w:rPr>
          <w:rFonts w:hint="eastAsia" w:hAnsi="宋体"/>
          <w:color w:val="auto"/>
          <w:szCs w:val="21"/>
          <w:highlight w:val="none"/>
          <w:lang w:eastAsia="zh-CN"/>
        </w:rPr>
        <w:t>勘察设计</w:t>
      </w:r>
      <w:r>
        <w:rPr>
          <w:rFonts w:hint="eastAsia" w:hAnsi="宋体"/>
          <w:color w:val="auto"/>
          <w:szCs w:val="21"/>
          <w:highlight w:val="none"/>
        </w:rPr>
        <w:t>方案推荐名单”和对应的投标文件等，</w:t>
      </w:r>
      <w:r>
        <w:rPr>
          <w:rFonts w:hint="eastAsia" w:ascii="宋体" w:hAnsi="宋体"/>
          <w:color w:val="auto"/>
          <w:szCs w:val="21"/>
          <w:highlight w:val="none"/>
        </w:rPr>
        <w:t>其中对应的投标文件包括商务部分和技术部分。</w:t>
      </w:r>
    </w:p>
    <w:p>
      <w:pPr>
        <w:pStyle w:val="10"/>
        <w:outlineLvl w:val="0"/>
        <w:rPr>
          <w:rFonts w:hint="eastAsia"/>
          <w:color w:val="auto"/>
          <w:highlight w:val="none"/>
        </w:rPr>
      </w:pPr>
      <w:bookmarkStart w:id="31" w:name="_Toc80105323"/>
      <w:r>
        <w:rPr>
          <w:rFonts w:hint="eastAsia"/>
          <w:color w:val="auto"/>
          <w:highlight w:val="none"/>
        </w:rPr>
        <w:t>6.1 评标程序【适用于非评定分离项目】</w:t>
      </w:r>
      <w:bookmarkEnd w:id="31"/>
    </w:p>
    <w:p>
      <w:pPr>
        <w:pStyle w:val="12"/>
        <w:spacing w:line="360" w:lineRule="auto"/>
        <w:ind w:left="420" w:firstLine="0" w:firstLineChars="0"/>
        <w:rPr>
          <w:rFonts w:ascii="宋体" w:hAnsi="宋体"/>
          <w:color w:val="auto"/>
          <w:highlight w:val="none"/>
        </w:rPr>
      </w:pPr>
      <w:r>
        <w:rPr>
          <w:rFonts w:hint="eastAsia" w:ascii="宋体" w:hAnsi="宋体"/>
          <w:color w:val="auto"/>
          <w:highlight w:val="none"/>
        </w:rPr>
        <w:t>6.1.1招标人或招标代理机构介绍参加评标会议的评标专家和工作人员。组织评标委员会推选评标委员会负责人。</w:t>
      </w:r>
    </w:p>
    <w:p>
      <w:pPr>
        <w:pStyle w:val="12"/>
        <w:spacing w:line="360" w:lineRule="auto"/>
        <w:ind w:left="420" w:firstLine="0" w:firstLineChars="0"/>
        <w:rPr>
          <w:rFonts w:ascii="宋体" w:hAnsi="宋体"/>
          <w:color w:val="auto"/>
          <w:highlight w:val="none"/>
        </w:rPr>
      </w:pPr>
      <w:r>
        <w:rPr>
          <w:rFonts w:hint="eastAsia" w:ascii="宋体" w:hAnsi="宋体"/>
          <w:color w:val="auto"/>
          <w:highlight w:val="none"/>
        </w:rPr>
        <w:t>6.1.2招标人介绍本招标项目工程概况。</w:t>
      </w:r>
    </w:p>
    <w:p>
      <w:pPr>
        <w:pStyle w:val="12"/>
        <w:spacing w:line="360" w:lineRule="auto"/>
        <w:ind w:left="420" w:firstLine="0" w:firstLineChars="0"/>
        <w:rPr>
          <w:rFonts w:ascii="宋体" w:hAnsi="宋体"/>
          <w:color w:val="auto"/>
          <w:highlight w:val="none"/>
        </w:rPr>
      </w:pPr>
      <w:r>
        <w:rPr>
          <w:rFonts w:hint="eastAsia" w:ascii="宋体" w:hAnsi="宋体"/>
          <w:color w:val="auto"/>
          <w:highlight w:val="none"/>
        </w:rPr>
        <w:t>6.1.3评标委员会负责人组织评标专家学习招标文件及评标办法，并主持评标工作。</w:t>
      </w:r>
    </w:p>
    <w:p>
      <w:pPr>
        <w:pStyle w:val="12"/>
        <w:spacing w:line="360" w:lineRule="auto"/>
        <w:ind w:left="420" w:firstLine="0" w:firstLineChars="0"/>
        <w:rPr>
          <w:rFonts w:ascii="宋体" w:hAnsi="宋体"/>
          <w:color w:val="auto"/>
          <w:highlight w:val="none"/>
        </w:rPr>
      </w:pPr>
      <w:r>
        <w:rPr>
          <w:rFonts w:hint="eastAsia" w:ascii="宋体" w:hAnsi="宋体"/>
          <w:color w:val="auto"/>
          <w:highlight w:val="none"/>
        </w:rPr>
        <w:t>6.1.4技术部分有效性评审；</w:t>
      </w:r>
    </w:p>
    <w:p>
      <w:pPr>
        <w:pStyle w:val="12"/>
        <w:spacing w:line="360" w:lineRule="auto"/>
        <w:ind w:left="420" w:firstLine="0" w:firstLineChars="0"/>
        <w:rPr>
          <w:rFonts w:ascii="宋体" w:hAnsi="宋体"/>
          <w:color w:val="auto"/>
          <w:highlight w:val="none"/>
        </w:rPr>
      </w:pPr>
      <w:r>
        <w:rPr>
          <w:rFonts w:hint="eastAsia" w:ascii="宋体" w:hAnsi="宋体"/>
          <w:color w:val="auto"/>
          <w:highlight w:val="none"/>
        </w:rPr>
        <w:t>6.1.5技术部分详细性评审；</w:t>
      </w:r>
    </w:p>
    <w:p>
      <w:pPr>
        <w:pStyle w:val="12"/>
        <w:spacing w:line="360" w:lineRule="auto"/>
        <w:ind w:left="420" w:firstLine="0" w:firstLineChars="0"/>
        <w:rPr>
          <w:rFonts w:ascii="宋体" w:hAnsi="宋体"/>
          <w:color w:val="auto"/>
          <w:highlight w:val="none"/>
        </w:rPr>
      </w:pPr>
      <w:r>
        <w:rPr>
          <w:rFonts w:hint="eastAsia" w:ascii="宋体" w:hAnsi="宋体"/>
          <w:color w:val="auto"/>
          <w:highlight w:val="none"/>
        </w:rPr>
        <w:t>6.1.6商务部分有效性评审；</w:t>
      </w:r>
    </w:p>
    <w:p>
      <w:pPr>
        <w:pStyle w:val="12"/>
        <w:spacing w:line="360" w:lineRule="auto"/>
        <w:ind w:left="420" w:firstLine="0" w:firstLineChars="0"/>
        <w:rPr>
          <w:rFonts w:ascii="宋体" w:hAnsi="宋体"/>
          <w:color w:val="auto"/>
          <w:highlight w:val="none"/>
        </w:rPr>
      </w:pPr>
      <w:r>
        <w:rPr>
          <w:rFonts w:hint="eastAsia" w:ascii="宋体" w:hAnsi="宋体"/>
          <w:color w:val="auto"/>
          <w:highlight w:val="none"/>
        </w:rPr>
        <w:t>6.1.7商务部分详细性评审；</w:t>
      </w:r>
    </w:p>
    <w:p>
      <w:pPr>
        <w:pStyle w:val="12"/>
        <w:spacing w:line="360" w:lineRule="auto"/>
        <w:ind w:left="420" w:firstLine="0" w:firstLineChars="0"/>
        <w:rPr>
          <w:rFonts w:ascii="宋体" w:hAnsi="宋体"/>
          <w:color w:val="auto"/>
          <w:highlight w:val="none"/>
        </w:rPr>
      </w:pPr>
      <w:r>
        <w:rPr>
          <w:rFonts w:hint="eastAsia" w:ascii="宋体" w:hAnsi="宋体"/>
          <w:color w:val="auto"/>
          <w:highlight w:val="none"/>
        </w:rPr>
        <w:t>6.1.8价格部分详细性评审；</w:t>
      </w:r>
    </w:p>
    <w:p>
      <w:pPr>
        <w:pStyle w:val="12"/>
        <w:spacing w:line="360" w:lineRule="auto"/>
        <w:ind w:left="420" w:firstLine="0" w:firstLineChars="0"/>
        <w:rPr>
          <w:rFonts w:ascii="宋体" w:hAnsi="宋体"/>
          <w:color w:val="auto"/>
          <w:highlight w:val="none"/>
        </w:rPr>
      </w:pPr>
      <w:r>
        <w:rPr>
          <w:rFonts w:hint="eastAsia" w:ascii="宋体" w:hAnsi="宋体"/>
          <w:color w:val="auto"/>
          <w:highlight w:val="none"/>
        </w:rPr>
        <w:t>6.1.9编写评标报告；</w:t>
      </w:r>
    </w:p>
    <w:p>
      <w:pPr>
        <w:pStyle w:val="12"/>
        <w:spacing w:line="360" w:lineRule="auto"/>
        <w:ind w:left="420" w:firstLine="0" w:firstLineChars="0"/>
        <w:rPr>
          <w:rFonts w:hint="eastAsia" w:ascii="宋体" w:hAnsi="宋体"/>
          <w:color w:val="auto"/>
          <w:highlight w:val="none"/>
        </w:rPr>
      </w:pPr>
      <w:r>
        <w:rPr>
          <w:rFonts w:hint="eastAsia" w:ascii="宋体" w:hAnsi="宋体"/>
          <w:color w:val="auto"/>
          <w:highlight w:val="none"/>
        </w:rPr>
        <w:t>6.1.10评标结果录入交易系统，</w:t>
      </w:r>
      <w:r>
        <w:rPr>
          <w:rFonts w:hint="eastAsia"/>
          <w:color w:val="auto"/>
          <w:highlight w:val="none"/>
        </w:rPr>
        <w:t>并</w:t>
      </w:r>
      <w:r>
        <w:rPr>
          <w:color w:val="auto"/>
          <w:highlight w:val="none"/>
        </w:rPr>
        <w:t>统计最终</w:t>
      </w:r>
      <w:r>
        <w:rPr>
          <w:rFonts w:hint="eastAsia"/>
          <w:color w:val="auto"/>
          <w:highlight w:val="none"/>
        </w:rPr>
        <w:t>综合</w:t>
      </w:r>
      <w:r>
        <w:rPr>
          <w:color w:val="auto"/>
          <w:highlight w:val="none"/>
        </w:rPr>
        <w:t>得分</w:t>
      </w:r>
      <w:r>
        <w:rPr>
          <w:rFonts w:hint="eastAsia" w:ascii="宋体" w:hAnsi="宋体"/>
          <w:color w:val="auto"/>
          <w:highlight w:val="none"/>
        </w:rPr>
        <w:t>。</w:t>
      </w:r>
    </w:p>
    <w:p>
      <w:pPr>
        <w:pStyle w:val="12"/>
        <w:spacing w:line="360" w:lineRule="auto"/>
        <w:ind w:left="420" w:firstLine="0" w:firstLineChars="0"/>
        <w:rPr>
          <w:rFonts w:hint="eastAsia" w:ascii="宋体" w:hAnsi="宋体"/>
          <w:color w:val="auto"/>
          <w:highlight w:val="none"/>
        </w:rPr>
      </w:pPr>
      <w:r>
        <w:rPr>
          <w:rFonts w:hint="eastAsia" w:ascii="宋体" w:hAnsi="宋体"/>
          <w:color w:val="auto"/>
          <w:highlight w:val="none"/>
        </w:rPr>
        <w:t>6.1.11</w:t>
      </w:r>
      <w:r>
        <w:rPr>
          <w:rFonts w:hint="eastAsia"/>
          <w:color w:val="auto"/>
          <w:highlight w:val="none"/>
        </w:rPr>
        <w:t>评标委员会对有效投标文件</w:t>
      </w:r>
      <w:r>
        <w:rPr>
          <w:color w:val="auto"/>
          <w:highlight w:val="none"/>
        </w:rPr>
        <w:t>按</w:t>
      </w:r>
      <w:r>
        <w:rPr>
          <w:rFonts w:hint="eastAsia"/>
          <w:color w:val="auto"/>
          <w:highlight w:val="none"/>
        </w:rPr>
        <w:t>其</w:t>
      </w:r>
      <w:r>
        <w:rPr>
          <w:color w:val="auto"/>
          <w:highlight w:val="none"/>
        </w:rPr>
        <w:t>综合得分</w:t>
      </w:r>
      <w:r>
        <w:rPr>
          <w:rFonts w:hint="eastAsia"/>
          <w:color w:val="auto"/>
          <w:highlight w:val="none"/>
        </w:rPr>
        <w:t>由</w:t>
      </w:r>
      <w:r>
        <w:rPr>
          <w:color w:val="auto"/>
          <w:highlight w:val="none"/>
        </w:rPr>
        <w:t>高至低</w:t>
      </w:r>
      <w:r>
        <w:rPr>
          <w:rFonts w:hint="eastAsia"/>
          <w:color w:val="auto"/>
          <w:highlight w:val="none"/>
        </w:rPr>
        <w:t>的顺序</w:t>
      </w:r>
      <w:r>
        <w:rPr>
          <w:color w:val="auto"/>
          <w:highlight w:val="none"/>
        </w:rPr>
        <w:t>向招标人推荐中标候选人</w:t>
      </w:r>
      <w:r>
        <w:rPr>
          <w:rFonts w:hint="eastAsia"/>
          <w:color w:val="auto"/>
          <w:highlight w:val="none"/>
        </w:rPr>
        <w:t>并</w:t>
      </w:r>
      <w:r>
        <w:rPr>
          <w:rFonts w:hint="eastAsia" w:ascii="宋体" w:hAnsi="宋体"/>
          <w:color w:val="auto"/>
          <w:highlight w:val="none"/>
        </w:rPr>
        <w:t>按招标文件约定的方式得出中标人</w:t>
      </w:r>
      <w:r>
        <w:rPr>
          <w:rFonts w:hint="eastAsia"/>
          <w:color w:val="auto"/>
          <w:highlight w:val="none"/>
        </w:rPr>
        <w:t>。中标候选人的人数及定标原则见第二章“投标人须知”第7.3.2项。</w:t>
      </w:r>
    </w:p>
    <w:p>
      <w:pPr>
        <w:pStyle w:val="10"/>
        <w:outlineLvl w:val="0"/>
        <w:rPr>
          <w:rFonts w:hint="eastAsia"/>
          <w:color w:val="auto"/>
          <w:highlight w:val="none"/>
        </w:rPr>
      </w:pPr>
      <w:bookmarkStart w:id="32" w:name="_Toc418599306"/>
      <w:bookmarkStart w:id="33" w:name="_Toc80105324"/>
      <w:r>
        <w:rPr>
          <w:rFonts w:hint="eastAsia"/>
          <w:color w:val="auto"/>
          <w:highlight w:val="none"/>
        </w:rPr>
        <w:t>6.2 技术部分有效性评审</w:t>
      </w:r>
      <w:bookmarkEnd w:id="32"/>
      <w:bookmarkEnd w:id="33"/>
    </w:p>
    <w:p>
      <w:pPr>
        <w:numPr>
          <w:ilvl w:val="1"/>
          <w:numId w:val="6"/>
        </w:numPr>
        <w:tabs>
          <w:tab w:val="left" w:pos="900"/>
          <w:tab w:val="left" w:pos="1080"/>
        </w:tabs>
        <w:spacing w:line="400" w:lineRule="exact"/>
        <w:ind w:left="0" w:firstLine="425"/>
        <w:rPr>
          <w:rFonts w:hint="eastAsia" w:hAnsi="宋体"/>
          <w:color w:val="auto"/>
          <w:szCs w:val="21"/>
          <w:highlight w:val="none"/>
        </w:rPr>
      </w:pPr>
      <w:r>
        <w:rPr>
          <w:rFonts w:hint="eastAsia" w:ascii="宋体" w:hAnsi="宋体"/>
          <w:color w:val="auto"/>
          <w:szCs w:val="21"/>
          <w:highlight w:val="none"/>
        </w:rPr>
        <w:t>评标委员会依据本章第4.1.1项规定的标准对投标文件技术部分进行有效性评审。有一项不符合评审标准的，</w:t>
      </w:r>
      <w:r>
        <w:rPr>
          <w:rFonts w:hint="eastAsia" w:ascii="宋体" w:hAnsi="宋体"/>
          <w:color w:val="auto"/>
          <w:spacing w:val="6"/>
          <w:szCs w:val="21"/>
          <w:highlight w:val="none"/>
        </w:rPr>
        <w:t>评标委员会应当</w:t>
      </w:r>
      <w:r>
        <w:rPr>
          <w:rFonts w:hint="eastAsia" w:ascii="宋体" w:hAnsi="宋体"/>
          <w:color w:val="auto"/>
          <w:szCs w:val="21"/>
          <w:highlight w:val="none"/>
        </w:rPr>
        <w:t>否决其投标；如评标委员会各成员意见不一致时，</w:t>
      </w:r>
      <w:r>
        <w:rPr>
          <w:rFonts w:hint="eastAsia" w:ascii="宋体" w:hAnsi="宋体"/>
          <w:color w:val="auto"/>
          <w:spacing w:val="6"/>
          <w:szCs w:val="21"/>
          <w:highlight w:val="none"/>
        </w:rPr>
        <w:t>采用少数服从多数的形式予以书面签名确认，如</w:t>
      </w:r>
      <w:r>
        <w:rPr>
          <w:rFonts w:hint="eastAsia" w:ascii="宋体" w:hAnsi="宋体"/>
          <w:color w:val="auto"/>
          <w:szCs w:val="21"/>
          <w:highlight w:val="none"/>
        </w:rPr>
        <w:t>评标委员会各成员需保留</w:t>
      </w:r>
      <w:r>
        <w:rPr>
          <w:rFonts w:hint="eastAsia" w:ascii="宋体" w:hAnsi="宋体"/>
          <w:color w:val="auto"/>
          <w:spacing w:val="6"/>
          <w:szCs w:val="21"/>
          <w:highlight w:val="none"/>
        </w:rPr>
        <w:t>意见，则以书面形式形成记录。</w:t>
      </w:r>
    </w:p>
    <w:p>
      <w:pPr>
        <w:numPr>
          <w:ilvl w:val="1"/>
          <w:numId w:val="6"/>
        </w:numPr>
        <w:tabs>
          <w:tab w:val="left" w:pos="900"/>
          <w:tab w:val="left" w:pos="1080"/>
        </w:tabs>
        <w:spacing w:line="400" w:lineRule="exact"/>
        <w:ind w:left="0" w:firstLine="425"/>
        <w:rPr>
          <w:rFonts w:hint="eastAsia" w:hAnsi="宋体"/>
          <w:color w:val="auto"/>
          <w:szCs w:val="21"/>
          <w:highlight w:val="none"/>
        </w:rPr>
      </w:pPr>
      <w:r>
        <w:rPr>
          <w:rFonts w:hint="eastAsia" w:hAnsi="宋体"/>
          <w:color w:val="auto"/>
          <w:szCs w:val="21"/>
          <w:highlight w:val="none"/>
        </w:rPr>
        <w:t>投标人有下列情形之一的，其投标应当被否决：</w:t>
      </w:r>
    </w:p>
    <w:p>
      <w:pPr>
        <w:numPr>
          <w:ilvl w:val="1"/>
          <w:numId w:val="7"/>
        </w:numPr>
        <w:spacing w:line="440" w:lineRule="exact"/>
        <w:ind w:hanging="272"/>
        <w:rPr>
          <w:rFonts w:hint="eastAsia"/>
          <w:color w:val="auto"/>
          <w:szCs w:val="21"/>
          <w:highlight w:val="none"/>
        </w:rPr>
      </w:pPr>
      <w:r>
        <w:rPr>
          <w:rFonts w:hint="eastAsia"/>
          <w:color w:val="auto"/>
          <w:highlight w:val="none"/>
        </w:rPr>
        <w:t>符合第二章“投标人须知”第5.4款所列任何一种情形的</w:t>
      </w:r>
      <w:r>
        <w:rPr>
          <w:rFonts w:hint="eastAsia"/>
          <w:color w:val="auto"/>
          <w:szCs w:val="21"/>
          <w:highlight w:val="none"/>
        </w:rPr>
        <w:t>；</w:t>
      </w:r>
    </w:p>
    <w:p>
      <w:pPr>
        <w:numPr>
          <w:ilvl w:val="1"/>
          <w:numId w:val="7"/>
        </w:numPr>
        <w:spacing w:line="440" w:lineRule="exact"/>
        <w:ind w:hanging="272"/>
        <w:rPr>
          <w:rFonts w:hint="eastAsia"/>
          <w:color w:val="auto"/>
          <w:szCs w:val="21"/>
          <w:highlight w:val="none"/>
        </w:rPr>
      </w:pPr>
      <w:r>
        <w:rPr>
          <w:rFonts w:hint="eastAsia"/>
          <w:color w:val="auto"/>
          <w:highlight w:val="none"/>
        </w:rPr>
        <w:t>投标人有串通投标、弄虚作假、行贿等违法行为</w:t>
      </w:r>
      <w:r>
        <w:rPr>
          <w:rFonts w:hint="eastAsia"/>
          <w:color w:val="auto"/>
          <w:szCs w:val="21"/>
          <w:highlight w:val="none"/>
        </w:rPr>
        <w:t>的；</w:t>
      </w:r>
    </w:p>
    <w:p>
      <w:pPr>
        <w:numPr>
          <w:ilvl w:val="1"/>
          <w:numId w:val="7"/>
        </w:numPr>
        <w:tabs>
          <w:tab w:val="left" w:pos="360"/>
          <w:tab w:val="clear" w:pos="992"/>
        </w:tabs>
        <w:spacing w:line="440" w:lineRule="exact"/>
        <w:ind w:left="360" w:firstLine="360"/>
        <w:rPr>
          <w:rFonts w:hint="eastAsia"/>
          <w:color w:val="auto"/>
          <w:szCs w:val="21"/>
          <w:highlight w:val="none"/>
        </w:rPr>
      </w:pPr>
      <w:r>
        <w:rPr>
          <w:rFonts w:hint="eastAsia"/>
          <w:color w:val="auto"/>
          <w:szCs w:val="21"/>
          <w:highlight w:val="none"/>
        </w:rPr>
        <w:t>除上述情况外，被否决标书的确认应严格按照国家有关法律、法规的规定和程序进行。</w:t>
      </w:r>
    </w:p>
    <w:p>
      <w:pPr>
        <w:pStyle w:val="10"/>
        <w:outlineLvl w:val="0"/>
        <w:rPr>
          <w:rFonts w:hint="eastAsia"/>
          <w:color w:val="auto"/>
          <w:highlight w:val="none"/>
        </w:rPr>
      </w:pPr>
      <w:bookmarkStart w:id="34" w:name="_Toc418599307"/>
      <w:bookmarkStart w:id="35" w:name="_Toc80105325"/>
      <w:r>
        <w:rPr>
          <w:rFonts w:hint="eastAsia"/>
          <w:color w:val="auto"/>
          <w:highlight w:val="none"/>
        </w:rPr>
        <w:t>6.3 技术</w:t>
      </w:r>
      <w:r>
        <w:rPr>
          <w:rFonts w:hint="eastAsia" w:ascii="宋体" w:hAnsi="宋体"/>
          <w:color w:val="auto"/>
          <w:szCs w:val="21"/>
          <w:highlight w:val="none"/>
        </w:rPr>
        <w:t>部分</w:t>
      </w:r>
      <w:r>
        <w:rPr>
          <w:rFonts w:hint="eastAsia"/>
          <w:color w:val="auto"/>
          <w:highlight w:val="none"/>
        </w:rPr>
        <w:t>详细评审</w:t>
      </w:r>
      <w:bookmarkEnd w:id="34"/>
      <w:bookmarkEnd w:id="35"/>
    </w:p>
    <w:p>
      <w:pPr>
        <w:tabs>
          <w:tab w:val="left" w:pos="900"/>
        </w:tabs>
        <w:spacing w:line="400" w:lineRule="exact"/>
        <w:ind w:firstLine="420" w:firstLineChars="200"/>
        <w:rPr>
          <w:rFonts w:hint="eastAsia" w:hAnsi="宋体"/>
          <w:color w:val="auto"/>
          <w:szCs w:val="21"/>
          <w:highlight w:val="none"/>
        </w:rPr>
      </w:pPr>
      <w:r>
        <w:rPr>
          <w:rFonts w:hAnsi="宋体"/>
          <w:color w:val="auto"/>
          <w:szCs w:val="21"/>
          <w:highlight w:val="none"/>
        </w:rPr>
        <w:t>评标委员会</w:t>
      </w:r>
      <w:r>
        <w:rPr>
          <w:rFonts w:hint="eastAsia" w:hAnsi="宋体"/>
          <w:color w:val="auto"/>
          <w:szCs w:val="21"/>
          <w:highlight w:val="none"/>
        </w:rPr>
        <w:t>各成员</w:t>
      </w:r>
      <w:r>
        <w:rPr>
          <w:rFonts w:hAnsi="宋体"/>
          <w:color w:val="auto"/>
          <w:szCs w:val="21"/>
          <w:highlight w:val="none"/>
        </w:rPr>
        <w:t>依照本</w:t>
      </w:r>
      <w:r>
        <w:rPr>
          <w:rFonts w:hint="eastAsia" w:hAnsi="宋体"/>
          <w:color w:val="auto"/>
          <w:szCs w:val="21"/>
          <w:highlight w:val="none"/>
        </w:rPr>
        <w:t>章第</w:t>
      </w:r>
      <w:r>
        <w:rPr>
          <w:rFonts w:hint="eastAsia" w:ascii="宋体" w:hAnsi="宋体"/>
          <w:color w:val="auto"/>
          <w:szCs w:val="21"/>
          <w:highlight w:val="none"/>
        </w:rPr>
        <w:t>4.2.1项</w:t>
      </w:r>
      <w:r>
        <w:rPr>
          <w:rFonts w:hint="eastAsia" w:hAnsi="宋体"/>
          <w:color w:val="auto"/>
          <w:szCs w:val="21"/>
          <w:highlight w:val="none"/>
        </w:rPr>
        <w:t>规定的</w:t>
      </w:r>
      <w:r>
        <w:rPr>
          <w:rFonts w:hAnsi="宋体"/>
          <w:color w:val="auto"/>
          <w:szCs w:val="21"/>
          <w:highlight w:val="none"/>
        </w:rPr>
        <w:t>标准，</w:t>
      </w:r>
      <w:r>
        <w:rPr>
          <w:rFonts w:hint="eastAsia" w:hAnsi="宋体"/>
          <w:color w:val="auto"/>
          <w:szCs w:val="21"/>
          <w:highlight w:val="none"/>
        </w:rPr>
        <w:t>仔细</w:t>
      </w:r>
      <w:r>
        <w:rPr>
          <w:rFonts w:hAnsi="宋体"/>
          <w:color w:val="auto"/>
          <w:szCs w:val="21"/>
          <w:highlight w:val="none"/>
        </w:rPr>
        <w:t>阅读投标文件</w:t>
      </w:r>
      <w:r>
        <w:rPr>
          <w:rFonts w:hint="eastAsia" w:hAnsi="宋体"/>
          <w:color w:val="auto"/>
          <w:szCs w:val="21"/>
          <w:highlight w:val="none"/>
        </w:rPr>
        <w:t>并</w:t>
      </w:r>
      <w:r>
        <w:rPr>
          <w:rFonts w:hint="eastAsia" w:ascii="宋体" w:hAnsi="宋体"/>
          <w:color w:val="auto"/>
          <w:szCs w:val="21"/>
          <w:highlight w:val="none"/>
        </w:rPr>
        <w:t>独立地</w:t>
      </w:r>
      <w:r>
        <w:rPr>
          <w:rFonts w:hint="eastAsia" w:hAnsi="宋体"/>
          <w:color w:val="auto"/>
          <w:szCs w:val="21"/>
          <w:highlight w:val="none"/>
        </w:rPr>
        <w:t>对投标文件进行</w:t>
      </w:r>
      <w:r>
        <w:rPr>
          <w:rFonts w:hAnsi="宋体"/>
          <w:color w:val="auto"/>
          <w:szCs w:val="21"/>
          <w:highlight w:val="none"/>
        </w:rPr>
        <w:t>分析、对比、评分，填写</w:t>
      </w:r>
      <w:r>
        <w:rPr>
          <w:rFonts w:hint="eastAsia" w:hAnsi="宋体"/>
          <w:color w:val="auto"/>
          <w:szCs w:val="21"/>
          <w:highlight w:val="none"/>
        </w:rPr>
        <w:t>相关评审表格。</w:t>
      </w:r>
    </w:p>
    <w:p>
      <w:pPr>
        <w:pStyle w:val="10"/>
        <w:outlineLvl w:val="0"/>
        <w:rPr>
          <w:rFonts w:hint="eastAsia"/>
          <w:color w:val="auto"/>
          <w:highlight w:val="none"/>
        </w:rPr>
      </w:pPr>
      <w:bookmarkStart w:id="36" w:name="_Toc80105326"/>
      <w:r>
        <w:rPr>
          <w:rFonts w:hint="eastAsia"/>
          <w:color w:val="auto"/>
          <w:highlight w:val="none"/>
        </w:rPr>
        <w:t>6.4 商务部分有效性评审</w:t>
      </w:r>
      <w:bookmarkEnd w:id="36"/>
    </w:p>
    <w:p>
      <w:pPr>
        <w:tabs>
          <w:tab w:val="left" w:pos="900"/>
          <w:tab w:val="left" w:pos="1080"/>
        </w:tabs>
        <w:spacing w:line="400" w:lineRule="exact"/>
        <w:rPr>
          <w:rFonts w:hint="eastAsia" w:hAnsi="宋体"/>
          <w:color w:val="auto"/>
          <w:szCs w:val="21"/>
          <w:highlight w:val="none"/>
        </w:rPr>
      </w:pPr>
      <w:r>
        <w:rPr>
          <w:rFonts w:hint="eastAsia" w:ascii="宋体" w:hAnsi="宋体"/>
          <w:color w:val="auto"/>
          <w:szCs w:val="21"/>
          <w:highlight w:val="none"/>
        </w:rPr>
        <w:t xml:space="preserve">    6.4.1评标委员会依据本章第4.1.2项规定的标准对投标文件商务部分进行有效性评审。有一项不符合评审标准的，</w:t>
      </w:r>
      <w:r>
        <w:rPr>
          <w:rFonts w:hint="eastAsia" w:ascii="宋体" w:hAnsi="宋体"/>
          <w:color w:val="auto"/>
          <w:spacing w:val="6"/>
          <w:szCs w:val="21"/>
          <w:highlight w:val="none"/>
        </w:rPr>
        <w:t>评标委员会应当</w:t>
      </w:r>
      <w:r>
        <w:rPr>
          <w:rFonts w:hint="eastAsia" w:ascii="宋体" w:hAnsi="宋体"/>
          <w:color w:val="auto"/>
          <w:szCs w:val="21"/>
          <w:highlight w:val="none"/>
        </w:rPr>
        <w:t>否决其投标；如评标委员会各成员意见不一致时，</w:t>
      </w:r>
      <w:r>
        <w:rPr>
          <w:rFonts w:hint="eastAsia" w:ascii="宋体" w:hAnsi="宋体"/>
          <w:color w:val="auto"/>
          <w:spacing w:val="6"/>
          <w:szCs w:val="21"/>
          <w:highlight w:val="none"/>
        </w:rPr>
        <w:t>采用少数服从多数的形式予以书面签名确认，如</w:t>
      </w:r>
      <w:r>
        <w:rPr>
          <w:rFonts w:hint="eastAsia" w:ascii="宋体" w:hAnsi="宋体"/>
          <w:color w:val="auto"/>
          <w:szCs w:val="21"/>
          <w:highlight w:val="none"/>
        </w:rPr>
        <w:t>评标委员会各成员需保留</w:t>
      </w:r>
      <w:r>
        <w:rPr>
          <w:rFonts w:hint="eastAsia" w:ascii="宋体" w:hAnsi="宋体"/>
          <w:color w:val="auto"/>
          <w:spacing w:val="6"/>
          <w:szCs w:val="21"/>
          <w:highlight w:val="none"/>
        </w:rPr>
        <w:t>意见，则以书面形式形成记录。</w:t>
      </w:r>
    </w:p>
    <w:p>
      <w:pPr>
        <w:tabs>
          <w:tab w:val="left" w:pos="900"/>
          <w:tab w:val="left" w:pos="1080"/>
        </w:tabs>
        <w:spacing w:line="400" w:lineRule="exact"/>
        <w:ind w:left="425"/>
        <w:rPr>
          <w:rFonts w:hint="eastAsia" w:hAnsi="宋体"/>
          <w:color w:val="auto"/>
          <w:szCs w:val="21"/>
          <w:highlight w:val="none"/>
        </w:rPr>
      </w:pPr>
      <w:r>
        <w:rPr>
          <w:rFonts w:hint="eastAsia" w:hAnsi="宋体"/>
          <w:color w:val="auto"/>
          <w:szCs w:val="21"/>
          <w:highlight w:val="none"/>
        </w:rPr>
        <w:t>6.4.2投标人有下列情形之一的，其投标应当被否决：</w:t>
      </w:r>
    </w:p>
    <w:p>
      <w:pPr>
        <w:spacing w:line="440" w:lineRule="exact"/>
        <w:ind w:left="720"/>
        <w:rPr>
          <w:rFonts w:hint="eastAsia"/>
          <w:color w:val="auto"/>
          <w:szCs w:val="21"/>
          <w:highlight w:val="none"/>
        </w:rPr>
      </w:pPr>
      <w:r>
        <w:rPr>
          <w:rFonts w:hint="eastAsia"/>
          <w:color w:val="auto"/>
          <w:highlight w:val="none"/>
        </w:rPr>
        <w:t>（1）符合第二章“投标人须知”第5.4款所列任何一种情形的</w:t>
      </w:r>
      <w:r>
        <w:rPr>
          <w:rFonts w:hint="eastAsia"/>
          <w:color w:val="auto"/>
          <w:szCs w:val="21"/>
          <w:highlight w:val="none"/>
        </w:rPr>
        <w:t>；</w:t>
      </w:r>
    </w:p>
    <w:p>
      <w:pPr>
        <w:spacing w:line="440" w:lineRule="exact"/>
        <w:ind w:left="720"/>
        <w:rPr>
          <w:rFonts w:hint="eastAsia"/>
          <w:color w:val="auto"/>
          <w:szCs w:val="21"/>
          <w:highlight w:val="none"/>
        </w:rPr>
      </w:pPr>
      <w:r>
        <w:rPr>
          <w:rFonts w:hint="eastAsia"/>
          <w:color w:val="auto"/>
          <w:highlight w:val="none"/>
        </w:rPr>
        <w:t>（2）投标人有串通投标、弄虚作假、行贿等违法行为</w:t>
      </w:r>
      <w:r>
        <w:rPr>
          <w:rFonts w:hint="eastAsia"/>
          <w:color w:val="auto"/>
          <w:szCs w:val="21"/>
          <w:highlight w:val="none"/>
        </w:rPr>
        <w:t>的；</w:t>
      </w:r>
    </w:p>
    <w:p>
      <w:pPr>
        <w:tabs>
          <w:tab w:val="left" w:pos="360"/>
        </w:tabs>
        <w:spacing w:line="440" w:lineRule="exact"/>
        <w:ind w:left="720"/>
        <w:rPr>
          <w:rFonts w:hint="eastAsia" w:hAnsi="宋体"/>
          <w:color w:val="auto"/>
          <w:szCs w:val="21"/>
          <w:highlight w:val="none"/>
        </w:rPr>
      </w:pPr>
      <w:r>
        <w:rPr>
          <w:rFonts w:hint="eastAsia"/>
          <w:color w:val="auto"/>
          <w:highlight w:val="none"/>
        </w:rPr>
        <w:t>（3）</w:t>
      </w:r>
      <w:r>
        <w:rPr>
          <w:rFonts w:hint="eastAsia"/>
          <w:color w:val="auto"/>
          <w:szCs w:val="21"/>
          <w:highlight w:val="none"/>
        </w:rPr>
        <w:t>除上述情况外，被否决标书的确认应严格按照国家有关法律、法规的规定和程序进行。</w:t>
      </w:r>
    </w:p>
    <w:p>
      <w:pPr>
        <w:pStyle w:val="10"/>
        <w:outlineLvl w:val="0"/>
        <w:rPr>
          <w:rFonts w:hint="eastAsia"/>
          <w:color w:val="auto"/>
          <w:highlight w:val="none"/>
        </w:rPr>
      </w:pPr>
      <w:bookmarkStart w:id="37" w:name="_Toc80105327"/>
      <w:bookmarkStart w:id="38" w:name="_Toc418599308"/>
      <w:r>
        <w:rPr>
          <w:rFonts w:hint="eastAsia"/>
          <w:color w:val="auto"/>
          <w:highlight w:val="none"/>
        </w:rPr>
        <w:t>6.5 商务部分详细评审</w:t>
      </w:r>
      <w:bookmarkEnd w:id="37"/>
      <w:bookmarkEnd w:id="38"/>
    </w:p>
    <w:p>
      <w:pPr>
        <w:tabs>
          <w:tab w:val="left" w:pos="900"/>
        </w:tabs>
        <w:spacing w:line="400" w:lineRule="exact"/>
        <w:ind w:firstLine="420" w:firstLineChars="200"/>
        <w:rPr>
          <w:rFonts w:hint="eastAsia" w:hAnsi="宋体"/>
          <w:color w:val="auto"/>
          <w:szCs w:val="21"/>
          <w:highlight w:val="none"/>
        </w:rPr>
      </w:pPr>
      <w:r>
        <w:rPr>
          <w:rFonts w:hAnsi="宋体"/>
          <w:color w:val="auto"/>
          <w:szCs w:val="21"/>
          <w:highlight w:val="none"/>
        </w:rPr>
        <w:t>评标委员会</w:t>
      </w:r>
      <w:r>
        <w:rPr>
          <w:rFonts w:hint="eastAsia" w:hAnsi="宋体"/>
          <w:color w:val="auto"/>
          <w:szCs w:val="21"/>
          <w:highlight w:val="none"/>
        </w:rPr>
        <w:t>各成员</w:t>
      </w:r>
      <w:r>
        <w:rPr>
          <w:rFonts w:hAnsi="宋体"/>
          <w:color w:val="auto"/>
          <w:szCs w:val="21"/>
          <w:highlight w:val="none"/>
        </w:rPr>
        <w:t>依照本</w:t>
      </w:r>
      <w:r>
        <w:rPr>
          <w:rFonts w:hint="eastAsia" w:hAnsi="宋体"/>
          <w:color w:val="auto"/>
          <w:szCs w:val="21"/>
          <w:highlight w:val="none"/>
        </w:rPr>
        <w:t>章第</w:t>
      </w:r>
      <w:r>
        <w:rPr>
          <w:rFonts w:hint="eastAsia" w:ascii="宋体" w:hAnsi="宋体"/>
          <w:color w:val="auto"/>
          <w:szCs w:val="21"/>
          <w:highlight w:val="none"/>
        </w:rPr>
        <w:t>4.2.2项</w:t>
      </w:r>
      <w:r>
        <w:rPr>
          <w:rFonts w:hint="eastAsia" w:hAnsi="宋体"/>
          <w:color w:val="auto"/>
          <w:szCs w:val="21"/>
          <w:highlight w:val="none"/>
        </w:rPr>
        <w:t>规定的</w:t>
      </w:r>
      <w:r>
        <w:rPr>
          <w:rFonts w:hAnsi="宋体"/>
          <w:color w:val="auto"/>
          <w:szCs w:val="21"/>
          <w:highlight w:val="none"/>
        </w:rPr>
        <w:t>标准，</w:t>
      </w:r>
      <w:r>
        <w:rPr>
          <w:rFonts w:hint="eastAsia" w:hAnsi="宋体"/>
          <w:color w:val="auto"/>
          <w:szCs w:val="21"/>
          <w:highlight w:val="none"/>
        </w:rPr>
        <w:t>仔细</w:t>
      </w:r>
      <w:r>
        <w:rPr>
          <w:rFonts w:hAnsi="宋体"/>
          <w:color w:val="auto"/>
          <w:szCs w:val="21"/>
          <w:highlight w:val="none"/>
        </w:rPr>
        <w:t>阅读投标文件</w:t>
      </w:r>
      <w:r>
        <w:rPr>
          <w:rFonts w:hint="eastAsia" w:hAnsi="宋体"/>
          <w:color w:val="auto"/>
          <w:szCs w:val="21"/>
          <w:highlight w:val="none"/>
        </w:rPr>
        <w:t>并对投标文件进行</w:t>
      </w:r>
      <w:r>
        <w:rPr>
          <w:rFonts w:hAnsi="宋体"/>
          <w:color w:val="auto"/>
          <w:szCs w:val="21"/>
          <w:highlight w:val="none"/>
        </w:rPr>
        <w:t>分析、对比、评分，填写</w:t>
      </w:r>
      <w:r>
        <w:rPr>
          <w:rFonts w:hint="eastAsia" w:hAnsi="宋体"/>
          <w:color w:val="auto"/>
          <w:szCs w:val="21"/>
          <w:highlight w:val="none"/>
        </w:rPr>
        <w:t>相关评审表格。</w:t>
      </w:r>
    </w:p>
    <w:p>
      <w:pPr>
        <w:pStyle w:val="10"/>
        <w:outlineLvl w:val="0"/>
        <w:rPr>
          <w:rFonts w:hint="eastAsia"/>
          <w:color w:val="auto"/>
          <w:highlight w:val="none"/>
        </w:rPr>
      </w:pPr>
      <w:bookmarkStart w:id="39" w:name="_Toc144974563"/>
      <w:bookmarkStart w:id="40" w:name="_Toc152045596"/>
      <w:bookmarkStart w:id="41" w:name="_Toc80105328"/>
      <w:bookmarkStart w:id="42" w:name="_Toc152042373"/>
      <w:r>
        <w:rPr>
          <w:rFonts w:hint="eastAsia"/>
          <w:color w:val="auto"/>
          <w:highlight w:val="none"/>
        </w:rPr>
        <w:t>6.6 投标文件的澄清</w:t>
      </w:r>
      <w:bookmarkEnd w:id="39"/>
      <w:r>
        <w:rPr>
          <w:rFonts w:hint="eastAsia"/>
          <w:color w:val="auto"/>
          <w:highlight w:val="none"/>
        </w:rPr>
        <w:t>和补正</w:t>
      </w:r>
      <w:bookmarkEnd w:id="40"/>
      <w:bookmarkEnd w:id="41"/>
      <w:bookmarkEnd w:id="42"/>
    </w:p>
    <w:p>
      <w:pPr>
        <w:tabs>
          <w:tab w:val="left" w:pos="900"/>
          <w:tab w:val="left" w:pos="1080"/>
        </w:tabs>
        <w:spacing w:line="400" w:lineRule="exact"/>
        <w:ind w:firstLine="420"/>
        <w:rPr>
          <w:rFonts w:hint="eastAsia" w:ascii="宋体" w:hAnsi="宋体"/>
          <w:color w:val="auto"/>
          <w:szCs w:val="21"/>
          <w:highlight w:val="none"/>
        </w:rPr>
      </w:pPr>
      <w:r>
        <w:rPr>
          <w:rFonts w:hint="eastAsia" w:ascii="宋体" w:hAnsi="宋体"/>
          <w:color w:val="auto"/>
          <w:szCs w:val="21"/>
          <w:highlight w:val="none"/>
        </w:rPr>
        <w:t>6.6.1在评标过程中，评标委员会可以书面方式要求投标人对投标文件商务部分中含义不明确、对同类问题表述不一致或者有明显文字和计算错误的内容作必要的澄清、说明或者补正。澄清、说明或者补正都应符合招标文件中的相关规定。评标委员会不接受投标人主动提出的澄清、说明或补正。</w:t>
      </w:r>
    </w:p>
    <w:p>
      <w:pPr>
        <w:tabs>
          <w:tab w:val="left" w:pos="900"/>
          <w:tab w:val="left" w:pos="1080"/>
        </w:tabs>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6.6.2澄清、说明和补正不得改变投标文件的实质性内容（算术性错误修正的除外）。投标人的书面澄清、说明和补正属于投标文件的组成部分。</w:t>
      </w:r>
    </w:p>
    <w:p>
      <w:pPr>
        <w:spacing w:line="400" w:lineRule="exact"/>
        <w:rPr>
          <w:rFonts w:hint="eastAsia" w:ascii="宋体" w:hAnsi="宋体" w:cs="宋体"/>
          <w:color w:val="auto"/>
          <w:highlight w:val="none"/>
        </w:rPr>
      </w:pPr>
      <w:r>
        <w:rPr>
          <w:rFonts w:hint="eastAsia" w:ascii="宋体" w:hAnsi="宋体" w:cs="宋体"/>
          <w:color w:val="auto"/>
          <w:szCs w:val="21"/>
          <w:highlight w:val="none"/>
        </w:rPr>
        <w:t xml:space="preserve">    评标委员会对投标人提交的澄清、说明或补正有疑问的，可以要求投标人进一步澄清、说明或补正，直至满足评标委员会的要求。</w:t>
      </w:r>
    </w:p>
    <w:p>
      <w:pPr>
        <w:pStyle w:val="10"/>
        <w:outlineLvl w:val="0"/>
        <w:rPr>
          <w:rFonts w:hint="eastAsia"/>
          <w:color w:val="auto"/>
          <w:highlight w:val="none"/>
        </w:rPr>
      </w:pPr>
      <w:bookmarkStart w:id="43" w:name="_Toc152045597"/>
      <w:bookmarkStart w:id="44" w:name="_Toc152042374"/>
      <w:bookmarkStart w:id="45" w:name="_Toc144974564"/>
      <w:bookmarkStart w:id="46" w:name="_Toc80105329"/>
      <w:r>
        <w:rPr>
          <w:rFonts w:hint="eastAsia"/>
          <w:color w:val="auto"/>
          <w:highlight w:val="none"/>
        </w:rPr>
        <w:t>6.</w:t>
      </w:r>
      <w:bookmarkEnd w:id="43"/>
      <w:bookmarkEnd w:id="44"/>
      <w:bookmarkEnd w:id="45"/>
      <w:r>
        <w:rPr>
          <w:rFonts w:hint="eastAsia"/>
          <w:color w:val="auto"/>
          <w:highlight w:val="none"/>
        </w:rPr>
        <w:t>7评标结果</w:t>
      </w:r>
      <w:bookmarkEnd w:id="46"/>
    </w:p>
    <w:p>
      <w:pPr>
        <w:tabs>
          <w:tab w:val="left" w:pos="900"/>
          <w:tab w:val="left" w:pos="1080"/>
        </w:tabs>
        <w:spacing w:line="400" w:lineRule="exact"/>
        <w:ind w:left="425"/>
        <w:rPr>
          <w:rFonts w:hint="eastAsia" w:hAnsi="宋体"/>
          <w:color w:val="auto"/>
          <w:szCs w:val="21"/>
          <w:highlight w:val="none"/>
        </w:rPr>
      </w:pPr>
      <w:r>
        <w:rPr>
          <w:rFonts w:hint="eastAsia" w:hAnsi="宋体"/>
          <w:color w:val="auto"/>
          <w:szCs w:val="21"/>
          <w:highlight w:val="none"/>
        </w:rPr>
        <w:t>6.7.1评标委员会按以下原则向招标人推荐中标候选人：</w:t>
      </w:r>
    </w:p>
    <w:p>
      <w:pPr>
        <w:tabs>
          <w:tab w:val="left" w:pos="900"/>
          <w:tab w:val="left" w:pos="1080"/>
        </w:tabs>
        <w:spacing w:line="400" w:lineRule="exact"/>
        <w:rPr>
          <w:rFonts w:hint="eastAsia"/>
          <w:color w:val="auto"/>
          <w:szCs w:val="21"/>
          <w:highlight w:val="none"/>
        </w:rPr>
      </w:pPr>
      <w:r>
        <w:rPr>
          <w:rFonts w:hint="eastAsia" w:hAnsi="宋体"/>
          <w:color w:val="auto"/>
          <w:szCs w:val="21"/>
          <w:highlight w:val="none"/>
        </w:rPr>
        <w:t xml:space="preserve">   （1）</w:t>
      </w:r>
      <w:r>
        <w:rPr>
          <w:rFonts w:hint="eastAsia"/>
          <w:color w:val="auto"/>
          <w:szCs w:val="21"/>
          <w:highlight w:val="none"/>
        </w:rPr>
        <w:t>评标委员会的每位评委根据本章第4条规定的评审标准独立地对每份投标文件进行打分。</w:t>
      </w:r>
    </w:p>
    <w:p>
      <w:pPr>
        <w:tabs>
          <w:tab w:val="left" w:pos="900"/>
          <w:tab w:val="left" w:pos="1080"/>
        </w:tabs>
        <w:spacing w:line="400" w:lineRule="exact"/>
        <w:ind w:firstLine="420" w:firstLineChars="200"/>
        <w:rPr>
          <w:rFonts w:hint="eastAsia"/>
          <w:color w:val="auto"/>
          <w:szCs w:val="21"/>
          <w:highlight w:val="none"/>
        </w:rPr>
      </w:pPr>
      <w:r>
        <w:rPr>
          <w:rFonts w:hint="eastAsia"/>
          <w:color w:val="auto"/>
          <w:highlight w:val="none"/>
        </w:rPr>
        <w:t>①</w:t>
      </w:r>
      <w:r>
        <w:rPr>
          <w:color w:val="auto"/>
          <w:highlight w:val="none"/>
        </w:rPr>
        <w:t>评标委员会首先对</w:t>
      </w:r>
      <w:r>
        <w:rPr>
          <w:rFonts w:hint="eastAsia"/>
          <w:color w:val="auto"/>
          <w:highlight w:val="none"/>
        </w:rPr>
        <w:t>技术部分</w:t>
      </w:r>
      <w:r>
        <w:rPr>
          <w:color w:val="auto"/>
          <w:highlight w:val="none"/>
        </w:rPr>
        <w:t>进行评审，按评标</w:t>
      </w:r>
      <w:r>
        <w:rPr>
          <w:rFonts w:hint="eastAsia"/>
          <w:color w:val="auto"/>
          <w:highlight w:val="none"/>
        </w:rPr>
        <w:t>标准</w:t>
      </w:r>
      <w:r>
        <w:rPr>
          <w:color w:val="auto"/>
          <w:highlight w:val="none"/>
        </w:rPr>
        <w:t>独立打分后，得出</w:t>
      </w:r>
      <w:r>
        <w:rPr>
          <w:rFonts w:hint="eastAsia"/>
          <w:color w:val="auto"/>
          <w:highlight w:val="none"/>
        </w:rPr>
        <w:t>技术部分</w:t>
      </w:r>
      <w:r>
        <w:rPr>
          <w:color w:val="auto"/>
          <w:highlight w:val="none"/>
        </w:rPr>
        <w:t>评分</w:t>
      </w:r>
      <w:r>
        <w:rPr>
          <w:rFonts w:hint="eastAsia"/>
          <w:color w:val="auto"/>
          <w:highlight w:val="none"/>
        </w:rPr>
        <w:t>，</w:t>
      </w:r>
      <w:r>
        <w:rPr>
          <w:rFonts w:hint="eastAsia"/>
          <w:color w:val="auto"/>
          <w:szCs w:val="21"/>
          <w:highlight w:val="none"/>
        </w:rPr>
        <w:t>在所有评委对同一份投标文件技术部分评审的总评分中，去掉一个最高分和一个最低分，计算剩余总评分的算术平均值即为该投标人技术部分的最终综合得分；</w:t>
      </w:r>
    </w:p>
    <w:p>
      <w:pPr>
        <w:tabs>
          <w:tab w:val="left" w:pos="900"/>
          <w:tab w:val="left" w:pos="1080"/>
        </w:tabs>
        <w:spacing w:line="400" w:lineRule="exact"/>
        <w:ind w:firstLine="420" w:firstLineChars="200"/>
        <w:rPr>
          <w:rFonts w:hint="eastAsia"/>
          <w:color w:val="auto"/>
          <w:szCs w:val="21"/>
          <w:highlight w:val="none"/>
        </w:rPr>
      </w:pPr>
      <w:r>
        <w:rPr>
          <w:rFonts w:hint="eastAsia"/>
          <w:color w:val="auto"/>
          <w:highlight w:val="none"/>
        </w:rPr>
        <w:t>②</w:t>
      </w:r>
      <w:r>
        <w:rPr>
          <w:color w:val="auto"/>
          <w:highlight w:val="none"/>
        </w:rPr>
        <w:t>评标委员会对商务</w:t>
      </w:r>
      <w:r>
        <w:rPr>
          <w:rFonts w:hint="eastAsia"/>
          <w:color w:val="auto"/>
          <w:highlight w:val="none"/>
        </w:rPr>
        <w:t>部分（不含</w:t>
      </w:r>
      <w:r>
        <w:rPr>
          <w:rFonts w:hint="eastAsia"/>
          <w:color w:val="auto"/>
          <w:szCs w:val="21"/>
          <w:highlight w:val="none"/>
        </w:rPr>
        <w:t>投标报价</w:t>
      </w:r>
      <w:r>
        <w:rPr>
          <w:rFonts w:hint="eastAsia"/>
          <w:color w:val="auto"/>
          <w:highlight w:val="none"/>
        </w:rPr>
        <w:t>评分）</w:t>
      </w:r>
      <w:r>
        <w:rPr>
          <w:color w:val="auto"/>
          <w:highlight w:val="none"/>
        </w:rPr>
        <w:t>进行评审，按评标</w:t>
      </w:r>
      <w:r>
        <w:rPr>
          <w:rFonts w:hint="eastAsia"/>
          <w:color w:val="auto"/>
          <w:highlight w:val="none"/>
        </w:rPr>
        <w:t>标准</w:t>
      </w:r>
      <w:r>
        <w:rPr>
          <w:color w:val="auto"/>
          <w:highlight w:val="none"/>
        </w:rPr>
        <w:t>独立打分后，得出商务</w:t>
      </w:r>
      <w:r>
        <w:rPr>
          <w:rFonts w:hint="eastAsia"/>
          <w:color w:val="auto"/>
          <w:highlight w:val="none"/>
        </w:rPr>
        <w:t>部分（不含</w:t>
      </w:r>
      <w:r>
        <w:rPr>
          <w:rFonts w:hint="eastAsia"/>
          <w:color w:val="auto"/>
          <w:szCs w:val="21"/>
          <w:highlight w:val="none"/>
        </w:rPr>
        <w:t>投标报价</w:t>
      </w:r>
      <w:r>
        <w:rPr>
          <w:rFonts w:hint="eastAsia"/>
          <w:color w:val="auto"/>
          <w:highlight w:val="none"/>
        </w:rPr>
        <w:t>评分）</w:t>
      </w:r>
      <w:r>
        <w:rPr>
          <w:color w:val="auto"/>
          <w:highlight w:val="none"/>
        </w:rPr>
        <w:t>评分</w:t>
      </w:r>
      <w:r>
        <w:rPr>
          <w:rFonts w:hint="eastAsia"/>
          <w:color w:val="auto"/>
          <w:highlight w:val="none"/>
        </w:rPr>
        <w:t>，</w:t>
      </w:r>
      <w:r>
        <w:rPr>
          <w:rFonts w:hint="eastAsia"/>
          <w:color w:val="auto"/>
          <w:szCs w:val="21"/>
          <w:highlight w:val="none"/>
        </w:rPr>
        <w:t>在所有评委对同一份投标文件商务部分</w:t>
      </w:r>
      <w:r>
        <w:rPr>
          <w:rFonts w:hint="eastAsia"/>
          <w:color w:val="auto"/>
          <w:highlight w:val="none"/>
        </w:rPr>
        <w:t>（不含</w:t>
      </w:r>
      <w:r>
        <w:rPr>
          <w:rFonts w:hint="eastAsia"/>
          <w:color w:val="auto"/>
          <w:szCs w:val="21"/>
          <w:highlight w:val="none"/>
        </w:rPr>
        <w:t>投标报价</w:t>
      </w:r>
      <w:r>
        <w:rPr>
          <w:rFonts w:hint="eastAsia"/>
          <w:color w:val="auto"/>
          <w:highlight w:val="none"/>
        </w:rPr>
        <w:t>评分）</w:t>
      </w:r>
      <w:r>
        <w:rPr>
          <w:rFonts w:hint="eastAsia"/>
          <w:color w:val="auto"/>
          <w:szCs w:val="21"/>
          <w:highlight w:val="none"/>
        </w:rPr>
        <w:t>评审的总评分中，去掉一个最高分和一个最低分，计算剩余总评分的算术平均值即为该投标人商务部分的最终综合得分；</w:t>
      </w:r>
    </w:p>
    <w:p>
      <w:pPr>
        <w:tabs>
          <w:tab w:val="left" w:pos="900"/>
          <w:tab w:val="left" w:pos="1080"/>
        </w:tabs>
        <w:spacing w:line="400" w:lineRule="exact"/>
        <w:ind w:firstLine="420" w:firstLineChars="200"/>
        <w:rPr>
          <w:color w:val="auto"/>
          <w:highlight w:val="none"/>
        </w:rPr>
      </w:pPr>
      <w:r>
        <w:rPr>
          <w:rFonts w:hint="eastAsia"/>
          <w:color w:val="auto"/>
          <w:highlight w:val="none"/>
        </w:rPr>
        <w:t>③</w:t>
      </w:r>
      <w:r>
        <w:rPr>
          <w:color w:val="auto"/>
          <w:highlight w:val="none"/>
        </w:rPr>
        <w:t>评标委员会对商务</w:t>
      </w:r>
      <w:r>
        <w:rPr>
          <w:rFonts w:hint="eastAsia"/>
          <w:color w:val="auto"/>
          <w:highlight w:val="none"/>
        </w:rPr>
        <w:t>部分（</w:t>
      </w:r>
      <w:r>
        <w:rPr>
          <w:rFonts w:hint="eastAsia"/>
          <w:color w:val="auto"/>
          <w:szCs w:val="21"/>
          <w:highlight w:val="none"/>
        </w:rPr>
        <w:t>投标报价</w:t>
      </w:r>
      <w:r>
        <w:rPr>
          <w:rFonts w:hint="eastAsia"/>
          <w:color w:val="auto"/>
          <w:highlight w:val="none"/>
        </w:rPr>
        <w:t>评分）</w:t>
      </w:r>
      <w:r>
        <w:rPr>
          <w:color w:val="auto"/>
          <w:highlight w:val="none"/>
        </w:rPr>
        <w:t>进行</w:t>
      </w:r>
      <w:r>
        <w:rPr>
          <w:rFonts w:hint="eastAsia"/>
          <w:color w:val="auto"/>
          <w:highlight w:val="none"/>
        </w:rPr>
        <w:t>统一</w:t>
      </w:r>
      <w:r>
        <w:rPr>
          <w:color w:val="auto"/>
          <w:highlight w:val="none"/>
        </w:rPr>
        <w:t>评审，按评标</w:t>
      </w:r>
      <w:r>
        <w:rPr>
          <w:rFonts w:hint="eastAsia"/>
          <w:color w:val="auto"/>
          <w:highlight w:val="none"/>
        </w:rPr>
        <w:t>标准进行统一</w:t>
      </w:r>
      <w:r>
        <w:rPr>
          <w:color w:val="auto"/>
          <w:highlight w:val="none"/>
        </w:rPr>
        <w:t>评分</w:t>
      </w:r>
      <w:r>
        <w:rPr>
          <w:rFonts w:hint="eastAsia"/>
          <w:color w:val="auto"/>
          <w:highlight w:val="none"/>
        </w:rPr>
        <w:t>，并在</w:t>
      </w:r>
      <w:r>
        <w:rPr>
          <w:color w:val="auto"/>
          <w:highlight w:val="none"/>
        </w:rPr>
        <w:t>商务</w:t>
      </w:r>
      <w:r>
        <w:rPr>
          <w:rFonts w:hint="eastAsia"/>
          <w:color w:val="auto"/>
          <w:highlight w:val="none"/>
        </w:rPr>
        <w:t>部分（</w:t>
      </w:r>
      <w:r>
        <w:rPr>
          <w:rFonts w:hint="eastAsia"/>
          <w:color w:val="auto"/>
          <w:szCs w:val="21"/>
          <w:highlight w:val="none"/>
        </w:rPr>
        <w:t>投标报价</w:t>
      </w:r>
      <w:r>
        <w:rPr>
          <w:rFonts w:hint="eastAsia"/>
          <w:color w:val="auto"/>
          <w:highlight w:val="none"/>
        </w:rPr>
        <w:t>评分）评审结果进行统一签名，评审的得分</w:t>
      </w:r>
      <w:r>
        <w:rPr>
          <w:rFonts w:hint="eastAsia"/>
          <w:color w:val="auto"/>
          <w:szCs w:val="21"/>
          <w:highlight w:val="none"/>
        </w:rPr>
        <w:t>即为该投标人商务部分</w:t>
      </w:r>
      <w:r>
        <w:rPr>
          <w:rFonts w:hint="eastAsia"/>
          <w:color w:val="auto"/>
          <w:highlight w:val="none"/>
        </w:rPr>
        <w:t>（</w:t>
      </w:r>
      <w:r>
        <w:rPr>
          <w:rFonts w:hint="eastAsia"/>
          <w:color w:val="auto"/>
          <w:szCs w:val="21"/>
          <w:highlight w:val="none"/>
        </w:rPr>
        <w:t>投标报价</w:t>
      </w:r>
      <w:r>
        <w:rPr>
          <w:rFonts w:hint="eastAsia"/>
          <w:color w:val="auto"/>
          <w:highlight w:val="none"/>
        </w:rPr>
        <w:t>评分）</w:t>
      </w:r>
      <w:r>
        <w:rPr>
          <w:rFonts w:hint="eastAsia"/>
          <w:color w:val="auto"/>
          <w:szCs w:val="21"/>
          <w:highlight w:val="none"/>
        </w:rPr>
        <w:t>的最终综合得分</w:t>
      </w:r>
      <w:r>
        <w:rPr>
          <w:rFonts w:hint="eastAsia"/>
          <w:color w:val="auto"/>
          <w:highlight w:val="none"/>
        </w:rPr>
        <w:t>。</w:t>
      </w:r>
    </w:p>
    <w:p>
      <w:pPr>
        <w:tabs>
          <w:tab w:val="left" w:pos="900"/>
          <w:tab w:val="left" w:pos="1080"/>
        </w:tabs>
        <w:spacing w:line="400" w:lineRule="exact"/>
        <w:ind w:firstLine="420" w:firstLineChars="200"/>
        <w:rPr>
          <w:rFonts w:hint="eastAsia"/>
          <w:color w:val="auto"/>
          <w:szCs w:val="21"/>
          <w:highlight w:val="none"/>
        </w:rPr>
      </w:pPr>
      <w:r>
        <w:rPr>
          <w:rFonts w:hint="eastAsia" w:ascii="宋体" w:hAnsi="宋体" w:cs="宋体"/>
          <w:color w:val="auto"/>
          <w:highlight w:val="none"/>
        </w:rPr>
        <w:t>⑤</w:t>
      </w:r>
      <w:r>
        <w:rPr>
          <w:rFonts w:hint="eastAsia"/>
          <w:color w:val="auto"/>
          <w:szCs w:val="21"/>
          <w:highlight w:val="none"/>
        </w:rPr>
        <w:t>投标人投标文件的最终综合得分=该投标人技术部分的最终综合得分+该投标人商务部分的最终综合得分的最终综合得分。</w:t>
      </w:r>
    </w:p>
    <w:p>
      <w:pPr>
        <w:tabs>
          <w:tab w:val="left" w:pos="900"/>
          <w:tab w:val="left" w:pos="1080"/>
        </w:tabs>
        <w:spacing w:line="400" w:lineRule="exact"/>
        <w:ind w:firstLine="420" w:firstLineChars="200"/>
        <w:rPr>
          <w:rFonts w:hint="eastAsia"/>
          <w:color w:val="auto"/>
          <w:szCs w:val="21"/>
          <w:highlight w:val="none"/>
        </w:rPr>
      </w:pPr>
      <w:r>
        <w:rPr>
          <w:rFonts w:hint="eastAsia"/>
          <w:color w:val="auto"/>
          <w:szCs w:val="21"/>
          <w:highlight w:val="none"/>
        </w:rPr>
        <w:t>注：分数出现小数点，保留小数点后二位，第三位小数四舍五入。</w:t>
      </w:r>
    </w:p>
    <w:p>
      <w:pPr>
        <w:tabs>
          <w:tab w:val="left" w:pos="900"/>
          <w:tab w:val="left" w:pos="1080"/>
        </w:tabs>
        <w:spacing w:line="400" w:lineRule="exact"/>
        <w:rPr>
          <w:rFonts w:hint="eastAsia"/>
          <w:color w:val="auto"/>
          <w:szCs w:val="21"/>
          <w:highlight w:val="none"/>
        </w:rPr>
      </w:pPr>
      <w:r>
        <w:rPr>
          <w:rFonts w:hint="eastAsia"/>
          <w:color w:val="auto"/>
          <w:szCs w:val="21"/>
          <w:highlight w:val="none"/>
        </w:rPr>
        <w:t xml:space="preserve">   （2）</w:t>
      </w:r>
      <w:r>
        <w:rPr>
          <w:color w:val="auto"/>
          <w:szCs w:val="21"/>
          <w:highlight w:val="none"/>
        </w:rPr>
        <w:t>最终以</w:t>
      </w:r>
      <w:r>
        <w:rPr>
          <w:rFonts w:hint="eastAsia"/>
          <w:color w:val="auto"/>
          <w:szCs w:val="21"/>
          <w:highlight w:val="none"/>
        </w:rPr>
        <w:t>有效</w:t>
      </w:r>
      <w:r>
        <w:rPr>
          <w:color w:val="auto"/>
          <w:szCs w:val="21"/>
          <w:highlight w:val="none"/>
        </w:rPr>
        <w:t>投标文件的最</w:t>
      </w:r>
      <w:r>
        <w:rPr>
          <w:rFonts w:hint="eastAsia"/>
          <w:color w:val="auto"/>
          <w:szCs w:val="21"/>
          <w:highlight w:val="none"/>
        </w:rPr>
        <w:t>终</w:t>
      </w:r>
      <w:r>
        <w:rPr>
          <w:color w:val="auto"/>
          <w:szCs w:val="21"/>
          <w:highlight w:val="none"/>
        </w:rPr>
        <w:t>综合得分</w:t>
      </w:r>
      <w:r>
        <w:rPr>
          <w:rFonts w:hint="eastAsia"/>
          <w:color w:val="auto"/>
          <w:szCs w:val="21"/>
          <w:highlight w:val="none"/>
        </w:rPr>
        <w:t>由</w:t>
      </w:r>
      <w:r>
        <w:rPr>
          <w:color w:val="auto"/>
          <w:szCs w:val="21"/>
          <w:highlight w:val="none"/>
        </w:rPr>
        <w:t>高</w:t>
      </w:r>
      <w:r>
        <w:rPr>
          <w:rFonts w:hint="eastAsia"/>
          <w:color w:val="auto"/>
          <w:szCs w:val="21"/>
          <w:highlight w:val="none"/>
        </w:rPr>
        <w:t>至</w:t>
      </w:r>
      <w:r>
        <w:rPr>
          <w:color w:val="auto"/>
          <w:szCs w:val="21"/>
          <w:highlight w:val="none"/>
        </w:rPr>
        <w:t>低排出次序，得分最高的为第一名，得分次高的为第二名，如此类推。如果有两个或以上的投标人</w:t>
      </w:r>
      <w:r>
        <w:rPr>
          <w:rFonts w:hint="eastAsia"/>
          <w:color w:val="auto"/>
          <w:szCs w:val="21"/>
          <w:highlight w:val="none"/>
        </w:rPr>
        <w:t>投标文件</w:t>
      </w:r>
      <w:r>
        <w:rPr>
          <w:color w:val="auto"/>
          <w:szCs w:val="21"/>
          <w:highlight w:val="none"/>
        </w:rPr>
        <w:t>的最</w:t>
      </w:r>
      <w:r>
        <w:rPr>
          <w:rFonts w:hint="eastAsia"/>
          <w:color w:val="auto"/>
          <w:szCs w:val="21"/>
          <w:highlight w:val="none"/>
        </w:rPr>
        <w:t>终</w:t>
      </w:r>
      <w:r>
        <w:rPr>
          <w:color w:val="auto"/>
          <w:szCs w:val="21"/>
          <w:highlight w:val="none"/>
        </w:rPr>
        <w:t>综合得分相同，则</w:t>
      </w:r>
      <w:r>
        <w:rPr>
          <w:rFonts w:hint="eastAsia"/>
          <w:color w:val="auto"/>
          <w:szCs w:val="21"/>
          <w:highlight w:val="none"/>
        </w:rPr>
        <w:t>按以下方式确定</w:t>
      </w:r>
      <w:r>
        <w:rPr>
          <w:color w:val="auto"/>
          <w:szCs w:val="21"/>
          <w:highlight w:val="none"/>
        </w:rPr>
        <w:t>得分相同的投标人的排名次序</w:t>
      </w:r>
      <w:r>
        <w:rPr>
          <w:rFonts w:hint="eastAsia"/>
          <w:color w:val="auto"/>
          <w:szCs w:val="21"/>
          <w:highlight w:val="none"/>
        </w:rPr>
        <w:t>：</w:t>
      </w:r>
    </w:p>
    <w:p>
      <w:pPr>
        <w:tabs>
          <w:tab w:val="left" w:pos="900"/>
        </w:tabs>
        <w:spacing w:line="400" w:lineRule="exact"/>
        <w:ind w:firstLine="424" w:firstLineChars="202"/>
        <w:rPr>
          <w:rFonts w:hint="eastAsia" w:hAnsi="宋体"/>
          <w:color w:val="auto"/>
          <w:szCs w:val="21"/>
          <w:highlight w:val="none"/>
        </w:rPr>
      </w:pPr>
      <w:r>
        <w:rPr>
          <w:rFonts w:hAnsi="宋体"/>
          <w:color w:val="auto"/>
          <w:szCs w:val="21"/>
          <w:highlight w:val="none"/>
        </w:rPr>
        <w:t>□</w:t>
      </w:r>
      <w:r>
        <w:rPr>
          <w:rFonts w:hint="eastAsia" w:hAnsi="宋体"/>
          <w:color w:val="auto"/>
          <w:szCs w:val="21"/>
          <w:highlight w:val="none"/>
        </w:rPr>
        <w:t>由评标委员会进行投票，得票多的排名在先。</w:t>
      </w:r>
    </w:p>
    <w:p>
      <w:pPr>
        <w:tabs>
          <w:tab w:val="left" w:pos="720"/>
        </w:tabs>
        <w:spacing w:line="400" w:lineRule="exact"/>
        <w:ind w:firstLine="424" w:firstLineChars="202"/>
        <w:rPr>
          <w:rFonts w:hint="eastAsia" w:hAnsi="宋体"/>
          <w:color w:val="auto"/>
          <w:szCs w:val="21"/>
          <w:highlight w:val="none"/>
        </w:rPr>
      </w:pPr>
      <w:r>
        <w:rPr>
          <w:rFonts w:ascii="宋体" w:hAnsi="宋体"/>
          <w:color w:val="auto"/>
          <w:szCs w:val="21"/>
          <w:highlight w:val="none"/>
        </w:rPr>
        <w:t>■</w:t>
      </w:r>
      <w:r>
        <w:rPr>
          <w:rFonts w:hint="eastAsia" w:hAnsi="宋体"/>
          <w:color w:val="auto"/>
          <w:szCs w:val="21"/>
          <w:highlight w:val="none"/>
        </w:rPr>
        <w:t>其它：</w:t>
      </w:r>
      <w:r>
        <w:rPr>
          <w:rFonts w:hAnsi="宋体"/>
          <w:color w:val="auto"/>
          <w:szCs w:val="21"/>
          <w:highlight w:val="none"/>
        </w:rPr>
        <w:t>□</w:t>
      </w:r>
      <w:r>
        <w:rPr>
          <w:rFonts w:hint="eastAsia" w:hAnsi="宋体"/>
          <w:color w:val="auto"/>
          <w:szCs w:val="21"/>
          <w:highlight w:val="none"/>
        </w:rPr>
        <w:t>在最后综合得分相同的投标人中按技术部分的评标得分高低排出次序，得分高的排前，得分低的排后；</w:t>
      </w:r>
      <w:r>
        <w:rPr>
          <w:rFonts w:ascii="宋体" w:hAnsi="宋体"/>
          <w:color w:val="auto"/>
          <w:szCs w:val="21"/>
          <w:highlight w:val="none"/>
        </w:rPr>
        <w:t>■</w:t>
      </w:r>
      <w:r>
        <w:rPr>
          <w:rFonts w:hint="eastAsia" w:hAnsi="宋体"/>
          <w:color w:val="auto"/>
          <w:szCs w:val="21"/>
          <w:highlight w:val="none"/>
        </w:rPr>
        <w:t>在最后综合得分相同的投标人中按</w:t>
      </w:r>
      <w:r>
        <w:rPr>
          <w:rFonts w:hint="eastAsia"/>
          <w:color w:val="auto"/>
          <w:szCs w:val="21"/>
          <w:highlight w:val="none"/>
        </w:rPr>
        <w:t>商务部分</w:t>
      </w:r>
      <w:r>
        <w:rPr>
          <w:rFonts w:hint="eastAsia"/>
          <w:color w:val="auto"/>
          <w:highlight w:val="none"/>
        </w:rPr>
        <w:t>（</w:t>
      </w:r>
      <w:r>
        <w:rPr>
          <w:rFonts w:hint="eastAsia" w:ascii="宋体" w:hAnsi="宋体"/>
          <w:color w:val="auto"/>
          <w:szCs w:val="21"/>
          <w:highlight w:val="none"/>
        </w:rPr>
        <w:t>不含</w:t>
      </w:r>
      <w:r>
        <w:rPr>
          <w:rFonts w:hint="eastAsia"/>
          <w:color w:val="auto"/>
          <w:szCs w:val="21"/>
          <w:highlight w:val="none"/>
        </w:rPr>
        <w:t>投标报价</w:t>
      </w:r>
      <w:r>
        <w:rPr>
          <w:rFonts w:hint="eastAsia"/>
          <w:color w:val="auto"/>
          <w:highlight w:val="none"/>
        </w:rPr>
        <w:t>评分）</w:t>
      </w:r>
      <w:r>
        <w:rPr>
          <w:rFonts w:hint="eastAsia" w:hAnsi="宋体"/>
          <w:color w:val="auto"/>
          <w:szCs w:val="21"/>
          <w:highlight w:val="none"/>
        </w:rPr>
        <w:t>的评标得分高低排出次序，得分高的排前，得分低的排后；若</w:t>
      </w:r>
      <w:r>
        <w:rPr>
          <w:rFonts w:hint="eastAsia" w:ascii="宋体" w:hAnsi="宋体"/>
          <w:color w:val="auto"/>
          <w:szCs w:val="21"/>
          <w:highlight w:val="none"/>
        </w:rPr>
        <w:t>商务部分（不含</w:t>
      </w:r>
      <w:r>
        <w:rPr>
          <w:rFonts w:hint="eastAsia"/>
          <w:color w:val="auto"/>
          <w:szCs w:val="21"/>
          <w:highlight w:val="none"/>
        </w:rPr>
        <w:t>投标报价</w:t>
      </w:r>
      <w:r>
        <w:rPr>
          <w:rFonts w:hint="eastAsia"/>
          <w:color w:val="auto"/>
          <w:highlight w:val="none"/>
        </w:rPr>
        <w:t>评分</w:t>
      </w:r>
      <w:r>
        <w:rPr>
          <w:rFonts w:hint="eastAsia" w:ascii="宋体" w:hAnsi="宋体"/>
          <w:color w:val="auto"/>
          <w:szCs w:val="21"/>
          <w:highlight w:val="none"/>
        </w:rPr>
        <w:t>）得分也相等的情况下，</w:t>
      </w:r>
      <w:r>
        <w:rPr>
          <w:rFonts w:hint="eastAsia" w:hAnsi="宋体"/>
          <w:color w:val="auto"/>
          <w:szCs w:val="21"/>
          <w:highlight w:val="none"/>
        </w:rPr>
        <w:t>按</w:t>
      </w:r>
      <w:r>
        <w:rPr>
          <w:rFonts w:hint="eastAsia"/>
          <w:color w:val="auto"/>
          <w:szCs w:val="21"/>
          <w:highlight w:val="none"/>
        </w:rPr>
        <w:t>投标报价</w:t>
      </w:r>
      <w:r>
        <w:rPr>
          <w:rFonts w:hint="eastAsia"/>
          <w:color w:val="auto"/>
          <w:highlight w:val="none"/>
        </w:rPr>
        <w:t>评分（即</w:t>
      </w:r>
      <w:r>
        <w:rPr>
          <w:rFonts w:hint="eastAsia" w:ascii="宋体" w:hAnsi="宋体"/>
          <w:color w:val="auto"/>
          <w:szCs w:val="21"/>
          <w:highlight w:val="none"/>
        </w:rPr>
        <w:t>价格评分）</w:t>
      </w:r>
      <w:r>
        <w:rPr>
          <w:rFonts w:hint="eastAsia" w:hAnsi="宋体"/>
          <w:color w:val="auto"/>
          <w:szCs w:val="21"/>
          <w:highlight w:val="none"/>
        </w:rPr>
        <w:t>的评标得分高低排出次序，得分高的排前，得分低的排后；若</w:t>
      </w:r>
      <w:r>
        <w:rPr>
          <w:rFonts w:hint="eastAsia" w:ascii="宋体" w:hAnsi="宋体"/>
          <w:color w:val="auto"/>
          <w:szCs w:val="21"/>
          <w:highlight w:val="none"/>
        </w:rPr>
        <w:t>价格评分得分也相等的情况下，由评标委员会进行投票，得票多的排名在前，得票少的排名在后。</w:t>
      </w:r>
    </w:p>
    <w:p>
      <w:pPr>
        <w:tabs>
          <w:tab w:val="left" w:pos="900"/>
          <w:tab w:val="left" w:pos="1080"/>
        </w:tabs>
        <w:spacing w:line="400" w:lineRule="exact"/>
        <w:ind w:firstLine="315" w:firstLineChars="150"/>
        <w:rPr>
          <w:rFonts w:hint="eastAsia"/>
          <w:color w:val="auto"/>
          <w:szCs w:val="21"/>
          <w:highlight w:val="none"/>
        </w:rPr>
      </w:pPr>
      <w:r>
        <w:rPr>
          <w:rFonts w:hint="eastAsia"/>
          <w:color w:val="auto"/>
          <w:szCs w:val="21"/>
          <w:highlight w:val="none"/>
        </w:rPr>
        <w:t>（3）评标委员会对有效投标文件</w:t>
      </w:r>
      <w:r>
        <w:rPr>
          <w:color w:val="auto"/>
          <w:szCs w:val="21"/>
          <w:highlight w:val="none"/>
        </w:rPr>
        <w:t>按</w:t>
      </w:r>
      <w:r>
        <w:rPr>
          <w:rFonts w:hint="eastAsia"/>
          <w:color w:val="auto"/>
          <w:szCs w:val="21"/>
          <w:highlight w:val="none"/>
        </w:rPr>
        <w:t>其最终</w:t>
      </w:r>
      <w:r>
        <w:rPr>
          <w:color w:val="auto"/>
          <w:szCs w:val="21"/>
          <w:highlight w:val="none"/>
        </w:rPr>
        <w:t>综合得分</w:t>
      </w:r>
      <w:r>
        <w:rPr>
          <w:rFonts w:hint="eastAsia"/>
          <w:color w:val="auto"/>
          <w:szCs w:val="21"/>
          <w:highlight w:val="none"/>
        </w:rPr>
        <w:t>由</w:t>
      </w:r>
      <w:r>
        <w:rPr>
          <w:color w:val="auto"/>
          <w:szCs w:val="21"/>
          <w:highlight w:val="none"/>
        </w:rPr>
        <w:t>高至低</w:t>
      </w:r>
      <w:r>
        <w:rPr>
          <w:rFonts w:hint="eastAsia"/>
          <w:color w:val="auto"/>
          <w:szCs w:val="21"/>
          <w:highlight w:val="none"/>
        </w:rPr>
        <w:t>的顺序</w:t>
      </w:r>
      <w:r>
        <w:rPr>
          <w:color w:val="auto"/>
          <w:szCs w:val="21"/>
          <w:highlight w:val="none"/>
        </w:rPr>
        <w:t>向招标人推荐中标候选人</w:t>
      </w:r>
      <w:r>
        <w:rPr>
          <w:rFonts w:hint="eastAsia"/>
          <w:color w:val="auto"/>
          <w:szCs w:val="21"/>
          <w:highlight w:val="none"/>
        </w:rPr>
        <w:t>。中标候选人的人数见第二章“投标人须知”第7.3.2项。</w:t>
      </w:r>
    </w:p>
    <w:p>
      <w:pPr>
        <w:tabs>
          <w:tab w:val="left" w:pos="900"/>
          <w:tab w:val="left" w:pos="1080"/>
        </w:tabs>
        <w:spacing w:line="400" w:lineRule="exact"/>
        <w:ind w:firstLine="315" w:firstLineChars="150"/>
        <w:rPr>
          <w:rFonts w:hint="eastAsia"/>
          <w:color w:val="auto"/>
          <w:szCs w:val="21"/>
          <w:highlight w:val="none"/>
        </w:rPr>
      </w:pPr>
      <w:r>
        <w:rPr>
          <w:rFonts w:hint="eastAsia"/>
          <w:color w:val="auto"/>
          <w:szCs w:val="21"/>
          <w:highlight w:val="none"/>
        </w:rPr>
        <w:t>（4）</w:t>
      </w:r>
      <w:r>
        <w:rPr>
          <w:rFonts w:hint="eastAsia" w:ascii="宋体" w:hAnsi="宋体"/>
          <w:color w:val="auto"/>
          <w:szCs w:val="21"/>
          <w:highlight w:val="none"/>
        </w:rPr>
        <w:t>招标人将确定第一中标候选人为中标人。</w:t>
      </w:r>
      <w:r>
        <w:rPr>
          <w:rFonts w:hint="eastAsia"/>
          <w:color w:val="auto"/>
          <w:szCs w:val="21"/>
          <w:highlight w:val="none"/>
        </w:rPr>
        <w:t>【适用于非评定分离项目】</w:t>
      </w:r>
    </w:p>
    <w:p>
      <w:pPr>
        <w:tabs>
          <w:tab w:val="left" w:pos="900"/>
          <w:tab w:val="left" w:pos="1080"/>
        </w:tabs>
        <w:spacing w:line="400" w:lineRule="exact"/>
        <w:ind w:firstLine="315" w:firstLineChars="150"/>
        <w:rPr>
          <w:rFonts w:hint="eastAsia"/>
          <w:color w:val="auto"/>
          <w:szCs w:val="21"/>
          <w:highlight w:val="none"/>
        </w:rPr>
      </w:pPr>
      <w:r>
        <w:rPr>
          <w:rFonts w:hint="eastAsia"/>
          <w:color w:val="auto"/>
          <w:szCs w:val="21"/>
          <w:highlight w:val="none"/>
        </w:rPr>
        <w:t>（5）</w:t>
      </w:r>
      <w:r>
        <w:rPr>
          <w:color w:val="auto"/>
          <w:szCs w:val="21"/>
          <w:highlight w:val="none"/>
        </w:rPr>
        <w:t>评标委员会</w:t>
      </w:r>
      <w:r>
        <w:rPr>
          <w:rFonts w:hint="eastAsia"/>
          <w:color w:val="auto"/>
          <w:szCs w:val="21"/>
          <w:highlight w:val="none"/>
        </w:rPr>
        <w:t>向招标人出具 “</w:t>
      </w:r>
      <w:r>
        <w:rPr>
          <w:rFonts w:hint="eastAsia" w:hAnsi="宋体"/>
          <w:color w:val="auto"/>
          <w:szCs w:val="21"/>
          <w:highlight w:val="none"/>
        </w:rPr>
        <w:t>中标候选人</w:t>
      </w:r>
      <w:r>
        <w:rPr>
          <w:rFonts w:hint="eastAsia" w:hAnsi="宋体"/>
          <w:color w:val="auto"/>
          <w:szCs w:val="21"/>
          <w:highlight w:val="none"/>
          <w:lang w:eastAsia="zh-CN"/>
        </w:rPr>
        <w:t>勘察设计</w:t>
      </w:r>
      <w:r>
        <w:rPr>
          <w:rFonts w:hint="eastAsia" w:hAnsi="宋体"/>
          <w:color w:val="auto"/>
          <w:szCs w:val="21"/>
          <w:highlight w:val="none"/>
        </w:rPr>
        <w:t>方案</w:t>
      </w:r>
      <w:r>
        <w:rPr>
          <w:rFonts w:hint="eastAsia"/>
          <w:color w:val="auto"/>
          <w:szCs w:val="21"/>
          <w:highlight w:val="none"/>
        </w:rPr>
        <w:t>推荐名单”，</w:t>
      </w:r>
      <w:r>
        <w:rPr>
          <w:rFonts w:hint="eastAsia" w:hAnsi="宋体"/>
          <w:color w:val="auto"/>
          <w:szCs w:val="21"/>
          <w:highlight w:val="none"/>
        </w:rPr>
        <w:t>推荐名单的综合得分及排序不向定标委员会推送</w:t>
      </w:r>
      <w:r>
        <w:rPr>
          <w:rFonts w:hint="eastAsia"/>
          <w:color w:val="auto"/>
          <w:szCs w:val="21"/>
          <w:highlight w:val="none"/>
        </w:rPr>
        <w:t>。</w:t>
      </w:r>
      <w:r>
        <w:rPr>
          <w:color w:val="auto"/>
          <w:szCs w:val="21"/>
          <w:highlight w:val="none"/>
        </w:rPr>
        <w:t>中标人</w:t>
      </w:r>
      <w:r>
        <w:rPr>
          <w:rFonts w:hint="eastAsia"/>
          <w:color w:val="auto"/>
          <w:szCs w:val="21"/>
          <w:highlight w:val="none"/>
        </w:rPr>
        <w:t>将</w:t>
      </w:r>
      <w:r>
        <w:rPr>
          <w:color w:val="auto"/>
          <w:szCs w:val="21"/>
          <w:highlight w:val="none"/>
        </w:rPr>
        <w:t>由招标人</w:t>
      </w:r>
      <w:r>
        <w:rPr>
          <w:rFonts w:hint="eastAsia"/>
          <w:color w:val="auto"/>
          <w:szCs w:val="21"/>
          <w:highlight w:val="none"/>
        </w:rPr>
        <w:t>参照《关于调整建筑工程方案设计招投标评标定标分离制度有关定标委员会组建事项的通知》(东建市〔2017〕137号)组建的</w:t>
      </w:r>
      <w:r>
        <w:rPr>
          <w:color w:val="auto"/>
          <w:szCs w:val="21"/>
          <w:highlight w:val="none"/>
        </w:rPr>
        <w:t>定标委员会</w:t>
      </w:r>
      <w:r>
        <w:rPr>
          <w:rFonts w:hint="eastAsia"/>
          <w:color w:val="auto"/>
          <w:szCs w:val="21"/>
          <w:highlight w:val="none"/>
        </w:rPr>
        <w:t>按第四章“定标办法”的规定确定</w:t>
      </w:r>
      <w:r>
        <w:rPr>
          <w:color w:val="auto"/>
          <w:szCs w:val="21"/>
          <w:highlight w:val="none"/>
        </w:rPr>
        <w:t>。</w:t>
      </w:r>
      <w:r>
        <w:rPr>
          <w:rFonts w:hint="eastAsia"/>
          <w:color w:val="auto"/>
          <w:szCs w:val="21"/>
          <w:highlight w:val="none"/>
        </w:rPr>
        <w:t>【适用于评定分离项目】</w:t>
      </w:r>
    </w:p>
    <w:p>
      <w:pPr>
        <w:tabs>
          <w:tab w:val="left" w:pos="900"/>
          <w:tab w:val="left" w:pos="1080"/>
        </w:tabs>
        <w:spacing w:line="400" w:lineRule="exact"/>
        <w:ind w:firstLine="315" w:firstLineChars="150"/>
        <w:rPr>
          <w:rFonts w:hint="eastAsia"/>
          <w:color w:val="auto"/>
          <w:szCs w:val="21"/>
          <w:highlight w:val="none"/>
        </w:rPr>
      </w:pPr>
      <w:r>
        <w:rPr>
          <w:rFonts w:hint="eastAsia"/>
          <w:color w:val="auto"/>
          <w:szCs w:val="21"/>
          <w:highlight w:val="none"/>
        </w:rPr>
        <w:t>6.7.2</w:t>
      </w:r>
      <w:r>
        <w:rPr>
          <w:rFonts w:hint="eastAsia" w:hAnsi="宋体"/>
          <w:color w:val="auto"/>
          <w:szCs w:val="21"/>
          <w:highlight w:val="none"/>
        </w:rPr>
        <w:t>评标委员会完成评标后，应当向招标人提交书面评标报告。</w:t>
      </w:r>
    </w:p>
    <w:p>
      <w:pPr>
        <w:rPr>
          <w:rFonts w:hint="eastAsia" w:ascii="宋体" w:hAnsi="宋体" w:cs="宋体"/>
          <w:b/>
          <w:bCs/>
          <w:color w:val="auto"/>
          <w:sz w:val="32"/>
          <w:highlight w:val="none"/>
        </w:rPr>
      </w:pPr>
    </w:p>
    <w:p>
      <w:pPr>
        <w:rPr>
          <w:rFonts w:hint="eastAsia"/>
          <w:color w:val="auto"/>
        </w:rPr>
      </w:pPr>
    </w:p>
    <w:p>
      <w:pPr>
        <w:pStyle w:val="9"/>
        <w:rPr>
          <w:rFonts w:hint="eastAsia" w:ascii="宋体" w:hAnsi="宋体" w:eastAsia="宋体"/>
          <w:color w:val="auto"/>
          <w:highlight w:val="none"/>
        </w:rPr>
      </w:pPr>
      <w:bookmarkStart w:id="47" w:name="_Toc152045588"/>
      <w:bookmarkStart w:id="48" w:name="_Toc14466"/>
      <w:bookmarkStart w:id="49" w:name="_Toc144974555"/>
      <w:bookmarkStart w:id="50" w:name="_Toc179632606"/>
      <w:bookmarkStart w:id="51" w:name="_Toc152042365"/>
      <w:bookmarkStart w:id="52" w:name="_Toc418599290"/>
      <w:r>
        <w:rPr>
          <w:rFonts w:hint="eastAsia" w:ascii="宋体" w:hAnsi="宋体" w:eastAsia="宋体"/>
          <w:color w:val="auto"/>
          <w:highlight w:val="none"/>
        </w:rPr>
        <w:t>评标办法前附表</w:t>
      </w:r>
      <w:bookmarkEnd w:id="47"/>
      <w:bookmarkEnd w:id="48"/>
      <w:bookmarkEnd w:id="49"/>
      <w:bookmarkEnd w:id="50"/>
      <w:bookmarkEnd w:id="51"/>
      <w:bookmarkEnd w:id="52"/>
    </w:p>
    <w:p>
      <w:pPr>
        <w:pStyle w:val="10"/>
        <w:spacing w:before="156" w:beforeLines="50" w:after="156" w:afterLines="50"/>
        <w:rPr>
          <w:rFonts w:hint="eastAsia" w:ascii="宋体" w:hAnsi="宋体" w:eastAsia="宋体"/>
          <w:color w:val="auto"/>
          <w:highlight w:val="none"/>
        </w:rPr>
      </w:pPr>
      <w:bookmarkStart w:id="53" w:name="_Toc418599291"/>
      <w:bookmarkStart w:id="54" w:name="_Toc4253"/>
      <w:r>
        <w:rPr>
          <w:rFonts w:hint="eastAsia" w:ascii="宋体" w:hAnsi="宋体" w:eastAsia="宋体"/>
          <w:color w:val="auto"/>
          <w:highlight w:val="none"/>
        </w:rPr>
        <w:t>评标办法前附表1</w:t>
      </w:r>
      <w:bookmarkEnd w:id="53"/>
      <w:bookmarkEnd w:id="54"/>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216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520" w:type="dxa"/>
            <w:gridSpan w:val="2"/>
            <w:noWrap w:val="0"/>
            <w:vAlign w:val="center"/>
          </w:tcPr>
          <w:p>
            <w:pPr>
              <w:spacing w:line="400" w:lineRule="exact"/>
              <w:jc w:val="center"/>
              <w:rPr>
                <w:rFonts w:hint="eastAsia" w:ascii="宋体" w:hAnsi="宋体" w:cs="宋体"/>
                <w:color w:val="auto"/>
                <w:highlight w:val="none"/>
              </w:rPr>
            </w:pPr>
            <w:r>
              <w:rPr>
                <w:rFonts w:hint="eastAsia" w:ascii="宋体" w:hAnsi="宋体" w:cs="宋体"/>
                <w:b/>
                <w:color w:val="auto"/>
                <w:szCs w:val="21"/>
                <w:highlight w:val="none"/>
              </w:rPr>
              <w:t>条款号</w:t>
            </w:r>
          </w:p>
        </w:tc>
        <w:tc>
          <w:tcPr>
            <w:tcW w:w="2160" w:type="dxa"/>
            <w:noWrap w:val="0"/>
            <w:vAlign w:val="center"/>
          </w:tcPr>
          <w:p>
            <w:pPr>
              <w:spacing w:line="400" w:lineRule="exact"/>
              <w:jc w:val="center"/>
              <w:rPr>
                <w:rFonts w:hint="eastAsia" w:ascii="宋体" w:hAnsi="宋体" w:cs="宋体"/>
                <w:color w:val="auto"/>
                <w:highlight w:val="none"/>
              </w:rPr>
            </w:pPr>
            <w:r>
              <w:rPr>
                <w:rFonts w:hint="eastAsia" w:ascii="宋体" w:hAnsi="宋体" w:cs="宋体"/>
                <w:b/>
                <w:color w:val="auto"/>
                <w:szCs w:val="21"/>
                <w:highlight w:val="none"/>
              </w:rPr>
              <w:t>评审因素</w:t>
            </w:r>
          </w:p>
        </w:tc>
        <w:tc>
          <w:tcPr>
            <w:tcW w:w="4140" w:type="dxa"/>
            <w:noWrap w:val="0"/>
            <w:vAlign w:val="center"/>
          </w:tcPr>
          <w:p>
            <w:pPr>
              <w:spacing w:line="400" w:lineRule="exact"/>
              <w:jc w:val="center"/>
              <w:rPr>
                <w:rFonts w:hint="eastAsia" w:ascii="宋体" w:hAnsi="宋体" w:cs="宋体"/>
                <w:color w:val="auto"/>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4.1.1</w:t>
            </w:r>
          </w:p>
        </w:tc>
        <w:tc>
          <w:tcPr>
            <w:tcW w:w="1800" w:type="dxa"/>
            <w:vMerge w:val="restart"/>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技术标暗标部分有效性评审标准</w:t>
            </w:r>
          </w:p>
        </w:tc>
        <w:tc>
          <w:tcPr>
            <w:tcW w:w="2160" w:type="dxa"/>
            <w:noWrap w:val="0"/>
            <w:vAlign w:val="center"/>
          </w:tcPr>
          <w:p>
            <w:pPr>
              <w:jc w:val="center"/>
              <w:rPr>
                <w:rFonts w:hint="eastAsia" w:ascii="宋体" w:hAnsi="宋体" w:cs="宋体"/>
                <w:color w:val="auto"/>
                <w:highlight w:val="none"/>
              </w:rPr>
            </w:pPr>
            <w:r>
              <w:rPr>
                <w:rFonts w:hint="eastAsia" w:ascii="宋体" w:hAnsi="宋体" w:cs="宋体"/>
                <w:color w:val="auto"/>
                <w:szCs w:val="21"/>
                <w:highlight w:val="none"/>
              </w:rPr>
              <w:t>投标文件技术标编制</w:t>
            </w:r>
          </w:p>
        </w:tc>
        <w:tc>
          <w:tcPr>
            <w:tcW w:w="4140" w:type="dxa"/>
            <w:noWrap w:val="0"/>
            <w:vAlign w:val="center"/>
          </w:tcPr>
          <w:p>
            <w:pPr>
              <w:rPr>
                <w:rFonts w:hint="eastAsia" w:ascii="宋体" w:hAnsi="宋体" w:cs="宋体"/>
                <w:color w:val="auto"/>
                <w:highlight w:val="none"/>
              </w:rPr>
            </w:pPr>
            <w:r>
              <w:rPr>
                <w:rFonts w:hint="eastAsia" w:ascii="宋体" w:hAnsi="宋体" w:cs="宋体"/>
                <w:color w:val="auto"/>
                <w:highlight w:val="none"/>
              </w:rPr>
              <w:t>装订、份数、组成、暗标无透露投标人身份标识等方面符合</w:t>
            </w:r>
            <w:r>
              <w:rPr>
                <w:rFonts w:hint="eastAsia" w:ascii="宋体" w:hAnsi="宋体" w:cs="宋体"/>
                <w:color w:val="auto"/>
                <w:szCs w:val="21"/>
                <w:highlight w:val="none"/>
              </w:rPr>
              <w:t>第二章“投标人须知”第3.7款的规定。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pPr>
              <w:jc w:val="center"/>
              <w:rPr>
                <w:rFonts w:hint="eastAsia" w:ascii="宋体" w:hAnsi="宋体" w:cs="宋体"/>
                <w:color w:val="auto"/>
                <w:highlight w:val="none"/>
              </w:rPr>
            </w:pPr>
          </w:p>
        </w:tc>
        <w:tc>
          <w:tcPr>
            <w:tcW w:w="1800" w:type="dxa"/>
            <w:vMerge w:val="continue"/>
            <w:noWrap w:val="0"/>
            <w:vAlign w:val="center"/>
          </w:tcPr>
          <w:p>
            <w:pPr>
              <w:jc w:val="center"/>
              <w:rPr>
                <w:rFonts w:hint="eastAsia" w:ascii="宋体" w:hAnsi="宋体" w:cs="宋体"/>
                <w:color w:val="auto"/>
                <w:highlight w:val="none"/>
              </w:rPr>
            </w:pPr>
          </w:p>
        </w:tc>
        <w:tc>
          <w:tcPr>
            <w:tcW w:w="2160" w:type="dxa"/>
            <w:noWrap w:val="0"/>
            <w:vAlign w:val="center"/>
          </w:tcPr>
          <w:p>
            <w:pPr>
              <w:jc w:val="center"/>
              <w:rPr>
                <w:rFonts w:hint="eastAsia" w:ascii="宋体" w:hAnsi="宋体" w:cs="宋体"/>
                <w:color w:val="auto"/>
                <w:highlight w:val="none"/>
              </w:rPr>
            </w:pPr>
            <w:r>
              <w:rPr>
                <w:rFonts w:hint="eastAsia" w:ascii="宋体" w:hAnsi="宋体" w:cs="宋体"/>
                <w:color w:val="auto"/>
                <w:szCs w:val="21"/>
                <w:highlight w:val="none"/>
              </w:rPr>
              <w:t>投标文件字迹</w:t>
            </w:r>
          </w:p>
        </w:tc>
        <w:tc>
          <w:tcPr>
            <w:tcW w:w="4140" w:type="dxa"/>
            <w:noWrap w:val="0"/>
            <w:vAlign w:val="center"/>
          </w:tcPr>
          <w:p>
            <w:pPr>
              <w:rPr>
                <w:rFonts w:hint="eastAsia" w:ascii="宋体" w:hAnsi="宋体" w:cs="宋体"/>
                <w:color w:val="auto"/>
                <w:highlight w:val="none"/>
              </w:rPr>
            </w:pPr>
            <w:r>
              <w:rPr>
                <w:rFonts w:hint="eastAsia" w:ascii="宋体" w:hAnsi="宋体" w:cs="宋体"/>
                <w:color w:val="auto"/>
                <w:szCs w:val="21"/>
                <w:highlight w:val="none"/>
              </w:rPr>
              <w:t>投标文件字迹清晰、可辨。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pPr>
              <w:jc w:val="center"/>
              <w:rPr>
                <w:rFonts w:hint="eastAsia" w:ascii="宋体" w:hAnsi="宋体" w:cs="宋体"/>
                <w:color w:val="auto"/>
                <w:highlight w:val="none"/>
              </w:rPr>
            </w:pPr>
          </w:p>
        </w:tc>
        <w:tc>
          <w:tcPr>
            <w:tcW w:w="1800" w:type="dxa"/>
            <w:vMerge w:val="continue"/>
            <w:noWrap w:val="0"/>
            <w:vAlign w:val="center"/>
          </w:tcPr>
          <w:p>
            <w:pPr>
              <w:jc w:val="center"/>
              <w:rPr>
                <w:rFonts w:hint="eastAsia" w:ascii="宋体" w:hAnsi="宋体" w:cs="宋体"/>
                <w:color w:val="auto"/>
                <w:highlight w:val="none"/>
              </w:rPr>
            </w:pPr>
          </w:p>
        </w:tc>
        <w:tc>
          <w:tcPr>
            <w:tcW w:w="2160" w:type="dxa"/>
            <w:noWrap w:val="0"/>
            <w:vAlign w:val="center"/>
          </w:tcPr>
          <w:p>
            <w:pPr>
              <w:jc w:val="center"/>
              <w:rPr>
                <w:rFonts w:hint="eastAsia" w:ascii="宋体" w:hAnsi="宋体" w:cs="宋体"/>
                <w:color w:val="auto"/>
                <w:highlight w:val="none"/>
              </w:rPr>
            </w:pPr>
            <w:r>
              <w:rPr>
                <w:rFonts w:hint="eastAsia" w:ascii="宋体" w:hAnsi="宋体" w:cs="宋体"/>
                <w:color w:val="auto"/>
                <w:szCs w:val="21"/>
                <w:highlight w:val="none"/>
              </w:rPr>
              <w:t>投标文件唯一性</w:t>
            </w:r>
          </w:p>
        </w:tc>
        <w:tc>
          <w:tcPr>
            <w:tcW w:w="4140" w:type="dxa"/>
            <w:noWrap w:val="0"/>
            <w:vAlign w:val="center"/>
          </w:tcPr>
          <w:p>
            <w:pPr>
              <w:rPr>
                <w:rFonts w:hint="eastAsia" w:ascii="宋体" w:hAnsi="宋体" w:cs="宋体"/>
                <w:color w:val="auto"/>
                <w:highlight w:val="none"/>
              </w:rPr>
            </w:pPr>
            <w:r>
              <w:rPr>
                <w:rFonts w:hint="eastAsia" w:ascii="宋体" w:hAnsi="宋体" w:cs="宋体"/>
                <w:color w:val="auto"/>
                <w:szCs w:val="21"/>
                <w:highlight w:val="none"/>
              </w:rPr>
              <w:t>投标人未递交两份或多份内容不同的投标文件。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20" w:type="dxa"/>
            <w:vMerge w:val="continue"/>
            <w:noWrap w:val="0"/>
            <w:vAlign w:val="center"/>
          </w:tcPr>
          <w:p>
            <w:pPr>
              <w:jc w:val="center"/>
              <w:rPr>
                <w:rFonts w:hint="eastAsia" w:ascii="宋体" w:hAnsi="宋体" w:cs="宋体"/>
                <w:color w:val="auto"/>
                <w:highlight w:val="none"/>
              </w:rPr>
            </w:pPr>
          </w:p>
        </w:tc>
        <w:tc>
          <w:tcPr>
            <w:tcW w:w="1800" w:type="dxa"/>
            <w:vMerge w:val="continue"/>
            <w:noWrap w:val="0"/>
            <w:vAlign w:val="center"/>
          </w:tcPr>
          <w:p>
            <w:pPr>
              <w:jc w:val="center"/>
              <w:rPr>
                <w:rFonts w:hint="eastAsia" w:ascii="宋体" w:hAnsi="宋体" w:cs="宋体"/>
                <w:color w:val="auto"/>
                <w:highlight w:val="none"/>
              </w:rPr>
            </w:pPr>
          </w:p>
        </w:tc>
        <w:tc>
          <w:tcPr>
            <w:tcW w:w="216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其他内容</w:t>
            </w:r>
          </w:p>
        </w:tc>
        <w:tc>
          <w:tcPr>
            <w:tcW w:w="41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highlight w:val="none"/>
              </w:rPr>
              <w:t>技术标</w:t>
            </w:r>
            <w:r>
              <w:rPr>
                <w:rFonts w:hint="eastAsia" w:ascii="宋体" w:hAnsi="宋体" w:cs="宋体"/>
                <w:color w:val="auto"/>
                <w:szCs w:val="21"/>
                <w:highlight w:val="none"/>
              </w:rPr>
              <w:t>未附有招标人不能接受的条件；</w:t>
            </w:r>
          </w:p>
          <w:p>
            <w:pP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highlight w:val="none"/>
              </w:rPr>
              <w:t>技术标</w:t>
            </w:r>
            <w:r>
              <w:rPr>
                <w:rFonts w:hint="eastAsia" w:ascii="宋体" w:hAnsi="宋体" w:cs="宋体"/>
                <w:color w:val="auto"/>
                <w:szCs w:val="21"/>
                <w:highlight w:val="none"/>
              </w:rPr>
              <w:t>中未出现第二章“投标人须知”第5.4款规定的技术标否决性情形。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20" w:type="dxa"/>
            <w:vMerge w:val="restart"/>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4.1.2</w:t>
            </w:r>
          </w:p>
        </w:tc>
        <w:tc>
          <w:tcPr>
            <w:tcW w:w="1800" w:type="dxa"/>
            <w:vMerge w:val="restart"/>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商务标有效性评审标准</w:t>
            </w:r>
          </w:p>
        </w:tc>
        <w:tc>
          <w:tcPr>
            <w:tcW w:w="2160" w:type="dxa"/>
            <w:noWrap w:val="0"/>
            <w:vAlign w:val="center"/>
          </w:tcPr>
          <w:p>
            <w:pPr>
              <w:jc w:val="center"/>
              <w:rPr>
                <w:rFonts w:hint="eastAsia" w:ascii="宋体" w:hAnsi="宋体" w:cs="宋体"/>
                <w:color w:val="auto"/>
                <w:highlight w:val="none"/>
              </w:rPr>
            </w:pPr>
            <w:r>
              <w:rPr>
                <w:rFonts w:hint="eastAsia" w:ascii="宋体" w:hAnsi="宋体" w:cs="宋体"/>
                <w:color w:val="auto"/>
                <w:szCs w:val="21"/>
                <w:highlight w:val="none"/>
              </w:rPr>
              <w:t>投标文件商务标编制</w:t>
            </w:r>
          </w:p>
        </w:tc>
        <w:tc>
          <w:tcPr>
            <w:tcW w:w="4140" w:type="dxa"/>
            <w:noWrap w:val="0"/>
            <w:vAlign w:val="center"/>
          </w:tcPr>
          <w:p>
            <w:pPr>
              <w:rPr>
                <w:rFonts w:hint="eastAsia" w:ascii="宋体" w:hAnsi="宋体" w:cs="宋体"/>
                <w:color w:val="auto"/>
                <w:szCs w:val="21"/>
                <w:highlight w:val="none"/>
              </w:rPr>
            </w:pPr>
            <w:r>
              <w:rPr>
                <w:rFonts w:hint="eastAsia" w:ascii="宋体" w:hAnsi="宋体" w:cs="宋体"/>
                <w:color w:val="auto"/>
                <w:highlight w:val="none"/>
              </w:rPr>
              <w:t>装订、份数、组成、商务标无透露投标人技术标身份标识等方面符合</w:t>
            </w:r>
            <w:r>
              <w:rPr>
                <w:rFonts w:hint="eastAsia" w:ascii="宋体" w:hAnsi="宋体" w:cs="宋体"/>
                <w:color w:val="auto"/>
                <w:szCs w:val="21"/>
                <w:highlight w:val="none"/>
              </w:rPr>
              <w:t>第二章“投标人须知”第3.7款的规定。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20" w:type="dxa"/>
            <w:vMerge w:val="continue"/>
            <w:noWrap w:val="0"/>
            <w:vAlign w:val="center"/>
          </w:tcPr>
          <w:p>
            <w:pPr>
              <w:jc w:val="center"/>
              <w:rPr>
                <w:rFonts w:hint="eastAsia" w:ascii="宋体" w:hAnsi="宋体" w:cs="宋体"/>
                <w:color w:val="auto"/>
                <w:highlight w:val="none"/>
              </w:rPr>
            </w:pPr>
          </w:p>
        </w:tc>
        <w:tc>
          <w:tcPr>
            <w:tcW w:w="1800" w:type="dxa"/>
            <w:vMerge w:val="continue"/>
            <w:noWrap w:val="0"/>
            <w:vAlign w:val="center"/>
          </w:tcPr>
          <w:p>
            <w:pPr>
              <w:jc w:val="center"/>
              <w:rPr>
                <w:rFonts w:hint="eastAsia" w:ascii="宋体" w:hAnsi="宋体" w:cs="宋体"/>
                <w:color w:val="auto"/>
                <w:highlight w:val="none"/>
              </w:rPr>
            </w:pPr>
          </w:p>
        </w:tc>
        <w:tc>
          <w:tcPr>
            <w:tcW w:w="2160" w:type="dxa"/>
            <w:noWrap w:val="0"/>
            <w:vAlign w:val="center"/>
          </w:tcPr>
          <w:p>
            <w:pPr>
              <w:jc w:val="center"/>
              <w:rPr>
                <w:rFonts w:hint="eastAsia" w:ascii="宋体" w:hAnsi="宋体" w:cs="宋体"/>
                <w:color w:val="auto"/>
                <w:highlight w:val="none"/>
              </w:rPr>
            </w:pPr>
            <w:r>
              <w:rPr>
                <w:rFonts w:hint="eastAsia" w:ascii="宋体" w:hAnsi="宋体" w:cs="宋体"/>
                <w:color w:val="auto"/>
                <w:szCs w:val="21"/>
                <w:highlight w:val="none"/>
              </w:rPr>
              <w:t>投标文件字迹</w:t>
            </w:r>
          </w:p>
        </w:tc>
        <w:tc>
          <w:tcPr>
            <w:tcW w:w="4140" w:type="dxa"/>
            <w:noWrap w:val="0"/>
            <w:vAlign w:val="center"/>
          </w:tcPr>
          <w:p>
            <w:pPr>
              <w:rPr>
                <w:rFonts w:hint="eastAsia" w:ascii="宋体" w:hAnsi="宋体" w:cs="宋体"/>
                <w:color w:val="auto"/>
                <w:highlight w:val="none"/>
              </w:rPr>
            </w:pPr>
            <w:r>
              <w:rPr>
                <w:rFonts w:hint="eastAsia" w:ascii="宋体" w:hAnsi="宋体" w:cs="宋体"/>
                <w:color w:val="auto"/>
                <w:szCs w:val="21"/>
                <w:highlight w:val="none"/>
              </w:rPr>
              <w:t>投标文件字迹清晰、可辨。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20" w:type="dxa"/>
            <w:vMerge w:val="continue"/>
            <w:noWrap w:val="0"/>
            <w:vAlign w:val="center"/>
          </w:tcPr>
          <w:p>
            <w:pPr>
              <w:jc w:val="center"/>
              <w:rPr>
                <w:rFonts w:hint="eastAsia" w:ascii="宋体" w:hAnsi="宋体" w:cs="宋体"/>
                <w:color w:val="auto"/>
                <w:highlight w:val="none"/>
              </w:rPr>
            </w:pPr>
          </w:p>
        </w:tc>
        <w:tc>
          <w:tcPr>
            <w:tcW w:w="1800" w:type="dxa"/>
            <w:vMerge w:val="continue"/>
            <w:noWrap w:val="0"/>
            <w:vAlign w:val="center"/>
          </w:tcPr>
          <w:p>
            <w:pPr>
              <w:jc w:val="center"/>
              <w:rPr>
                <w:rFonts w:hint="eastAsia" w:ascii="宋体" w:hAnsi="宋体" w:cs="宋体"/>
                <w:color w:val="auto"/>
                <w:highlight w:val="none"/>
              </w:rPr>
            </w:pPr>
          </w:p>
        </w:tc>
        <w:tc>
          <w:tcPr>
            <w:tcW w:w="2160" w:type="dxa"/>
            <w:noWrap w:val="0"/>
            <w:vAlign w:val="center"/>
          </w:tcPr>
          <w:p>
            <w:pPr>
              <w:jc w:val="center"/>
              <w:rPr>
                <w:rFonts w:hint="eastAsia" w:ascii="宋体" w:hAnsi="宋体" w:cs="宋体"/>
                <w:color w:val="auto"/>
                <w:highlight w:val="none"/>
              </w:rPr>
            </w:pPr>
            <w:r>
              <w:rPr>
                <w:rFonts w:hint="eastAsia" w:ascii="宋体" w:hAnsi="宋体" w:cs="宋体"/>
                <w:color w:val="auto"/>
                <w:szCs w:val="21"/>
                <w:highlight w:val="none"/>
              </w:rPr>
              <w:t>投标文件唯一性</w:t>
            </w:r>
          </w:p>
        </w:tc>
        <w:tc>
          <w:tcPr>
            <w:tcW w:w="4140" w:type="dxa"/>
            <w:noWrap w:val="0"/>
            <w:vAlign w:val="center"/>
          </w:tcPr>
          <w:p>
            <w:pPr>
              <w:rPr>
                <w:rFonts w:hint="eastAsia" w:ascii="宋体" w:hAnsi="宋体" w:cs="宋体"/>
                <w:color w:val="auto"/>
                <w:highlight w:val="none"/>
              </w:rPr>
            </w:pPr>
            <w:r>
              <w:rPr>
                <w:rFonts w:hint="eastAsia" w:ascii="宋体" w:hAnsi="宋体" w:cs="宋体"/>
                <w:color w:val="auto"/>
                <w:szCs w:val="21"/>
                <w:highlight w:val="none"/>
              </w:rPr>
              <w:t>投标人未递交两份或多份内容不同的投标文件。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20" w:type="dxa"/>
            <w:vMerge w:val="continue"/>
            <w:noWrap w:val="0"/>
            <w:vAlign w:val="center"/>
          </w:tcPr>
          <w:p>
            <w:pPr>
              <w:jc w:val="center"/>
              <w:rPr>
                <w:rFonts w:hint="eastAsia" w:ascii="宋体" w:hAnsi="宋体" w:cs="宋体"/>
                <w:color w:val="auto"/>
                <w:highlight w:val="none"/>
              </w:rPr>
            </w:pPr>
          </w:p>
        </w:tc>
        <w:tc>
          <w:tcPr>
            <w:tcW w:w="1800" w:type="dxa"/>
            <w:vMerge w:val="continue"/>
            <w:noWrap w:val="0"/>
            <w:vAlign w:val="center"/>
          </w:tcPr>
          <w:p>
            <w:pPr>
              <w:jc w:val="center"/>
              <w:rPr>
                <w:rFonts w:hint="eastAsia" w:ascii="宋体" w:hAnsi="宋体" w:cs="宋体"/>
                <w:color w:val="auto"/>
                <w:highlight w:val="none"/>
              </w:rPr>
            </w:pPr>
          </w:p>
        </w:tc>
        <w:tc>
          <w:tcPr>
            <w:tcW w:w="216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其他内容</w:t>
            </w:r>
          </w:p>
        </w:tc>
        <w:tc>
          <w:tcPr>
            <w:tcW w:w="41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highlight w:val="none"/>
              </w:rPr>
              <w:t>商务标</w:t>
            </w:r>
            <w:r>
              <w:rPr>
                <w:rFonts w:hint="eastAsia" w:ascii="宋体" w:hAnsi="宋体" w:cs="宋体"/>
                <w:color w:val="auto"/>
                <w:szCs w:val="21"/>
                <w:highlight w:val="none"/>
              </w:rPr>
              <w:t>未附有招标人不能接受的条件；</w:t>
            </w:r>
          </w:p>
          <w:p>
            <w:pP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highlight w:val="none"/>
              </w:rPr>
              <w:t>商务标</w:t>
            </w:r>
            <w:r>
              <w:rPr>
                <w:rFonts w:hint="eastAsia" w:ascii="宋体" w:hAnsi="宋体" w:cs="宋体"/>
                <w:color w:val="auto"/>
                <w:szCs w:val="21"/>
                <w:highlight w:val="none"/>
              </w:rPr>
              <w:t>中未出现第二章“投标人须知”第5.4款规定的否决性情形。</w:t>
            </w:r>
          </w:p>
        </w:tc>
      </w:tr>
    </w:tbl>
    <w:p>
      <w:pPr>
        <w:spacing w:line="400" w:lineRule="exact"/>
        <w:rPr>
          <w:rFonts w:hint="eastAsia" w:ascii="宋体" w:hAnsi="宋体" w:cs="宋体"/>
          <w:color w:val="auto"/>
          <w:highlight w:val="none"/>
        </w:rPr>
      </w:pPr>
      <w:r>
        <w:rPr>
          <w:rFonts w:hint="eastAsia" w:ascii="宋体" w:hAnsi="宋体" w:cs="宋体"/>
          <w:color w:val="auto"/>
          <w:highlight w:val="none"/>
        </w:rPr>
        <w:t>注：评标委员会无需对上述“评审因素”栏目内容中涉及有关企业在东莞市公共资源交易企业库建档情况进行评审。</w:t>
      </w:r>
    </w:p>
    <w:p>
      <w:pPr>
        <w:pStyle w:val="10"/>
        <w:spacing w:before="156" w:beforeLines="50" w:after="156" w:afterLines="50"/>
        <w:rPr>
          <w:rFonts w:hint="eastAsia" w:ascii="宋体" w:hAnsi="宋体" w:eastAsia="宋体"/>
          <w:color w:val="auto"/>
          <w:highlight w:val="none"/>
        </w:rPr>
      </w:pPr>
      <w:bookmarkStart w:id="55" w:name="_Toc75031591"/>
      <w:r>
        <w:rPr>
          <w:rFonts w:hint="eastAsia" w:ascii="宋体" w:hAnsi="宋体" w:eastAsia="宋体"/>
          <w:color w:val="auto"/>
          <w:highlight w:val="none"/>
        </w:rPr>
        <w:t>评标办法前附表2</w:t>
      </w:r>
      <w:bookmarkEnd w:id="5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62"/>
        <w:gridCol w:w="680"/>
        <w:gridCol w:w="3708"/>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54" w:type="dxa"/>
            <w:gridSpan w:val="5"/>
            <w:noWrap w:val="0"/>
            <w:vAlign w:val="center"/>
          </w:tcPr>
          <w:p>
            <w:pPr>
              <w:rPr>
                <w:rFonts w:hint="eastAsia" w:ascii="宋体" w:hAnsi="宋体" w:cs="宋体"/>
                <w:b/>
                <w:color w:val="auto"/>
                <w:szCs w:val="21"/>
                <w:highlight w:val="none"/>
              </w:rPr>
            </w:pPr>
            <w:r>
              <w:rPr>
                <w:rFonts w:hint="eastAsia" w:ascii="宋体" w:hAnsi="宋体" w:cs="宋体"/>
                <w:b/>
                <w:color w:val="auto"/>
                <w:highlight w:val="none"/>
              </w:rPr>
              <w:t>条款号：4.2.1技术标详细评审标准（30分）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49"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62"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评审分项</w:t>
            </w:r>
          </w:p>
        </w:tc>
        <w:tc>
          <w:tcPr>
            <w:tcW w:w="680"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分值 </w:t>
            </w:r>
          </w:p>
        </w:tc>
        <w:tc>
          <w:tcPr>
            <w:tcW w:w="7063" w:type="dxa"/>
            <w:gridSpan w:val="2"/>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技术标评分标准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对本项目的了解及解读</w:t>
            </w:r>
          </w:p>
        </w:tc>
        <w:tc>
          <w:tcPr>
            <w:tcW w:w="6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8分</w:t>
            </w:r>
          </w:p>
        </w:tc>
        <w:tc>
          <w:tcPr>
            <w:tcW w:w="7063" w:type="dxa"/>
            <w:gridSpan w:val="2"/>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评审内容：对本项目的了解详细、清晰及完整性，项目解读的清晰、合理及科学性。</w:t>
            </w:r>
          </w:p>
          <w:p>
            <w:pPr>
              <w:jc w:val="left"/>
              <w:rPr>
                <w:rFonts w:hint="eastAsia" w:ascii="宋体" w:hAnsi="宋体" w:cs="宋体"/>
                <w:color w:val="auto"/>
                <w:szCs w:val="21"/>
                <w:highlight w:val="none"/>
              </w:rPr>
            </w:pPr>
            <w:r>
              <w:rPr>
                <w:rFonts w:hint="eastAsia" w:ascii="宋体" w:hAnsi="宋体" w:cs="宋体"/>
                <w:color w:val="auto"/>
                <w:szCs w:val="21"/>
                <w:highlight w:val="none"/>
              </w:rPr>
              <w:t>根据投标文件“技术标”中相应内容对比评审，视优劣程度酌情打分，优者得高分；无此项内容得0分。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总体勘察设计思路（构思）</w:t>
            </w:r>
          </w:p>
        </w:tc>
        <w:tc>
          <w:tcPr>
            <w:tcW w:w="6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5分</w:t>
            </w:r>
          </w:p>
        </w:tc>
        <w:tc>
          <w:tcPr>
            <w:tcW w:w="7063" w:type="dxa"/>
            <w:gridSpan w:val="2"/>
            <w:noWrap w:val="0"/>
            <w:vAlign w:val="center"/>
          </w:tcPr>
          <w:p>
            <w:pPr>
              <w:rPr>
                <w:rFonts w:hint="eastAsia" w:ascii="宋体" w:hAnsi="宋体" w:cs="宋体"/>
                <w:color w:val="auto"/>
                <w:highlight w:val="none"/>
              </w:rPr>
            </w:pPr>
            <w:r>
              <w:rPr>
                <w:rFonts w:hint="eastAsia" w:ascii="宋体" w:hAnsi="宋体" w:cs="宋体"/>
                <w:color w:val="auto"/>
                <w:highlight w:val="none"/>
              </w:rPr>
              <w:t>评审内容：对本项目勘察设计思路清晰、合理及科学性，兼顾经济效益情况。</w:t>
            </w:r>
          </w:p>
          <w:p>
            <w:pPr>
              <w:rPr>
                <w:rFonts w:hint="eastAsia" w:ascii="宋体" w:hAnsi="宋体" w:cs="宋体"/>
                <w:b/>
                <w:color w:val="auto"/>
                <w:szCs w:val="21"/>
                <w:highlight w:val="none"/>
              </w:rPr>
            </w:pPr>
            <w:r>
              <w:rPr>
                <w:rFonts w:hint="eastAsia" w:ascii="宋体" w:hAnsi="宋体" w:cs="宋体"/>
                <w:color w:val="auto"/>
                <w:highlight w:val="none"/>
              </w:rPr>
              <w:t>根据投标文件“技术标”中相应内容对比评审，视优劣程度酌情打分，优者得高分；无此项内容得0分。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6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勘察设计进度安排及质量保证体系</w:t>
            </w:r>
          </w:p>
        </w:tc>
        <w:tc>
          <w:tcPr>
            <w:tcW w:w="680" w:type="dxa"/>
            <w:noWrap w:val="0"/>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3分</w:t>
            </w:r>
          </w:p>
        </w:tc>
        <w:tc>
          <w:tcPr>
            <w:tcW w:w="7063" w:type="dxa"/>
            <w:gridSpan w:val="2"/>
            <w:noWrap w:val="0"/>
            <w:vAlign w:val="center"/>
          </w:tcPr>
          <w:p>
            <w:pPr>
              <w:rPr>
                <w:rFonts w:hint="eastAsia" w:ascii="宋体" w:hAnsi="宋体" w:cs="宋体"/>
                <w:color w:val="auto"/>
                <w:highlight w:val="none"/>
              </w:rPr>
            </w:pPr>
            <w:r>
              <w:rPr>
                <w:rFonts w:hint="eastAsia" w:ascii="宋体" w:hAnsi="宋体" w:cs="宋体"/>
                <w:color w:val="auto"/>
                <w:highlight w:val="none"/>
              </w:rPr>
              <w:t>评审内容：对本项目工作计划及进度安排合理可行性，满足各阶段要求情况；进度、质量保证措施合理可行且可操作性。</w:t>
            </w:r>
          </w:p>
          <w:p>
            <w:pPr>
              <w:rPr>
                <w:rFonts w:hint="eastAsia" w:ascii="宋体" w:hAnsi="宋体" w:cs="宋体"/>
                <w:b/>
                <w:color w:val="auto"/>
                <w:szCs w:val="21"/>
                <w:highlight w:val="none"/>
              </w:rPr>
            </w:pPr>
            <w:r>
              <w:rPr>
                <w:rFonts w:hint="eastAsia" w:ascii="宋体" w:hAnsi="宋体" w:cs="宋体"/>
                <w:color w:val="auto"/>
                <w:highlight w:val="none"/>
              </w:rPr>
              <w:t>根据投标文件“技术标”中相应内容对比评审，视优劣程度酌情打分，优者得高分；无此项内容得0分。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62" w:type="dxa"/>
            <w:noWrap w:val="0"/>
            <w:vAlign w:val="center"/>
          </w:tcPr>
          <w:p>
            <w:pPr>
              <w:jc w:val="center"/>
              <w:rPr>
                <w:rFonts w:hint="eastAsia" w:ascii="宋体" w:hAnsi="宋体" w:cs="宋体"/>
                <w:color w:val="auto"/>
                <w:szCs w:val="21"/>
                <w:highlight w:val="none"/>
              </w:rPr>
            </w:pPr>
            <w:r>
              <w:rPr>
                <w:rFonts w:hint="eastAsia" w:ascii="宋体" w:hAnsi="宋体" w:cs="宋体"/>
                <w:color w:val="auto"/>
                <w:highlight w:val="none"/>
              </w:rPr>
              <w:t>对本项目勘察设计重点、难点的理解及合理化建议</w:t>
            </w:r>
          </w:p>
        </w:tc>
        <w:tc>
          <w:tcPr>
            <w:tcW w:w="680" w:type="dxa"/>
            <w:noWrap w:val="0"/>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8分</w:t>
            </w:r>
          </w:p>
        </w:tc>
        <w:tc>
          <w:tcPr>
            <w:tcW w:w="7063" w:type="dxa"/>
            <w:gridSpan w:val="2"/>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评审内容：对本项目</w:t>
            </w:r>
            <w:r>
              <w:rPr>
                <w:rFonts w:hint="eastAsia" w:ascii="宋体" w:hAnsi="宋体" w:cs="宋体"/>
                <w:color w:val="auto"/>
                <w:highlight w:val="none"/>
              </w:rPr>
              <w:t>勘察设计</w:t>
            </w:r>
            <w:r>
              <w:rPr>
                <w:rFonts w:hint="eastAsia" w:ascii="宋体" w:hAnsi="宋体" w:cs="宋体"/>
                <w:color w:val="auto"/>
                <w:szCs w:val="21"/>
                <w:highlight w:val="none"/>
              </w:rPr>
              <w:t>的重点和难点的分析全面性，条理清晰性；对关键问题的建议合理性，解决方案完整、经济、安全且措施得力情况。</w:t>
            </w:r>
          </w:p>
          <w:p>
            <w:pPr>
              <w:jc w:val="left"/>
              <w:rPr>
                <w:rFonts w:hint="eastAsia" w:ascii="宋体" w:hAnsi="宋体" w:cs="宋体"/>
                <w:color w:val="auto"/>
                <w:szCs w:val="21"/>
                <w:highlight w:val="none"/>
              </w:rPr>
            </w:pPr>
            <w:r>
              <w:rPr>
                <w:rFonts w:hint="eastAsia" w:ascii="宋体" w:hAnsi="宋体" w:cs="宋体"/>
                <w:color w:val="auto"/>
                <w:szCs w:val="21"/>
                <w:highlight w:val="none"/>
              </w:rPr>
              <w:t>根据投标文件“技术标”中相应内容对比评审，视优劣程度酌情打分，优者得高分；无此项内容得0分。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62" w:type="dxa"/>
            <w:noWrap w:val="0"/>
            <w:vAlign w:val="center"/>
          </w:tcPr>
          <w:p>
            <w:pPr>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后续服务承诺</w:t>
            </w:r>
          </w:p>
        </w:tc>
        <w:tc>
          <w:tcPr>
            <w:tcW w:w="6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7063" w:type="dxa"/>
            <w:gridSpan w:val="2"/>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评审内容：后续服务人员配备、经验丰富情况，设置现场服务点、配合工程变更、上会汇报等后续服务工作的措施合理、具体可行及可操作性。</w:t>
            </w:r>
          </w:p>
          <w:p>
            <w:pPr>
              <w:jc w:val="left"/>
              <w:rPr>
                <w:rFonts w:hint="eastAsia" w:ascii="宋体" w:hAnsi="宋体" w:cs="宋体"/>
                <w:b/>
                <w:color w:val="auto"/>
                <w:szCs w:val="21"/>
                <w:highlight w:val="none"/>
              </w:rPr>
            </w:pPr>
            <w:r>
              <w:rPr>
                <w:rFonts w:hint="eastAsia" w:ascii="宋体" w:hAnsi="宋体" w:cs="宋体"/>
                <w:color w:val="auto"/>
                <w:szCs w:val="21"/>
                <w:highlight w:val="none"/>
              </w:rPr>
              <w:t>根据投标文件“技术标”中相应内容对比评审，视优劣程度酌情打分，优者得高分；无此项内容得0分。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262" w:type="dxa"/>
            <w:noWrap w:val="0"/>
            <w:vAlign w:val="center"/>
          </w:tcPr>
          <w:p>
            <w:pPr>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投资控制</w:t>
            </w:r>
          </w:p>
        </w:tc>
        <w:tc>
          <w:tcPr>
            <w:tcW w:w="6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7063" w:type="dxa"/>
            <w:gridSpan w:val="2"/>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cs="宋体"/>
                <w:color w:val="auto"/>
                <w:highlight w:val="none"/>
              </w:rPr>
              <w:t>对本项目</w:t>
            </w:r>
            <w:r>
              <w:rPr>
                <w:rFonts w:hint="eastAsia" w:ascii="宋体" w:hAnsi="宋体" w:cs="宋体"/>
                <w:color w:val="auto"/>
                <w:szCs w:val="21"/>
                <w:highlight w:val="none"/>
              </w:rPr>
              <w:t>投资控制内容清晰、完整及合理性。</w:t>
            </w:r>
          </w:p>
          <w:p>
            <w:pPr>
              <w:pStyle w:val="11"/>
              <w:tabs>
                <w:tab w:val="left" w:pos="1800"/>
                <w:tab w:val="left" w:pos="2340"/>
              </w:tabs>
              <w:spacing w:line="24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根据投标文件“技术标”中相应内容对比评审，视优劣程度酌情打分，优者得高分；无此项内容得0分。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9" w:type="dxa"/>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262" w:type="dxa"/>
            <w:vMerge w:val="restart"/>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技术标</w:t>
            </w:r>
          </w:p>
          <w:p>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页数要求</w:t>
            </w:r>
          </w:p>
        </w:tc>
        <w:tc>
          <w:tcPr>
            <w:tcW w:w="680" w:type="dxa"/>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不扣分或</w:t>
            </w:r>
          </w:p>
          <w:p>
            <w:pPr>
              <w:jc w:val="center"/>
              <w:rPr>
                <w:rFonts w:hint="eastAsia" w:ascii="宋体" w:hAnsi="宋体" w:cs="宋体"/>
                <w:color w:val="auto"/>
                <w:szCs w:val="21"/>
                <w:highlight w:val="none"/>
              </w:rPr>
            </w:pPr>
            <w:r>
              <w:rPr>
                <w:rFonts w:hint="eastAsia" w:ascii="宋体" w:hAnsi="宋体" w:cs="宋体"/>
                <w:color w:val="auto"/>
                <w:szCs w:val="21"/>
                <w:highlight w:val="none"/>
              </w:rPr>
              <w:t>扣5分</w:t>
            </w:r>
          </w:p>
        </w:tc>
        <w:tc>
          <w:tcPr>
            <w:tcW w:w="3708" w:type="dxa"/>
            <w:noWrap w:val="0"/>
            <w:vAlign w:val="center"/>
          </w:tcPr>
          <w:p>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技术标页数小于或等于200页</w:t>
            </w:r>
          </w:p>
        </w:tc>
        <w:tc>
          <w:tcPr>
            <w:tcW w:w="3355" w:type="dxa"/>
            <w:noWrap w:val="0"/>
            <w:vAlign w:val="center"/>
          </w:tcPr>
          <w:p>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技术标页数大于200页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9" w:type="dxa"/>
            <w:vMerge w:val="continue"/>
            <w:noWrap w:val="0"/>
            <w:vAlign w:val="center"/>
          </w:tcPr>
          <w:p>
            <w:pPr>
              <w:jc w:val="center"/>
              <w:rPr>
                <w:rFonts w:hint="eastAsia" w:ascii="宋体" w:hAnsi="宋体" w:cs="宋体"/>
                <w:color w:val="auto"/>
                <w:szCs w:val="21"/>
                <w:highlight w:val="none"/>
              </w:rPr>
            </w:pPr>
          </w:p>
        </w:tc>
        <w:tc>
          <w:tcPr>
            <w:tcW w:w="1262" w:type="dxa"/>
            <w:vMerge w:val="continue"/>
            <w:noWrap w:val="0"/>
            <w:vAlign w:val="center"/>
          </w:tcPr>
          <w:p>
            <w:pPr>
              <w:autoSpaceDE w:val="0"/>
              <w:autoSpaceDN w:val="0"/>
              <w:adjustRightInd w:val="0"/>
              <w:jc w:val="center"/>
              <w:rPr>
                <w:rFonts w:hint="eastAsia" w:ascii="宋体" w:hAnsi="宋体" w:cs="宋体"/>
                <w:color w:val="auto"/>
                <w:szCs w:val="21"/>
                <w:highlight w:val="none"/>
              </w:rPr>
            </w:pPr>
          </w:p>
        </w:tc>
        <w:tc>
          <w:tcPr>
            <w:tcW w:w="680" w:type="dxa"/>
            <w:vMerge w:val="continue"/>
            <w:noWrap w:val="0"/>
            <w:vAlign w:val="center"/>
          </w:tcPr>
          <w:p>
            <w:pPr>
              <w:jc w:val="center"/>
              <w:rPr>
                <w:rFonts w:hint="eastAsia" w:ascii="宋体" w:hAnsi="宋体" w:cs="宋体"/>
                <w:color w:val="auto"/>
                <w:szCs w:val="21"/>
                <w:highlight w:val="none"/>
              </w:rPr>
            </w:pPr>
          </w:p>
        </w:tc>
        <w:tc>
          <w:tcPr>
            <w:tcW w:w="3708" w:type="dxa"/>
            <w:noWrap w:val="0"/>
            <w:vAlign w:val="center"/>
          </w:tcPr>
          <w:p>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不扣分</w:t>
            </w:r>
          </w:p>
        </w:tc>
        <w:tc>
          <w:tcPr>
            <w:tcW w:w="3355" w:type="dxa"/>
            <w:noWrap w:val="0"/>
            <w:vAlign w:val="center"/>
          </w:tcPr>
          <w:p>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扣5分</w:t>
            </w:r>
          </w:p>
        </w:tc>
      </w:tr>
    </w:tbl>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注：1、分数出现小数点时，可保留小数点后二位。</w:t>
      </w:r>
    </w:p>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上述“评审分项”各分项得分低于该项分值60%时，评标专家需详细填写该项得低分的充分理由，例如：该项目内容存在违反强制性规范或与项目实际不符等原则性问题。</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pStyle w:val="6"/>
        <w:keepNext/>
        <w:keepLines/>
        <w:widowControl w:val="0"/>
        <w:spacing w:before="156" w:beforeLines="50" w:beforeAutospacing="0" w:after="156" w:afterLines="50" w:afterAutospacing="0" w:line="400" w:lineRule="exact"/>
        <w:jc w:val="both"/>
        <w:outlineLvl w:val="2"/>
        <w:rPr>
          <w:rFonts w:hint="eastAsia" w:cs="宋体"/>
          <w:color w:val="auto"/>
          <w:kern w:val="2"/>
          <w:sz w:val="24"/>
          <w:szCs w:val="24"/>
          <w:highlight w:val="none"/>
          <w:lang w:bidi="ar"/>
        </w:rPr>
      </w:pPr>
      <w:bookmarkStart w:id="56" w:name="_Toc75031592"/>
      <w:r>
        <w:rPr>
          <w:rFonts w:hint="eastAsia" w:cs="宋体"/>
          <w:color w:val="auto"/>
          <w:kern w:val="2"/>
          <w:sz w:val="24"/>
          <w:szCs w:val="24"/>
          <w:highlight w:val="none"/>
          <w:lang w:bidi="ar"/>
        </w:rPr>
        <w:t>评标办法前附表3</w:t>
      </w:r>
      <w:bookmarkEnd w:id="56"/>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19"/>
        <w:gridCol w:w="690"/>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640" w:type="dxa"/>
            <w:gridSpan w:val="4"/>
            <w:noWrap w:val="0"/>
            <w:vAlign w:val="center"/>
          </w:tcPr>
          <w:p>
            <w:pPr>
              <w:rPr>
                <w:rFonts w:hint="eastAsia" w:ascii="宋体" w:hAnsi="宋体" w:cs="宋体"/>
                <w:color w:val="auto"/>
                <w:szCs w:val="21"/>
                <w:highlight w:val="none"/>
              </w:rPr>
            </w:pPr>
            <w:r>
              <w:rPr>
                <w:rFonts w:hint="eastAsia" w:ascii="宋体" w:hAnsi="宋体" w:cs="宋体"/>
                <w:b/>
                <w:bCs/>
                <w:color w:val="auto"/>
                <w:szCs w:val="21"/>
                <w:highlight w:val="none"/>
              </w:rPr>
              <w:t>条款号：4.2.2商务标详细评审标准</w:t>
            </w:r>
            <w:r>
              <w:rPr>
                <w:rFonts w:hint="eastAsia" w:ascii="宋体" w:hAnsi="宋体" w:cs="宋体"/>
                <w:b/>
                <w:color w:val="auto"/>
                <w:highlight w:val="none"/>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0" w:type="dxa"/>
            <w:noWrap w:val="0"/>
            <w:tcMar>
              <w:left w:w="0" w:type="dxa"/>
              <w:right w:w="0" w:type="dxa"/>
            </w:tcMar>
            <w:vAlign w:val="center"/>
          </w:tcPr>
          <w:p>
            <w:pPr>
              <w:jc w:val="center"/>
              <w:rPr>
                <w:rFonts w:hint="eastAsia" w:ascii="宋体" w:hAnsi="宋体" w:cs="宋体"/>
                <w:color w:val="auto"/>
                <w:szCs w:val="21"/>
                <w:highlight w:val="none"/>
              </w:rPr>
            </w:pPr>
            <w:r>
              <w:rPr>
                <w:rFonts w:hint="eastAsia" w:ascii="宋体" w:hAnsi="宋体" w:cs="宋体"/>
                <w:b/>
                <w:color w:val="auto"/>
                <w:szCs w:val="21"/>
                <w:highlight w:val="none"/>
              </w:rPr>
              <w:t>序号</w:t>
            </w:r>
          </w:p>
        </w:tc>
        <w:tc>
          <w:tcPr>
            <w:tcW w:w="1319" w:type="dxa"/>
            <w:noWrap w:val="0"/>
            <w:vAlign w:val="center"/>
          </w:tcPr>
          <w:p>
            <w:pPr>
              <w:jc w:val="center"/>
              <w:rPr>
                <w:rFonts w:hint="eastAsia" w:ascii="宋体" w:hAnsi="宋体" w:cs="宋体"/>
                <w:color w:val="auto"/>
                <w:szCs w:val="21"/>
                <w:highlight w:val="none"/>
              </w:rPr>
            </w:pPr>
            <w:r>
              <w:rPr>
                <w:rFonts w:hint="eastAsia" w:ascii="宋体" w:hAnsi="宋体" w:cs="宋体"/>
                <w:b/>
                <w:color w:val="auto"/>
                <w:szCs w:val="21"/>
                <w:highlight w:val="none"/>
              </w:rPr>
              <w:t>评标项目</w:t>
            </w:r>
          </w:p>
        </w:tc>
        <w:tc>
          <w:tcPr>
            <w:tcW w:w="690" w:type="dxa"/>
            <w:noWrap w:val="0"/>
            <w:tcMar>
              <w:left w:w="0" w:type="dxa"/>
              <w:right w:w="0" w:type="dxa"/>
            </w:tcMar>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6921"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评分标准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24" w:hRule="atLeast"/>
          <w:jc w:val="center"/>
        </w:trPr>
        <w:tc>
          <w:tcPr>
            <w:tcW w:w="71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1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企业资质</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4分</w:t>
            </w:r>
          </w:p>
        </w:tc>
        <w:tc>
          <w:tcPr>
            <w:tcW w:w="69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r>
              <w:rPr>
                <w:rFonts w:hint="eastAsia" w:ascii="宋体" w:hAnsi="宋体" w:cs="宋体"/>
                <w:color w:val="auto"/>
                <w:highlight w:val="none"/>
              </w:rPr>
              <w:t>设计资质：</w:t>
            </w:r>
          </w:p>
          <w:p>
            <w:pPr>
              <w:rPr>
                <w:rFonts w:hint="eastAsia" w:ascii="宋体" w:hAnsi="宋体" w:cs="宋体"/>
                <w:color w:val="auto"/>
                <w:highlight w:val="none"/>
              </w:rPr>
            </w:pPr>
            <w:r>
              <w:rPr>
                <w:rFonts w:hint="eastAsia" w:ascii="宋体" w:hAnsi="宋体" w:cs="宋体"/>
                <w:color w:val="auto"/>
                <w:highlight w:val="none"/>
              </w:rPr>
              <w:t>（1）具备工程设计综合资质甲级，得</w:t>
            </w:r>
            <w:r>
              <w:rPr>
                <w:rFonts w:hint="eastAsia" w:ascii="宋体" w:hAnsi="宋体" w:cs="宋体"/>
                <w:color w:val="auto"/>
                <w:highlight w:val="none"/>
                <w:lang w:val="en-US" w:eastAsia="zh-CN"/>
              </w:rPr>
              <w:t>4</w:t>
            </w:r>
            <w:r>
              <w:rPr>
                <w:rFonts w:hint="eastAsia" w:ascii="宋体" w:hAnsi="宋体" w:cs="宋体"/>
                <w:color w:val="auto"/>
                <w:highlight w:val="none"/>
              </w:rPr>
              <w:t>分；</w:t>
            </w:r>
          </w:p>
          <w:p>
            <w:pPr>
              <w:rPr>
                <w:rFonts w:hint="eastAsia" w:ascii="宋体" w:hAnsi="宋体" w:cs="宋体"/>
                <w:color w:val="auto"/>
                <w:highlight w:val="none"/>
              </w:rPr>
            </w:pPr>
            <w:r>
              <w:rPr>
                <w:rFonts w:hint="eastAsia" w:ascii="宋体" w:hAnsi="宋体" w:cs="宋体"/>
                <w:color w:val="auto"/>
                <w:highlight w:val="none"/>
              </w:rPr>
              <w:t>（2）具备市政行业</w:t>
            </w:r>
            <w:bookmarkStart w:id="57" w:name="OLE_LINK1"/>
            <w:r>
              <w:rPr>
                <w:rFonts w:hint="eastAsia" w:ascii="宋体" w:hAnsi="宋体" w:cs="宋体"/>
                <w:color w:val="auto"/>
                <w:highlight w:val="none"/>
              </w:rPr>
              <w:t>（含给水工程）</w:t>
            </w:r>
            <w:bookmarkEnd w:id="57"/>
            <w:r>
              <w:rPr>
                <w:rFonts w:hint="eastAsia" w:ascii="宋体" w:hAnsi="宋体" w:cs="宋体"/>
                <w:color w:val="auto"/>
                <w:highlight w:val="none"/>
              </w:rPr>
              <w:t>甲级资质，得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rPr>
                <w:rFonts w:hint="eastAsia" w:ascii="宋体" w:hAnsi="宋体" w:cs="宋体"/>
                <w:color w:val="auto"/>
                <w:highlight w:val="none"/>
              </w:rPr>
            </w:pPr>
            <w:r>
              <w:rPr>
                <w:rFonts w:hint="eastAsia" w:ascii="宋体" w:hAnsi="宋体" w:cs="宋体"/>
                <w:color w:val="auto"/>
                <w:highlight w:val="none"/>
              </w:rPr>
              <w:t>本项最高得4分。</w:t>
            </w:r>
          </w:p>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highlight w:val="none"/>
              </w:rPr>
              <w:t>（须提供相关有效证书复印件加盖投标人公章，若为联合体投标，以联合体牵头人提供的有效证书复印件作为评审依据。）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2"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19"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highlight w:val="none"/>
              </w:rPr>
              <w:t>2分</w:t>
            </w:r>
          </w:p>
        </w:tc>
        <w:tc>
          <w:tcPr>
            <w:tcW w:w="69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r>
              <w:rPr>
                <w:rFonts w:hint="eastAsia" w:ascii="宋体" w:hAnsi="宋体" w:cs="宋体"/>
                <w:color w:val="auto"/>
                <w:highlight w:val="none"/>
              </w:rPr>
              <w:t>勘察资质：</w:t>
            </w:r>
          </w:p>
          <w:p>
            <w:pPr>
              <w:rPr>
                <w:rFonts w:hint="eastAsia" w:ascii="宋体" w:hAnsi="宋体" w:cs="宋体"/>
                <w:color w:val="auto"/>
                <w:highlight w:val="none"/>
              </w:rPr>
            </w:pPr>
            <w:r>
              <w:rPr>
                <w:rFonts w:hint="eastAsia" w:ascii="宋体" w:hAnsi="宋体" w:cs="宋体"/>
                <w:color w:val="auto"/>
                <w:highlight w:val="none"/>
              </w:rPr>
              <w:t>（1）具有工程勘察综合类甲级资质，得2分；</w:t>
            </w:r>
          </w:p>
          <w:p>
            <w:pPr>
              <w:rPr>
                <w:rFonts w:hint="eastAsia" w:ascii="宋体" w:hAnsi="宋体" w:cs="宋体"/>
                <w:color w:val="auto"/>
                <w:highlight w:val="none"/>
              </w:rPr>
            </w:pPr>
            <w:r>
              <w:rPr>
                <w:rFonts w:hint="eastAsia" w:ascii="宋体" w:hAnsi="宋体" w:cs="宋体"/>
                <w:color w:val="auto"/>
                <w:highlight w:val="none"/>
              </w:rPr>
              <w:t>（2）同时具备工程测量甲级和岩土工程甲级资质，得1分；</w:t>
            </w:r>
          </w:p>
          <w:p>
            <w:pPr>
              <w:rPr>
                <w:rFonts w:hint="eastAsia" w:ascii="宋体" w:hAnsi="宋体" w:cs="宋体"/>
                <w:color w:val="auto"/>
                <w:highlight w:val="none"/>
              </w:rPr>
            </w:pPr>
            <w:r>
              <w:rPr>
                <w:rFonts w:hint="eastAsia" w:ascii="宋体" w:hAnsi="宋体" w:cs="宋体"/>
                <w:color w:val="auto"/>
                <w:highlight w:val="none"/>
              </w:rPr>
              <w:t>（3）不满足上述条件的，不得分。</w:t>
            </w:r>
          </w:p>
          <w:p>
            <w:pPr>
              <w:rPr>
                <w:rFonts w:hint="eastAsia" w:ascii="宋体" w:hAnsi="宋体" w:cs="宋体"/>
                <w:color w:val="auto"/>
                <w:highlight w:val="none"/>
              </w:rPr>
            </w:pPr>
            <w:r>
              <w:rPr>
                <w:rFonts w:hint="eastAsia" w:ascii="宋体" w:hAnsi="宋体" w:cs="宋体"/>
                <w:color w:val="auto"/>
                <w:highlight w:val="none"/>
              </w:rPr>
              <w:t xml:space="preserve">本项最高得2分。 </w:t>
            </w:r>
          </w:p>
          <w:p>
            <w:pPr>
              <w:rPr>
                <w:rFonts w:hint="eastAsia" w:ascii="宋体" w:hAnsi="宋体" w:cs="宋体"/>
                <w:color w:val="auto"/>
                <w:highlight w:val="none"/>
              </w:rPr>
            </w:pPr>
            <w:r>
              <w:rPr>
                <w:rFonts w:hint="eastAsia" w:ascii="宋体" w:hAnsi="宋体" w:cs="宋体"/>
                <w:color w:val="auto"/>
                <w:highlight w:val="none"/>
              </w:rPr>
              <w:t xml:space="preserve">（须提供相关资质证书复印件并加盖投标人法人公章，没有提供或提供的证书有效期已过，不得分；若为联合体投标，以联合体勘察方提供的有效证书复印件作为评审依据。）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1"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企业管理体系</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1分</w:t>
            </w:r>
          </w:p>
        </w:tc>
        <w:tc>
          <w:tcPr>
            <w:tcW w:w="69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具有ISO9001质量管理体系认证证书（有效期内），得1分。</w:t>
            </w:r>
          </w:p>
          <w:p>
            <w:pPr>
              <w:rPr>
                <w:rFonts w:hint="eastAsia" w:ascii="宋体" w:hAnsi="宋体" w:cs="宋体"/>
                <w:color w:val="auto"/>
                <w:highlight w:val="none"/>
              </w:rPr>
            </w:pPr>
            <w:r>
              <w:rPr>
                <w:rFonts w:hint="eastAsia" w:ascii="宋体" w:hAnsi="宋体" w:eastAsia="宋体" w:cs="宋体"/>
                <w:color w:val="auto"/>
                <w:highlight w:val="none"/>
              </w:rPr>
              <w:t>（若为联合体投标，联合体各成员均须同时具备相关有效管理体系认证，否则不得分。）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1"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31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企业类似业绩</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分</w:t>
            </w:r>
          </w:p>
        </w:tc>
        <w:tc>
          <w:tcPr>
            <w:tcW w:w="69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r>
              <w:rPr>
                <w:rFonts w:hint="eastAsia" w:ascii="宋体" w:hAnsi="宋体" w:cs="宋体"/>
                <w:color w:val="auto"/>
                <w:highlight w:val="none"/>
              </w:rPr>
              <w:t>投标人自2016年1月1日起独立承接过的输配水给水管道设计类似业绩：</w:t>
            </w:r>
          </w:p>
          <w:p>
            <w:pPr>
              <w:rPr>
                <w:rFonts w:hint="eastAsia" w:ascii="宋体" w:hAnsi="宋体" w:cs="宋体"/>
                <w:color w:val="auto"/>
                <w:szCs w:val="21"/>
                <w:highlight w:val="none"/>
              </w:rPr>
            </w:pPr>
            <w:r>
              <w:rPr>
                <w:rFonts w:hint="eastAsia" w:ascii="宋体" w:hAnsi="宋体" w:cs="宋体"/>
                <w:color w:val="auto"/>
                <w:szCs w:val="21"/>
                <w:highlight w:val="none"/>
              </w:rPr>
              <w:t>承接过管径为DN600（含）或以上输配水给水管道</w:t>
            </w:r>
            <w:r>
              <w:rPr>
                <w:rFonts w:hint="eastAsia" w:ascii="宋体" w:hAnsi="宋体" w:eastAsia="宋体" w:cs="宋体"/>
                <w:b w:val="0"/>
                <w:bCs w:val="0"/>
                <w:color w:val="auto"/>
                <w:szCs w:val="24"/>
                <w:highlight w:val="none"/>
              </w:rPr>
              <w:t>（管道长度必须达到2000米或以上）</w:t>
            </w:r>
            <w:r>
              <w:rPr>
                <w:rFonts w:hint="eastAsia" w:ascii="宋体" w:hAnsi="宋体" w:eastAsia="宋体" w:cs="宋体"/>
                <w:color w:val="auto"/>
                <w:szCs w:val="24"/>
                <w:highlight w:val="none"/>
              </w:rPr>
              <w:t>设计类似业绩，每项得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分</w:t>
            </w:r>
            <w:r>
              <w:rPr>
                <w:rFonts w:hint="eastAsia" w:ascii="宋体" w:hAnsi="宋体" w:eastAsia="宋体" w:cs="宋体"/>
                <w:color w:val="auto"/>
                <w:highlight w:val="none"/>
              </w:rPr>
              <w:t>；本项最高</w:t>
            </w:r>
            <w:r>
              <w:rPr>
                <w:rFonts w:hint="eastAsia" w:ascii="宋体" w:hAnsi="宋体" w:cs="宋体"/>
                <w:color w:val="auto"/>
                <w:highlight w:val="none"/>
              </w:rPr>
              <w:t>得</w:t>
            </w:r>
            <w:r>
              <w:rPr>
                <w:rFonts w:hint="eastAsia" w:ascii="宋体" w:hAnsi="宋体" w:cs="宋体"/>
                <w:color w:val="auto"/>
                <w:highlight w:val="none"/>
                <w:lang w:val="en-US" w:eastAsia="zh-CN"/>
              </w:rPr>
              <w:t>21</w:t>
            </w:r>
            <w:r>
              <w:rPr>
                <w:rFonts w:hint="eastAsia" w:ascii="宋体" w:hAnsi="宋体" w:cs="宋体"/>
                <w:color w:val="auto"/>
                <w:highlight w:val="none"/>
              </w:rPr>
              <w:t>分。</w:t>
            </w:r>
          </w:p>
          <w:p>
            <w:pPr>
              <w:rPr>
                <w:rFonts w:hint="eastAsia" w:ascii="宋体" w:hAnsi="宋体" w:cs="宋体"/>
                <w:color w:val="auto"/>
                <w:highlight w:val="none"/>
              </w:rPr>
            </w:pPr>
            <w:r>
              <w:rPr>
                <w:rFonts w:hint="eastAsia" w:ascii="宋体" w:hAnsi="宋体" w:cs="宋体"/>
                <w:color w:val="auto"/>
                <w:highlight w:val="none"/>
              </w:rPr>
              <w:t>(若为联合体投标，以联合体牵头人提供的业绩作为评审依据。)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5"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69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r>
              <w:rPr>
                <w:rFonts w:hint="eastAsia" w:ascii="宋体" w:hAnsi="宋体" w:cs="宋体"/>
                <w:color w:val="auto"/>
                <w:highlight w:val="none"/>
              </w:rPr>
              <w:t>投标人自2016年1月1日起承接过的勘察业绩：单项合同≥</w:t>
            </w:r>
            <w:r>
              <w:rPr>
                <w:rFonts w:hint="eastAsia" w:ascii="宋体" w:hAnsi="宋体" w:cs="宋体"/>
                <w:color w:val="auto"/>
                <w:highlight w:val="none"/>
                <w:lang w:val="en-US" w:eastAsia="zh-CN"/>
              </w:rPr>
              <w:t>110</w:t>
            </w:r>
            <w:r>
              <w:rPr>
                <w:rFonts w:hint="eastAsia" w:ascii="宋体" w:hAnsi="宋体" w:cs="宋体"/>
                <w:color w:val="auto"/>
                <w:highlight w:val="none"/>
              </w:rPr>
              <w:t>万元的勘察类似业绩，每项得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rPr>
                <w:rFonts w:hint="eastAsia" w:ascii="宋体" w:hAnsi="宋体" w:cs="宋体"/>
                <w:color w:val="auto"/>
                <w:szCs w:val="21"/>
                <w:highlight w:val="none"/>
              </w:rPr>
            </w:pPr>
            <w:r>
              <w:rPr>
                <w:rFonts w:hint="eastAsia" w:ascii="宋体" w:hAnsi="宋体" w:cs="宋体"/>
                <w:color w:val="auto"/>
                <w:highlight w:val="none"/>
              </w:rPr>
              <w:t>本项最高得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rPr>
                <w:rFonts w:hint="eastAsia" w:ascii="宋体" w:hAnsi="宋体" w:cs="宋体"/>
                <w:color w:val="auto"/>
                <w:highlight w:val="none"/>
              </w:rPr>
            </w:pPr>
            <w:r>
              <w:rPr>
                <w:rFonts w:hint="eastAsia" w:ascii="宋体" w:hAnsi="宋体" w:cs="宋体"/>
                <w:color w:val="auto"/>
                <w:highlight w:val="none"/>
              </w:rPr>
              <w:t>(若为联合体投标，以非联合体牵头人提供的业绩作为评审依据。)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31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highlight w:val="none"/>
              </w:rPr>
              <w:t>企业业绩获奖</w:t>
            </w:r>
          </w:p>
        </w:tc>
        <w:tc>
          <w:tcPr>
            <w:tcW w:w="69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6921" w:type="dxa"/>
            <w:tcBorders>
              <w:top w:val="single" w:color="auto" w:sz="4" w:space="0"/>
              <w:left w:val="single" w:color="auto" w:sz="4" w:space="0"/>
              <w:bottom w:val="single" w:color="000000" w:sz="4" w:space="0"/>
              <w:right w:val="single" w:color="auto" w:sz="4" w:space="0"/>
            </w:tcBorders>
            <w:noWrap w:val="0"/>
            <w:vAlign w:val="center"/>
          </w:tcPr>
          <w:p>
            <w:pPr>
              <w:rPr>
                <w:rFonts w:hint="eastAsia" w:ascii="宋体" w:hAnsi="宋体" w:cs="宋体"/>
                <w:color w:val="auto"/>
                <w:highlight w:val="none"/>
              </w:rPr>
            </w:pPr>
            <w:r>
              <w:rPr>
                <w:rFonts w:hint="eastAsia" w:ascii="宋体" w:hAnsi="宋体" w:cs="宋体"/>
                <w:color w:val="auto"/>
                <w:highlight w:val="none"/>
              </w:rPr>
              <w:t>投标人承接过的设计业绩中2016年1月1日至今获得奖项的：</w:t>
            </w:r>
          </w:p>
          <w:p>
            <w:pPr>
              <w:rPr>
                <w:rFonts w:hint="eastAsia"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szCs w:val="21"/>
                <w:highlight w:val="none"/>
              </w:rPr>
              <w:t>投标人承接过的给排水类设计业绩获得</w:t>
            </w:r>
            <w:r>
              <w:rPr>
                <w:rFonts w:hint="eastAsia" w:ascii="宋体" w:hAnsi="宋体" w:cs="宋体"/>
                <w:color w:val="auto"/>
                <w:szCs w:val="21"/>
                <w:highlight w:val="none"/>
                <w:lang w:val="en-US" w:eastAsia="zh-CN"/>
              </w:rPr>
              <w:t>国家</w:t>
            </w:r>
            <w:r>
              <w:rPr>
                <w:rFonts w:hint="eastAsia" w:ascii="宋体" w:hAnsi="宋体" w:cs="宋体"/>
                <w:color w:val="auto"/>
                <w:szCs w:val="21"/>
                <w:highlight w:val="none"/>
              </w:rPr>
              <w:t>级</w:t>
            </w:r>
            <w:r>
              <w:rPr>
                <w:rFonts w:hint="eastAsia" w:ascii="宋体" w:hAnsi="宋体" w:cs="宋体"/>
                <w:color w:val="auto"/>
                <w:szCs w:val="21"/>
                <w:highlight w:val="none"/>
                <w:lang w:val="en-US" w:eastAsia="zh-CN"/>
              </w:rPr>
              <w:t>或部级</w:t>
            </w:r>
            <w:r>
              <w:rPr>
                <w:rFonts w:hint="eastAsia" w:ascii="宋体" w:hAnsi="宋体" w:cs="宋体"/>
                <w:color w:val="auto"/>
                <w:szCs w:val="21"/>
                <w:highlight w:val="none"/>
              </w:rPr>
              <w:t>行政主管部门或行业协会（学会）或以上颁发奖项的奖项，每项得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szCs w:val="21"/>
                <w:highlight w:val="none"/>
              </w:rPr>
              <w:t>投标人承接过的给排水类设计业绩获得省级行政主管部门或省级行业协会（学会）或以上颁发奖项的奖项，每项得2分，本分项最高得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rPr>
              <w:t>[注：①颁发单位包括行政区政府、建设行政主管部门或行业协会（学会）；②获奖时间以获奖证书颁发时间或网上公示获奖时间为准；③需提供获奖证书复印件或网上公示获奖页面截图凭证，得奖项目按高分项</w:t>
            </w:r>
            <w:r>
              <w:rPr>
                <w:rFonts w:hint="eastAsia" w:ascii="宋体" w:hAnsi="宋体" w:cs="宋体"/>
                <w:color w:val="auto"/>
                <w:highlight w:val="none"/>
              </w:rPr>
              <w:t>只计算一次、不重复计分</w:t>
            </w:r>
            <w:r>
              <w:rPr>
                <w:rFonts w:hint="eastAsia" w:ascii="宋体" w:hAnsi="宋体" w:cs="宋体"/>
                <w:color w:val="auto"/>
                <w:szCs w:val="21"/>
                <w:highlight w:val="none"/>
              </w:rPr>
              <w:t>；④</w:t>
            </w:r>
            <w:r>
              <w:rPr>
                <w:rFonts w:hint="eastAsia" w:ascii="宋体" w:hAnsi="宋体" w:cs="宋体"/>
                <w:bCs/>
                <w:color w:val="auto"/>
                <w:szCs w:val="21"/>
                <w:highlight w:val="none"/>
              </w:rPr>
              <w:t>若为联合体投标，</w:t>
            </w:r>
            <w:r>
              <w:rPr>
                <w:rFonts w:hint="eastAsia" w:ascii="宋体" w:hAnsi="宋体" w:cs="宋体"/>
                <w:color w:val="auto"/>
                <w:highlight w:val="none"/>
              </w:rPr>
              <w:t>以联合体牵头人</w:t>
            </w:r>
            <w:r>
              <w:rPr>
                <w:rFonts w:hint="eastAsia" w:ascii="宋体" w:hAnsi="宋体" w:cs="宋体"/>
                <w:bCs/>
                <w:color w:val="auto"/>
                <w:szCs w:val="21"/>
                <w:highlight w:val="none"/>
              </w:rPr>
              <w:t>提供的业绩</w:t>
            </w:r>
            <w:r>
              <w:rPr>
                <w:rFonts w:hint="eastAsia" w:ascii="宋体" w:hAnsi="宋体" w:cs="宋体"/>
                <w:color w:val="auto"/>
                <w:szCs w:val="21"/>
                <w:highlight w:val="none"/>
              </w:rPr>
              <w:t>获奖</w:t>
            </w:r>
            <w:r>
              <w:rPr>
                <w:rFonts w:hint="eastAsia" w:ascii="宋体" w:hAnsi="宋体" w:cs="宋体"/>
                <w:bCs/>
                <w:color w:val="auto"/>
                <w:szCs w:val="21"/>
                <w:highlight w:val="none"/>
              </w:rPr>
              <w:t>作为评审依据。</w:t>
            </w:r>
            <w:r>
              <w:rPr>
                <w:rFonts w:hint="eastAsia" w:ascii="宋体" w:hAnsi="宋体" w:cs="宋体"/>
                <w:color w:val="auto"/>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31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拟投入本工程勘察设计主要岗位人员情况</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r>
              <w:rPr>
                <w:rFonts w:hint="eastAsia" w:ascii="宋体" w:hAnsi="宋体" w:cs="宋体"/>
                <w:color w:val="auto"/>
                <w:highlight w:val="none"/>
              </w:rPr>
              <w:t>项目总负责人：（</w:t>
            </w:r>
            <w:r>
              <w:rPr>
                <w:rFonts w:hint="eastAsia" w:ascii="宋体" w:hAnsi="宋体" w:cs="宋体"/>
                <w:color w:val="auto"/>
                <w:highlight w:val="none"/>
                <w:lang w:val="en-US" w:eastAsia="zh-CN"/>
              </w:rPr>
              <w:t>10</w:t>
            </w:r>
            <w:r>
              <w:rPr>
                <w:rFonts w:hint="eastAsia" w:ascii="宋体" w:hAnsi="宋体" w:cs="宋体"/>
                <w:color w:val="auto"/>
                <w:highlight w:val="none"/>
              </w:rPr>
              <w:t>分）</w:t>
            </w:r>
          </w:p>
          <w:p>
            <w:pPr>
              <w:numPr>
                <w:ilvl w:val="0"/>
                <w:numId w:val="8"/>
              </w:numPr>
              <w:rPr>
                <w:rFonts w:hint="eastAsia" w:ascii="宋体" w:hAnsi="宋体" w:cs="宋体"/>
                <w:color w:val="auto"/>
                <w:highlight w:val="none"/>
              </w:rPr>
            </w:pPr>
            <w:r>
              <w:rPr>
                <w:rFonts w:hint="eastAsia" w:ascii="宋体" w:hAnsi="宋体" w:cs="宋体"/>
                <w:color w:val="auto"/>
                <w:highlight w:val="none"/>
              </w:rPr>
              <w:t>除了满足招标文件第二章投标人须知附件一《工程勘察设计主要岗位人员基本要求表》外，同时具有注册公用设备工程师（给水排水）资格和给排水专业高级工程师职称，得</w:t>
            </w:r>
            <w:r>
              <w:rPr>
                <w:rFonts w:hint="eastAsia" w:ascii="宋体" w:hAnsi="宋体" w:cs="宋体"/>
                <w:color w:val="auto"/>
                <w:highlight w:val="none"/>
                <w:lang w:val="en-US" w:eastAsia="zh-CN"/>
              </w:rPr>
              <w:t>3</w:t>
            </w:r>
            <w:r>
              <w:rPr>
                <w:rFonts w:hint="eastAsia" w:ascii="宋体" w:hAnsi="宋体" w:cs="宋体"/>
                <w:color w:val="auto"/>
                <w:highlight w:val="none"/>
              </w:rPr>
              <w:t>分；同时具有注册公用设备工程师（给水排水）资格和给排水专业教授级（或研究员级）高级工程师职称的，得</w:t>
            </w:r>
            <w:r>
              <w:rPr>
                <w:rFonts w:hint="eastAsia" w:ascii="宋体" w:hAnsi="宋体" w:cs="宋体"/>
                <w:color w:val="auto"/>
                <w:highlight w:val="none"/>
                <w:lang w:val="en-US" w:eastAsia="zh-CN"/>
              </w:rPr>
              <w:t>6</w:t>
            </w:r>
            <w:r>
              <w:rPr>
                <w:rFonts w:hint="eastAsia" w:ascii="宋体" w:hAnsi="宋体" w:cs="宋体"/>
                <w:color w:val="auto"/>
                <w:highlight w:val="none"/>
              </w:rPr>
              <w:t>分；本分项最高得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numPr>
                <w:ilvl w:val="0"/>
                <w:numId w:val="8"/>
              </w:numPr>
              <w:rPr>
                <w:rFonts w:hint="eastAsia" w:ascii="宋体" w:hAnsi="宋体" w:cs="宋体"/>
                <w:color w:val="auto"/>
                <w:highlight w:val="none"/>
              </w:rPr>
            </w:pPr>
            <w:r>
              <w:rPr>
                <w:rFonts w:hint="eastAsia" w:ascii="宋体" w:hAnsi="宋体" w:cs="宋体"/>
                <w:color w:val="auto"/>
                <w:highlight w:val="none"/>
              </w:rPr>
              <w:t>项目总负责人自2016年1月1日起负责过设计规模管径为DN600（含）或以上输配水给水管道设计类似业绩的，每项得</w:t>
            </w:r>
            <w:r>
              <w:rPr>
                <w:rFonts w:hint="eastAsia" w:ascii="宋体" w:hAnsi="宋体" w:cs="宋体"/>
                <w:color w:val="auto"/>
                <w:highlight w:val="none"/>
                <w:lang w:val="en-US" w:eastAsia="zh-CN"/>
              </w:rPr>
              <w:t>2</w:t>
            </w:r>
            <w:r>
              <w:rPr>
                <w:rFonts w:hint="eastAsia" w:ascii="宋体" w:hAnsi="宋体" w:cs="宋体"/>
                <w:color w:val="auto"/>
                <w:highlight w:val="none"/>
              </w:rPr>
              <w:t>分；本分项最高得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numPr>
                <w:ilvl w:val="0"/>
                <w:numId w:val="0"/>
              </w:numPr>
              <w:rPr>
                <w:rFonts w:hint="eastAsia" w:ascii="宋体" w:hAnsi="宋体" w:cs="宋体"/>
                <w:color w:val="auto"/>
                <w:highlight w:val="none"/>
              </w:rPr>
            </w:pPr>
            <w:r>
              <w:rPr>
                <w:rFonts w:hint="eastAsia" w:ascii="宋体" w:hAnsi="宋体" w:cs="宋体"/>
                <w:color w:val="auto"/>
                <w:highlight w:val="none"/>
              </w:rPr>
              <w:t>[注：项目总负责人业绩和企业业绩可重复计分。项目总负责人业绩证明材料需提供合同扫描件，合同中应体现项目相关评审信息和项目总负责人，若不能体现还应提供发包人（业主）出具的相关证明材料。]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76"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highlight w:val="none"/>
              </w:rPr>
            </w:pPr>
          </w:p>
        </w:tc>
        <w:tc>
          <w:tcPr>
            <w:tcW w:w="13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highlight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69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r>
              <w:rPr>
                <w:rFonts w:hint="eastAsia" w:ascii="宋体" w:hAnsi="宋体" w:cs="宋体"/>
                <w:color w:val="auto"/>
                <w:highlight w:val="none"/>
              </w:rPr>
              <w:t>勘察专业负责人：（</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rPr>
                <w:rFonts w:hint="eastAsia" w:ascii="宋体" w:hAnsi="宋体" w:cs="宋体"/>
                <w:color w:val="auto"/>
                <w:highlight w:val="none"/>
              </w:rPr>
            </w:pPr>
            <w:r>
              <w:rPr>
                <w:rFonts w:hint="eastAsia" w:ascii="宋体" w:hAnsi="宋体" w:cs="宋体"/>
                <w:color w:val="auto"/>
                <w:highlight w:val="none"/>
              </w:rPr>
              <w:t>除了满足招标文件第二章投标人须知附件一《工程勘察设计主要岗位人员基本要求表》外，同时具有</w:t>
            </w:r>
            <w:r>
              <w:rPr>
                <w:rFonts w:hint="eastAsia" w:ascii="宋体" w:hAnsi="宋体" w:cs="宋体"/>
                <w:color w:val="auto"/>
                <w:szCs w:val="21"/>
                <w:highlight w:val="none"/>
              </w:rPr>
              <w:t>注册土木工程师（岩土）执业资格</w:t>
            </w:r>
            <w:r>
              <w:rPr>
                <w:rFonts w:hint="eastAsia" w:ascii="宋体" w:hAnsi="宋体" w:cs="宋体"/>
                <w:color w:val="auto"/>
                <w:highlight w:val="none"/>
              </w:rPr>
              <w:t>和岩土类专业高级工程师职称的，得</w:t>
            </w: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4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highlight w:val="none"/>
              </w:rPr>
            </w:pPr>
          </w:p>
        </w:tc>
        <w:tc>
          <w:tcPr>
            <w:tcW w:w="13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highlight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6921"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auto"/>
                <w:highlight w:val="none"/>
              </w:rPr>
            </w:pPr>
            <w:r>
              <w:rPr>
                <w:rFonts w:hint="eastAsia" w:ascii="宋体" w:hAnsi="宋体" w:cs="宋体"/>
                <w:color w:val="auto"/>
                <w:szCs w:val="21"/>
                <w:highlight w:val="none"/>
              </w:rPr>
              <w:t>测量专业负责人</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rPr>
                <w:rFonts w:hint="eastAsia" w:ascii="宋体" w:hAnsi="宋体" w:cs="宋体"/>
                <w:color w:val="auto"/>
                <w:highlight w:val="none"/>
              </w:rPr>
            </w:pPr>
            <w:r>
              <w:rPr>
                <w:rFonts w:hint="eastAsia" w:ascii="宋体" w:hAnsi="宋体" w:cs="宋体"/>
                <w:color w:val="auto"/>
                <w:szCs w:val="21"/>
                <w:highlight w:val="none"/>
              </w:rPr>
              <w:t>测量专业负责人</w:t>
            </w:r>
            <w:r>
              <w:rPr>
                <w:rFonts w:hint="eastAsia" w:ascii="宋体" w:hAnsi="宋体" w:cs="宋体"/>
                <w:color w:val="auto"/>
                <w:highlight w:val="none"/>
              </w:rPr>
              <w:t>具有</w:t>
            </w:r>
            <w:r>
              <w:rPr>
                <w:rFonts w:hint="eastAsia" w:ascii="宋体" w:hAnsi="宋体" w:cs="宋体"/>
                <w:color w:val="auto"/>
                <w:kern w:val="0"/>
                <w:szCs w:val="21"/>
                <w:highlight w:val="none"/>
              </w:rPr>
              <w:t>注册测绘师和测绘专业高级工程师</w:t>
            </w:r>
            <w:r>
              <w:rPr>
                <w:rFonts w:hint="eastAsia" w:ascii="宋体" w:hAnsi="宋体" w:cs="宋体"/>
                <w:color w:val="auto"/>
                <w:szCs w:val="21"/>
                <w:highlight w:val="none"/>
              </w:rPr>
              <w:t>（或以上）职称</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color w:val="auto"/>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53"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highlight w:val="none"/>
              </w:rPr>
            </w:pPr>
          </w:p>
        </w:tc>
        <w:tc>
          <w:tcPr>
            <w:tcW w:w="13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Cs w:val="21"/>
                <w:highlight w:val="none"/>
              </w:rPr>
            </w:pPr>
          </w:p>
        </w:tc>
        <w:tc>
          <w:tcPr>
            <w:tcW w:w="690"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auto"/>
                <w:highlight w:val="none"/>
              </w:rPr>
            </w:pPr>
          </w:p>
        </w:tc>
        <w:tc>
          <w:tcPr>
            <w:tcW w:w="69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r>
              <w:rPr>
                <w:rFonts w:hint="eastAsia" w:ascii="宋体" w:hAnsi="宋体" w:cs="宋体"/>
                <w:color w:val="auto"/>
                <w:highlight w:val="none"/>
              </w:rPr>
              <w:t>结构</w:t>
            </w:r>
            <w:r>
              <w:rPr>
                <w:rFonts w:hint="eastAsia" w:ascii="宋体" w:hAnsi="宋体" w:cs="宋体"/>
                <w:color w:val="auto"/>
                <w:szCs w:val="21"/>
                <w:highlight w:val="none"/>
              </w:rPr>
              <w:t>/给排水/工程造价等</w:t>
            </w:r>
            <w:r>
              <w:rPr>
                <w:rFonts w:hint="eastAsia" w:ascii="宋体" w:hAnsi="宋体" w:cs="宋体"/>
                <w:color w:val="auto"/>
                <w:highlight w:val="none"/>
              </w:rPr>
              <w:t>专业负责人：（</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rPr>
                <w:rFonts w:hint="eastAsia" w:ascii="宋体" w:hAnsi="宋体" w:cs="宋体"/>
                <w:color w:val="auto"/>
                <w:szCs w:val="21"/>
                <w:highlight w:val="none"/>
              </w:rPr>
            </w:pPr>
            <w:r>
              <w:rPr>
                <w:rFonts w:hint="eastAsia" w:ascii="宋体" w:hAnsi="宋体" w:cs="宋体"/>
                <w:color w:val="auto"/>
                <w:highlight w:val="none"/>
              </w:rPr>
              <w:t>上述专业负责人具备相应专业注册工程师及</w:t>
            </w:r>
            <w:r>
              <w:rPr>
                <w:rFonts w:hint="eastAsia" w:ascii="宋体" w:hAnsi="宋体" w:cs="宋体"/>
                <w:color w:val="auto"/>
                <w:szCs w:val="21"/>
                <w:highlight w:val="none"/>
              </w:rPr>
              <w:t>工程类高级工程师(或以上)职称</w:t>
            </w:r>
            <w:r>
              <w:rPr>
                <w:rFonts w:hint="eastAsia" w:ascii="宋体" w:hAnsi="宋体" w:cs="宋体"/>
                <w:color w:val="auto"/>
                <w:highlight w:val="none"/>
              </w:rPr>
              <w:t>担任的，每人得2分；本分项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rPr>
              <w:t>（每个专业的负责人只计算一次、不重复计分，若同一专业拟配多个负责人仅计一人得分）。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6" w:hRule="atLeast"/>
          <w:jc w:val="center"/>
        </w:trPr>
        <w:tc>
          <w:tcPr>
            <w:tcW w:w="9640" w:type="dxa"/>
            <w:gridSpan w:val="4"/>
            <w:tcBorders>
              <w:top w:val="nil"/>
              <w:left w:val="single" w:color="000000" w:sz="4" w:space="0"/>
              <w:bottom w:val="single" w:color="000000" w:sz="4" w:space="0"/>
              <w:right w:val="single" w:color="000000" w:sz="4" w:space="0"/>
            </w:tcBorders>
            <w:noWrap w:val="0"/>
            <w:vAlign w:val="center"/>
          </w:tcPr>
          <w:p>
            <w:pPr>
              <w:autoSpaceDE w:val="0"/>
              <w:autoSpaceDN w:val="0"/>
              <w:adjustRightInd w:val="0"/>
              <w:jc w:val="left"/>
              <w:rPr>
                <w:rFonts w:hint="eastAsia" w:ascii="宋体" w:hAnsi="宋体" w:cs="宋体"/>
                <w:color w:val="auto"/>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rPr>
              <w:t>设计类似业绩是指的输配水给水管道或含输配水给水管道（管道长度必须达到2000米或以上）设计项目业绩（设计阶段应包含施工图设计，否则此项业绩不得分），设计类似业绩必须为设计单位独立承接，不包括以设计单位与设计单位组成联合体形式承接设计工作的业绩（勘察设计合并实施、工程总承包（施工单位与一家设计单位组成的联合体）除外）；勘察业绩是指勘察项目业绩，同一项目含设计和勘察的按分别满足上述要求各计算一次类似设计业绩和勘察业绩。</w:t>
            </w:r>
            <w:r>
              <w:rPr>
                <w:rFonts w:hint="eastAsia" w:ascii="宋体" w:hAnsi="宋体" w:cs="宋体"/>
                <w:color w:val="auto"/>
                <w:szCs w:val="21"/>
                <w:highlight w:val="none"/>
              </w:rPr>
              <w:t>类似业绩</w:t>
            </w:r>
            <w:r>
              <w:rPr>
                <w:rFonts w:hint="eastAsia" w:ascii="宋体" w:hAnsi="宋体" w:cs="宋体"/>
                <w:color w:val="auto"/>
                <w:highlight w:val="none"/>
              </w:rPr>
              <w:t>应提供合同文本复印件，时间以合同签订的日期为准；合同文本应含：项目名称，甲、乙方单位名称，勘察（设计）设计工作内容、工作时间，甲、乙方单位签约人签名及单位公章等内容，若合同文本未能体现建设规模</w:t>
            </w:r>
            <w:r>
              <w:rPr>
                <w:rFonts w:hint="eastAsia" w:ascii="宋体" w:hAnsi="宋体" w:cs="宋体"/>
                <w:color w:val="auto"/>
                <w:szCs w:val="21"/>
                <w:highlight w:val="none"/>
                <w:lang w:bidi="ar"/>
              </w:rPr>
              <w:t>以及其他评分标准的信息</w:t>
            </w:r>
            <w:r>
              <w:rPr>
                <w:rFonts w:hint="eastAsia" w:ascii="宋体" w:hAnsi="宋体" w:cs="宋体"/>
                <w:color w:val="auto"/>
                <w:highlight w:val="none"/>
              </w:rPr>
              <w:t>时可提供发包人（业主）出具的相关证明文件。否则，不予认可该项目业绩。</w:t>
            </w:r>
          </w:p>
          <w:p>
            <w:pPr>
              <w:rPr>
                <w:rFonts w:hint="eastAsia" w:ascii="宋体" w:hAnsi="宋体" w:cs="宋体"/>
                <w:color w:val="auto"/>
                <w:szCs w:val="21"/>
                <w:highlight w:val="none"/>
              </w:rPr>
            </w:pPr>
            <w:r>
              <w:rPr>
                <w:rFonts w:hint="eastAsia" w:ascii="宋体" w:hAnsi="宋体" w:cs="宋体"/>
                <w:color w:val="auto"/>
                <w:szCs w:val="21"/>
                <w:highlight w:val="none"/>
              </w:rPr>
              <w:t>2、获奖时间以获奖证书颁发时间或网上公示获奖时间为准，其中业绩获奖按最高奖项只计算一次，不重复计算。</w:t>
            </w:r>
          </w:p>
          <w:p>
            <w:pPr>
              <w:rPr>
                <w:rFonts w:hint="eastAsia" w:ascii="宋体" w:hAnsi="宋体" w:cs="宋体"/>
                <w:color w:val="auto"/>
                <w:highlight w:val="none"/>
              </w:rPr>
            </w:pPr>
            <w:r>
              <w:rPr>
                <w:rFonts w:hint="eastAsia" w:ascii="宋体" w:hAnsi="宋体" w:cs="宋体"/>
                <w:color w:val="auto"/>
                <w:szCs w:val="21"/>
                <w:highlight w:val="none"/>
              </w:rPr>
              <w:t>3、获奖人员获奖情况需提供获奖证书复印件(或网上公示获奖页面截图凭证），获奖证书的颁发单位必须为行政区政府、建设行政主管部门或行业协会（学会），获奖时间以获奖证书颁发时间(或网上公示获奖时间)为准，获奖证书</w:t>
            </w:r>
            <w:r>
              <w:rPr>
                <w:rFonts w:hint="eastAsia" w:ascii="宋体" w:hAnsi="宋体" w:cs="宋体"/>
                <w:bCs/>
                <w:color w:val="auto"/>
                <w:szCs w:val="21"/>
                <w:highlight w:val="none"/>
              </w:rPr>
              <w:t>必须体现</w:t>
            </w:r>
            <w:r>
              <w:rPr>
                <w:rFonts w:hint="eastAsia" w:ascii="宋体" w:hAnsi="宋体" w:cs="宋体"/>
                <w:color w:val="auto"/>
                <w:szCs w:val="21"/>
                <w:highlight w:val="none"/>
              </w:rPr>
              <w:t>获奖人员</w:t>
            </w:r>
            <w:r>
              <w:rPr>
                <w:rFonts w:hint="eastAsia" w:ascii="宋体" w:hAnsi="宋体" w:cs="宋体"/>
                <w:bCs/>
                <w:color w:val="auto"/>
                <w:szCs w:val="21"/>
                <w:highlight w:val="none"/>
              </w:rPr>
              <w:t>名字</w:t>
            </w:r>
            <w:r>
              <w:rPr>
                <w:rFonts w:hint="eastAsia" w:ascii="宋体" w:hAnsi="宋体" w:cs="宋体"/>
                <w:color w:val="auto"/>
                <w:highlight w:val="none"/>
              </w:rPr>
              <w:t>。</w:t>
            </w:r>
          </w:p>
          <w:p>
            <w:pPr>
              <w:rPr>
                <w:rFonts w:hint="eastAsia" w:ascii="宋体" w:hAnsi="宋体" w:cs="宋体"/>
                <w:color w:val="auto"/>
                <w:szCs w:val="21"/>
                <w:highlight w:val="none"/>
              </w:rPr>
            </w:pPr>
            <w:r>
              <w:rPr>
                <w:rFonts w:hint="eastAsia" w:ascii="宋体" w:hAnsi="宋体" w:cs="宋体"/>
                <w:color w:val="auto"/>
                <w:highlight w:val="none"/>
              </w:rPr>
              <w:t>4、拟投入的工程勘察设计人员需提供：社保证明（社保缴费证明或加盖社保机构单位章的其他证明材料）须提供投标人企业近半年（</w:t>
            </w:r>
            <w:r>
              <w:rPr>
                <w:rFonts w:hint="eastAsia" w:ascii="宋体" w:hAnsi="宋体" w:cs="宋体"/>
                <w:color w:val="auto"/>
                <w:highlight w:val="none"/>
              </w:rPr>
              <w:t>2021 年</w:t>
            </w:r>
            <w:r>
              <w:rPr>
                <w:rFonts w:hint="eastAsia" w:ascii="宋体" w:hAnsi="宋体" w:cs="宋体"/>
                <w:color w:val="auto"/>
                <w:highlight w:val="none"/>
                <w:lang w:val="en-US" w:eastAsia="zh-CN"/>
              </w:rPr>
              <w:t>6</w:t>
            </w:r>
            <w:r>
              <w:rPr>
                <w:rFonts w:hint="eastAsia" w:ascii="宋体" w:hAnsi="宋体" w:cs="宋体"/>
                <w:color w:val="auto"/>
                <w:highlight w:val="none"/>
              </w:rPr>
              <w:t>月—2021 年</w:t>
            </w:r>
            <w:r>
              <w:rPr>
                <w:rFonts w:hint="eastAsia" w:ascii="宋体" w:hAnsi="宋体" w:cs="宋体"/>
                <w:color w:val="auto"/>
                <w:highlight w:val="none"/>
                <w:lang w:val="en-US" w:eastAsia="zh-CN"/>
              </w:rPr>
              <w:t>12</w:t>
            </w:r>
            <w:r>
              <w:rPr>
                <w:rFonts w:hint="eastAsia" w:ascii="宋体" w:hAnsi="宋体" w:cs="宋体"/>
                <w:color w:val="auto"/>
                <w:highlight w:val="none"/>
              </w:rPr>
              <w:t>月</w:t>
            </w:r>
            <w:r>
              <w:rPr>
                <w:rFonts w:hint="eastAsia" w:ascii="宋体" w:hAnsi="宋体" w:cs="宋体"/>
                <w:color w:val="auto"/>
                <w:highlight w:val="none"/>
              </w:rPr>
              <w:t>）</w:t>
            </w:r>
            <w:bookmarkStart w:id="58" w:name="_GoBack"/>
            <w:bookmarkEnd w:id="58"/>
            <w:r>
              <w:rPr>
                <w:rFonts w:hint="eastAsia" w:ascii="宋体" w:hAnsi="宋体" w:cs="宋体"/>
                <w:color w:val="auto"/>
                <w:highlight w:val="none"/>
              </w:rPr>
              <w:t>为其购买的社保证明复印件（为投标人总公司或分公司的社保缴纳证明文件均予认可），否则不得分。</w:t>
            </w:r>
          </w:p>
        </w:tc>
      </w:tr>
    </w:tbl>
    <w:p>
      <w:pPr>
        <w:rPr>
          <w:color w:val="auto"/>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009C1"/>
    <w:multiLevelType w:val="singleLevel"/>
    <w:tmpl w:val="EA6009C1"/>
    <w:lvl w:ilvl="0" w:tentative="0">
      <w:start w:val="1"/>
      <w:numFmt w:val="decimal"/>
      <w:suff w:val="nothing"/>
      <w:lvlText w:val="（%1）"/>
      <w:lvlJc w:val="left"/>
    </w:lvl>
  </w:abstractNum>
  <w:abstractNum w:abstractNumId="1">
    <w:nsid w:val="2B9247AD"/>
    <w:multiLevelType w:val="multilevel"/>
    <w:tmpl w:val="2B9247AD"/>
    <w:lvl w:ilvl="0" w:tentative="0">
      <w:start w:val="1"/>
      <w:numFmt w:val="decimal"/>
      <w:lvlText w:val="（%1）"/>
      <w:lvlJc w:val="left"/>
      <w:pPr>
        <w:tabs>
          <w:tab w:val="left" w:pos="425"/>
        </w:tabs>
        <w:ind w:left="425" w:hanging="425"/>
      </w:pPr>
      <w:rPr>
        <w:rFonts w:hint="eastAsia"/>
      </w:rPr>
    </w:lvl>
    <w:lvl w:ilvl="1" w:tentative="0">
      <w:start w:val="1"/>
      <w:numFmt w:val="decimal"/>
      <w:lvlText w:val="（%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374A4D01"/>
    <w:multiLevelType w:val="multilevel"/>
    <w:tmpl w:val="374A4D01"/>
    <w:lvl w:ilvl="0" w:tentative="0">
      <w:start w:val="1"/>
      <w:numFmt w:val="none"/>
      <w:lvlText w:val="（1）"/>
      <w:lvlJc w:val="left"/>
      <w:pPr>
        <w:tabs>
          <w:tab w:val="left" w:pos="425"/>
        </w:tabs>
        <w:ind w:left="425" w:hanging="425"/>
      </w:pPr>
      <w:rPr>
        <w:rFonts w:hint="eastAsia"/>
      </w:rPr>
    </w:lvl>
    <w:lvl w:ilvl="1" w:tentative="0">
      <w:start w:val="1"/>
      <w:numFmt w:val="decimal"/>
      <w:lvlText w:val="（%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44471745"/>
    <w:multiLevelType w:val="multilevel"/>
    <w:tmpl w:val="44471745"/>
    <w:lvl w:ilvl="0" w:tentative="0">
      <w:start w:val="4"/>
      <w:numFmt w:val="decimal"/>
      <w:lvlText w:val="%1"/>
      <w:lvlJc w:val="left"/>
      <w:pPr>
        <w:tabs>
          <w:tab w:val="left" w:pos="425"/>
        </w:tabs>
        <w:ind w:left="425" w:hanging="425"/>
      </w:pPr>
      <w:rPr>
        <w:rFonts w:hint="eastAsia"/>
      </w:rPr>
    </w:lvl>
    <w:lvl w:ilvl="1" w:tentative="0">
      <w:start w:val="1"/>
      <w:numFmt w:val="decimal"/>
      <w:lvlText w:val="4.2.%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2.1.2.%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4">
    <w:nsid w:val="5DE861B1"/>
    <w:multiLevelType w:val="multilevel"/>
    <w:tmpl w:val="5DE861B1"/>
    <w:lvl w:ilvl="0" w:tentative="0">
      <w:start w:val="4"/>
      <w:numFmt w:val="decimal"/>
      <w:lvlText w:val="%1"/>
      <w:lvlJc w:val="left"/>
      <w:pPr>
        <w:tabs>
          <w:tab w:val="left" w:pos="425"/>
        </w:tabs>
        <w:ind w:left="425" w:hanging="425"/>
      </w:pPr>
      <w:rPr>
        <w:rFonts w:hint="eastAsia"/>
      </w:rPr>
    </w:lvl>
    <w:lvl w:ilvl="1" w:tentative="0">
      <w:start w:val="1"/>
      <w:numFmt w:val="decimal"/>
      <w:lvlText w:val="4.1.%2"/>
      <w:lvlJc w:val="left"/>
      <w:pPr>
        <w:tabs>
          <w:tab w:val="left" w:pos="567"/>
        </w:tabs>
        <w:ind w:left="567"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2.1.2.%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5">
    <w:nsid w:val="5E2E5086"/>
    <w:multiLevelType w:val="multilevel"/>
    <w:tmpl w:val="5E2E5086"/>
    <w:lvl w:ilvl="0" w:tentative="0">
      <w:start w:val="4"/>
      <w:numFmt w:val="decimal"/>
      <w:lvlText w:val="%1"/>
      <w:lvlJc w:val="left"/>
      <w:pPr>
        <w:tabs>
          <w:tab w:val="left" w:pos="425"/>
        </w:tabs>
        <w:ind w:left="425" w:hanging="425"/>
      </w:pPr>
      <w:rPr>
        <w:rFonts w:hint="eastAsia"/>
      </w:rPr>
    </w:lvl>
    <w:lvl w:ilvl="1" w:tentative="0">
      <w:start w:val="1"/>
      <w:numFmt w:val="decimal"/>
      <w:lvlText w:val="6.2.%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2.1.2.%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6">
    <w:nsid w:val="72CE0E4A"/>
    <w:multiLevelType w:val="multilevel"/>
    <w:tmpl w:val="72CE0E4A"/>
    <w:lvl w:ilvl="0" w:tentative="0">
      <w:start w:val="1"/>
      <w:numFmt w:val="decimal"/>
      <w:lvlText w:val="（%1）"/>
      <w:lvlJc w:val="left"/>
      <w:pPr>
        <w:tabs>
          <w:tab w:val="left" w:pos="425"/>
        </w:tabs>
        <w:ind w:left="425" w:hanging="425"/>
      </w:pPr>
      <w:rPr>
        <w:rFonts w:hint="eastAsia"/>
      </w:rPr>
    </w:lvl>
    <w:lvl w:ilvl="1" w:tentative="0">
      <w:start w:val="1"/>
      <w:numFmt w:val="decimal"/>
      <w:lvlText w:val="（%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7">
    <w:nsid w:val="7F5E202F"/>
    <w:multiLevelType w:val="multilevel"/>
    <w:tmpl w:val="7F5E202F"/>
    <w:lvl w:ilvl="0" w:tentative="0">
      <w:start w:val="4"/>
      <w:numFmt w:val="decimal"/>
      <w:lvlText w:val="%1"/>
      <w:lvlJc w:val="left"/>
      <w:pPr>
        <w:tabs>
          <w:tab w:val="left" w:pos="425"/>
        </w:tabs>
        <w:ind w:left="425" w:hanging="425"/>
      </w:pPr>
      <w:rPr>
        <w:rFonts w:hint="eastAsia"/>
      </w:rPr>
    </w:lvl>
    <w:lvl w:ilvl="1" w:tentative="0">
      <w:start w:val="1"/>
      <w:numFmt w:val="decimal"/>
      <w:lvlText w:val="6.1.%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2.1.2.%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5A32"/>
    <w:rsid w:val="0C7B6E78"/>
    <w:rsid w:val="1E356C2F"/>
    <w:rsid w:val="342866C5"/>
    <w:rsid w:val="35D330A6"/>
    <w:rsid w:val="38592C8C"/>
    <w:rsid w:val="4342493A"/>
    <w:rsid w:val="6AF61727"/>
    <w:rsid w:val="78CE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rPr>
      <w:szCs w:val="22"/>
    </w:rPr>
  </w:style>
  <w:style w:type="paragraph" w:styleId="6">
    <w:name w:val="Normal (Web)"/>
    <w:basedOn w:val="1"/>
    <w:qFormat/>
    <w:uiPriority w:val="0"/>
    <w:pPr>
      <w:widowControl/>
      <w:spacing w:before="100" w:beforeAutospacing="1" w:after="100" w:afterAutospacing="1"/>
      <w:jc w:val="left"/>
    </w:pPr>
    <w:rPr>
      <w:rFonts w:ascii="宋体" w:hAnsi="宋体"/>
      <w:kern w:val="0"/>
      <w:sz w:val="15"/>
      <w:szCs w:val="15"/>
    </w:rPr>
  </w:style>
  <w:style w:type="paragraph" w:customStyle="1" w:styleId="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
    <w:name w:val="USE 1"/>
    <w:basedOn w:val="1"/>
    <w:qFormat/>
    <w:uiPriority w:val="0"/>
    <w:pPr>
      <w:spacing w:line="200" w:lineRule="atLeast"/>
      <w:jc w:val="left"/>
    </w:pPr>
    <w:rPr>
      <w:rFonts w:ascii="Verdana" w:hAnsi="Verdana" w:cs="华文中宋"/>
      <w:b/>
      <w:sz w:val="24"/>
      <w:szCs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7357</Words>
  <Characters>7662</Characters>
  <Lines>0</Lines>
  <Paragraphs>0</Paragraphs>
  <TotalTime>1</TotalTime>
  <ScaleCrop>false</ScaleCrop>
  <LinksUpToDate>false</LinksUpToDate>
  <CharactersWithSpaces>7711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2021-10-29T04:01:00Z</dcterms:created>
  <dc:creator>Administrator</dc:creator>
  <cp:lastModifiedBy>zd0101</cp:lastModifiedBy>
  <dcterms:modified xsi:type="dcterms:W3CDTF">2021-12-27T07:33:10Z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C074760F83CA488DA291BCB4C406B940</vt:lpwstr>
  </property>
</Properties>
</file>